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53" w:lineRule="exact"/>
        <w:rPr>
          <w:sz w:val="24"/>
          <w:szCs w:val="24"/>
          <w:color w:val="auto"/>
        </w:rPr>
      </w:pPr>
    </w:p>
    <w:p>
      <w:pPr>
        <w:ind w:left="4020" w:right="2520" w:hanging="3999"/>
        <w:spacing w:after="0" w:line="306" w:lineRule="auto"/>
        <w:tabs>
          <w:tab w:leader="none" w:pos="368"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7"/>
          <w:szCs w:val="17"/>
          <w:color w:val="auto"/>
          <w:highlight w:val="black"/>
        </w:rPr>
      </w:pPr>
    </w:p>
    <w:p>
      <w:pPr>
        <w:ind w:left="550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OR</w:t>
      </w:r>
    </w:p>
    <w:p>
      <w:pPr>
        <w:spacing w:after="0" w:line="48"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959" w:right="339" w:bottom="1440" w:gutter="0" w:footer="0" w:header="0"/>
        </w:sectPr>
      </w:pPr>
    </w:p>
    <w:p>
      <w:pPr>
        <w:spacing w:after="0" w:line="7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Commission File Number 001-38452</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24" w:lineRule="exact"/>
        <w:rPr>
          <w:sz w:val="24"/>
          <w:szCs w:val="24"/>
          <w:color w:val="auto"/>
        </w:rPr>
      </w:pPr>
    </w:p>
    <w:p>
      <w:pPr>
        <w:sectPr>
          <w:pgSz w:w="11900" w:h="16838" w:orient="portrait"/>
          <w:cols w:equalWidth="0" w:num="2">
            <w:col w:w="6960" w:space="180"/>
            <w:col w:w="4100"/>
          </w:cols>
          <w:pgMar w:left="320" w:top="95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5"/>
          <w:szCs w:val="25"/>
          <w:b w:val="1"/>
          <w:bCs w:val="1"/>
          <w:color w:val="auto"/>
        </w:rPr>
        <w:t>MEREO BIOPHARMA GROUP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spacing w:after="0"/>
              <w:rPr>
                <w:sz w:val="15"/>
                <w:szCs w:val="15"/>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207"/>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22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216"/>
        </w:trPr>
        <w:tc>
          <w:tcPr>
            <w:tcW w:w="5520" w:type="dxa"/>
            <w:vAlign w:val="bottom"/>
          </w:tcPr>
          <w:p>
            <w:pPr>
              <w:jc w:val="center"/>
              <w:spacing w:after="0" w:line="217" w:lineRule="exact"/>
              <w:rPr>
                <w:sz w:val="20"/>
                <w:szCs w:val="20"/>
                <w:color w:val="auto"/>
              </w:rPr>
            </w:pPr>
            <w:r>
              <w:rPr>
                <w:rFonts w:ascii="Times New Roman" w:cs="Times New Roman" w:eastAsia="Times New Roman" w:hAnsi="Times New Roman"/>
                <w:sz w:val="16"/>
                <w:szCs w:val="16"/>
                <w:b w:val="1"/>
                <w:bCs w:val="1"/>
                <w:color w:val="auto"/>
                <w:w w:val="99"/>
              </w:rPr>
              <w:t>One Cavendish Place, 4</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Floor</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03"/>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London, W1G 0QF</w:t>
            </w: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212"/>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5720" w:type="dxa"/>
            <w:vAlign w:val="bottom"/>
            <w:gridSpan w:val="2"/>
          </w:tcPr>
          <w:p>
            <w:pPr>
              <w:jc w:val="right"/>
              <w:ind w:right="2085"/>
              <w:spacing w:after="0"/>
              <w:rPr>
                <w:sz w:val="20"/>
                <w:szCs w:val="20"/>
                <w:color w:val="auto"/>
              </w:rPr>
            </w:pPr>
            <w:r>
              <w:rPr>
                <w:rFonts w:ascii="Times New Roman" w:cs="Times New Roman" w:eastAsia="Times New Roman" w:hAnsi="Times New Roman"/>
                <w:sz w:val="16"/>
                <w:szCs w:val="16"/>
                <w:b w:val="1"/>
                <w:bCs w:val="1"/>
                <w:color w:val="auto"/>
              </w:rPr>
              <w:t>+44-333-023-7300</w:t>
            </w:r>
          </w:p>
        </w:tc>
      </w:tr>
      <w:tr>
        <w:trPr>
          <w:trHeight w:val="227"/>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r>
    </w:tbl>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0" w:lineRule="exact"/>
        <w:rPr>
          <w:sz w:val="24"/>
          <w:szCs w:val="24"/>
          <w:color w:val="auto"/>
        </w:rPr>
      </w:pPr>
    </w:p>
    <w:tbl>
      <w:tblPr>
        <w:tblLayout w:type="fixed"/>
        <w:tblInd w:w="200" w:type="dxa"/>
        <w:tblCellMar>
          <w:top w:w="0" w:type="dxa"/>
          <w:left w:w="0" w:type="dxa"/>
          <w:bottom w:w="0" w:type="dxa"/>
          <w:right w:w="0" w:type="dxa"/>
        </w:tblCellMar>
      </w:tblPr>
      <w:tr>
        <w:trPr>
          <w:trHeight w:val="204"/>
        </w:trPr>
        <w:tc>
          <w:tcPr>
            <w:tcW w:w="438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40" w:type="dxa"/>
            <w:vAlign w:val="bottom"/>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438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American Depositary Shares, each representing five ordinary</w:t>
            </w:r>
          </w:p>
        </w:tc>
        <w:tc>
          <w:tcPr>
            <w:tcW w:w="23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MREO</w:t>
            </w:r>
          </w:p>
        </w:tc>
        <w:tc>
          <w:tcPr>
            <w:tcW w:w="364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43"/>
        </w:trPr>
        <w:tc>
          <w:tcPr>
            <w:tcW w:w="438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rPr>
              <w:t>shares, nominal value of £0.003 per share</w:t>
            </w:r>
          </w:p>
        </w:tc>
        <w:tc>
          <w:tcPr>
            <w:tcW w:w="2360" w:type="dxa"/>
            <w:vAlign w:val="bottom"/>
          </w:tcPr>
          <w:p>
            <w:pPr>
              <w:spacing w:after="0"/>
              <w:rPr>
                <w:sz w:val="21"/>
                <w:szCs w:val="21"/>
                <w:color w:val="auto"/>
              </w:rPr>
            </w:pPr>
          </w:p>
        </w:tc>
        <w:tc>
          <w:tcPr>
            <w:tcW w:w="364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3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2360" w:type="dxa"/>
            <w:vAlign w:val="bottom"/>
          </w:tcPr>
          <w:p>
            <w:pPr>
              <w:spacing w:after="0"/>
              <w:rPr>
                <w:sz w:val="18"/>
                <w:szCs w:val="18"/>
                <w:color w:val="auto"/>
              </w:rPr>
            </w:pPr>
          </w:p>
        </w:tc>
        <w:tc>
          <w:tcPr>
            <w:tcW w:w="3640" w:type="dxa"/>
            <w:vAlign w:val="bottom"/>
          </w:tcPr>
          <w:p>
            <w:pPr>
              <w:spacing w:after="0"/>
              <w:rPr>
                <w:sz w:val="18"/>
                <w:szCs w:val="18"/>
                <w:color w:val="auto"/>
              </w:rPr>
            </w:pPr>
          </w:p>
        </w:tc>
      </w:tr>
    </w:tbl>
    <w:p>
      <w:pPr>
        <w:spacing w:after="0" w:line="73" w:lineRule="exact"/>
        <w:rPr>
          <w:sz w:val="24"/>
          <w:szCs w:val="24"/>
          <w:color w:val="auto"/>
        </w:rPr>
      </w:pPr>
    </w:p>
    <w:p>
      <w:pPr>
        <w:ind w:right="80" w:firstLine="757"/>
        <w:spacing w:after="0" w:line="269" w:lineRule="auto"/>
        <w:tabs>
          <w:tab w:leader="none" w:pos="87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for trading, but only in connection with the registration of American Depositary Shares representing such Ordinary Shares pursuant to the requirements of the U.S. Securities and Exchange Commission.</w:t>
      </w: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9" w:lineRule="exact"/>
        <w:rPr>
          <w:sz w:val="24"/>
          <w:szCs w:val="24"/>
          <w:color w:val="auto"/>
        </w:rPr>
      </w:pPr>
    </w:p>
    <w:p>
      <w:pPr>
        <w:ind w:left="760" w:right="1740"/>
        <w:spacing w:after="0" w:line="250"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Indicate by check mark if the registrant is not required to file reports pursuant to Section 13 or Section 15(d) of the Act.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 w:lineRule="exact"/>
        <w:rPr>
          <w:sz w:val="24"/>
          <w:szCs w:val="24"/>
          <w:color w:val="auto"/>
        </w:rPr>
      </w:pPr>
    </w:p>
    <w:p>
      <w:pPr>
        <w:jc w:val="both"/>
        <w:ind w:right="140" w:firstLine="74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w:t>
      </w:r>
      <w:r>
        <w:rPr>
          <w:rFonts w:ascii="Times New Roman" w:cs="Times New Roman" w:eastAsia="Times New Roman" w:hAnsi="Times New Roman"/>
          <w:sz w:val="16"/>
          <w:szCs w:val="16"/>
          <w:color w:val="auto"/>
        </w:rPr>
        <w:t xml:space="preserve"> No</w:t>
      </w:r>
    </w:p>
    <w:p>
      <w:pPr>
        <w:spacing w:after="0" w:line="9" w:lineRule="exact"/>
        <w:rPr>
          <w:sz w:val="24"/>
          <w:szCs w:val="24"/>
          <w:color w:val="auto"/>
        </w:rPr>
      </w:pPr>
    </w:p>
    <w:p>
      <w:pPr>
        <w:ind w:right="120" w:firstLine="74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p>
      <w:pPr>
        <w:ind w:left="200" w:hanging="192"/>
        <w:spacing w:after="0"/>
        <w:tabs>
          <w:tab w:leader="none" w:pos="200" w:val="left"/>
        </w:tabs>
        <w:numPr>
          <w:ilvl w:val="0"/>
          <w:numId w:val="4"/>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No</w:t>
      </w:r>
    </w:p>
    <w:p>
      <w:pPr>
        <w:spacing w:after="0" w:line="29" w:lineRule="exact"/>
        <w:rPr>
          <w:sz w:val="24"/>
          <w:szCs w:val="24"/>
          <w:color w:val="auto"/>
        </w:rPr>
      </w:pPr>
    </w:p>
    <w:p>
      <w:pPr>
        <w:ind w:right="20" w:firstLine="749"/>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59" w:right="339" w:bottom="1440" w:gutter="0" w:footer="0" w:header="0"/>
          <w:type w:val="continuous"/>
        </w:sectPr>
      </w:pPr>
    </w:p>
    <w:p>
      <w:pPr>
        <w:spacing w:after="0" w:line="34"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6"/>
          <w:szCs w:val="16"/>
          <w:color w:val="auto"/>
        </w:rPr>
        <w:t xml:space="preserve">Large accelerated filer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both"/>
        <w:ind w:right="1080" w:hanging="3"/>
        <w:spacing w:after="0" w:line="20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Wingdings" w:cs="Wingdings" w:eastAsia="Wingdings" w:hAnsi="Wingdings"/>
          <w:sz w:val="16"/>
          <w:szCs w:val="16"/>
          <w:b w:val="1"/>
          <w:bCs w:val="1"/>
          <w:color w:val="auto"/>
        </w:rPr>
        <w:t></w:t>
      </w:r>
    </w:p>
    <w:p>
      <w:pPr>
        <w:spacing w:after="0" w:line="34" w:lineRule="exact"/>
        <w:rPr>
          <w:sz w:val="24"/>
          <w:szCs w:val="24"/>
          <w:color w:val="auto"/>
        </w:rPr>
      </w:pPr>
    </w:p>
    <w:p>
      <w:pPr>
        <w:sectPr>
          <w:pgSz w:w="11900" w:h="16838" w:orient="portrait"/>
          <w:cols w:equalWidth="0" w:num="4">
            <w:col w:w="3080" w:space="720"/>
            <w:col w:w="1380" w:space="720"/>
            <w:col w:w="1580" w:space="720"/>
            <w:col w:w="3040"/>
          </w:cols>
          <w:pgMar w:left="320" w:top="959" w:right="339" w:bottom="1440" w:gutter="0" w:footer="0" w:header="0"/>
          <w:type w:val="continuous"/>
        </w:sectPr>
      </w:pPr>
    </w:p>
    <w:p>
      <w:pPr>
        <w:ind w:right="320" w:firstLine="749"/>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1" w:lineRule="exact"/>
        <w:rPr>
          <w:sz w:val="24"/>
          <w:szCs w:val="24"/>
          <w:color w:val="auto"/>
        </w:rPr>
      </w:pPr>
    </w:p>
    <w:p>
      <w:pPr>
        <w:ind w:right="60" w:firstLine="74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 w:lineRule="exact"/>
        <w:rPr>
          <w:sz w:val="24"/>
          <w:szCs w:val="24"/>
          <w:color w:val="auto"/>
        </w:rPr>
      </w:pPr>
    </w:p>
    <w:p>
      <w:pPr>
        <w:ind w:right="260" w:firstLine="749"/>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ind w:right="260" w:firstLine="74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 w:lineRule="exact"/>
        <w:rPr>
          <w:sz w:val="24"/>
          <w:szCs w:val="24"/>
          <w:color w:val="auto"/>
        </w:rPr>
      </w:pPr>
    </w:p>
    <w:p>
      <w:pPr>
        <w:ind w:left="7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66" w:lineRule="exact"/>
        <w:rPr>
          <w:sz w:val="24"/>
          <w:szCs w:val="24"/>
          <w:color w:val="auto"/>
        </w:rPr>
      </w:pPr>
    </w:p>
    <w:p>
      <w:pPr>
        <w:ind w:right="120" w:firstLine="749"/>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2024, the last business day of the registrant’s most recently completed second fiscal quarter, was approximately $ 471,388,208.</w:t>
      </w:r>
    </w:p>
    <w:p>
      <w:pPr>
        <w:spacing w:after="0" w:line="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As of March 25, 2025 the number of outstanding ordinary shares, par value £0.003 per share, of the registrant was 795,001,444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63500</wp:posOffset>
            </wp:positionV>
            <wp:extent cx="198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0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59" w:lineRule="exact"/>
        <w:rPr>
          <w:sz w:val="24"/>
          <w:szCs w:val="24"/>
          <w:color w:val="auto"/>
        </w:rPr>
      </w:pPr>
    </w:p>
    <w:p>
      <w:pPr>
        <w:jc w:val="both"/>
        <w:ind w:right="220" w:firstLine="749"/>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2025 Annual Meeting of Stockholders (“Proxy Statement”)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0" w:type="dxa"/>
            <w:vAlign w:val="bottom"/>
            <w:gridSpan w:val="9"/>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40" w:type="dxa"/>
            <w:vAlign w:val="bottom"/>
            <w:gridSpan w:val="6"/>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380" w:type="dxa"/>
            <w:vAlign w:val="bottom"/>
            <w:gridSpan w:val="5"/>
          </w:tcPr>
          <w:p>
            <w:pPr>
              <w:spacing w:after="0"/>
              <w:rPr>
                <w:sz w:val="24"/>
                <w:szCs w:val="24"/>
                <w:color w:val="auto"/>
              </w:rPr>
            </w:pP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1C.</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top w:val="single" w:sz="8" w:color="0000EE"/>
            </w:tcBorders>
          </w:tcPr>
          <w:p>
            <w:pPr>
              <w:spacing w:after="0"/>
              <w:rPr>
                <w:sz w:val="24"/>
                <w:szCs w:val="24"/>
                <w:color w:val="auto"/>
              </w:rPr>
            </w:pPr>
          </w:p>
        </w:tc>
        <w:tc>
          <w:tcPr>
            <w:tcW w:w="6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320" w:type="dxa"/>
            <w:vAlign w:val="bottom"/>
            <w:gridSpan w:val="4"/>
          </w:tcPr>
          <w:p>
            <w:pPr>
              <w:spacing w:after="0"/>
              <w:rPr>
                <w:sz w:val="24"/>
                <w:szCs w:val="24"/>
                <w:color w:val="auto"/>
              </w:rPr>
            </w:pP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260" w:type="dxa"/>
            <w:vAlign w:val="bottom"/>
            <w:gridSpan w:val="3"/>
          </w:tcPr>
          <w:p>
            <w:pPr>
              <w:spacing w:after="0"/>
              <w:rPr>
                <w:sz w:val="24"/>
                <w:szCs w:val="24"/>
                <w:color w:val="auto"/>
              </w:rPr>
            </w:pP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345"/>
        </w:trPr>
        <w:tc>
          <w:tcPr>
            <w:tcW w:w="20" w:type="dxa"/>
            <w:vAlign w:val="bottom"/>
            <w:tcBorders>
              <w:bottom w:val="single" w:sz="8" w:color="0000EE"/>
            </w:tcBorders>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PART IV</w:t>
            </w:r>
          </w:p>
        </w:tc>
        <w:tc>
          <w:tcPr>
            <w:tcW w:w="24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15.</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66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9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6"/>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left="4083"/>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 references in this Annual Report on Form 10-K (defined below) to:</w:t>
      </w:r>
    </w:p>
    <w:p>
      <w:pPr>
        <w:spacing w:after="0" w:line="333" w:lineRule="exact"/>
        <w:rPr>
          <w:sz w:val="20"/>
          <w:szCs w:val="20"/>
          <w:color w:val="auto"/>
        </w:rPr>
      </w:pPr>
    </w:p>
    <w:p>
      <w:pPr>
        <w:ind w:left="503" w:right="48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“AATD” are to alpha-1 antitrypsin deficiency, a lack of alpha 1 anti-trypsin protein, a protein made by the liver that’s released into the bloodstream to protect the body from neutrophil serine proteases damaging the lungs;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“Acumapimod” are to an oral p38 MAP kinase inhibitor for potential treatment of AECOPD;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“Alvelestat” are to an oral neutrophil elastase inhibitor for potential treatment of AATD;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our American Depositary Shares, each of which represents five ordinary shares of Mereo BioPharma Group plc;</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evidence our ADSs;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“AECOPD” are to acute exacerbation of chronic obstructive pulmonary disease;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 are to Biologics License Application;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 are to contract manufacturing organization;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“COPD” are to chronic obstructive pulmonary disease, the name for a group of lung conditions that cause breathing difficulties;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 are to contract research organization;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are to European Medicines Agency;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“Etigilimab” are to an anti-TIGIT designed to activate the immune system through multiple mechanisms and enable anti-tumor activity;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are to the United States Securities and Exchange Act of 1934;</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“Feng Biosciences” are to Feng Biosciences, Inc. In 2023, OncXerna Therapeutics, Inc. (“OncXerna”) was renamed as Feng Biosciences, Inc.;</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are to the United States Food and Drug Administration;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“HH” are to hypogonadotropic hypogonadism, a condition in which the male testes or the female ovaries produce little or no sex hormones;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“Leflutrozole” are to an oral aromatase inhibitor for potential treatment of male infertility associated with HH;</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 are to Marketing Authorization Application;</w:t>
      </w:r>
    </w:p>
    <w:p>
      <w:pPr>
        <w:spacing w:after="0" w:line="117" w:lineRule="exact"/>
        <w:rPr>
          <w:rFonts w:ascii="Times New Roman" w:cs="Times New Roman" w:eastAsia="Times New Roman" w:hAnsi="Times New Roman"/>
          <w:sz w:val="18"/>
          <w:szCs w:val="18"/>
          <w:color w:val="auto"/>
        </w:rPr>
      </w:pPr>
    </w:p>
    <w:p>
      <w:pPr>
        <w:ind w:left="503" w:right="4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“Mereo,” the “Company,” the “Group,” “we,” “our,” “ours,” “us” or similar terms are to Mereo BioPharma Group plc, together with its subsidiaries;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are to the merger of Mereo MergerCo One Inc. and OncoMed Pharmaceuticals, Inc. (“OncoMed”), with OncoMed surviving as a wholly-owned subsidiary of Mereo US Holdings Inc., and as an indirect wholly-owned subsidiary of Mereo BioPharma Group plc, and in 2020 OncoMed was renamed as Mereo BioPharma 5, Inc. (“Mereo BioPharma 5”);</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“Navicixizumab” are to an anti-DLL4/VEGF bispecific antibody for the potential treatment of post platinum ovarian cancer;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are to New Drug Application;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 neutrophil elastase, a serine protease and a major constituent of lung elastoytic activity;</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 are to osteogenesis imperfecta a rare genetic bone disorder characterized by fragile bones that break easily, also known as brittle bone disease;</w:t>
      </w:r>
    </w:p>
    <w:p>
      <w:pPr>
        <w:spacing w:after="0" w:line="269"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each of £0.003 nominal value;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are to the United States Securities and Exchange Commission;</w:t>
      </w:r>
    </w:p>
    <w:p>
      <w:pPr>
        <w:spacing w:after="0" w:line="117"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981" w:right="379" w:bottom="1440" w:gutter="0" w:footer="0" w:header="0"/>
        </w:sectPr>
      </w:pPr>
    </w:p>
    <w:bookmarkStart w:id="3" w:name="page4"/>
    <w:bookmarkEnd w:id="3"/>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“Setrusumab” are to a fully human monoclonal antibody for potential treatment of OI;</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“US$” and “U.S. dollar” are to the United States dollar;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“TIGIT” are to T-cell immunoreceptor with Ig and ITIM domains;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“Ultragenyx” are to Ultragenyx Pharmaceutical, Inc.;</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are to accounting principles generally accepted in the United States of America; and</w:t>
      </w:r>
    </w:p>
    <w:p>
      <w:pPr>
        <w:spacing w:after="0" w:line="117" w:lineRule="exact"/>
        <w:rPr>
          <w:rFonts w:ascii="Times New Roman" w:cs="Times New Roman" w:eastAsia="Times New Roman" w:hAnsi="Times New Roman"/>
          <w:sz w:val="18"/>
          <w:szCs w:val="18"/>
          <w:color w:val="auto"/>
        </w:rPr>
      </w:pPr>
    </w:p>
    <w:p>
      <w:pPr>
        <w:ind w:left="5063" w:right="2079" w:hanging="5063"/>
        <w:spacing w:after="0" w:line="407" w:lineRule="auto"/>
        <w:tabs>
          <w:tab w:leader="none" w:pos="5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“GBP,” “pound sterling,” “pence” and “p” are to the British pound sterling (or units thereof).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3"/>
          </w:cols>
          <w:pgMar w:left="837" w:top="1093"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8" w:lineRule="exact"/>
        <w:rPr>
          <w:sz w:val="20"/>
          <w:szCs w:val="20"/>
          <w:color w:val="auto"/>
        </w:rPr>
      </w:pPr>
    </w:p>
    <w:p>
      <w:pPr>
        <w:ind w:right="100" w:firstLine="749"/>
        <w:spacing w:after="0" w:line="236" w:lineRule="exact"/>
        <w:rPr>
          <w:sz w:val="20"/>
          <w:szCs w:val="20"/>
          <w:color w:val="auto"/>
        </w:rPr>
      </w:pPr>
      <w:r>
        <w:rPr>
          <w:rFonts w:ascii="Times New Roman" w:cs="Times New Roman" w:eastAsia="Times New Roman" w:hAnsi="Times New Roman"/>
          <w:sz w:val="18"/>
          <w:szCs w:val="18"/>
          <w:color w:val="auto"/>
        </w:rPr>
        <w:t>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(“Annual Report”), “Mereo,” the “Group,” the “Company,” “we,” “us” and “our” refer to Mereo BioPharma Group plc and its consolidated subsidiaries, except where the context otherwise requires. “Mereo,” the Mereo logo and other trademarks, trade names or service marks of Mereo appearing in this Annual Report are the property of Mereo.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words such as “believe,” “may,” “will,” “estimate,” “continue,” “anticipate,” “intend,” “expect” or the negative of these words or other comparable terminology.</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w:t>
      </w:r>
    </w:p>
    <w:p>
      <w:pPr>
        <w:spacing w:after="0" w:line="183" w:lineRule="exact"/>
        <w:rPr>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never generated any revenue from product sales.</w:t>
      </w:r>
    </w:p>
    <w:p>
      <w:pPr>
        <w:spacing w:after="0" w:line="225" w:lineRule="exact"/>
        <w:rPr>
          <w:rFonts w:ascii="Times New Roman" w:cs="Times New Roman" w:eastAsia="Times New Roman" w:hAnsi="Times New Roman"/>
          <w:sz w:val="18"/>
          <w:szCs w:val="18"/>
          <w:color w:val="auto"/>
        </w:rPr>
      </w:pPr>
    </w:p>
    <w:p>
      <w:pPr>
        <w:ind w:left="1140" w:right="160" w:hanging="383"/>
        <w:spacing w:after="0" w:line="261"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179" w:lineRule="exact"/>
        <w:rPr>
          <w:rFonts w:ascii="Times New Roman" w:cs="Times New Roman" w:eastAsia="Times New Roman" w:hAnsi="Times New Roman"/>
          <w:sz w:val="18"/>
          <w:szCs w:val="18"/>
          <w:color w:val="auto"/>
        </w:rPr>
      </w:pPr>
    </w:p>
    <w:p>
      <w:pPr>
        <w:ind w:left="1140" w:right="60" w:hanging="383"/>
        <w:spacing w:after="0" w:line="261"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setrusumab and alvelestat. We cannot give any assurance that any of these product candidates will receive regulatory approval, which is necessary before they can be commercialized. If we are unable to commercialize setrusumab and alvelestat, whether on our own or through agreements with third parties, or experience significant delays in doing so, our ability to generate revenue and our financial condition will be adversely affected.</w:t>
      </w:r>
    </w:p>
    <w:p>
      <w:pPr>
        <w:spacing w:after="0" w:line="17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and ability to compete depends on retaining our key personnel and recruiting additional qualified personnel.</w:t>
      </w:r>
    </w:p>
    <w:p>
      <w:pPr>
        <w:spacing w:after="0" w:line="225" w:lineRule="exact"/>
        <w:rPr>
          <w:rFonts w:ascii="Times New Roman" w:cs="Times New Roman" w:eastAsia="Times New Roman" w:hAnsi="Times New Roman"/>
          <w:sz w:val="18"/>
          <w:szCs w:val="18"/>
          <w:color w:val="auto"/>
        </w:rPr>
      </w:pPr>
    </w:p>
    <w:p>
      <w:pPr>
        <w:jc w:val="both"/>
        <w:ind w:left="1140" w:right="20" w:hanging="383"/>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ind w:left="383" w:right="740" w:hanging="383"/>
        <w:spacing w:after="0" w:line="282"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61" w:lineRule="exact"/>
        <w:rPr>
          <w:rFonts w:ascii="Times New Roman" w:cs="Times New Roman" w:eastAsia="Times New Roman" w:hAnsi="Times New Roman"/>
          <w:sz w:val="18"/>
          <w:szCs w:val="18"/>
          <w:color w:val="auto"/>
        </w:rPr>
      </w:pPr>
    </w:p>
    <w:p>
      <w:pPr>
        <w:ind w:left="383" w:right="60" w:hanging="383"/>
        <w:spacing w:after="0" w:line="282"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healthcare legislation may increase the difficulty and cost for us to obtain marketing approval of and commercialize our product candidates and may affect the prices we may set.</w:t>
      </w:r>
    </w:p>
    <w:p>
      <w:pPr>
        <w:spacing w:after="0" w:line="161" w:lineRule="exact"/>
        <w:rPr>
          <w:rFonts w:ascii="Times New Roman" w:cs="Times New Roman" w:eastAsia="Times New Roman" w:hAnsi="Times New Roman"/>
          <w:sz w:val="18"/>
          <w:szCs w:val="18"/>
          <w:color w:val="auto"/>
        </w:rPr>
      </w:pPr>
    </w:p>
    <w:p>
      <w:pPr>
        <w:ind w:left="383" w:right="260" w:hanging="383"/>
        <w:spacing w:after="0" w:line="282"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and rapidly changing industry, which may result in others acquiring, developing, or commercializing competing product candidates before or more successfully than we do.</w:t>
      </w:r>
    </w:p>
    <w:p>
      <w:pPr>
        <w:spacing w:after="0" w:line="161" w:lineRule="exact"/>
        <w:rPr>
          <w:rFonts w:ascii="Times New Roman" w:cs="Times New Roman" w:eastAsia="Times New Roman" w:hAnsi="Times New Roman"/>
          <w:sz w:val="18"/>
          <w:szCs w:val="18"/>
          <w:color w:val="auto"/>
        </w:rPr>
      </w:pPr>
    </w:p>
    <w:p>
      <w:pPr>
        <w:ind w:left="383" w:right="520" w:hanging="383"/>
        <w:spacing w:after="0" w:line="289" w:lineRule="auto"/>
        <w:tabs>
          <w:tab w:leader="none" w:pos="38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p>
    <w:p>
      <w:pPr>
        <w:spacing w:after="0" w:line="157" w:lineRule="exact"/>
        <w:rPr>
          <w:rFonts w:ascii="Times New Roman" w:cs="Times New Roman" w:eastAsia="Times New Roman" w:hAnsi="Times New Roman"/>
          <w:sz w:val="17"/>
          <w:szCs w:val="17"/>
          <w:color w:val="auto"/>
        </w:rPr>
      </w:pPr>
    </w:p>
    <w:p>
      <w:pPr>
        <w:ind w:left="383"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79" w:lineRule="exact"/>
        <w:rPr>
          <w:rFonts w:ascii="Times New Roman" w:cs="Times New Roman" w:eastAsia="Times New Roman" w:hAnsi="Times New Roman"/>
          <w:sz w:val="18"/>
          <w:szCs w:val="18"/>
          <w:color w:val="auto"/>
        </w:rPr>
      </w:pPr>
    </w:p>
    <w:p>
      <w:pPr>
        <w:ind w:left="383" w:right="280" w:hanging="383"/>
        <w:spacing w:after="0" w:line="282"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future product candidates may not gain market acceptance, in which case our ability to generate revenues from product sales will be compromised.</w:t>
      </w:r>
    </w:p>
    <w:p>
      <w:pPr>
        <w:spacing w:after="0" w:line="161" w:lineRule="exact"/>
        <w:rPr>
          <w:rFonts w:ascii="Times New Roman" w:cs="Times New Roman" w:eastAsia="Times New Roman" w:hAnsi="Times New Roman"/>
          <w:sz w:val="18"/>
          <w:szCs w:val="18"/>
          <w:color w:val="auto"/>
        </w:rPr>
      </w:pPr>
    </w:p>
    <w:p>
      <w:pPr>
        <w:ind w:left="383" w:right="160"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w:t>
      </w:r>
    </w:p>
    <w:p>
      <w:pPr>
        <w:spacing w:after="0" w:line="179" w:lineRule="exact"/>
        <w:rPr>
          <w:rFonts w:ascii="Times New Roman" w:cs="Times New Roman" w:eastAsia="Times New Roman" w:hAnsi="Times New Roman"/>
          <w:sz w:val="18"/>
          <w:szCs w:val="18"/>
          <w:color w:val="auto"/>
        </w:rPr>
      </w:pPr>
    </w:p>
    <w:p>
      <w:pPr>
        <w:ind w:left="383" w:right="240"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79" w:lineRule="exact"/>
        <w:rPr>
          <w:rFonts w:ascii="Times New Roman" w:cs="Times New Roman" w:eastAsia="Times New Roman" w:hAnsi="Times New Roman"/>
          <w:sz w:val="18"/>
          <w:szCs w:val="18"/>
          <w:color w:val="auto"/>
        </w:rPr>
      </w:pPr>
    </w:p>
    <w:p>
      <w:pPr>
        <w:ind w:left="383" w:right="160" w:hanging="383"/>
        <w:spacing w:after="0" w:line="261"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79" w:lineRule="exact"/>
        <w:rPr>
          <w:rFonts w:ascii="Times New Roman" w:cs="Times New Roman" w:eastAsia="Times New Roman" w:hAnsi="Times New Roman"/>
          <w:sz w:val="18"/>
          <w:szCs w:val="18"/>
          <w:color w:val="auto"/>
        </w:rPr>
      </w:pPr>
    </w:p>
    <w:p>
      <w:pPr>
        <w:ind w:left="383" w:right="560" w:hanging="383"/>
        <w:spacing w:after="0" w:line="266"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175" w:lineRule="exact"/>
        <w:rPr>
          <w:rFonts w:ascii="Times New Roman" w:cs="Times New Roman" w:eastAsia="Times New Roman" w:hAnsi="Times New Roman"/>
          <w:sz w:val="18"/>
          <w:szCs w:val="18"/>
          <w:color w:val="auto"/>
        </w:rPr>
      </w:pPr>
    </w:p>
    <w:p>
      <w:pPr>
        <w:ind w:left="383" w:right="160" w:hanging="383"/>
        <w:spacing w:after="0" w:line="266"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75" w:lineRule="exact"/>
        <w:rPr>
          <w:rFonts w:ascii="Times New Roman" w:cs="Times New Roman" w:eastAsia="Times New Roman" w:hAnsi="Times New Roman"/>
          <w:sz w:val="18"/>
          <w:szCs w:val="18"/>
          <w:color w:val="auto"/>
        </w:rPr>
      </w:pPr>
    </w:p>
    <w:p>
      <w:pPr>
        <w:ind w:left="383" w:right="240" w:hanging="383"/>
        <w:spacing w:after="0" w:line="282"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may suffer, and proprietary information may be lost, in the event of information technology system failures, cyberattacks or deficiencies in our cybersecurity.</w:t>
      </w:r>
    </w:p>
    <w:p>
      <w:pPr>
        <w:spacing w:after="0" w:line="161" w:lineRule="exact"/>
        <w:rPr>
          <w:rFonts w:ascii="Times New Roman" w:cs="Times New Roman" w:eastAsia="Times New Roman" w:hAnsi="Times New Roman"/>
          <w:sz w:val="18"/>
          <w:szCs w:val="18"/>
          <w:color w:val="auto"/>
        </w:rPr>
      </w:pPr>
    </w:p>
    <w:p>
      <w:pPr>
        <w:ind w:left="383" w:right="40" w:hanging="383"/>
        <w:spacing w:after="0" w:line="266" w:lineRule="auto"/>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January 1, 2024 we were required to comply with the domestic reporting regime under the Exchange Act and will continue to incur significant legal, accounting and other expenses, and our management must devote substantial time to public company compliance initiatives and corporate governance matters.</w:t>
      </w:r>
    </w:p>
    <w:p>
      <w:pPr>
        <w:spacing w:after="0" w:line="175"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controls could have a material adverse effect on our business and stock price.</w:t>
      </w:r>
    </w:p>
    <w:p>
      <w:pPr>
        <w:spacing w:after="0" w:line="11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201" w:right="359" w:bottom="1440" w:gutter="0" w:footer="0" w:header="0"/>
        </w:sectPr>
      </w:pPr>
    </w:p>
    <w:bookmarkStart w:id="6" w:name="page7"/>
    <w:bookmarkEnd w:id="6"/>
    <w:p>
      <w:pPr>
        <w:ind w:left="7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OI and alvelestat for the treatment of severe alpha-1 antitrypsin deficiency-associated lung disease (AATD-LD). Setrusumab has received orphan designation for OI from the European Commission ("EC") and the FDA, PRIME designation from the EMA and has Breakthrough Therapy designation and rare pediatric disease designation from the FDA. Alvelestat has received orphan designation for AATD from the EC and the FDA, and Fast Track designation for the treatment of AATD-LD from the FDA.</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the Merger. We have successfully completed large, randomized Phase 2 clinical trials for four of our product candidates and the Phase 1b portion of a Phase 1b/2 for a fifth product candidate.</w:t>
      </w:r>
    </w:p>
    <w:p>
      <w:pPr>
        <w:spacing w:after="0" w:line="20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We intend to become a leading biopharmaceutical company developing innovative therapeutics that aim to improve outcomes for patients with rare diseases. The key elements of our strategy to achieve this goal include:</w:t>
      </w:r>
    </w:p>
    <w:p>
      <w:pPr>
        <w:spacing w:after="0" w:line="171" w:lineRule="exact"/>
        <w:rPr>
          <w:sz w:val="20"/>
          <w:szCs w:val="20"/>
          <w:color w:val="auto"/>
        </w:rPr>
      </w:pPr>
    </w:p>
    <w:p>
      <w:pPr>
        <w:ind w:left="1020" w:hanging="503"/>
        <w:spacing w:after="0" w:line="25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develop and potentially commercialize our rare disease product candidates. </w:t>
      </w:r>
      <w:r>
        <w:rPr>
          <w:rFonts w:ascii="Times New Roman" w:cs="Times New Roman" w:eastAsia="Times New Roman" w:hAnsi="Times New Roman"/>
          <w:sz w:val="18"/>
          <w:szCs w:val="18"/>
          <w:color w:val="auto"/>
        </w:rPr>
        <w:t>Our rare disease product candidates setrusumab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alvelestat have been acquired or in-licensed from pharmaceutical companies following strategic de-prioritization. Prior to this they have received significant investment in preclinical, toxicology, clinical studies and CMC. We have built expertise in the areas of patient identification, clinical study design and regulatory strategy. This combination of prior investment and our expertise has allowed us to rapidly develop our two rare disease product candidates. For example, setrusumab has completed a Phase 2 in adult OI patients and our partner Ultragenyx has completed enrollment in two Phase 3 studies in pediatric and young adult OI patients, and alvelestat has completed two Phase 2 studies and is now progressing towards Phase 3. We may seek to partner our rare disease product candidates for further development where it makes strategic sense to do so, including potentially seeking partnerships on a regional basis. However, as commercialization of rare disease products can be achieved using a highly specialized and focused infrastructure, we may seek to commercialize our rare disease product candidates, once approved, in select markets. For example, as part of our partnership with Ultragenyx, we have the retained the commercial rights to setrusumab in Europe and the U.K.</w:t>
      </w:r>
    </w:p>
    <w:p>
      <w:pPr>
        <w:spacing w:after="0" w:line="74"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be a partner of choice for pharmaceutical and biotechnology companies. </w:t>
      </w:r>
      <w:r>
        <w:rPr>
          <w:rFonts w:ascii="Times New Roman" w:cs="Times New Roman" w:eastAsia="Times New Roman" w:hAnsi="Times New Roman"/>
          <w:sz w:val="18"/>
          <w:szCs w:val="18"/>
          <w:color w:val="auto"/>
        </w:rPr>
        <w:t>We believe that we are a preferred partner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AG ("Novartis") and AstraZeneca AB ("AstraZeneca"), as well as our partnership with Ultragenyx, and a track record of structuring transactions that enable us to leverage our core capabilities while creating value for all stakeholders. We intend to continue to enter into strategic relationships that align our interests with those of pharmaceutical and biotechnology companies and that we believe to be mutually beneficial.</w:t>
      </w:r>
    </w:p>
    <w:p>
      <w:pPr>
        <w:spacing w:after="0" w:line="74" w:lineRule="exact"/>
        <w:rPr>
          <w:rFonts w:ascii="Times New Roman" w:cs="Times New Roman" w:eastAsia="Times New Roman" w:hAnsi="Times New Roman"/>
          <w:sz w:val="18"/>
          <w:szCs w:val="18"/>
          <w:color w:val="auto"/>
        </w:rPr>
      </w:pPr>
    </w:p>
    <w:p>
      <w:pPr>
        <w:ind w:left="1020" w:right="16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Leverage our expertise in business development. </w:t>
      </w:r>
      <w:r>
        <w:rPr>
          <w:rFonts w:ascii="Times New Roman" w:cs="Times New Roman" w:eastAsia="Times New Roman" w:hAnsi="Times New Roman"/>
          <w:sz w:val="18"/>
          <w:szCs w:val="18"/>
          <w:color w:val="auto"/>
        </w:rPr>
        <w:t>Our senior management team has extensive relationships with large pharmaceutical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companies. These relationships are important to us as we seek to form strategic partnerships on our product candidates, such as our partnership with Ultragenyx, and to grow our pipeline of product candidates in rare diseases.</w:t>
      </w:r>
    </w:p>
    <w:p>
      <w:pPr>
        <w:spacing w:after="0" w:line="62" w:lineRule="exact"/>
        <w:rPr>
          <w:rFonts w:ascii="Times New Roman" w:cs="Times New Roman" w:eastAsia="Times New Roman" w:hAnsi="Times New Roman"/>
          <w:sz w:val="18"/>
          <w:szCs w:val="18"/>
          <w:color w:val="auto"/>
        </w:rPr>
      </w:pPr>
    </w:p>
    <w:p>
      <w:pPr>
        <w:ind w:left="1020" w:hanging="503"/>
        <w:spacing w:after="0" w:line="259"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Explore out-licensing or sale opportunities with third parties for further clinical development and/or commercialization of our non-core and non-rare disease programs. </w:t>
      </w:r>
      <w:r>
        <w:rPr>
          <w:rFonts w:ascii="Times New Roman" w:cs="Times New Roman" w:eastAsia="Times New Roman" w:hAnsi="Times New Roman"/>
          <w:sz w:val="18"/>
          <w:szCs w:val="18"/>
          <w:color w:val="auto"/>
        </w:rPr>
        <w:t>Navicixizumab, for the treatment of late line ovarian cancer, has completed a Phase 1 study and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partnered on a global basis with Feng Biosciences in January 2020. In March 2018, we reported top-line Phase 2b data for leflutrozole for the treatment of HH and in December 2018, we reported positive results from the safety extension study for leflutrozole. In December 2023 we entered into an exclusive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 w:name="page8"/>
    <w:bookmarkEnd w:id="7"/>
    <w:p>
      <w:pPr>
        <w:ind w:left="1020" w:right="20"/>
        <w:spacing w:after="0" w:line="266" w:lineRule="auto"/>
        <w:rPr>
          <w:sz w:val="20"/>
          <w:szCs w:val="20"/>
          <w:color w:val="auto"/>
        </w:rPr>
      </w:pPr>
      <w:r>
        <w:rPr>
          <w:rFonts w:ascii="Times New Roman" w:cs="Times New Roman" w:eastAsia="Times New Roman" w:hAnsi="Times New Roman"/>
          <w:sz w:val="18"/>
          <w:szCs w:val="18"/>
          <w:color w:val="auto"/>
        </w:rPr>
        <w:t>global license agreement with ReproNovo for the development and commercialization of leflutrozole and we plan to enter into one or more strategic relationships with third parties for etigilimab and acumapimod to undertake the next phase of clinical development and, if approved, commercialization.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pipeline for our core product candidates. We have global commercial rights to alvelestat and commercial rights to setrusumab in Europe and the U.K. We granted Ultragenyx an exclusive license to develop and commercialize setrusumab in the U.S. and rest of the world, and we have licensed global rights for navicixizumab to Feng Biosciences and global rights for leflutrozole to ReproNovo.We have global rights to, and are seeking a partner for further global development of, etigilimab and acumapimod.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262890</wp:posOffset>
            </wp:positionV>
            <wp:extent cx="5666105" cy="2049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Rare Disease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(BPS-804/UX143) for the Treatment of Osteogenesis Imperfecta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collaboration with Ultragenyx, we are developing setrusumab for the treatment of OI, a rare genetic disease, which is caused by variants in the COL1A1 or COL1A2 genes, which results in bones that can break easily and is commonly known as brittle bone disease.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and to inhibit bone-resorption through osteoclasts, increasing overall bone mass and thereby reducing fractures in OI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of Osteogenesis Imperfecta</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an estimated 60,000 people in the U.S. and Europe, according to estimates by Orphanet.</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There are eight recognized forms of OI, designated type I through type VIII. Type I is cited to be the least severe form, although patients can still have many fractures and other physical manifestations of the disease, while Type II is the most severe and frequently causes death at or shortly after birth. Type I is the most prevalent and estimated to occur in approximately 50% to 60% of OI patients. Type III and Type IV patients may be wheelchair bound and typically have many fractures through their lifetime. Type III and Type IV patients may also have short stature, scoliosis and hearing loss by the time they are young adults. OI is typically diagnosed at birth with most patients being born with a blue or gray tint to the sclera, the part of the eye that is usually white.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Landscape for Osteogenesis Imperfecta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There are no therapies approved by the FDA or EMA for the treatment of OI. The only treatments available to OI patients are the acute management of fractures as they occur and drugs such as bisphosphonates which are typically used to treat osteoporosis and are not approved for OI but are commonly used off-label in both children and adults. Bisphosphonates slow down the rate at which osteoclasts resorb bone. These anti-resorptives include Aredia (pamidronate), Fosamax (alendronate) and Reclast (zoledronic acid). Bisphosphonates have not consistently been shown to reduce fractures in pediatric or adult OI patients and the effect of long-term therapy with these drugs remains unclear in both children and adults.</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Current treatment of OI is directed towards management of fractures with casting or surgical fixation. Following either of these, physical therapy will often be required. Preventative surgeries, such as intramedullary, or in-bone, rodding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w:t>
      </w:r>
    </w:p>
    <w:p>
      <w:pPr>
        <w:spacing w:after="0" w:line="229"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Setrusumab, our product candidate for the treatment of OI, is specifically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setrusumab has the potential to induce or increase osteoblast activity and maturation of these cells, increasing overall bone mass, and thereby reducing fractures in OI patients.</w:t>
      </w:r>
    </w:p>
    <w:p>
      <w:pPr>
        <w:spacing w:after="0" w:line="180"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In 2016, we obtained orphan drug designation in OI for setrusumab in the U.S. and the EU and, in November 2017, the program was accepted into the Priority Medicines scheme (“PRIME”) of the EMA. In September 2020 we received rare pediatric disease designation for setrusumab in OI from the FDA. In October 2024 our partner, Ultragenyx, received Breakthrough Therapy designation from the FDA. See “—Government Regulation—Foreign Government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Setrusumab</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Prior to our acquisition of setrusumab, Novartis conducted four clinical trials in 106 patients and healthy volunteers. In 2019 we completed a Phase 2b dose-finding study (ASTEROID) study of setrusumab in 112 adult patients with Type I, III and IV OI. Following the 12-month dosing part of the trial, patients were followed for a further twelve months to examine the off-effects of setrusumab. The results of this Phase 2b trial supported the progression of setrusumab into a pivotal study in OI. Setrusumab was safe and well-tolerated in the study. There were no cardiac-related safety concerns observed in the study.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Top-line Data from Setrusumab Phase 2 Portion of Phase 2/3 Orbit Study</w:t>
      </w:r>
    </w:p>
    <w:p>
      <w:pPr>
        <w:spacing w:after="0" w:line="22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June 2023, we along with our partner, Ultragenyx, announced successful completion of the Phase 2 portion of the pivotal Phase 2/3 Orbit study in 24 pediatric and young adult patients (5 to &lt;26 years old) for setrusumab in OI, which compared two different doses of setrusumab, 20 and 40 mg/kg, to determine the optimal dose for the Phase 3. The primary endpoint of the Phase 2 study was circulating levels of P1NP, a biomarker reflective of bone formation. The study also evaluated numerous other endpoints, including bone mineral density (“BMD”) and annualized fracture rates, PK and safety. Across all patients evaluated at both doses, these data showed statistically significant increases in levels of serum P1NP, a sensitive marker of bone formation, and substantial and significant improvement in BMD by three months. An increase in lumbar spine BMD from baseline of 9.4% at 20 mg/kg (n=10) was observed, with a substantial mean change in the Z-score of +0.65 from -2.12 (n=11) at baseline. There was no significant difference between the two doses tested, accordingly, the 20 mg/kg was selected as the Phase 3 dose. The changes observed in BMD in these younger patients at three months are equivalent to the changes following 12 months treatment with setrusumab in adult patients reported from the Phase 2b ASTEROID study. The 24 patients from the Phase 2 portion of the ORBIT study are continuing to receive setrusumab treatment in an open-label extension study.</w:t>
      </w:r>
    </w:p>
    <w:p>
      <w:pPr>
        <w:spacing w:after="0" w:line="19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Additional data from the Phase 2 portion of the Phase 2/3 Orbit study were reported at the annual ASBMR meeting in October 2023 and demonstrated that treatment with setrusumab significantly reduced incidence of fractures in patients with OI with at least six months of follow-up and continued to demonstrate ongoing and meaningful improvements in lumbar spine bone BMD. As of the cut-off date and following at least six months of treatment with setrusumab, the annualized fracture rate across all 24 patients in the Phase 2 portion of the study was reduced by 67%. The median annualized fracture rate of 0.72 in the two years prior to treatment was reduced to 0.00 (n=24, p=0.042) during the mean treatment duration period of nine months. These fractures excluded fractures of the fingers, toes, skull and face consistent with the Phase 3 study design. Following initiation of treatment with setrusumab, 20 patients experienced no radiographic-confirmed fractures, and four patients experienced seven radiographic-confirmed fractures in five separate events. Two of these fractures occurred within the first two months of treatment, a time in which setrusumab-induced increases in BMD may have been suboptimal in reducing fractures.</w:t>
      </w:r>
    </w:p>
    <w:p>
      <w:pPr>
        <w:spacing w:after="0" w:line="188"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At the six-month timepoint, treatment with setrusumab resulted in a mean increase in lumbar spine BMD from baseline of 13% at 20 mg/kg (n=11) and 16% at 40 mg/kg (n=8), which represented the same substantial mean improvement in Z-score of +0.85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80"/>
        <w:spacing w:after="0" w:line="261" w:lineRule="auto"/>
        <w:rPr>
          <w:sz w:val="20"/>
          <w:szCs w:val="20"/>
          <w:color w:val="auto"/>
        </w:rPr>
      </w:pPr>
      <w:r>
        <w:rPr>
          <w:rFonts w:ascii="Times New Roman" w:cs="Times New Roman" w:eastAsia="Times New Roman" w:hAnsi="Times New Roman"/>
          <w:sz w:val="18"/>
          <w:szCs w:val="18"/>
          <w:color w:val="auto"/>
        </w:rPr>
        <w:t>for both dose groups at six months compared to a combined mean baseline Z-score of –1.68. The small apparent difference in BMD change from baseline is likely related to differences in patients assigned to the two treated groups. There was no statistically significant difference in BMD percent change or Z-score change from baseline between the 20 and 40 mg/kg dosing cohorts. As of the data cut-off for our October 2023 announcement, there were no treatment-related serious adverse events observed in the study.</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data reported in June 2024, the large reduction in annualized radiologically confirmed fracture rate previously reported in patients treated for a minimum of six months was sustained in patients treated for at least 14 months with a high degree of statistical significance. The median annualized rate of radiologically confirmed fractures across all 24 patients in the two years prior to treatment was 0.72. Following a mean treatment duration period of 16 months, the median annualized fracture rate was reduced to 0.00 (p=0.0014; n=24), reflecting a 67% reduction relative to the pre-treatment period. Patients enrolled in the Phase 2 portion of the Orbit study are continuing to receive setrusumab treatment at 20 mg/kg in an open label extension study.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Orbit and Cosmic Studies</w:t>
      </w:r>
    </w:p>
    <w:p>
      <w:pPr>
        <w:spacing w:after="0" w:line="227"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The Phase 3 portion of the Orbit study completed enrollment in April 2024 of 158 patients (aged 5 - &lt;26 years old) at 45 sites across 11 countries. Patients are randomized 2:1 to receive setrusumab (20 mg/kg) or placebo, respectively, with a primary efficacy endpoint of a reduction in annualized clinical fracture rate, excluding fingers, toes, skull and face.</w:t>
      </w:r>
    </w:p>
    <w:p>
      <w:pPr>
        <w:spacing w:after="0" w:line="176"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A second study, Cosmic, a Phase 3 open-label study in younger children (aged 2 - &lt; 7 years old) completed enrollment in April 2024 of 66 patients at 21 sites across seven countries. The Cosmic study is an active-controlled study evaluating the effect of setrusumab compared to intravenous bisphosphonates (IV-BP) therapy (randomized 1:1) on annualized total fracture rate.</w:t>
      </w:r>
    </w:p>
    <w:p>
      <w:pPr>
        <w:spacing w:after="0" w:line="17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believe the Orbit and Cosmic trials, if successful, will support U.S. and European regulatory filings for the potential approval of setrusumab for the treatment of osteogenesis imperfecta.</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Alvelestat (MPH-966) for the Treatment of Severe Alpha-1 Antitrypsin Deficiency (AATD)-Associated Lung Disease: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are developing alvelestat for the treatment of severe AATD-LD. AATD-LD is a potentially life-threatening rare, genetic condition that results in severe debilitating diseases, including early-onset pulmonary emphysema. Alvelestat is a novel, oral small molecule designed to inhibit NE. Scientific data indicate that the increased risk of lung tissue injury in patients with AATD may be due to inadequately controlled NE caused by insufficient alpha-1 antitrypsin (AAT). We believe that by inhibiting NE, alvelestat has the potential to reduce the destruction of lung tissue and stabilize clinical deterioration in patients with severe AATD-LD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of Alpha-1-Antitrypsin Deficiency</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AATD is a genetic disease. There are estimated to be 50,000 people in North America and 60,000 in Europe with severe AATD, which we define as AATD in patients with serum AAT levels &lt;11mM, (most commonly either a PiZZ genotype or Null/Null genotype) although there are approximately only 10,000 people diagnosed in North America. The major function of AAT in the lungs is to protect the connective tissue from NE released from triggered neutrophils. The lungs are normally defended from NE attack by AAT, which is a highly effective inhibitor of NE. Severe AATD patients produce ineffective or no AAT and are, therefore, unable to defend against NE attack. As a result, severe AATD patients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w:t>
      </w:r>
    </w:p>
    <w:p>
      <w:pPr>
        <w:spacing w:after="0" w:line="18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loss of lung tissue as measured by lung density on computed tomographic (CT) scanning, a decline in FEV1, a standard measure of exhalation and poor quality of life. Respiratory disease can progress to need for chronic oxygen therapy, lung transplant and death. The annual mortality rate in this genotype estimated to be 4%. Given that individuals with the Null/Null genotype do not produce any AAT, we believe that they are likely to experience an even greater annual decline in FEV1.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Landscape for Alpha-1 Antitrypsin Deficiency</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0" w:name="page11"/>
    <w:bookmarkEnd w:id="10"/>
    <w:p>
      <w:pPr>
        <w:ind w:right="60" w:firstLine="749"/>
        <w:spacing w:after="0" w:line="245" w:lineRule="auto"/>
        <w:rPr>
          <w:sz w:val="20"/>
          <w:szCs w:val="20"/>
          <w:color w:val="auto"/>
        </w:rPr>
      </w:pPr>
      <w:r>
        <w:rPr>
          <w:rFonts w:ascii="Times New Roman" w:cs="Times New Roman" w:eastAsia="Times New Roman" w:hAnsi="Times New Roman"/>
          <w:sz w:val="18"/>
          <w:szCs w:val="18"/>
          <w:color w:val="auto"/>
        </w:rPr>
        <w:t>Augmentation therapy is available for AATD,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but not for those with earlier stages of lung disease. In a randomized, controlled trial of augmentation therapy, patients had some reduction in the progression of emphysema, as assessed by measuring lung density using computed tomography. The study did not show significant slowing in the decline in FEV</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Benefit has not been demonstrated in patients with earlier stages of lung disease where there is an unmet need to reduce progression of irreversible lung tissue loss. In Europe Regulatory approval was on efficacy based on slowing of CT density decline, without effects on other measures such as FEV</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 xml:space="preserve"> or patient-reported outcomes. Further, AAT augmentation therapy is generally not reimbursed and thus is not currently available to patients in several jurisdictions, including some key European markets. In addition, AAT augmentation therapy requires potentially inconvenient weekly intravenous infusions.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product candidate for treating severe AATD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surgery or weekly intravenous AAT augmentation therapy. Alvelestat is not being investigated for treatment of the hepatic disease which is due to the damaging effect of accumulated abnormal ZZ protein in the liver, rather than the protein deficiency. Liver disease occurs in approximately 10% cases of severe AATD, predominantly in children.</w:t>
      </w:r>
    </w:p>
    <w:p>
      <w:pPr>
        <w:spacing w:after="0" w:line="183"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Alvelestat has received orphan designation for AATD from the EC and the FDA, and Fast Track designation for the treatment of AATD-LD from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of Alvelestat</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Prior to our license of alvelestat, AstraZeneca conducted 12 clinical trials involving 1,776 subjects, including trials in COPD, bronchiectasis and cystic fibrosis. Although these trials were conducted in diseases other than AATD, we believe the data demonstrated potential clinical benefit and biomarker evidence of treatment effect for AATD patients. These trials created a safety database of 1,149 subjects treated with alvelestat.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 Clinical Trials in AATD</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May 2022, we successfully completed a Phase 2, placebo-controlled, 12-week, dose-ranging, proof-of-concept clinical trial (ASTRAEUS) in 99 patients with AATD-LD in the U.S. and the EU which demonstrated statistically significant changes in NE activity and biomarkers of disease severity at different time points up to 12 weeks. We enrolled only adult patients with PiZZ or Null/Null genotypes or rare genotypes with severe deficiency of alpha-1 antitrypsin (&lt;11 microMolar) with confirmed emphysema, who had not received AAT augmentation therapy or had undergone a wash-out period following AAT augmentation therapy. The study examined two doses of alvelestat (120 mg and 240 mg) compared to placebo with three primary endpoints along the pathogenic pathway of lung disease in AATD patients. These primary endpoints were plasma desmosine (a biomarker of protease-driven elastin breakdown), Aα-Val360, a specific biomarker of NE proteolytic activity, and NE activity in blood. Secondary endpoints were safety, exacerbation frequency, and pharmacokinetics. Exploratory endpoints were St. Georges Respiratory Questionnaire (SGRQ) which is a patient-reported outcome of Respiratory Health Status and lung function tests, including FEV1.</w:t>
      </w:r>
    </w:p>
    <w:p>
      <w:pPr>
        <w:spacing w:after="0" w:line="188" w:lineRule="exact"/>
        <w:rPr>
          <w:sz w:val="20"/>
          <w:szCs w:val="20"/>
          <w:color w:val="auto"/>
        </w:rPr>
      </w:pPr>
    </w:p>
    <w:p>
      <w:pPr>
        <w:ind w:right="180" w:firstLine="749"/>
        <w:spacing w:after="0" w:line="312" w:lineRule="auto"/>
        <w:rPr>
          <w:sz w:val="20"/>
          <w:szCs w:val="20"/>
          <w:color w:val="auto"/>
        </w:rPr>
      </w:pPr>
      <w:r>
        <w:rPr>
          <w:rFonts w:ascii="Times New Roman" w:cs="Times New Roman" w:eastAsia="Times New Roman" w:hAnsi="Times New Roman"/>
          <w:sz w:val="17"/>
          <w:szCs w:val="17"/>
          <w:color w:val="auto"/>
        </w:rPr>
        <w:t>We subsequently announced additional Phase 2 data from this study in October 2022 demonstrating the association of biomarker responders in alvelestat-treated patients to improvement in the activity domain of the St George’s Respiratory Questionnaire, but not in patients treated with placebo.</w:t>
      </w:r>
    </w:p>
    <w:p>
      <w:pPr>
        <w:spacing w:after="0" w:line="14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No new safety signals were detected in patients with AATD-LD compared to the previous studies conducted by AstraZeneca. The most frequent adverse event was headache which was more frequently observed at the higher doses of alvelestat (120 mg and 240 mg) used in AATD-LD than at the lower doses used in previous studies in COPD, bronchiectasis and cystic fibrosis. There was evidence of tolerance to headache being induced, and we intend to use a dose-escalation regime for initiation of treatment in future trials. Monitoring for Adverse Events of Special Interest (AESIs) documented a single treatment-emergent adverse event (TEAE)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520"/>
        <w:spacing w:after="0" w:line="282" w:lineRule="auto"/>
        <w:rPr>
          <w:sz w:val="20"/>
          <w:szCs w:val="20"/>
          <w:color w:val="auto"/>
        </w:rPr>
      </w:pPr>
      <w:r>
        <w:rPr>
          <w:rFonts w:ascii="Times New Roman" w:cs="Times New Roman" w:eastAsia="Times New Roman" w:hAnsi="Times New Roman"/>
          <w:sz w:val="18"/>
          <w:szCs w:val="18"/>
          <w:color w:val="auto"/>
        </w:rPr>
        <w:t>liver function abnormality (raised hepatic transaminases, without meeting Hy’s Law) and one AESI of prolonged QTc, in which study-drug stopping criteria were met were reported in the ASTRAEUS trial. Both events fully resolved on study drug cessation.</w:t>
      </w:r>
    </w:p>
    <w:p>
      <w:pPr>
        <w:spacing w:after="0" w:line="162"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In October 2023, the University of Alabama at Birmingham (UAB) and Mereo reported on the ATALANTa study, a multi-center, double-blind, placebo-controlled, proof-of-concept investigator-led study run by Professor Mark Dransfield, Director of the Division of Pulmonary, Allergy and Critical Care, UAB, in collaboration with Mereo. ATALANTa investigated the safety and efficacy of alvelestat 120 mg, or matched placebo, twice daily, for 12 weeks in a broad range of individuals with AATD-LD, including those with less severe phenotypes (Pi*SZ) and earlier stage patients than were enrolled in the Company-sponsored ASTRAEUS Phase 2 study, and those receiving augmentation therapy. The study randomized 63 patients, 32 in the 120 mg alvelestat arm (44% on augmentation therapy) and 31 in the placebo arm (48% on augmentation therapy). The results demonstrated with the 120 mg dose of alvelestat (the lower dose used in the Phase 2 ASTRAEUS study) are consistent with those observed in ASTRAEUS on blood NE activity and changes in the disease-activity biomarkers, desmosine and Aα-val360. The data demonstrate that the 120 mg dose of alvelestat is safe on top of augmentation and support Mereo’s selection of the 240 mg dose to be studied in the planned Phase 3 pivotal trial. Exploratory endpoints in ATALANTa demonstrated statistically significant improvement in SGRQ Activity score (p=0.0106 versus placebo) and a trend to improvement in SGRQ Total score at 12 weeks in patients not receiving augmentation therapy and having earlier stage lung disease (based on their FEV</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 The ATALANTa and ASTRAEUS data support the use of the SGRQ Total score in the planned Phase 3 pivotal trial and inclusion of patients with earlier stages of lung disease. Safety in ATALANTa was consistent with the known alvelestat profile and there were no liver or QTc AESIs documented.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Phase 3 Clinical Trial in AATD</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March 2023, we announced the outcome of the end-of-Phase 2 discussions with the FDA and the EMA (Scientific Advice) and the guidance on the Phase 3 endpoints received from both Regulatory Agencies. In the EU, the Company received guidance that lung density by computed tomography (CT) scan with a relaxed p value (p&lt;0.1) may be sufficient for full regulatory approval. In the U.S., following additional FDA interactions in the second half of 2023, the Company has aligned on St George’s Respiratory questionnaire (SGRQ) total score as the primary endpoint, with a functional assessment as a key secondary endpoint, which, if successful, is expected to support submissions for full regulatory approval in the U.S. Inclusion of patients with earlier and later stage lung disease progression in the planned registrational study could increase the addressable patient population for alvelestat. Based on the guidance from the FDA and the EMA, the Company is designing a single, global, Phase 3 study evaluating the 240 mg dose of alvelestat versus placebo in approximately 220 patients with AATD-LD with two independent primary endpoints to support applications for full marketing approvals in both the U.S. and EU. Qualitative research to test that the SGRQ is fit for purpose in the AATD population, as required by FDA, was completed in 2024. A Pediatric Investigation Plan full waiver was agreed by the EMA in 2024, meaning that no pediatric studies are required.</w:t>
      </w:r>
    </w:p>
    <w:p>
      <w:pPr>
        <w:spacing w:after="0" w:line="194"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Company continues to evaluate non-dilutive financing options for the development and potential commercialization of alvelestat in AATD-LD while continuing to progress the program towards the initiation of the planned Phase 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1b/2 Clinical Trial in Bronchiolitis Obliterans Syndrome (“BOS”)</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BOS is a rare progressive, fibrosing disease of the lungs affecting approximately 6% of the estimated 12,000 stem cell transplants a year in the U.S., often as part of graft versus host disease. For lung transplants, approximately 50% of the patients develop BOS by 5 years, which is the leading cause of retransplant and mortality. There are an estimated 10,000 people living with lung transplant and BOS in the U.S. and Europe. BOS is characterized by neutrophil infiltration in the lung, excess NE and inflammation. The pathology of BOS in stem cell transplant and lung transplant is overlapping.</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BOS is driven by elevated neutrophils in the lung and excess NE activity, leading to lung damage through elastin breakdown in the tissue and progressive fibrosis, and ultimately respiratory failure we believe our approach using alvelestat to inhibit NE has significant advantages. By inhibiting NE, we believe alvelestat will reduce the accelerating effects of NE-driven inflammation on BOS leading to increased success rate of SCT and lung transplant. The investigator-led clinical program is designed to generate data on clinical endpoints that would potentially support registration and reimbursement in SCT.</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An investigator-sponsored open-label Phase1b/2 study in Bronchiolitis Obliterans Syndrome (BOS) following allogeneic stem cell transplant is being conducted. In January 2025, the Clinical Trial Agreement between Mereo and The Center for Cancer Research, National Cancer Institute ("CCR") under the direction of Steven Pavletic, M.D. ("Principal Investigator") was amended to expire on the earlier of completion of the research or May 31, 2026. NCI, CCR and the Principal Investigator will work to complete the trial within the timelines and no subject will be enrolled in the trial after May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Non-Core Partnered Programs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completion of successful Phase 1b or Phase 2 studies the products below are programs which we have successfully partnered.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Navicixizumab (OMP-305B83) for Treatment of Ovarian Cancer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Navicixizumab is a bispecific antibody that inhibits delta-like ligand 4 (DLL4) and vascular endothelial growth factor (VEGF).</w:t>
      </w:r>
    </w:p>
    <w:p>
      <w:pPr>
        <w:spacing w:after="0" w:line="22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acquired navicixizumab in the Merger. In January 2020, we out-licensed navicixizumab to Feng Biosciences. See “- Material Agreements - Licensing Agreement for Navicixizumab.”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Leflutrozole (BGS-649)</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Leflutrozole is an oral inhibitor of aromatase. Excess aromatase in fat tissue reduces testosterone, LH and FSH, leading to HH. In Phase 2 trials, leflutrozole normalized testosterone, increased LH and FSH, improved total sperm count, and was reported to be well-tolerated.</w:t>
      </w:r>
    </w:p>
    <w:p>
      <w:pPr>
        <w:spacing w:after="0" w:line="162"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In December 2023, we entered into an exclusive global license agreement with ReproNovo for the development and commercialization of leflutrozole, a non-steroidal aromatase inhibitor. See “—Material Agreements—Licensing Agreement for Leflutrozole”. Under the terms of the License Agreement, ReproNovo, a reproductive medicine company, is responsible for all future development and commercialization of leflutrozole. Mereo received an upfront payment and will be eligible to receive up to $64.3 million in future clinical, regulatory and commercial milestones as well as tiered mid-single digit royalties on global annual net sales of leflutrozole.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Non-Core Programs Available for Partnering</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completion of successful Phase 1b or Phase 2 studies, we intend to out-license or sell the following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Etigilimab (MPH-313) for the Treatment of Advanced Solid Tumors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Etigilimab is an antibody against TIGIT.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Etigilimab has completed a Phase 1a dose escalation clinical trial in 23 patients with advanced solid tumors and has been evaluated in a Phase 1b study in combination with nivolumab in select tumor types.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Acumapimod (BCT-197) for the Treatment of AECOPD</w:t>
      </w:r>
    </w:p>
    <w:p>
      <w:pPr>
        <w:spacing w:after="0" w:line="22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Acumapimod is a p38 MAP kinase inhibitor therapy for treatment during severe acute exacerbations of COPD (AECOPD). In a Phase 2 trial, acumapimod given over five days in patients hospitalized with AECOPD demonstrated a statistically significant reduction in re-hospitalization for treatment failure and recurrent exacerbations. Acumapimod was reported to be safe and well tolerated. Following meetings with FDA and EMA a global Phase 3 registrational program has been designed.</w:t>
      </w:r>
    </w:p>
    <w:p>
      <w:pPr>
        <w:spacing w:after="0" w:line="180"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We intend to out-license or sell etigilimab and acumapimod to third parties for the further development, recognizing the need for greater resources to take these product candidates to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Ultragenyx for Setrusumab</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firstLine="749"/>
        <w:spacing w:after="0" w:line="254" w:lineRule="auto"/>
        <w:rPr>
          <w:sz w:val="20"/>
          <w:szCs w:val="20"/>
          <w:color w:val="auto"/>
        </w:rPr>
      </w:pPr>
      <w:r>
        <w:rPr>
          <w:rFonts w:ascii="Times New Roman" w:cs="Times New Roman" w:eastAsia="Times New Roman" w:hAnsi="Times New Roman"/>
          <w:sz w:val="18"/>
          <w:szCs w:val="18"/>
          <w:color w:val="auto"/>
        </w:rPr>
        <w:t>On December 17, 2020, we announced that we entered into a license and collaboration agreement with Ultragenyx, for setrusumab for OI. Under the terms of the agreement, Ultragenyx will lead future global development of setrusumab in both pediatric and adult patients. We granted Ultragenyx an exclusive license to develop and commercialize setrusumab in the U.S. and rest of the world, excluding Europe, where we retain commercial rights. Each party will be responsible for post-marketing commitments in their respective territories. Under the terms of the agreement, Ultragenyx made an upfront payment of $50 million to Mereo and a $9.0 million payment during the year ended December 31, 2023 upon achievement of a clinical milestone. Ultragenyx will pay up to $245 million in additional development, regulatory and commercial milestones and tiered double digit percentage royalties to us on net sales outside of Europe and we will pay a fixed double digit percentage royalty to Ultragenyx on net sales in Europe. Under the terms of our 2015 agreement with Novartis, we will pay Novartis a percentage of proceeds, subject to certain deductions, and we will receive a substantial majority of the payments from Ultragenyx.</w:t>
      </w:r>
    </w:p>
    <w:p>
      <w:pPr>
        <w:spacing w:after="0" w:line="18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In December 2024, we entered into a manufacturing and supply agreement with Ultragenyx (the “Ultragenyx Manufacturing and Supply Agreement”) under which Ultragenyx is responsible for the manufacture and supply of setrusumab to Mereo in our territories. We are also required to reimburse Ultragenyx for a portion of the manufacturing process development costs as well as future commercial supply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 with AstraZeneca</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October 2017, we entered into an exclusive license and option agreement (“the AstraZeneca License Agreement”) and subscription deed (the “AstraZeneca Subscription Deed”), together (the “Original Agreements”) with AstraZeneca AB. Each of these were amended on November 8, 2024, when we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Original Agreements, we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we made a payment of $3.0 million and issued 490,798 ordinary shares (equivalent to 98,159 ADSs) to AstraZeneca, for an aggregate upfront payment equal to $5.0 million. Upon execution of the Amended AstraZeneca License Agreement, we issued 2,044,392 ordinary shares and paid $0.5 million to AstraZeneca in respect of an agreed milestone.</w:t>
      </w:r>
    </w:p>
    <w:p>
      <w:pPr>
        <w:spacing w:after="0" w:line="187" w:lineRule="exact"/>
        <w:rPr>
          <w:sz w:val="20"/>
          <w:szCs w:val="20"/>
          <w:color w:val="auto"/>
        </w:rPr>
      </w:pPr>
    </w:p>
    <w:p>
      <w:pPr>
        <w:ind w:right="80" w:firstLine="794"/>
        <w:spacing w:after="0" w:line="253" w:lineRule="auto"/>
        <w:rPr>
          <w:sz w:val="20"/>
          <w:szCs w:val="20"/>
          <w:color w:val="auto"/>
        </w:rPr>
      </w:pPr>
      <w:r>
        <w:rPr>
          <w:rFonts w:ascii="Times New Roman" w:cs="Times New Roman" w:eastAsia="Times New Roman" w:hAnsi="Times New Roman"/>
          <w:sz w:val="18"/>
          <w:szCs w:val="18"/>
          <w:color w:val="auto"/>
        </w:rPr>
        <w:t>Under the terms of the Amended AstraZeneca Agreements, we have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 The number of ADSs to be issued to satisfy equity milestones is determined by dividing a monetary amount by a defined subscription price (the “Subscription Price”). In addition, we have agreed to make payments to AstraZeneca based on specified commercial milestones of the product. We have also agreed to pay a specified percentage of sub-licensing revenue to AstraZeneca and to make royalty payments to AstraZeneca equal to ascending specified percentages of tiered annual worldwide net sales by us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We have agreed to use commercially reasonable efforts to develop and commercialize at least one licensed product.</w:t>
      </w:r>
    </w:p>
    <w:p>
      <w:pPr>
        <w:spacing w:after="0" w:line="19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Amended AstraZeneca License Agreement will expire on the expiration of the last-to-expire royalty term with respect to all licensed products. Upon the expiration of the royalty term for a licensed product in a particular country, the licenses to us for such product in such country will become fully paid and irrevocable. Prior to exercise of the Option, if at all, we may terminate the Amended AstraZeneca License Agreement upon prior written notice. Either party may terminate the agreement upon prior written notice for the other party’s material breach that remains uncured for a specified period of time or insolvency.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 for Navicixizumab</w:t>
      </w:r>
    </w:p>
    <w:p>
      <w:pPr>
        <w:spacing w:after="0" w:line="229"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On January 13, 2020, we entered into a global license agreement with Feng Biosciences for the development and commercialization of navicixizumab, an anti-DLL4/VEGF bispecific antibody, which, at the time, was being evaluated in a Phase 1b study in combination with paclitaxel in patients with advanced heavily pretreated ovarian cancer. Navicixizumab previously completed a Phase 1a monotherapy study in patients with various types of refractory solid tumors and is one of two product candidates we acquired through the Merger.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4" w:name="page15"/>
    <w:bookmarkEnd w:id="14"/>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license agreement, Feng Biosciences received an exclusive worldwide license to develop and commercialize navicixizumb. We received an upfront payment of $4.0 million and in February 2022 we received an additional payment of $2.0 million, following satisfaction of a milestone. Feng Biosciences will be responsible for all future research, development and commercialization of navicixizumab. Additionally, we will be eligible to receive up to $300 million in future clinical, regulatory and commercial milestones, tiered royalties ranging from the mid-single-digit to sub-teen percentages on global annual net sales of navicixizumab, as well as a negotiated percentage of sublicensing revenues from certain sublicensees.</w:t>
      </w:r>
    </w:p>
    <w:p>
      <w:pPr>
        <w:spacing w:after="0" w:line="18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February 2022, we received a milestone payment of $2.0 million (£1.5 million) under the Navicixizumb License Agreement with Feng Biosciences. An associated payment was made to the former shareholders of Mereo BioPharma 5, Inc. under the CVR Agreement of a total of $0.9 million (£0.7 million), after deductions of costs, charges and expenditures.</w:t>
      </w:r>
    </w:p>
    <w:p>
      <w:pPr>
        <w:spacing w:after="0" w:line="176" w:lineRule="exact"/>
        <w:rPr>
          <w:sz w:val="20"/>
          <w:szCs w:val="20"/>
          <w:color w:val="auto"/>
        </w:rPr>
      </w:pPr>
    </w:p>
    <w:p>
      <w:pPr>
        <w:ind w:right="20" w:firstLine="749"/>
        <w:spacing w:after="0" w:line="223" w:lineRule="auto"/>
        <w:rPr>
          <w:sz w:val="20"/>
          <w:szCs w:val="20"/>
          <w:color w:val="auto"/>
        </w:rPr>
      </w:pPr>
      <w:r>
        <w:rPr>
          <w:rFonts w:ascii="Times New Roman" w:cs="Times New Roman" w:eastAsia="Times New Roman" w:hAnsi="Times New Roman"/>
          <w:sz w:val="18"/>
          <w:szCs w:val="18"/>
          <w:color w:val="auto"/>
        </w:rPr>
        <w:t>In the fourth quarter of 2023, Feng Biosciences completed a restructuring, recapitalization and closed on a refinancing. Feng Biosciences is a clinical stage therapeutics company advancing precision medicine for people with cancer. Feng Biosciences will continue to utilize its Xerna</w:t>
      </w:r>
      <w:r>
        <w:rPr>
          <w:rFonts w:ascii="Calibri" w:cs="Calibri" w:eastAsia="Calibri" w:hAnsi="Calibri"/>
          <w:sz w:val="26"/>
          <w:szCs w:val="26"/>
          <w:color w:val="auto"/>
          <w:vertAlign w:val="superscript"/>
        </w:rPr>
        <w:t>TM</w:t>
      </w:r>
      <w:r>
        <w:rPr>
          <w:rFonts w:ascii="Times New Roman" w:cs="Times New Roman" w:eastAsia="Times New Roman" w:hAnsi="Times New Roman"/>
          <w:sz w:val="18"/>
          <w:szCs w:val="18"/>
          <w:color w:val="auto"/>
        </w:rPr>
        <w:t xml:space="preserve"> platform to progress navicixizumab.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 for Leflutrozole</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December 2023, we entered into an exclusive global license agreement with ReproNovo for the development and commercialization of leflutrozole, a non-steroidal aromatase inhibitor. Under the terms of the License Agreement, ReproNovo, a reproductive medicine company, is responsible for all future development and commercialization of leflutrozole. Mereo received an upfront payment and will be eligible to receive up to $64.3 million in future clinical, regulatory and commercial milestones as well as tiered mid-single digit royalties on global annual net sales of leflutrozole.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Agreements</w:t>
      </w:r>
    </w:p>
    <w:p>
      <w:pPr>
        <w:spacing w:after="0" w:line="229"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18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 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of which $0.8 million was paid in 2023, and to use commercially reasonable efforts to develop and commercialize an Antibody Product. The Sublicense Agreement will expire on the earlier of the termination of the agreement under which Novartis is granting us a sublicense (the “Original License Agreement”) and, 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Loan Note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5" w:name="page16"/>
    <w:bookmarkEnd w:id="15"/>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On February 10, 2020, we entered into a £3.8 million convertible loan note instrument with Novartis pursuant to which we issued 3,841,479 unsecured convertible loan notes (the “Novartis Loan Note”) with a maturity date of February 10, 2023, and warrants to purchase 1,449,614 ordinary shares, exercisable until February 2025.</w:t>
      </w:r>
    </w:p>
    <w:p>
      <w:pPr>
        <w:spacing w:after="0" w:line="17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On February 10, 2023, we amended the Novartis Loan Note, extending the maturity date to February 10, 2025. Pursuant to the amendment and a new warrant instrument, interest accrued to the amendment date was paid in cash, and warrants to purchase 2,000,000 ordinary shares at an exercise price of £0.150 per ordinary share were issued and are exercisable until February 10, 2028.</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 February 7, 2025, the Company received a conversion notice and subsequently issued and allotted 17,105,450 ordinary shares (equivalent to 3,421,090 ADSs) on the non-cash conversion of the outstanding principal and accrued interest of the Novartis Loan Note.</w:t>
      </w:r>
    </w:p>
    <w:p>
      <w:pPr>
        <w:spacing w:after="0" w:line="162" w:lineRule="exact"/>
        <w:rPr>
          <w:sz w:val="20"/>
          <w:szCs w:val="20"/>
          <w:color w:val="auto"/>
        </w:rPr>
      </w:pPr>
    </w:p>
    <w:p>
      <w:pPr>
        <w:ind w:right="480" w:firstLine="794"/>
        <w:spacing w:after="0" w:line="282" w:lineRule="auto"/>
        <w:rPr>
          <w:sz w:val="20"/>
          <w:szCs w:val="20"/>
          <w:color w:val="auto"/>
        </w:rPr>
      </w:pPr>
      <w:r>
        <w:rPr>
          <w:rFonts w:ascii="Times New Roman" w:cs="Times New Roman" w:eastAsia="Times New Roman" w:hAnsi="Times New Roman"/>
          <w:sz w:val="18"/>
          <w:szCs w:val="18"/>
          <w:color w:val="auto"/>
        </w:rPr>
        <w:t>In addition, on February 7, 2025, Novartis exercised 1,449,610 warrants (equivalent to 289,922 ADSs) and upon receipt of $0.5 million in satisfaction of the subscription price of £0.265 per ordinary share, the Company issued and allotted the shares.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Cooperation Agreement with Rubric Capital Management LP</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April 15, 2024, Mereo entered into an extension letter to the cooperation agreement dated October 28, 2022, (the “Cooperation Agreement”) with Rubric Capital Management LP, the Company’s largest shareholder. The extension letter waived the requirement under Section 1(f) of the Cooperation Agreement for Mr. Justin Roberts to offer to resign from the Company's Board of Directors and all applicable committees thereof upon the termination date of the Cooperation Agreement which was immediately following the conclusion of the Company’s 2024 annual shareholder meeting (the “Termination Date”) and extended the Termination Date of the Cooperation Agreement until immediately following the conclusion of the Company’s 2025 annual shareholder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setrusumab and alvelestat, and we intend to enter into additional manufacturing agreements as necessary. Following our license of alvelestat, we acquired certain clinical trial materials and we subsequently outsourced production of further clinical supplies to our own manufacturing suppliers. We also outsource certain product formulation trials. We expect that drug product pre-validation and validation batches will be manufactured to satisfy regulatory requirements where we progress product candidates to late-stage trials.</w:t>
      </w:r>
    </w:p>
    <w:p>
      <w:pPr>
        <w:spacing w:after="0" w:line="187"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In December 2024, we entered into the Ultragenyx Manufacturing and Supply Agreement under which Ultragenyx is responsible for the manufacture and supply of setrusumab to Mereo in our territories. We intend to enter into contractual relationships for the packaging and labeling of commercial supplies for setrusumab and for the manufacture, packaging and labeling of commercial supplies for alvelestat, if approved.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Sales and Marketing</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In December 2020, we entered into a license and collaboration agreement with Ultragenyx for setrusumab and in December 2023, we entered into an exclusive global license agreement with ReproNovo for the development and commercialization of leflutrozole. For our other current and future product candidates we intend to take strategic decisions on whether to further develop them, potentially through to approval, directly commercializing globally or in certain territories, or to seek a partner for further development, co-development and/or commercialization. For product candidates we intend to commercialize or co-commercialize, we must either establish a sales and marketing organization with technical expertise and supporting distribution capabilities in major markets or potentially outsource aspects of these functions to third parties or partners.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compete directly with other biopharmaceutical and pharmaceutical companies that focus on the treatment of OI and AATD, as well as face competition in treatments for solid tumors and AECOPD potentially impacting our ability to partner our non-core programs. We may also face competition from academic research institutions, governmental agencies and other various public and private research institutions. We expect to face increasingly intense competition as new technologies become available. Any product candidates, including setrusumab, alvelestat, etigilimab and acumapimod that we or our partners successfully develop and commercialize will compete with existing therapies and new therapies that may become available in the future.</w:t>
      </w:r>
    </w:p>
    <w:p>
      <w:pPr>
        <w:spacing w:after="0" w:line="183"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We consider setrusumab’s current closest potential competitors in development for the treatment of OI to be Amgen and UCB’s anti-sclerostin antibody, romosozumab (Evenity), which was approved for osteoporosis in the U.S. in April 2019 and in December 2019 in Europe. In addition, Transcenta Holding has licensed the Chinese rights to the anti-sclerostin antibody blosozumab from Eli Lilly and Company (“Lilly”) and plans to develop it for osteoporosis. Amgen has also terminated a Phase 3 study and an open label extension study of denosumab (Prolia) an anti-resorptive agent in pediatric patients with OI. Academics at the University of Edinburgh are conducting a Phase IV trial to determine the efficacy of teriparatide (parathyroid hormone) in adult patients with OI. BOOST Pharma has conducted a Phase I/II trial of its fetal-derived mesenchymal stem cell therapy in prenatal &amp; postnatal patients with severe OI. Furthermore, Angitia Biopharmaceuticals has commenced a Phase I trial of its Sclerostin &amp; Dickkopf-1 bi-specific antibody.</w:t>
      </w:r>
    </w:p>
    <w:p>
      <w:pPr>
        <w:spacing w:after="0" w:line="192"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consider alvelestat’s current closest potential competitors for the treatment of severe AATD to be alpha-1 proteinase inhibitors that are administered intravenously in AAT augmentation therapy. Currently, there are four inhibitors on the market in the U.S. and the EU: Prolastin-C from Grifols, S.A. (“Grifols”), Aralast from Shire plc, now a subsidiary of Takeda Pharmaceutical Company Ltd (“Shire”), Zemaira from CSL Limited (“CSL”), and Glassia from Kamada Ltd. (“Kamada”). Kamada is also developing an inhaled version of augmentation therapy which is in Phase 3 and has a recombinant alpha-1 antitrypsin in early development. Sanofi S.A. ("Sanofi") has initiated a Phase 2 registrational trial of SAR-447537, a recombinant human alpha-1 antitrypsin Fc fusion protein (rhAAT-Fc) for replacement therapy. Wave Life Sciences has initiated a Phase 2 study of RNA base-editing oligonucleotide (WVE-0006) to restore wild-type protein in lung and liver disease, a program that has been partnered with GSK. Intellia Therapeutics has initiated a Phase 1/2 study with a CRISPR/Cas9 -based insertion of normal SERPINA1 gene, targeting lung disease (NTLA-3001). Beam Therapeutics commenced a Phase 1/2 study of BEAM-302, a genome editing therapy to correct mutant Z-AAT. Krystal Biotech commenced a Phase 1 study of KB-408, an inhaled gene therapy. Korro Bio are in preliminary stages of clinical development of an RNA Base editing oligonucleotide therapy. There are no therapies with regulatory approval for Bronchiolitis Obliterans Syndrome (“BOS”) following SCT or lung transplant. We consider alvelestat’s closest potential competitors to be the Janus Kinase (JAK2) inhibitor, ruxolitinib, Incyte Corporation's ruxolitinib in Phase 1/Phase2 studies in SCT-associated BOS, Boehringer Ingelheim’s tyrosine protein kinase inhibitor, nintendanib, in Phase 3 studies for both post-lung transplantation BOS and SCT-associated BOS, OrphAI Therapeutics inhaled formulation of sirolimus (LAM-001) in Phase 1 for BOS in lung transplant, and liposomal inhaled cyclosporin-A (Zambon) in two Phase 3 global pivotal trials in BOS.</w:t>
      </w:r>
    </w:p>
    <w:p>
      <w:pPr>
        <w:spacing w:after="0" w:line="20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consider etigilimab’s current closest potential competitors to include other anti-TIGIT agents being developed by companies including Roche, Merck, iTeos and GSK, Beigene (BeOne), Arcus/Gilead, and Compugen amongst others. In addition, there are other combinations of existing cancer therapies available commercially for example, Yervoy and Opdivo and Opdivo or Keytruda in combination with chemotherapeutic targeted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For acumapimod, although we are not aware of any approved therapies for the treatment of AECOPD, there are a wide range of established therapies available for the treatment of COPD as well as a number of product candidates in development. We consider acumapimod’s current closest potential competitor for the treatment of AECOPD to be Verona Pharma’s (“Verona”) nebulized and inhaled ensifentrine (Ohtuvayre), a PDE3 / PDE4 dual inhibitor that recently received regulatory approval as a bronchodilator and anti-inflammatory agent for COPD, Asthma and Cystic Fibrosis patients. Pulmatrix, Inc. (“Pulmatrix”), who recently announced a planned merger with Cullgen, has PUR1800, a narrow-spectrum kinase inhibitor (NSKI) that completed a Phase 1b trial in COPD. In addition to Pulmatrix, there are several compounds, which directly or indirectly target the p38 MAP Kinase pathway in clinical development by Poolbeg Pharma Plc (“Poolbeg), Fulcrum Therapeutics Inc (“Fulcrum”), GEn1E Lifesciences Inc (“GEn1E Lifesciences”), CervoMed Inc (“CervoMed”), Kinarus AG (“Kinarus”), Neurokine Therapeutics (“Neurokine”), and Inovio Pharmaceuticals Inc (“Inovio”), among others, for therapeutic indications outside the COPD setting. In addition, ReAlta Life Sciences commenced a Phase II clinical trial evaluating its complement 1 sub-component inhibitor for the treatment of AECOPD.</w:t>
      </w:r>
    </w:p>
    <w:p>
      <w:pPr>
        <w:spacing w:after="0" w:line="194"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 stage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right="140"/>
        <w:spacing w:after="0" w:line="266" w:lineRule="auto"/>
        <w:rPr>
          <w:sz w:val="20"/>
          <w:szCs w:val="20"/>
          <w:color w:val="auto"/>
        </w:rPr>
      </w:pPr>
      <w:r>
        <w:rPr>
          <w:rFonts w:ascii="Times New Roman" w:cs="Times New Roman" w:eastAsia="Times New Roman" w:hAnsi="Times New Roman"/>
          <w:sz w:val="18"/>
          <w:szCs w:val="18"/>
          <w:color w:val="auto"/>
        </w:rPr>
        <w:t>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w:t>
      </w:r>
    </w:p>
    <w:p>
      <w:pPr>
        <w:spacing w:after="0" w:line="176" w:lineRule="exact"/>
        <w:rPr>
          <w:sz w:val="20"/>
          <w:szCs w:val="20"/>
          <w:color w:val="auto"/>
        </w:rPr>
      </w:pPr>
    </w:p>
    <w:p>
      <w:pPr>
        <w:jc w:val="both"/>
        <w:ind w:right="520" w:firstLine="749"/>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setrusumab, alvelestat, etigilimab and acumapimod,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 candidates that are safer, more effective, less expensive, convenient or easier to administer or have fewer or less severe side effects than any product candidates that we may develop.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Even if setrusumab, alvelestat, etigilimab, or acumapimod achieve marketing approval, they may be priced at a significant premium over competing product candidates if any have been approved by then, potentially reducing our market opportunity. For more information, see “Item 1A. Risk Factors—Risks Related to Commercialization—We operate in a highly competitive and rapidly changing industry, which may result in others acquiring, developing, or commercializing competing product candidates before or more successfully than we or our partners do.”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have acquired or exclusively licensed our intellectual property portfolio from Novartis, AstraZeneca and Mereo BioPharma 5 (formerly OncoMed).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pacing w:after="0" w:line="18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intellectual property is held by our wholly owned subsidiaries. As of December 31, 2024, our patent portfolio comprises approximately 549 issued patents and approximately 89 pending patent applications on a global basis.</w:t>
      </w:r>
    </w:p>
    <w:p>
      <w:pPr>
        <w:spacing w:after="0" w:line="16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w:t>
      </w:r>
    </w:p>
    <w:p>
      <w:pPr>
        <w:spacing w:after="0" w:line="18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U.S., that also claim technology to which we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8" w:name="page19"/>
    <w:bookmarkEnd w:id="18"/>
    <w:p>
      <w:pPr>
        <w:ind w:right="360"/>
        <w:spacing w:after="0" w:line="282" w:lineRule="auto"/>
        <w:rPr>
          <w:sz w:val="20"/>
          <w:szCs w:val="20"/>
          <w:color w:val="auto"/>
        </w:rPr>
      </w:pPr>
      <w:r>
        <w:rPr>
          <w:rFonts w:ascii="Times New Roman" w:cs="Times New Roman" w:eastAsia="Times New Roman" w:hAnsi="Times New Roman"/>
          <w:sz w:val="18"/>
          <w:szCs w:val="18"/>
          <w:color w:val="auto"/>
        </w:rPr>
        <w:t>have rights, we may have to participate in interference proceedings in the USPTO, to determine priority of invention. For more information, please see “Item 1A. Risk Factors—Risks Related to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Setrusumab (BPS-804/UX143)</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As of December 31, 2024, we have 128 patents globally (including five issued U.S. patents) and 33 patent applications globally (including three pending U.S. patent applications) relating to setrusumab and its use for the treatment of OI. A first patent family includes three issued U.S. patents and 86 corresponding issued foreign patents that relate to the setrusumab antibody, nucleic acids encoding setrusumab, processes for producing setrusumab, and setrusumab’s use as a medicament. Patents emanating from this first patent family expire in 2028 (not accounting for any available patent term extension). We also have two additional patent families, including two issued U.S. patents and 37 issued foreign patents that relate to methods of using anti-sclerostin antibodies, including setrusumab, for the treatment of OI. Patents emanating from these additional patent families expire in 2037 (not accounting for any available patent term extension). Beyond these patents and patent applications, we jointly own with Ultragenyx one additional patent family relating to dosing regimens for the use of anti-sclerostin antibodies, including setrusumab, in the treatment of OI; we expect any patents emanating from this patent family to expire in 2042 (not accounting for any available patent term extension). In December 2020, we entered into a license and collaboration agreement with Ultragenyx for setrusumab for OI, under which Ultragenyx have exclusive rights under all setrusumab patent families outside of Europe. See “— Licensing Agreements with Ultragenyx for Setrusumab.”</w:t>
      </w:r>
    </w:p>
    <w:p>
      <w:pPr>
        <w:spacing w:after="0" w:line="19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On February 3, 2023, Ultragenyx, Mereo BioPharma 3 Limited, UCB Pharma SA (“</w:t>
      </w:r>
      <w:r>
        <w:rPr>
          <w:rFonts w:ascii="Times New Roman" w:cs="Times New Roman" w:eastAsia="Times New Roman" w:hAnsi="Times New Roman"/>
          <w:sz w:val="18"/>
          <w:szCs w:val="18"/>
          <w:u w:val="single" w:color="auto"/>
          <w:color w:val="auto"/>
        </w:rPr>
        <w:t>UCB</w:t>
      </w:r>
      <w:r>
        <w:rPr>
          <w:rFonts w:ascii="Times New Roman" w:cs="Times New Roman" w:eastAsia="Times New Roman" w:hAnsi="Times New Roman"/>
          <w:sz w:val="18"/>
          <w:szCs w:val="18"/>
          <w:color w:val="auto"/>
        </w:rPr>
        <w:t>”) and Amgen Inc. (“</w:t>
      </w:r>
      <w:r>
        <w:rPr>
          <w:rFonts w:ascii="Times New Roman" w:cs="Times New Roman" w:eastAsia="Times New Roman" w:hAnsi="Times New Roman"/>
          <w:sz w:val="18"/>
          <w:szCs w:val="18"/>
          <w:u w:val="single" w:color="auto"/>
          <w:color w:val="auto"/>
        </w:rPr>
        <w:t>Amgen</w:t>
      </w:r>
      <w:r>
        <w:rPr>
          <w:rFonts w:ascii="Times New Roman" w:cs="Times New Roman" w:eastAsia="Times New Roman" w:hAnsi="Times New Roman"/>
          <w:sz w:val="18"/>
          <w:szCs w:val="18"/>
          <w:color w:val="auto"/>
        </w:rPr>
        <w:t>”) entered into a non-exclusive worldwide, royalty-free license to research, develop, and commercialize setrusumab in OI under certain UCB/Amgen-owned patent rights related to anti-sclerostin compounds and their uses.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Alvelestat (MPH-966)</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2024, our patent portfolio relating to our product candidate alvelestat consisted of two issued U.S. patents, no pending U.S. patent applications, 17 issued or allowed foreign patents and one pending foreign patent application,licensed under our agreement with AstraZeneca. See “—Material Agreements—Licensing Agreement with AstraZeneca.” These issued patents and patent applications, if issued, include claims directed to 2-pyridone derivatives as NE inhibitors and their uses as well as claims to a specific polymorph of a tosylate salt of alvelestat, with expected expiry dates between 2027 and 2030.</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Our patent portfolio relating to our product candidate alvelestat also includes three pending international patent applications filed under the PCT, four pending U.S. patent applications, two U.S. provisional patent applications, 34 granted foreign patents and 27 pending foreign patent applications which have been filed subsequent to the license agreement with AstraZeneca. These patent applications, if issued, include claims directed to dosing regimens of alvelestat, methods of treatment using alvelestat, and dosage forms of alvelestat with expected expiry dates between 2040 and 2044.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Etigilimab (MPH-313)</w:t>
      </w:r>
    </w:p>
    <w:p>
      <w:pPr>
        <w:spacing w:after="0" w:line="229"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our patent portfolio relating to our product candidate etigilimab consisted of four granted U.S. patents and one pending U.S. patent application, as well as corresponding patent applications in major foreign jurisdictions.</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patent portfolio relating to our product candidate etigilimab contains one core patent family that covers the product per se as well as medical uses thereof. This patent family currently consists of two granted U.S. patents, 34 granted or allowed foreign patents and four pending foreign patent applications. Patents that issue from this core family are generally expected to expire in 2036.</w:t>
      </w:r>
    </w:p>
    <w:p>
      <w:pPr>
        <w:spacing w:after="0" w:line="176"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portfolio also includes a second patent family that relates to specific methods of treatment using etigilimab. This patent family currently consists of two granted U.S. patents, one U.S. pending patent application, and six granted or allowed foreign patents and one pending foreign patent application. Any patents that issue from this family are generally expected to expire in 2037.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Navicixizumab (OMP-305B83)</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2024, our patent portfolio relating to navicixizumb consisted of 21 issued or allowed U.S. patents and two pending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applications, as well as corresponding patents or patent applications in major foreign jurisdictions.</w:t>
      </w:r>
    </w:p>
    <w:p>
      <w:pPr>
        <w:spacing w:after="0" w:line="20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patent portfolio relating to navicixizumb contains two core patent families, both of which cover the product per se as well as medical uses thereof. Patents and patent applications, if issued, in these core families are expected to expire between 2030 and 2032.</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portfolio also includes several other patent families including issued U.S. and foreign patents and pending applications that relate to specific methods of treatment using navicixizumb. Patents and patent applications, if issued, in these families are expected to expire between 2030 and 2039. Navicixizumb was licensed to Feng Biosciences in January 2020 pursuant to the terms of a global licensing agreement. See “—Material Agreements— Licensing Agreement for Navicixizumab.”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Acumapimod (BCT-197)</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2024, our patent portfolio relating to our product acumapimod consisted of 11 issued or allowed U.S. patents, no pending U.S. patent applications, 198 issued or allowed foreign patents and 11 pending foreign applications. These issued patents and patent applications, if issued, include claims directed to 5-membered heterocycle-based p38 kinase inhibitors, the use of acumapimod in the treatment of AECOPD, dosage regimens of acumapimod, the use of acumapimod in the treatment of specific patient subpopulations, specific polymorphs of acumapimod, methods of producing specific polymorphs of acumapimod and synthetic methods of production of acumapimod with expected expiry dates between 2025 and 2039.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Leflutrozole (BGS-649)</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2024, our patent portfolio relating to our product leflutrozole consisted of four issued U.S. patents and 90 issued foreign patents. These issued patents include claims directed to leflutrozole formulations and the use of leflutrozole in treating hypogonadism according to a specific dosing regimen, with expected expiry dates in 2032 and 2037. Leflutrozole was licensed to ReproNovo in December 2023 pursuant to the terms of global licensing agreement. See "—Material Agreements—Licensing Agreement for Leflutrozole".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Among others, the FDA, U.S. Department of Health and Human Services Office of Inspector General, Centers for Medicare &amp; Medicaid Services ("CMS") and comparable regulatory authorities in state, local and foreign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229" w:lineRule="exact"/>
        <w:rPr>
          <w:sz w:val="20"/>
          <w:szCs w:val="20"/>
          <w:color w:val="auto"/>
        </w:rPr>
      </w:pPr>
    </w:p>
    <w:p>
      <w:pPr>
        <w:jc w:val="both"/>
        <w:ind w:right="720" w:firstLine="749"/>
        <w:spacing w:after="0" w:line="282"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("FDCA") and its implementing regulations, and biological product candidates (“biologics”), under both the FDCA and the Public Health Service Act ("PHSA") and its implementing regulations.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 may be marketed in the U.S. generally involves the following:</w:t>
      </w:r>
    </w:p>
    <w:p>
      <w:pPr>
        <w:spacing w:after="0" w:line="225" w:lineRule="exact"/>
        <w:rPr>
          <w:sz w:val="20"/>
          <w:szCs w:val="20"/>
          <w:color w:val="auto"/>
        </w:rPr>
      </w:pPr>
    </w:p>
    <w:p>
      <w:pPr>
        <w:ind w:left="1140" w:right="12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certain of which must be conducted in compliance with the FDA’s Good Laboratory Practice (“GLP”) regulations and other applicable regulations;</w:t>
      </w:r>
    </w:p>
    <w:p>
      <w:pPr>
        <w:spacing w:after="0" w:line="161"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(an “IND”), which must become effective before human clinical trials may begin;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Clinical Practice (“GCP”) requirements to evaluate the safety, purity, potency and/or efficacy of the product candidate for its intended use;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 after completion of all pivotal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1140" w:right="28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product’s identity, strength, quality and purity;</w:t>
      </w:r>
    </w:p>
    <w:p>
      <w:pPr>
        <w:spacing w:after="0" w:line="175"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audits of clinical trials sites and the sponsor’s clinical trial records to assure compliance with GCPs and the integrity of the clinical data;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if applicable, and FDA review and approval of the NDA or BLA.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or biologic to human subjects under the supervision of qualified investigators in accordance with GCP requirements, which among other things,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94"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Information about certain clinical trials must also be submitted within specific timeframes to the National Institutes of Health for public dissemination on their website, </w:t>
      </w:r>
      <w:r>
        <w:rPr>
          <w:rFonts w:ascii="Times New Roman" w:cs="Times New Roman" w:eastAsia="Times New Roman" w:hAnsi="Times New Roman"/>
          <w:sz w:val="18"/>
          <w:szCs w:val="18"/>
          <w:u w:val="single" w:color="auto"/>
          <w:color w:val="auto"/>
        </w:rPr>
        <w:t>www.clinicaltrials.gov.</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225" w:lineRule="exact"/>
        <w:rPr>
          <w:sz w:val="20"/>
          <w:szCs w:val="20"/>
          <w:color w:val="auto"/>
        </w:rPr>
      </w:pPr>
    </w:p>
    <w:p>
      <w:pPr>
        <w:jc w:val="both"/>
        <w:ind w:left="1140" w:right="60" w:hanging="383"/>
        <w:spacing w:after="0" w:line="31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39" w:lineRule="exact"/>
        <w:rPr>
          <w:rFonts w:ascii="Times New Roman" w:cs="Times New Roman" w:eastAsia="Times New Roman" w:hAnsi="Times New Roman"/>
          <w:sz w:val="17"/>
          <w:szCs w:val="17"/>
          <w:color w:val="auto"/>
        </w:rPr>
      </w:pPr>
    </w:p>
    <w:p>
      <w:pPr>
        <w:ind w:left="1140" w:right="460" w:hanging="383"/>
        <w:spacing w:after="0" w:line="31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39" w:lineRule="exact"/>
        <w:rPr>
          <w:rFonts w:ascii="Times New Roman" w:cs="Times New Roman" w:eastAsia="Times New Roman" w:hAnsi="Times New Roman"/>
          <w:sz w:val="17"/>
          <w:szCs w:val="17"/>
          <w:color w:val="auto"/>
        </w:rPr>
      </w:pPr>
    </w:p>
    <w:p>
      <w:pPr>
        <w:ind w:left="1140" w:right="120" w:hanging="383"/>
        <w:spacing w:after="0" w:line="266"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or similar foreign requirements.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Priority Review Voucher Program</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ind w:right="60" w:firstLine="8"/>
        <w:spacing w:after="0" w:line="25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 diseases or conditions within the meaning of the Orphan Drug Act. Congress has only authorized the Rare Pediatric Disease Priority Review Voucher program until December 20, 2024. Consequently, sponsors of marketing applications approved after that date will not receive the voucher unless Congress reauthorizes the Rare Pediatric Disease Priority Review Voucher program. However, even if the program is not reauthorized, if a drug candidate received Rare Pediatric Disease Designation before December 21, 2024, the sponsor of the marketing application for such drug will be eligible to receive a voucher if the application for the designated drug is approved by the FDA before October 1, 2026. Setrusumab has received Rare Pediatric Disease Designation and, subject to the provisions stipulated, is eligible for a Priority Review Voucher.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Product Designation and Exclusivity</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product if it is intended to treat a rare disease or condition (generally meaning that it affects fewer than 200,000 individuals in the U.S., or more in cases in which there is no reasonable expectation that the cost of developing and making a drug product available in the U.S.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Orphan product designation does not convey any advantage in or shorten the duration of the regulatory review and approval process.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or for a select disease or condition or use within the rare disease or condition for which it was designated, the product is entitled to orphan-product exclusivity. Orphan-product exclusivity means that the FDA may not approve any other applications for the same product for the same disease or condition for seven years, except in certain limited circumstances. If a product designated as an orphan product ultimately receives marketing approval for disease or condition broader than what was designated in its orphan-product application, it may not be entitled to exclusivity. Orphan exclusivity will not bar approval of another product under certain circumstances, including if a subsequent product with the same active ingredient for the same disease or condition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disease or condition as long as the product candidates contain different active ingredients. Moreover, competitors may receive approval of different product candidates for the disease or condition for which the orphan product has exclusivity or obtain approval for the same product but for a different indication for which the orphan product has exclusivity.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Approval</w:t>
      </w:r>
    </w:p>
    <w:p>
      <w:pPr>
        <w:spacing w:after="0" w:line="22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as amended and reauthorized (“PREA”),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unless the sponsor has received a deferral or waiver. The required assessments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88"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This review typically takes 12 months from the date the NDA or BLA is submitted to the FDA, because the FDA has approximately two months to make a “filing” decision.</w:t>
      </w:r>
    </w:p>
    <w:p>
      <w:pPr>
        <w:spacing w:after="0" w:line="194"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180"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that the application will not be approved in its present form. A complete response letter generally details specific conditions that must be met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line="261" w:lineRule="auto"/>
        <w:rPr>
          <w:sz w:val="20"/>
          <w:szCs w:val="20"/>
          <w:color w:val="auto"/>
        </w:rPr>
      </w:pPr>
      <w:r>
        <w:rPr>
          <w:rFonts w:ascii="Times New Roman" w:cs="Times New Roman" w:eastAsia="Times New Roman" w:hAnsi="Times New Roman"/>
          <w:sz w:val="18"/>
          <w:szCs w:val="18"/>
          <w:color w:val="auto"/>
        </w:rPr>
        <w:t>in order to secure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20" w:firstLine="749"/>
        <w:spacing w:after="0" w:line="277" w:lineRule="auto"/>
        <w:rPr>
          <w:sz w:val="20"/>
          <w:szCs w:val="20"/>
          <w:color w:val="auto"/>
        </w:rPr>
      </w:pPr>
      <w:r>
        <w:rPr>
          <w:rFonts w:ascii="Times New Roman" w:cs="Times New Roman" w:eastAsia="Times New Roman" w:hAnsi="Times New Roman"/>
          <w:sz w:val="17"/>
          <w:szCs w:val="17"/>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w:t>
      </w:r>
    </w:p>
    <w:p>
      <w:pPr>
        <w:spacing w:after="0" w:line="168"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rFonts w:ascii="Times New Roman" w:cs="Times New Roman" w:eastAsia="Times New Roman" w:hAnsi="Times New Roman"/>
          <w:sz w:val="18"/>
          <w:szCs w:val="18"/>
          <w:color w:val="auto"/>
        </w:rPr>
      </w:pPr>
    </w:p>
    <w:p>
      <w:pPr>
        <w:ind w:left="1140" w:right="60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4" w:name="page25"/>
    <w:bookmarkEnd w:id="24"/>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 or</w:t>
      </w:r>
    </w:p>
    <w:p>
      <w:pPr>
        <w:spacing w:after="0" w:line="225"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16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 candidates that are placed on the market. Product candidates may be promoted only for the approved indications and in accordance with the provisions of the approved label. Physicians may prescribe legally available products for uses that are not described in the product’s labeling and that differ from those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FDA and other agencies actively enforce the laws and regulations prohibiting the promotion of off-label uses, and a company that is found to have improperly promoted off-label uses may be subject to significant liability.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FDA Expedited Review and Approval</w:t>
      </w:r>
    </w:p>
    <w:p>
      <w:pPr>
        <w:spacing w:after="0" w:line="229"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FDA has various programs, such as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candidate is intended to treat a serious or life-threatening disease or condition and demonstrates the potential to address an unmet medical need for such disease or condition. Fast Track designation provides opportunities for frequent interactions with the FDA review team to expedite development and review of the product. The FDA may also review sections of the NDA or BLA for a Fast Track-designated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a sponsor can request designation of a product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Depending on the design of the relevant clinical studies, product candidates studied for their safety and effectiveness in treating serious or life-threatening illnesses and that have the potential to provide meaningful therapeutic benefit over existing treatments may be eligible for accelerated approval upon a determination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generally require a sponsor of a product receiving accelerated approval to perform adequate and well-controlled confirmatory trials to verify and describe the predicted clinical benefit, and may require that such confirmatory trails be underway prior to granting any accelerated approval. Products receiving accelerated approval may be subject to expedited withdrawal procedures if the sponsor fails to conduct the required confirmatory trials in a timely manner or if such trials fail to verify the predicted clinical benefit. Sponsors of such products are also required to send updates to the FDA every 180 days regarding the progress of any required confirmatory studies. In addition, the FDA requires pre-approval of promotional materials a condition of accelerated approval, which could adversely impact the timing of the commercial launch of the product.</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Once an NDA or BLA is submitted for a product intended to treat a serious condition, the FDA may assign a priority review designation to the application if the FDA determines that the product candidate, if approved, would provide a significant improvement in safety or effectiveness. The FDA will attempt to direct additional resources to the evaluation of an NDA or BLA designated for priority review in an effort to facilitate the review. The FDA endeavors to review NDAs for new molecular entities and original BLAs with priority review designations within six months of the filing date as compared to ten months under its current review goals.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 w:name="page26"/>
    <w:bookmarkEnd w:id="25"/>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ultimately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and Biological Product Exclusivities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or the approval of some marketing applications. For example, the FDCA provides a five-year period of non-patent data exclusivity within the U.S. to the first applicant to obtain approval of an NDA for a new chemical entity. A drug is a new chemical entity if the FDA has not previously approved any other new drug containing the same active moiety, which is the molecule or ion, excluding those appended portions of the molecule that cause the drug to be an ester, salt, including a salt with hydrogen or coordination bonds, or other noncovalent derivative, such as a complex, chelate, or clathrate,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9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of approval for which the drug received approval on the basis of the new clinical investigations and does not prohibit the FDA from approving ANDAs or 505(b) (2)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the Biologics Price Competition and Innovation Act of 2009, or BPCIA,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spacing w:after="0" w:line="194"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w:t>
      </w:r>
    </w:p>
    <w:p>
      <w:pPr>
        <w:spacing w:after="0" w:line="18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Pediatric exclusivity is another type of regulatory exclusivity available in the U.S. Pediatric exclusivity provides for an additional six months of exclusivity attached to another existing patent term or period of regulatory exclusivity if a sponsor conducts clinical trials in children in response to a “written request” from the FDA. The issuance of a written request does not require the sponsor to undertake the described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Regulation</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Our product candidates are subject to similar laws and regulations imposed by jurisdictions outside of the U.S., and, in particular, the European Union (“EU”), governing, among other things, clinical trials, marketing authorization (“MA”), commercial sales and distribution of our products. The foreign regulatory approval process includes all of the risks associated with FDA approval</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 w:name="page27"/>
    <w:bookmarkEnd w:id="26"/>
    <w:p>
      <w:pPr>
        <w:ind w:right="320"/>
        <w:spacing w:after="0" w:line="282" w:lineRule="auto"/>
        <w:rPr>
          <w:sz w:val="20"/>
          <w:szCs w:val="20"/>
          <w:color w:val="auto"/>
        </w:rPr>
      </w:pPr>
      <w:r>
        <w:rPr>
          <w:rFonts w:ascii="Times New Roman" w:cs="Times New Roman" w:eastAsia="Times New Roman" w:hAnsi="Times New Roman"/>
          <w:sz w:val="18"/>
          <w:szCs w:val="18"/>
          <w:color w:val="auto"/>
        </w:rPr>
        <w:t>set forth above, as well as additional country-specific regulation. Because biologically sourced, raw materials are subject to unique contamination risks, their use may be restricted in some countries.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Similarly to the U.S., the various phases of non-clinical and clinical research in the EU, are subject to significant regulatory controls.</w:t>
      </w:r>
    </w:p>
    <w:p>
      <w:pPr>
        <w:spacing w:after="0" w:line="225"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CTR.</w:t>
      </w:r>
    </w:p>
    <w:p>
      <w:pPr>
        <w:spacing w:after="0" w:line="20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("GMP"). Other national and EU-wide regulatory requirements may also apply.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More concretely, in the EU, medicinal product candidates can only be commercialized after obtaining a Marketing MA. To obtain regulatory approval of a product candidate under EU regulatory systems, we must submit a MA application (“MAA”). The process for doing this depends, among other things, on the nature of the medicinal product. There are two types of MAs:</w:t>
      </w:r>
    </w:p>
    <w:p>
      <w:pPr>
        <w:spacing w:after="0" w:line="180" w:lineRule="exact"/>
        <w:rPr>
          <w:sz w:val="20"/>
          <w:szCs w:val="20"/>
          <w:color w:val="auto"/>
        </w:rPr>
      </w:pPr>
    </w:p>
    <w:p>
      <w:pPr>
        <w:ind w:left="1140" w:right="140" w:hanging="383"/>
        <w:spacing w:after="0" w:line="274" w:lineRule="auto"/>
        <w:tabs>
          <w:tab w:leader="none" w:pos="11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“Centralized MAs” are issued by the EC through the centralized procedure, based on the opinion of the Committee for Medicinal Products for Human Use (“CHMP”) of the European Medicine Agency ("EMA") and are valid throughout the EU. The centralized procedure is mandatory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neurodegenerative diseases, diabetes, autoimmune diseases and other immune dysfunctions, and viral diseases. The</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1140" w:right="40"/>
        <w:spacing w:after="0" w:line="282" w:lineRule="auto"/>
        <w:rPr>
          <w:sz w:val="20"/>
          <w:szCs w:val="20"/>
          <w:color w:val="auto"/>
        </w:rPr>
      </w:pPr>
      <w:r>
        <w:rPr>
          <w:rFonts w:ascii="Times New Roman" w:cs="Times New Roman" w:eastAsia="Times New Roman" w:hAnsi="Times New Roman"/>
          <w:sz w:val="18"/>
          <w:szCs w:val="18"/>
          <w:color w:val="auto"/>
        </w:rPr>
        <w:t>centralized procedure is optional for products containing a new active substance not yet authorized in the EU, or for products that constitute a significant therapeutic, scientific or technical innovation or which are in the interest of public health in the EU; and</w:t>
      </w:r>
    </w:p>
    <w:p>
      <w:pPr>
        <w:spacing w:after="0" w:line="162" w:lineRule="exact"/>
        <w:rPr>
          <w:sz w:val="20"/>
          <w:szCs w:val="20"/>
          <w:color w:val="auto"/>
        </w:rPr>
      </w:pPr>
    </w:p>
    <w:p>
      <w:pPr>
        <w:ind w:left="1140" w:hanging="383"/>
        <w:spacing w:after="0" w:line="25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8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PRIority MEdicine ("PRIME") scheme, which provides incentives similar to the Breakthrough Therapy designation in the U.S. In March 2016, the EMA launched the PRIME scheme.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An initial meeting initiates these relationships and includes a team of multidisciplinary experts at the EMA to provide guidance on the overall development and regulatory strategies. The benefits of a PRIME designation includes, but not limited to, the appointment of a dedicated contact and rapporteur from the CHMP before submission of an MAA, early and proactive dialogue and scientific advice at key development milestones, and the ability to request for accelerated review earlier in the application process, however this is at the discretion of the CHMP. Setrusumab was granted PRIME designation in November 2017.</w:t>
      </w:r>
    </w:p>
    <w:p>
      <w:pPr>
        <w:spacing w:after="0" w:line="19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(timelines may be re-negotiated with CHMP approval if appropriate) set by the EMA, the MA ceases to be renewed. The EMA may also grant a MA in absence of comprehensive data under "exceptional circumstances". Unlike a conditional MA, where MA is granted in the likelihood that the sponsor will provide such data within an agreed timeframe, the EMA can grant authorization under exceptional circumstances when comprehensive data cannot be obtained even after authorization.</w:t>
      </w:r>
    </w:p>
    <w:p>
      <w:pPr>
        <w:spacing w:after="0" w:line="189" w:lineRule="exact"/>
        <w:rPr>
          <w:sz w:val="20"/>
          <w:szCs w:val="20"/>
          <w:color w:val="auto"/>
        </w:rPr>
      </w:pPr>
    </w:p>
    <w:p>
      <w:pPr>
        <w:jc w:val="both"/>
        <w:ind w:right="540" w:firstLine="749"/>
        <w:spacing w:after="0" w:line="266"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CHMP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Adaptive pathways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EMA has an adaptive pathways program which allows for early and progressive patient access to a 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194"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adaptive pathways program does not change the standards for the evaluation of benefits and risks or the requirement to demonstrate a positive benefit-risk balance to obtain MA. In February 2017, setrusumab was accepted into the adaptive pathways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the EU, new product candidates authorized for marketing, or reference product candidates,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ten-years have elapsed from the initial MA of the reference product in the EU. The overall 10-year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w:t>
      </w:r>
    </w:p>
    <w:p>
      <w:pPr>
        <w:spacing w:after="0" w:line="188"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227"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U.S. A medicinal product can be designated as an orphan if its sponsor can establish that: (1) the product is intended for the diagnosis, prevention or treatment of a life threatening or chronically debilitating condition, (2) either (a) affecting not more than five in 10,000 persons in the EU when the application is made, or (b) that the product without the benefits derived from the orphan status, would generate sufficient return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Orphan designation must be requested before submitting an MAA. Orphan designation entitles a party to incentives such as reduction of fees or fee waivers, protocol assistance, and access to the centralized procedure. Upon grant of a MA for an orphan medicinal product, applicants are entitled to a ten-year period of market exclusivity for the approved indication. During this market exclusivity period, the competent authorities cannot accept another application for a MA, or grant a MA, or accept an application to extend a MA for a similar medicinal product for the same indication. The period of market exclusivity is extended by two years for orphan medicinal products that have also complied with an agreed pediatric investigation plan (“PIP”).</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This period of orphan market exclusivity may, however, be reduced to six years if, at the end of the fifth year, it is established that the product no longer meets the criteria for which it received orphan destination, i.e. the prevalence of the condition has increased above the threshold or it is judged that the product is sufficiently profitable not to justify maintenance of market exclusivity. Additionally, MA may be granted for another similar product for the same indication at any time if (i) the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22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the EU MAA for new medicinal product candidates have to include the results of studies conducted in the pediatric population, in compliance with a PIP, agreed with the EMA’s Pediatric Committee (“PDCO”). The PIP sets out the timing and measures proposed to generate data to support a pediatric indication of the product candidate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of the EU and study results are included in the product information, even when negative, the product is eligible for a six-month supplementary protection certificate extension (if any is in effect at the time of approval) or, in the case of orphan medicinal products, a two-year extension of orphan market exclusivity.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Similar to the U.S., both MA holders and manufacturers of medicinal products are subject to comprehensive regulatory oversight by the EMA, the EC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All new MAA must include a risk management plan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83"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83"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in the United Kingdom (“U.K”).</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("GB") has not been directly subject to EU laws, however under the terms of the Ireland/Northern Ireland Protocol, EU laws generally apply to Northern Ireland. The EU laws that have been transposed into U.K. law through secondary legislation remain applicable in Great Britain however, new legislation such as the (EU) CTS is not applicable in Great Britain.</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80"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(“MHRA”), has been the U.K.’s standalone medicines and medical devices regulator. As a result of the Northern Ireland protocol, different rules apply in Northern Ireland than in England, Wales, and Scotland, together, GB; broadly, Northern Ireland will continue to follow the EU regulatory regime, but its national competent authority will remain the MHRA. On February 27, 2023, the U.K. Government and the EC reached a political agreement on the “Windsor Framework” which will revise the Northern Ireland protocol in order to address some of the perceived shortcomings in its operation. Under the changes, Northern Ireland will be reintegrated under the regulatory authority of the MHRA with respect to medicinal products.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In order to use the centralized procedure to obtain a MA that will be valid throughout the EEA, companies must be established in the EEA. Therefore, since Brexit, companies established in the U.K. can no longer use the EU centralized procedure and instead an EEA entity must hold any centralized MAs. In order to obtain a U.K. MA to commercialize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ind w:right="140"/>
        <w:spacing w:after="0" w:line="255" w:lineRule="auto"/>
        <w:rPr>
          <w:sz w:val="20"/>
          <w:szCs w:val="20"/>
          <w:color w:val="auto"/>
        </w:rPr>
      </w:pPr>
      <w:r>
        <w:rPr>
          <w:rFonts w:ascii="Times New Roman" w:cs="Times New Roman" w:eastAsia="Times New Roman" w:hAnsi="Times New Roman"/>
          <w:sz w:val="18"/>
          <w:szCs w:val="18"/>
          <w:color w:val="auto"/>
        </w:rPr>
        <w:t>products in the U.K., an applicant must be established in the U.K. and must follow one of the U.K. national authorization procedures or one of the remaining post-Brexit international cooperation procedures to obtain an MA to commercialize products in the U.K. A new international recognition framework has been in place from January 1, 2024, whereby the MHRA will have regard to decisions on the approval of MAs made by the EMA and certain other regulators when determining an application for a new GB MA. There is no pre-MA orphan designation. Instead, the MHRA will review applications for orphan designation in parallel to the corresponding MAA.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existing EU legislation (as implemented into U.K. law, through secondary legislation). On January 17, 2022, the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whether the U.K. clinical trials framework aligns with or diverges from with the (EU) CTR.</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7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90"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Additionally,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 or to self-pay patients.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federal false claims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FCA may be brought by the Attorney General or as a qui tam action by a private individual in the name of the government.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The government may also assert that a claim including items or services resulting from a violation of the U.S. federal Anti-Kickback Statute constitutes a false or fraudulent claim for purposes of the federal civil FCA. Many states also have similar fraud and abuse statutes or regulations that apply to items and services reimbursed under Medicaid and other state programs, or, in several states, apply regardless of the payor.</w:t>
      </w:r>
    </w:p>
    <w:p>
      <w:pPr>
        <w:spacing w:after="0" w:line="19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spacing w:after="0" w:line="266" w:lineRule="auto"/>
        <w:rPr>
          <w:sz w:val="20"/>
          <w:szCs w:val="20"/>
          <w:color w:val="auto"/>
        </w:rPr>
      </w:pPr>
      <w:r>
        <w:rPr>
          <w:rFonts w:ascii="Times New Roman" w:cs="Times New Roman" w:eastAsia="Times New Roman" w:hAnsi="Times New Roman"/>
          <w:sz w:val="18"/>
          <w:szCs w:val="18"/>
          <w:color w:val="auto"/>
        </w:rPr>
        <w:t>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7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addition, there has been a trend of increased federal and state regulation of payments made to physicians and certain other healthcare providers. The Physician Payments Sunshine Act requires applicable manufacturers to report certain payments and “transfers of value” provided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physicians and their immediate family members.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8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176"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Laws in the U.S. and Europe</w:t>
      </w:r>
    </w:p>
    <w:p>
      <w:pPr>
        <w:spacing w:after="0" w:line="229"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are subject to the data protection laws in those jurisdictions where we are established and processing personal data. We are also subject to such laws, when outside the EU or U.K. (as the case may be), where we process personal data relating to individuals in the EU or U.K. “in the context of” an establishment in those markets, where we specifically target goods or services to EU or U.K. residents or where we monitor the behavior of individuals in the EU or U.K. (e.g., undertaking clinical trials). We and our suppliers, partners and subcontractors process personal data including in relation to our employees, employees of customers, clinical trial patients, healthcare professionals and employees of suppliers including health and medical information. The data privacy regime in the EU includes the General Data Protection Regulation (“GDPR”), the e-Privacy Directive and the national laws and regulations implementing or supplementing each of them. In the U.K., we are subject to the U.K. Data Protection Act 2018, the GDPR as implemented into U.K. law (the “U.K. GDPR”), along with U.K. regulations implementing the e-Privacy Directive. The U.K.’s data protection regime, while currently closely aligned with the EU’s, may diverge over time. The U.K. courts also recognize a civil tort for misuse of private information, distinct from a claim for breach of confidence. Additionally, in the EU and U.K., there are strict regulations on electronic marketing communications and the use of cookies and related technologies, with which we are required to adhere.</w:t>
      </w:r>
    </w:p>
    <w:p>
      <w:pPr>
        <w:spacing w:after="0" w:line="193"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GDPR and U.K. GDPR impose comprehensive data privacy compliance obligations in relation to our collection and use of personal data, including a principal of accountability and the obligation to demonstrate compliance through policies, procedures, training and audit. In addition, some of the personal data we process in respect of clinical trial participants is considered special category or sensitive personal data under the GDPR and U.K. GDPR, and subject to additional compliance obligations. We may be subject to diverging requirements under EU member state laws and U.K. law, such as whether consent can be used as the legal basis for processing of clinical trial data and the roles, responsibilities and liabilities as between CROs and sponsors.</w:t>
      </w:r>
    </w:p>
    <w:p>
      <w:pPr>
        <w:spacing w:after="0" w:line="187"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In relation to cross-border transfers, case law from the Court of Justice of the European Union (“CJEU”) states that reliance on the standard contractual clauses - a standard form of contract approved by the EU as an adequate personal data transfer mechanism</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ind w:right="120" w:firstLine="8"/>
        <w:spacing w:after="0" w:line="261" w:lineRule="auto"/>
        <w:tabs>
          <w:tab w:leader="none" w:pos="1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may not necessarily be sufficient in all circumstances and that transfers must be assessed on a case-by-case basis. In relation to data transfers from the EEA to the United States, the EU-US Data Privacy Framework (“DPF”) was approved by the EC in July 2023 as an effective EU GDPR data transfer mechanism to U.S. entities self-certified under the DPF. The U.K. Extension to the DPF followed in October 2023, as an effective U.K. GDPR data transfer mechanism to U.S. entities self-certified under the U.K. Extension to the DPF.</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There are costs and administrative burdens associated with compliance with the GDPR and U.K. GDPR and the resultant changes in the EU and EEA member states’ national laws. Any failure to comply with global privacy laws carries with it the risk of significant penalties and sanctions, Penalties for certain breaches of the GDPR or U.K. GDPR are up to the greater of 20 million euros / 17.5 million pounds sterling or 4% of global annual turnover. In addition to fines, a breach of the GDPR or U.K. GDPR may result in regulatory investigations, reputational damage, orders to cease/ change our data processing activities, enforcement notices, assessment notices (for a compulsory audit) and/ or civil claims (including class actions).</w:t>
      </w:r>
    </w:p>
    <w:p>
      <w:pPr>
        <w:spacing w:after="0" w:line="183"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In the U.S. and markets in other countries,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U.S.,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w:t>
      </w:r>
    </w:p>
    <w:p>
      <w:pPr>
        <w:spacing w:after="0" w:line="190"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the EU, governments set the price of product candidates through their health technology assessment, and reimbursement rules and control of national health care systems that fund a large part of the cost of those product candidates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 candidates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might compare the new product to an existing standard of care, including other treatments aimed at the same disease, if they exist. Health technology assessments (“HTA”),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w:t>
      </w:r>
    </w:p>
    <w:p>
      <w:pPr>
        <w:spacing w:after="0" w:line="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3" w:name="page34"/>
    <w:bookmarkEnd w:id="33"/>
    <w:p>
      <w:pPr>
        <w:ind w:right="180"/>
        <w:spacing w:after="0" w:line="261" w:lineRule="auto"/>
        <w:rPr>
          <w:sz w:val="20"/>
          <w:szCs w:val="20"/>
          <w:color w:val="auto"/>
        </w:rPr>
      </w:pPr>
      <w:r>
        <w:rPr>
          <w:rFonts w:ascii="Times New Roman" w:cs="Times New Roman" w:eastAsia="Times New Roman" w:hAnsi="Times New Roman"/>
          <w:sz w:val="18"/>
          <w:szCs w:val="18"/>
          <w:color w:val="auto"/>
        </w:rPr>
        <w:t>reference pricing systems. If an agreement cannot be reached, confidential discounts might be negotiated between the manufacturer and the healthcare system authorities. The downward pressure on health care costs in general, particularly prescription product candidates, has become very intense. As a result, increasingly high barriers are being erected to the entry of new product candidates. In addition, in some countries, legally permissible cross-border imports from low-priced markets within the EU single market exert a commercial pressure on pricing within a country.</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9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In March 2021, the American Rescue Plan Act of 2021 was signed into law, which eliminated the statutory Medicaid drug rebate cap, beginning January 1, 2024. The rebate was previously capped at 100% of a drug’s average manufacturer price.</w:t>
      </w:r>
    </w:p>
    <w:p>
      <w:pPr>
        <w:spacing w:after="0" w:line="17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w:t>
      </w:r>
    </w:p>
    <w:p>
      <w:pPr>
        <w:spacing w:after="0" w:line="180"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w:t>
      </w:r>
    </w:p>
    <w:p>
      <w:pPr>
        <w:spacing w:after="0" w:line="19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implementing state laws and regulations addressing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ind w:firstLine="749"/>
        <w:spacing w:after="0" w:line="253" w:lineRule="auto"/>
        <w:rPr>
          <w:sz w:val="20"/>
          <w:szCs w:val="20"/>
          <w:color w:val="auto"/>
        </w:rPr>
      </w:pPr>
      <w:r>
        <w:rPr>
          <w:rFonts w:ascii="Times New Roman" w:cs="Times New Roman" w:eastAsia="Times New Roman" w:hAnsi="Times New Roman"/>
          <w:sz w:val="18"/>
          <w:szCs w:val="18"/>
          <w:color w:val="auto"/>
        </w:rPr>
        <w:t>On December 13, 2021, EU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oncology and advanced therapy medicinal products (“ATMPs”) as of 2025, orphan medicinal products as of 2028 and 2030 for all other medicinal products authorized centrally. This Regulation intends to boost cooperation among EU member states in assessing health technologies, including new medicinal products, and provide the basis for cooperation at the EU level for joint clinical assessments in these areas, using methodologies adapted to the specificities of the type of product in question.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federal or foreign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2024, Mereo had </w:t>
      </w:r>
      <w:r>
        <w:rPr>
          <w:rFonts w:ascii="Times New Roman" w:cs="Times New Roman" w:eastAsia="Times New Roman" w:hAnsi="Times New Roman"/>
          <w:sz w:val="17"/>
          <w:szCs w:val="17"/>
          <w:color w:val="auto"/>
        </w:rPr>
        <w:t>36</w:t>
      </w:r>
      <w:r>
        <w:rPr>
          <w:rFonts w:ascii="Times New Roman" w:cs="Times New Roman" w:eastAsia="Times New Roman" w:hAnsi="Times New Roman"/>
          <w:sz w:val="18"/>
          <w:szCs w:val="18"/>
          <w:color w:val="auto"/>
        </w:rPr>
        <w:t xml:space="preserve"> employees. As of December 31, 2024, </w:t>
      </w:r>
      <w:r>
        <w:rPr>
          <w:rFonts w:ascii="Times New Roman" w:cs="Times New Roman" w:eastAsia="Times New Roman" w:hAnsi="Times New Roman"/>
          <w:sz w:val="17"/>
          <w:szCs w:val="17"/>
          <w:color w:val="auto"/>
        </w:rPr>
        <w:t>31</w:t>
      </w:r>
      <w:r>
        <w:rPr>
          <w:rFonts w:ascii="Times New Roman" w:cs="Times New Roman" w:eastAsia="Times New Roman" w:hAnsi="Times New Roman"/>
          <w:sz w:val="18"/>
          <w:szCs w:val="18"/>
          <w:color w:val="auto"/>
        </w:rPr>
        <w:t xml:space="preserve"> employees are employed in the U.K. and </w:t>
      </w:r>
      <w:r>
        <w:rPr>
          <w:rFonts w:ascii="Times New Roman" w:cs="Times New Roman" w:eastAsia="Times New Roman" w:hAnsi="Times New Roman"/>
          <w:sz w:val="17"/>
          <w:szCs w:val="17"/>
          <w:color w:val="auto"/>
        </w:rPr>
        <w:t>5</w:t>
      </w:r>
      <w:r>
        <w:rPr>
          <w:rFonts w:ascii="Times New Roman" w:cs="Times New Roman" w:eastAsia="Times New Roman" w:hAnsi="Times New Roman"/>
          <w:sz w:val="18"/>
          <w:szCs w:val="18"/>
          <w:color w:val="auto"/>
        </w:rPr>
        <w:t xml:space="preserve"> employees are employed in the U.S.</w:t>
      </w:r>
    </w:p>
    <w:p>
      <w:pPr>
        <w:spacing w:after="0" w:line="162"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All of our employees are engaged in either general and administrative or research and development functions. None of our employees are covered by a collective bargaining agreement. We consider our relationship with our employees to be good.</w:t>
      </w:r>
    </w:p>
    <w:p>
      <w:pPr>
        <w:spacing w:after="0" w:line="16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potential employees. The principal purposes of our share based payment plans are to attract, retain and motivate selected employees and directors through the granting of equity-based compensation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There are no governmental, legal or arbitration proceedings (including any such proceedings which are pending or threatened of which we are aware) that may have, or have had in the recent past (covering the 12 months immediately preceding the date of this Annual Report), significant effects on our financial position or profitability.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has significant risks. You should carefully consider the following risk factors as well as all other information contained in this report, including our consolidated financial statements and the related notes, before making an investment decision regarding our securities. The risks and uncertainties described below are those material risk factors currently known and specific to us that we believe are relevant to our business, results of operations and financial condition. Additional risks and uncertainties not currently known to us or that we now deem immaterial may also impair our business, results of operations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never generated any revenue from product sales.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a multi-asset, clinical-stage biopharmaceutical company with a limited operating history, and have incurred significant operating losses since our formation. For the year-ended December 31, 2024 we had a net loss of $(43.3) million, and we had a net loss of $(29.5) million for the year ended December 31, 2023. As of December 31, 2024, we had an accumulated deficit of $462.9 million ($419.6 million as of December 31, 2023). Our losses have resulted principally from expenses incurred from the research and development of our product candidates and from general and administrative costs that we have incurred while building and operating our business infrastructure. We expect to continue to incur significant operating losses for the foreseeable future as we invest in our research and development efforts, and seek to obtain regulatory approval and potentially commercialize our product candidates. We anticipate that our expenses will increase substantially as we:</w:t>
      </w:r>
    </w:p>
    <w:p>
      <w:pPr>
        <w:spacing w:after="0" w:line="189" w:lineRule="exact"/>
        <w:rPr>
          <w:sz w:val="20"/>
          <w:szCs w:val="20"/>
          <w:color w:val="auto"/>
        </w:rPr>
      </w:pPr>
    </w:p>
    <w:p>
      <w:pPr>
        <w:ind w:left="1140" w:right="6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the activities required as part of our collaboration with Ultragenyx and potential commercialization of setrusumab, if approved in the EU and the U.K.;</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secure a partnership and prepare for a potential Phase 3 clinical trial of alvelestat for the treatment of severe AATD-LD ;</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commercial infrastructure to commercialize or co-commercialize selected product candidates, if approved;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development of our product candidates in any additional potential indications;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CMOs to develop manufacturing processes and scale-up for Phase 3 studies and potential commercialization;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or obtain freedom to operate for our technologies and product candidates;</w:t>
      </w:r>
    </w:p>
    <w:p>
      <w:pPr>
        <w:spacing w:after="0" w:line="225" w:lineRule="exact"/>
        <w:rPr>
          <w:rFonts w:ascii="Times New Roman" w:cs="Times New Roman" w:eastAsia="Times New Roman" w:hAnsi="Times New Roman"/>
          <w:sz w:val="18"/>
          <w:szCs w:val="18"/>
          <w:color w:val="auto"/>
        </w:rPr>
      </w:pPr>
    </w:p>
    <w:p>
      <w:pPr>
        <w:jc w:val="both"/>
        <w:ind w:left="1140" w:right="44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legal and management personnel, including personnel to support the development of our product candidates and potential future commercialization or co-commercialization efforts and support our operations as a U.S. public company listed on Nasdaq;</w:t>
      </w:r>
    </w:p>
    <w:p>
      <w:pPr>
        <w:spacing w:after="0" w:line="175"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and potentially hire additional employees in the U.K., U.S. and in Europe, territories where we anticipate direct commercialization or commercialization with a partner;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acquire additional novel product candidates to treat rare diseases in the future.</w:t>
      </w:r>
    </w:p>
    <w:p>
      <w:pPr>
        <w:spacing w:after="0" w:line="225"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the acquisition and clinical development of our product candidates. We have not completed the clinical development of any product through approval and have never generated any revenue from product sales.</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 candidates that generate significant revenue. This will require us to be successful in a range of challenging activities, including completing clinical trials of our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ind w:right="100"/>
        <w:spacing w:after="0" w:line="261" w:lineRule="auto"/>
        <w:rPr>
          <w:sz w:val="20"/>
          <w:szCs w:val="20"/>
          <w:color w:val="auto"/>
        </w:rPr>
      </w:pPr>
      <w:r>
        <w:rPr>
          <w:rFonts w:ascii="Times New Roman" w:cs="Times New Roman" w:eastAsia="Times New Roman" w:hAnsi="Times New Roman"/>
          <w:sz w:val="18"/>
          <w:szCs w:val="18"/>
          <w:color w:val="auto"/>
        </w:rPr>
        <w:t>current or any future product candidates, obtaining regulatory approval for our product candidates that successfully complete clinical trials, establishing manufacturing supplies and marketing capabilities, and ultimately commercializing, if approved, or entering into strategic relationships for our current and future product candidates. We are only in the preliminary stages of many of these activities. We may never succeed in these activities and, even if we do, we may never generate revenue that is significant enough to achieve profitability.</w:t>
      </w:r>
    </w:p>
    <w:p>
      <w:pPr>
        <w:spacing w:after="0" w:line="18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18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could impair our ability to raise capital, acquire new product candidates, expand our business, or continue our operations. A decline in the market price of our ADSs also could cause you to lose all or a part of your investment.</w:t>
      </w:r>
    </w:p>
    <w:p>
      <w:pPr>
        <w:spacing w:after="0" w:line="188"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15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While we have raised approximately $259 million since 2020 through private placements of ordinary shares and convertible loan notes in 2020, a public offering of ADSs in February 2021, an “at-the-market” offering of ADSs in 2023, and an underwritten registered direct offering of ADSs in 2024, we expect our expenses to increase substantially in connection with our ongoing activities, particularly as we continue to advance our rare disease portfolio. In addition, if we obtain marketing approval for product candidates where we retain commercial rights, we expect to incur significant commercialization expenses related to product sales, marketing, distribution and manufacturing. Furthermore, we expect to continue to incur additional costs associated with operating as a publicly traded company in the U.S. and maintaining a listing on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9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be sufficient to enable us to fund our operating expenses and capital expenditure requirements into 2027 at which point we will require additional capital. Our failure to obtain sufficient funds on acceptable terms when needed could have a material adverse effect on our business, results of operations and financial condition.</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jc w:val="both"/>
        <w:ind w:left="1140" w:right="60" w:hanging="383"/>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our activities related to our ongoing collaboration with Ultragenyx for setrusumab for the treatment of children and adults with OI, including the costs for our preparation for the potential commercialization of setrusumab, if approved, in Europe and the U.K, and costs for potential future clinical trials for alvelestat in AATD;</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clinical or commercial supplies of our product candidates;</w:t>
      </w:r>
    </w:p>
    <w:p>
      <w:pPr>
        <w:spacing w:after="0" w:line="225"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including post-marketing studies that could be required by regulatory authorities;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left="1140" w:right="58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life cycle management and distribution, for any of our product candidates that we commercialize directly;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collaborators and partners under the existing agreements on setrusumab, navicixizumab and leflutrozole;</w:t>
      </w:r>
    </w:p>
    <w:p>
      <w:pPr>
        <w:spacing w:after="0" w:line="225"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and deferred payments under the Amended AstraZeneca Agreements;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or other assessments and our ability to claim R&amp;D tax credits or other reliefs.</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w:t>
      </w:r>
    </w:p>
    <w:p>
      <w:pPr>
        <w:spacing w:after="0" w:line="180"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Since our formation, we have devoted substantially all of our resources to acquiring our product candidates and developing setrusumab, alvelestat, etigilimab, acumapimod and leflutrozole; building our intellectual property portfolio; developing our supply chain; planning our business; raising capital; and providing general and administrative support for these operations. Additionally, prior to our acquisition of etigilimab and navicixizumab in the Merger, Mereo BioPharma 5 (formerly OncoMed) had invested significant resources to developing both product candidates. We have not yet demonstrated our ability to successfully complete any Phase 3 or other pivotal clinical trials, obtain regulatory approval, directly contract with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pharmaceutical and biotechnology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and acquire additional product candidates.</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Part of our strategy involves identifying and acquiring novel product candidates that have received significant investment from large pharmaceutical and biotechnology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180" w:lineRule="exact"/>
        <w:rPr>
          <w:sz w:val="20"/>
          <w:szCs w:val="20"/>
          <w:color w:val="auto"/>
        </w:rPr>
      </w:pPr>
    </w:p>
    <w:p>
      <w:pPr>
        <w:ind w:left="1140" w:right="32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acquire that have generated positive clinical data for our target indication or in diseases other than our target indications may not prove to be effective in treating our target indications;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8" w:name="page39"/>
    <w:bookmarkEnd w:id="38"/>
    <w:p>
      <w:pPr>
        <w:ind w:left="1140" w:right="12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with further studies, be shown to have harmful side effects or other characteristics that indicate that they are unlikely to be product candidates that will receive marketing approval and achieve market acceptance;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a potential product may be too complex and difficult to navigate successfully or economically;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competitive bids for potential product candidates which we do not seek to or are unable to match.</w:t>
      </w:r>
    </w:p>
    <w:p>
      <w:pPr>
        <w:spacing w:after="0" w:line="225"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or adversely affect the rights of, our security holders, restrict our operations; or require us to relinquish rights to our technologies or product candidates.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to decline.</w:t>
      </w:r>
    </w:p>
    <w:p>
      <w:pPr>
        <w:spacing w:after="0" w:line="19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setrusumab and alvelestat. We cannot give any assurance that any of these product candidates will receive regulatory approval, which is necessary before they can be commercialized. If we are unable to commercialize setrusumab and alvelestat, whether on our own or through agreements with third parties, or experience significant delays in doing so, our ability to generate revenue and our financial condition will be adversely affected.</w:t>
      </w:r>
    </w:p>
    <w:p>
      <w:pPr>
        <w:spacing w:after="0" w:line="18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We do not currently generate any revenue from sales of any product candidates, and we may never be able to develop or commercialize a marketable product. We have invested substantially all of our efforts and financial resources in the acquisition and development of setrusumab and alvelestat, among other product candidates in our portfolio. Our ability to generate royalty and product revenues, which we do not expect will occur for at least the next several years, if ever, will depend heavily on the successful development and potential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by us or our partners, and significant marketing efforts before we generate any revenue from product sales or royalties.</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or promote any product candidates in the U.S., EU, U.K., or other countries before we receive regulatory approval from the FDA, the EMA, or comparable U.K. or foreign regulatory authorities, and we may never receive such regulatory approval for our current product candidates. We have not submitted a BLA or an NDA to the FDA, an application for a MA ("MAA') or a conditional MA to the EMA, or comparable applications to other regulatory authorities. The success of our current product candidates will depend on many factors, including the following:</w:t>
      </w:r>
    </w:p>
    <w:p>
      <w:pPr>
        <w:spacing w:after="0" w:line="183" w:lineRule="exact"/>
        <w:rPr>
          <w:sz w:val="20"/>
          <w:szCs w:val="20"/>
          <w:color w:val="auto"/>
        </w:rPr>
      </w:pPr>
    </w:p>
    <w:p>
      <w:pPr>
        <w:ind w:left="1140" w:right="42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with favorable results, including toxicology and other studies designed to be compliant with GLP;</w:t>
      </w:r>
    </w:p>
    <w:p>
      <w:pPr>
        <w:spacing w:after="0" w:line="161"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to proceed with clinical trials under Investigational New Drug applications (“INDs”), by the FDA, or of similar regulatory submissions by comparable foreign regulatory authorities for the conduct of clinical trials of our product candidates;</w:t>
      </w:r>
    </w:p>
    <w:p>
      <w:pPr>
        <w:spacing w:after="0" w:line="161"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and completion of clinical studies in accordance with Good Clinical Practice (“GCP”) requirements and other applicable rules and regulations;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observed in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the clinical development of our product candidates;</w:t>
      </w:r>
    </w:p>
    <w:p>
      <w:pPr>
        <w:spacing w:after="0" w:line="225"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purity, and potency, or efficacy of our product candidates to the satisfaction of the FDA and other applicable regulatory authorities;</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approvals of NDAs or BLAs from the FDA, or MAAs from the EMA and maintaining any such approvals;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our third-party manufacturers for, or establishing, clinical or commercial manufacturing capabilities;</w:t>
      </w:r>
    </w:p>
    <w:p>
      <w:pPr>
        <w:spacing w:after="0" w:line="225"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 candidates,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establishing and maintaining patent and trade secret protection or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for our product candidates following regulatory approval, if any;</w:t>
      </w:r>
    </w:p>
    <w:p>
      <w:pPr>
        <w:spacing w:after="0" w:line="225"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our product candidates, if approved; and</w:t>
      </w:r>
    </w:p>
    <w:p>
      <w:pPr>
        <w:spacing w:after="0" w:line="161" w:lineRule="exact"/>
        <w:rPr>
          <w:rFonts w:ascii="Times New Roman" w:cs="Times New Roman" w:eastAsia="Times New Roman" w:hAnsi="Times New Roman"/>
          <w:sz w:val="18"/>
          <w:szCs w:val="18"/>
          <w:color w:val="auto"/>
        </w:rPr>
      </w:pPr>
    </w:p>
    <w:p>
      <w:pPr>
        <w:ind w:left="1140" w:right="120" w:hanging="383"/>
        <w:spacing w:after="0" w:line="261"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acceptance of our current product candidates by patients, the medical community, and third-party payors; our ability to compete with other therapies to treat OI, AATD, BOS or certain oncology indications; continued acceptable safety profiles following approval of our current product candidates; and our ability to qualify for, maintain, enforce, and defend our intellectual property rights and claims.</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If we do not successfully manage one or more of these factors in a timely manner or at all, we could experience significant delays or may not be able to successfully commercialize our current product candidates.</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plan to seek regulatory approval to commercialize, or co-commercialize, our current rare disease product candidates in the U.S., U.K. and the EU, and potentially in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0" w:name="page41"/>
    <w:bookmarkEnd w:id="40"/>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U.K.’s withdrawal from the EU, commonly referred to as Brexit, could increase our cost of doing business or otherwise negatively impact our business, results of operations and financial condition.</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Brexit could increase our cost of doing business or otherwise negatively impact our business, results of operations and financial condition. Brexit continues to create uncertainty concerning the future relationship between the U.K. and the EU, following the U.K.’s withdrawal from the EU in January 2020. Our principal office is located in the U.K. and together with our partners we conduct clinical trials in the EU. Since a significant portion of the regulatory framework in the U.K. is derived from EU laws, Brexit materially impacts the regulatory regime with respect to the development, manufacture, importation, approval and commercialization of our product candidates in the U.K. or the EU.</w:t>
      </w:r>
    </w:p>
    <w:p>
      <w:pPr>
        <w:spacing w:after="0" w:line="183"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EU laws that have been transposed into U.K. law through secondary legislation remain applicable in Great Britain, however new legislation such as the EU Clinical Trials Regulation (“CTR”) is not applicable in Great Britain. While the EU-U.K. Trade and Cooperation Agreement (“TCA”) includes the mutual recognition of Good Manufacturing Practice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in the future. Similarly, clinical trial submissions in the U.K. will not be able to be bundled with those of EU countries within the EMA Clinical Trial Information System (“CTIS”), adding further complexity, cost and potential risk to future clinical and development activity in the U.K. Significant political and economic uncertainty remains about how much the relationship between the U.K. and EU will differ as a result of the U.K.’s withdrawal.</w:t>
      </w:r>
    </w:p>
    <w:p>
      <w:pPr>
        <w:spacing w:after="0" w:line="19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activities conducted by third parties and contract manufacturers on our behalf. In addition to the foregoing, our U.K. operations support our current and future operations and clinical activities in other countries in the EU and the EEA and these operations and clinical activities could be disrupted by the ongoing effects of Brexit.</w:t>
      </w:r>
    </w:p>
    <w:p>
      <w:pPr>
        <w:spacing w:after="0" w:line="18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Since the regulatory framework in the U.K. covering quality, safety and efficacy of pharmaceutical products, clinical trials, marketing authorization (“MA”), commercial sales and distribution of pharmaceutical products is derived from EU directives and regulations, Brexit could materially impact the future regulatory regime with respect to the potential commercialization of our products in the U.K. 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 Any delay in commercializing our products in the U.K. and/or the EU could restrict our ability to generate revenue. The uncertainty around the U.K.’s future relationship with the EU continues to cause economic uncertainty which could adversely affect our business, financial condition and results of operations and could adversely affect the market price of our ADSs.</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licensing agreements for navicixizumab and leflutrozole, and the completion of a strategic partnership for setrusumab, and if we out-license or sell our non-core product candidates or out-license any of our core rare disease product candidates for any territories, we could be exposed to future liabilities.</w:t>
      </w:r>
    </w:p>
    <w:p>
      <w:pPr>
        <w:spacing w:after="0" w:line="17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January 2021, we completed a strategic partnership for setrusumab and completed the out-license of navicixizumab and leflutrozole in January 2020 and in December 2023, respectively. We plan to partner or sell or out-license our non-core product candidates, acumapimod for the treatment of AECOPD and etigilimab for the treatment of advanced solid tumors, recognizing the need for a larger sales infrastructure and greater resources to take these product candidates to market.</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may be exposed to future liabilities and/or obligations with respect to any such out-licensing or sale arrangements or partnerships.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As a result of the above, the total amount of costs and expenses that may be incurred with respect to liabilities associated with an out-license or sale may exceed our expectations, and we may experience other unanticipated adverse effects, all of which could adversely affect our business, financial condition, results of operations, and prospects.</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unstable market, economic, political, regulatory and other risks in a number of international operations and business disruptions could seriously harm our financial condition and increase costs.</w:t>
      </w:r>
    </w:p>
    <w:p>
      <w:pPr>
        <w:spacing w:after="0" w:line="15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(including as a result of the COVID-19 pandemic and actual or perceived changes in interest rates and economic inflation), which has included severely diminished liquidity and credit availability, declines in consumer confidence, declines in economic growth, high inflation, uncertainty about economic stability and swings in unemployment rates. The financial markets and the global economy may also be adversely affected by the current or anticipated impact of supply chain disruptions, labor shortages, fluctuations in currency exchange rates, changes in interest rates, trade barriers, military conflict, acts of terrorism or other geopolitical events.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business is subject to many of these risks as we conduct business internationally. We source research and development, manufacturing, consulting, and other services from companies based throughout the U.S., the EU, the U.K., Switzerland, India and China and we conduct our clinical trials in the U.S., Canada, certain European countries, and other countries. Accordingly, our future results could be harmed by a variety of factors, any or all of which could disrupt our supply chain, adversely affect the cost of raw materials and other services, adversely affect our ability to conduct ongoing and future clinical trials of our product candidates, and adversely affect our ability to commercialize our products (subject to regulatory approval).</w:t>
      </w:r>
    </w:p>
    <w:p>
      <w:pPr>
        <w:spacing w:after="0" w:line="183"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non-U.K. economies and markets;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deteriorations in equity and credit markets making future equity or debt financing more difficult, more costly and more dilutive.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non-U.K. countries;</w:t>
      </w:r>
    </w:p>
    <w:p>
      <w:pPr>
        <w:spacing w:after="0" w:line="225"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for our intellectual property in such jurisdictions;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non-U.K. laws and regulations;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non-U.K.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non-U.K. currency exchange rates of the pound sterling and currency controls;</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 including the implications of the U.K.’s withdrawal from the EU;</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U.K. or non-U.K. governments;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non-U.K. markets;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outside of the U.K.;</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U.K.;</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225"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resulting from one or more of our current service providers, manufacturers and other partners not surviving an economic downturn,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2" w:name="page43"/>
    <w:bookmarkEnd w:id="42"/>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health epidemics and other widespread outbreaks of contagious disease, or natural disasters, including earthquakes, typhoons, hurricanes, floods and fires;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health epidemics.</w:t>
      </w:r>
    </w:p>
    <w:p>
      <w:pPr>
        <w:spacing w:after="0" w:line="221" w:lineRule="exact"/>
        <w:rPr>
          <w:sz w:val="20"/>
          <w:szCs w:val="20"/>
          <w:color w:val="auto"/>
        </w:rPr>
      </w:pPr>
    </w:p>
    <w:p>
      <w:pPr>
        <w:ind w:right="1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political and trade conditions could adversely affect our business, financial condition or results of operations and may exacerbate the effects of the risks described herein.</w:t>
      </w:r>
    </w:p>
    <w:p>
      <w:pPr>
        <w:spacing w:after="0" w:line="159" w:lineRule="exact"/>
        <w:rPr>
          <w:sz w:val="20"/>
          <w:szCs w:val="20"/>
          <w:color w:val="auto"/>
        </w:rPr>
      </w:pPr>
    </w:p>
    <w:p>
      <w:pPr>
        <w:ind w:right="20" w:firstLine="675"/>
        <w:spacing w:after="0" w:line="253" w:lineRule="auto"/>
        <w:rPr>
          <w:sz w:val="20"/>
          <w:szCs w:val="20"/>
          <w:color w:val="auto"/>
        </w:rPr>
      </w:pPr>
      <w:r>
        <w:rPr>
          <w:rFonts w:ascii="Times New Roman" w:cs="Times New Roman" w:eastAsia="Times New Roman" w:hAnsi="Times New Roman"/>
          <w:sz w:val="18"/>
          <w:szCs w:val="18"/>
          <w:color w:val="auto"/>
        </w:rPr>
        <w:t>Current global economic conditions are highly volatile due to a number of reasons, including geopolitical instability, such as the military conflicts between Russia and Ukraine, the conflicts between Israel and Hamas, recent inflation that increased our operating expenses and disruptions in the capital and credit markets that may reduce our ability to raise additional capital when needed on acceptable terms, if at all. Emerging international trade relations, new legislation and tariffs may also adversely impact our operations and/or financial condition by limiting or preventing the activities of third parties that we engage, increasing import costs or increasing the cost of our operations. New or increased tariffs, export controls or other trade barriers could result in higher prices for the materials we use and the investigational products we are developing and could materially impact our supply chain and manufacturing costs. Furthermore, the recent inflationary environment related to increased aggregate demand and supply chain constraints has increased our operating expenses and may continue to affect our operating expenses. Economic conditions may also strain our suppliers, possibly resulting in supply disruptions that impact our ongoing clinical trials and other operations. A significant worsening of global economic conditions could materially increase these risks we face. Any new or prolonged downturn of global economic conditions could harm our business operations, and we cannot anticipate all of the ways in which the current economic climate and financial market conditions could adversely impact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ability to compete depends on retaining our key personnel and recruiting additional qualified personnel.</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including all of our senior management team, and scientific and technical personnel, many of whom have been instrumental for us and have substantial experience with rare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18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We aim to expand our development, regulatory, and sales and marketing capabilities, and as a result, we may encounter difficulties in managing our planned growth, which could disrupt our operations.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To manage our planned future growth, we must continue to implement and improve our managerial, operational and financial systems, expand our facilities or acquire new facilities, and continue to retain,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unavailability of certain tax credits or reliefs, or exposure to additional tax liabilities or assessments could adversely affect our results of operations and financial condition.</w:t>
      </w:r>
    </w:p>
    <w:p>
      <w:pPr>
        <w:spacing w:after="0" w:line="15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As a U.K. resident trading entity, we are subject to U.K. corporate taxation. Due to the nature of our business, we have generated operating losses since formation. As of December 31, 2024 and 2023, we had cumulative carry-forward tax losses of $</w:t>
      </w:r>
      <w:r>
        <w:rPr>
          <w:rFonts w:ascii="Times New Roman" w:cs="Times New Roman" w:eastAsia="Times New Roman" w:hAnsi="Times New Roman"/>
          <w:sz w:val="17"/>
          <w:szCs w:val="17"/>
          <w:color w:val="auto"/>
        </w:rPr>
        <w:t>36.6</w:t>
      </w:r>
      <w:r>
        <w:rPr>
          <w:rFonts w:ascii="Times New Roman" w:cs="Times New Roman" w:eastAsia="Times New Roman" w:hAnsi="Times New Roman"/>
          <w:sz w:val="18"/>
          <w:szCs w:val="18"/>
          <w:color w:val="auto"/>
        </w:rPr>
        <w:t xml:space="preserve"> million and $122.2 million, respectively. The availability to carry forward and offset these tax loss carry-forwards against future operating profits is subject to certain restrictions.</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a company that carries out extensive research and development (“R&amp;D”) activities, we benefit from the U.K. small and medium sized enterprises (“SME”) research and development relief (“SME R&amp;D Relief”), which provides relief against U.K. Corporation Tax and enables us to surrender some of our trading losses that arise from our R&amp;D activities for a cash rebate (the “R&amp;D tax credit”). Pursuant to changes made by the Finance Act 2023,s, a cash rebate of up to 27% of eligible R&amp;D expenditure is available, for R&amp;D intensive companies where at least 40% of their total expenditure is on qualifying R&amp;D, or up to 18.6% of eligible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20"/>
        <w:spacing w:after="0" w:line="252" w:lineRule="auto"/>
        <w:rPr>
          <w:sz w:val="20"/>
          <w:szCs w:val="20"/>
          <w:color w:val="auto"/>
        </w:rPr>
      </w:pPr>
      <w:r>
        <w:rPr>
          <w:rFonts w:ascii="Times New Roman" w:cs="Times New Roman" w:eastAsia="Times New Roman" w:hAnsi="Times New Roman"/>
          <w:sz w:val="18"/>
          <w:szCs w:val="18"/>
          <w:color w:val="auto"/>
        </w:rPr>
        <w:t>R&amp;D expenditure for other companies. for expenditure incurred on or after April 1, 2023, certain subcontracted qualifying research expenditures are eligible for a cash rebate of up 17.53% for R&amp;D intensive companies or 12.09% for other companies. The difference in cash rebate for qualifying subcontracted expenditure versus other qualifying expenditure is due to a statutory restriction of 65% being applied to unconnected qualifying subcontracted expenditure, thus restricting the benefit available. Pursuant to changes made by the Finance Act 2024, for accounting periods starting on or after April 1, 2024, the new merged scheme will come into effect for all companies, other than loss making R&amp;D intensive SMEs. For loss making R&amp;D intensive SMEs, the enhanced R&amp;D intensive support (“ERIS”) regime will be available (for companies where at least 30% of their total expenditure including any connected companies is on qualifying R&amp;D). Under the new merged scheme, we expect to benefit from the taxable credit for qualifying R&amp;D expenditure which may either be offset against corporation tax liabilities or paid net of tax as a cash credit where there is no liability in the future. Subcontracted expenditure in most cases is expected to be a qualifying cost (unless it relates to non-qualifying costs subcontracted overseas) under the new merged scheme. In the event we generate revenues in the future, we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(assuming the R&amp;D intensity threshold is still met at this stage), we expect a long-term lower rate of corporation tax to apply to us. If, however, there are unexpected adverse changes to the U.K. R&amp;D tax credit regime or the “patent box” regime, or for any reason we are unable to qualify for these regimes, or we are unable to use net operating loss and tax credit carry forwards and certain built-in losses to reduce future tax payments, our business, results of operations, and financial condition may be adversely affected.</w:t>
      </w:r>
    </w:p>
    <w:p>
      <w:pPr>
        <w:spacing w:after="0" w:line="19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amount of SME payable R&amp;D tax credit that a business can receive in any one year is capped at £20,000 plus three times the Company’s total Pay As You Earn (PAYE) and National Insurance contributions (NIC) liability. Exemptions to the cap have been introduced which are available to companies that meet certain conditions. Based on the Company’s prior year claims, we do not believe these changes could have an impact on our tax credit for the year ending December 31, 2024, which would be payable in 2025. If tax authorities challenge our determinations and/or audit prior periods there could be adverse tax consequences to us that could adversely affect our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Manufacturing and Regulatory Approval</w:t>
      </w:r>
    </w:p>
    <w:p>
      <w:pPr>
        <w:spacing w:after="0" w:line="22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Prior to our acquisition of setrusumab, alvelestat, etigilimab, acumapimod, leflutrozole and navicixizumab, we were not involved in the development of these product candidates and, as a result, we are dependent on Novartis, AstraZeneca and Mereo BioPharma 5 (formerly OncoMed) having accurately reported the results and correctly collected and interpreted the data from all clinical trials conducted prior to our acquisition.</w:t>
      </w:r>
    </w:p>
    <w:p>
      <w:pPr>
        <w:spacing w:after="0" w:line="17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were not involved in the development of our current product candidates prior to our acquisition of such product candidates from Novartis, AstraZeneca and Mereo BioPharma 5. For all of our current product candidates, we have had no involvement with or control over their manufacturing or pre-clinical and clinical development prior to our acquisition of them. We are dependent on Novartis, AstraZeneca and Mereo BioPharma 5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Mereo BioPharma 5 has not done this, the clinical development, regulatory approval, or commercialization of our product candidates may be adversely affected.</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development involves a lengthy and expensive process with an uncertain outcome. Any difficulties or delays in the commencement or completion, or the termination or suspension, of our or our partners current or planned clinical trials could result in increased costs to us, delay or limit our ability to generate revenue or adversely affect our commercial prospects.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Before obtaining approval from regulatory authorities for the commercialization of any of our product candidates, we must conduct extensive clinical trials to demonstrate the safety and efficacy of the product candidate, or with respect to product candidates regulated as biologics, safety, purity and potency,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4" w:name="page45"/>
    <w:bookmarkEnd w:id="44"/>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Moreover, preclinical and clinical data are often susceptible to varying interpretations and analyses. A number of companies in the pharmaceutical and biotechnology industries have suffered significant setbacks in clinical development even after achieving promising results in earlier studies.</w:t>
      </w:r>
    </w:p>
    <w:p>
      <w:pPr>
        <w:spacing w:after="0" w:line="18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We do not know whether our planned clinical trials will begin on time or be completed on schedule, if at all. The commencement, data readouts and completion of clinical trials can be delayed for a number of reasons, including delays related to:</w:t>
      </w:r>
    </w:p>
    <w:p>
      <w:pPr>
        <w:spacing w:after="0" w:line="162" w:lineRule="exact"/>
        <w:rPr>
          <w:sz w:val="20"/>
          <w:szCs w:val="20"/>
          <w:color w:val="auto"/>
        </w:rPr>
      </w:pPr>
    </w:p>
    <w:p>
      <w:pPr>
        <w:ind w:left="1140" w:right="32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toxicology, or other in vivo or in vitro data to support the initiation or continuation of clinical trials;</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allowance or approval from regulatory authorities to commence a trial or reaching a consensus with regulatory authorities on trial design;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comparable foreign regulatory authorities disagreeing as to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or positive opinion from one or more institutional review boards (“IRBs”), or ethics committees at clinical trial sites;</w:t>
      </w:r>
    </w:p>
    <w:p>
      <w:pPr>
        <w:spacing w:after="0" w:line="225"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subjects, or withdrawing their approval of the trial;</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amendments to the clinical trial protocol;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GCP requirements or applicable regulatory rules and guidelines in other countries;</w:t>
      </w:r>
    </w:p>
    <w:p>
      <w:pPr>
        <w:spacing w:after="0" w:line="225"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our product candidates, or obtaining sufficient quantities of combination therapies for use in clinical trials;</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 including subjects failing to remain in our trials;</w:t>
      </w:r>
    </w:p>
    <w:p>
      <w:pPr>
        <w:spacing w:after="0" w:line="161"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an alternative product for the indications for which we are developing our product candidates, or participating in competing clinical trials;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a clinical trial, or costs being greater than we anticipate;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serious unexpected drug-related adverse effects;</w:t>
      </w:r>
    </w:p>
    <w:p>
      <w:pPr>
        <w:spacing w:after="0" w:line="225"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 that could be considered similar to our product candidates;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ind w:left="1140" w:right="20" w:hanging="383"/>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CMO delays or failure by our CMOs or us to make any necessary changes to such manufacturing process, or failure of our CMOs to produce clinical trial materials in accordance with current Good Manufacturing Practice (“cGMP”) or similar foreign requirements, regulations or other applicable requirements; and</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22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EMA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w:t>
      </w:r>
    </w:p>
    <w:p>
      <w:pPr>
        <w:spacing w:after="0" w:line="194"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94"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16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It is currently unclear to what extent the U.K., will seek to align its clinical trials legislation with the EU. The U.K. regulatory framework in relation to clinical trials is derived from EU clinical trials legislation which pre-dated the CTR (as implemented into U.K. law, through secondary legislation). On January 17, 2022, the U.K. Medicines and Healthcare products Regulatory Agency (“MHRA”) launched an eight-week consultation on reframing the U.K. legislation for clinical trials. The MHRA responded to the consultation on March 21, 2023 and confirmed that it would bring forward changes to the legislation. The final legal texts introduced by the U.K. Government will ultimately determine the extent to which whether the U.K. clinical trials framework aligns with or diverges from with the CTR. A decision by the U.K. Government not to closely align its regulations with the new approach that has been adopted in the EU may have an effect on the cost of conducting clinical trials in the U.K. as opposed to other countries. If there are divergent local requirements in Great Britain from the EU in the future, this may impact clinical and development activities that occur in the U.K. in the future. Similarly, clinical trial submissions in the U.K. will not be able to be bundled with those of EU countries within the EMA CTIS, adding further complexity, cost and potential risk to future clinical and development activity in the U.K.</w:t>
      </w:r>
    </w:p>
    <w:p>
      <w:pPr>
        <w:spacing w:after="0" w:line="19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160"/>
        <w:spacing w:after="0" w:line="266" w:lineRule="auto"/>
        <w:rPr>
          <w:sz w:val="20"/>
          <w:szCs w:val="20"/>
          <w:color w:val="auto"/>
        </w:rPr>
      </w:pPr>
      <w:r>
        <w:rPr>
          <w:rFonts w:ascii="Times New Roman" w:cs="Times New Roman" w:eastAsia="Times New Roman" w:hAnsi="Times New Roman"/>
          <w:sz w:val="18"/>
          <w:szCs w:val="18"/>
          <w:color w:val="auto"/>
        </w:rPr>
        <w:t>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76"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and prospects.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180"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other foreign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9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Results of our ongoing and future clinical trials, or results from clinical trials for other similar product candidates, could reveal a high and unacceptable severity and prevalence of adverse side effects. In such an event, development efforts of that product candidate altogether. We, our partners, the FDA, other comparable foreign regulatory authorities or an IRB may suspend clinical trials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280"/>
        <w:spacing w:after="0" w:line="261" w:lineRule="auto"/>
        <w:rPr>
          <w:sz w:val="20"/>
          <w:szCs w:val="20"/>
          <w:color w:val="auto"/>
        </w:rPr>
      </w:pPr>
      <w:r>
        <w:rPr>
          <w:rFonts w:ascii="Times New Roman" w:cs="Times New Roman" w:eastAsia="Times New Roman" w:hAnsi="Times New Roman"/>
          <w:sz w:val="18"/>
          <w:szCs w:val="18"/>
          <w:color w:val="auto"/>
        </w:rPr>
        <w:t>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w:t>
      </w:r>
    </w:p>
    <w:p>
      <w:pPr>
        <w:spacing w:after="0" w:line="180"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Drug-related side effects could also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76"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modify approvals of any such product and require us to take it off the market;</w:t>
      </w:r>
    </w:p>
    <w:p>
      <w:pPr>
        <w:spacing w:after="0" w:line="225"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161" w:lineRule="exact"/>
        <w:rPr>
          <w:rFonts w:ascii="Times New Roman" w:cs="Times New Roman" w:eastAsia="Times New Roman" w:hAnsi="Times New Roman"/>
          <w:sz w:val="18"/>
          <w:szCs w:val="18"/>
          <w:color w:val="auto"/>
        </w:rPr>
      </w:pPr>
    </w:p>
    <w:p>
      <w:pPr>
        <w:jc w:val="both"/>
        <w:ind w:left="1140" w:right="740" w:hanging="383"/>
        <w:spacing w:after="0" w:line="312" w:lineRule="auto"/>
        <w:tabs>
          <w:tab w:leader="none" w:pos="1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139"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conduct additional clinical trials or change the labeling of a product;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225"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private or government payors may not offer, or may offer inadequate, reimbursement coverage for our product candidates, or reimbursement payments may be delayed or impossible to recover;</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tests of setrusumab have shown that it may cause an opalescence appearance to the liquid antibody formulation.</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We have conducted several large-scale manufacturing runs of drug substance and drug product at third-party CMOs without observing any opalescence and we have further conducted formulation studies in order to minimize any risk of significant opalescence or of aggregate formation. We have also conducted product stability studies and excipient optimization, resulting in a change in the methodology for product reconstitution; however, there can be no assurances that this opalescence will not occur in future manufacturing runs.</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1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We will compete with other companies in enrolling the same limited population of patients, which may further challenge our ability to timely enroll patients in our clinical trials as there are a significant number of studies ongoing in oncology in the U.S. and Europe. Due to the small number of patients for any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20"/>
        <w:spacing w:after="0" w:line="258" w:lineRule="auto"/>
        <w:rPr>
          <w:sz w:val="20"/>
          <w:szCs w:val="20"/>
          <w:color w:val="auto"/>
        </w:rPr>
      </w:pPr>
      <w:r>
        <w:rPr>
          <w:rFonts w:ascii="Times New Roman" w:cs="Times New Roman" w:eastAsia="Times New Roman" w:hAnsi="Times New Roman"/>
          <w:sz w:val="18"/>
          <w:szCs w:val="18"/>
          <w:color w:val="auto"/>
        </w:rPr>
        <w:t>rare disease or tumor type, it may be difficult for us to enroll a sufficient number of patients in our clinical trials for our product candidates with indications in rare diseases or enrollment for these product candidates may take significantly longer than we anticipate. There are an estimated 50,000 and 60,000 persons in North America and Europe, respectively, with the genotypes that we could enroll in our clinical trials for AATD-LD, the target indication for alvelestat. However, due to underdiagnosis, there are estimated to be approximately 10,000 patients diagnosed in North America. Patient enrollment depends on many factors, including:</w:t>
      </w:r>
    </w:p>
    <w:p>
      <w:pPr>
        <w:spacing w:after="0" w:line="183" w:lineRule="exact"/>
        <w:rPr>
          <w:sz w:val="20"/>
          <w:szCs w:val="20"/>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targeted patient population;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or condition under investigation;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therapies for the disease or condition under investigation;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25" w:lineRule="exact"/>
        <w:rPr>
          <w:rFonts w:ascii="Times New Roman" w:cs="Times New Roman" w:eastAsia="Times New Roman" w:hAnsi="Times New Roman"/>
          <w:sz w:val="18"/>
          <w:szCs w:val="18"/>
          <w:color w:val="auto"/>
        </w:rPr>
      </w:pPr>
    </w:p>
    <w:p>
      <w:pPr>
        <w:ind w:left="1140" w:right="460" w:hanging="383"/>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such trials before completion.</w:t>
      </w:r>
    </w:p>
    <w:p>
      <w:pPr>
        <w:spacing w:after="0" w:line="22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These factors and others outside our control may make it difficult for us to enroll enough patients to complete our clinical trials in a timely and cost-effective manner. For example, the COVID-19 pandemic previously resulted in delays in our ability to enroll and treat patients and obtain data from clinical trials, particularly patients with severe AATD-LD.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189" w:lineRule="exact"/>
        <w:rPr>
          <w:sz w:val="20"/>
          <w:szCs w:val="20"/>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related litigation;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 product recalls or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co-commercialize or promote our product candidates.</w:t>
      </w:r>
    </w:p>
    <w:p>
      <w:pPr>
        <w:spacing w:after="0" w:line="225"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are subject to extensive regulation by the FDA in the U.S. and by comparable foreign regulatory authorities in foreign markets, such as the EMA. In the U.S., we are not permitted to market our product candidates in the U.S. until we receive regulatory approval of a BLA or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EMA and comparable foreign regulatory authorities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and in the case of biological products, that such product candidates are safe, pure and potent. Results from nonclinical studies and clinical trials can be interpreted in different ways. Even if we believe available nonclinical or clinical data support the safety purity, potency, or efficacy, of our product candidates, such data may not be sufficient to obtain approval from the FDA and comparable foreign regulatory authorities. The FDA, EMA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FDA, EMA or comparable foreign regulatory authorities can delay, limit or deny approval of a product candidate for many reasons,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w:t>
      </w:r>
    </w:p>
    <w:p>
      <w:pPr>
        <w:spacing w:after="0" w:line="207" w:lineRule="exact"/>
        <w:rPr>
          <w:sz w:val="20"/>
          <w:szCs w:val="20"/>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execution of our clinical trials;</w:t>
      </w:r>
    </w:p>
    <w:p>
      <w:pPr>
        <w:spacing w:after="0" w:line="225"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EMA or comparable foreign regulatory agencies for approval;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left="1140" w:right="46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161"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161"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225"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NDA, MAA or other submission or to obtain regulatory approval in the U.S. or elsewhere, and such authorities may impose requirements for additional preclinical studies or clinical trials;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225"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161"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the third-party manufacturers with which we contract for clinical and commercial supplies; or</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With respect to foreign markets, approval procedures vary among countries and, in addition to the foregoing risks, may involve additional product testing, administrative review periods and agreements with pricing authorities.</w:t>
      </w:r>
    </w:p>
    <w:p>
      <w:pPr>
        <w:spacing w:after="0" w:line="16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 BLA, NDA, MAA or comparable marketing application for our product candidates, the FDA or a comparable regulatory authority may grant approval contingent on the performance of costly additional clinical trials and/or the implementation of a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EC in November 2020. The EC’s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biopharmaceutical industry in the long term.</w:t>
      </w:r>
    </w:p>
    <w:p>
      <w:pPr>
        <w:spacing w:after="0" w:line="18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may in the future seek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spacing w:after="0" w:line="258" w:lineRule="auto"/>
        <w:rPr>
          <w:sz w:val="20"/>
          <w:szCs w:val="20"/>
          <w:color w:val="auto"/>
        </w:rPr>
      </w:pPr>
      <w:r>
        <w:rPr>
          <w:rFonts w:ascii="Times New Roman" w:cs="Times New Roman" w:eastAsia="Times New Roman" w:hAnsi="Times New Roman"/>
          <w:sz w:val="18"/>
          <w:szCs w:val="18"/>
          <w:color w:val="auto"/>
        </w:rPr>
        <w:t>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8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88"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or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8"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funding shortages, staffing limitations or other factors could hinder their ability to hire and retain key leadership and other personnel, delay or prevent new products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ability of the FDA to operate, including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and policy changes, including as a result of shifting policy among other factors. Average review times at the FDA and other government agencies may fluctuate as a result. In addition, government funding of other government agencies on which our operations may rely is subject to the political process, which is inherently fluid and unpredictable.</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or to otherwise respond to regulatory submissions, which would adversely affect our business. In recent years, the U.S. government has shut down multiple times and certain regulatory agencies, such as the FDA, have had to furlough critical FDA and other government employees and stop critical activities. If a prolonged government shutdown occurs, or if staffing shortages, funding limitations or similar factors prevent the FDA and other government agencies from conducting their regular activities, it could significantly impact the ability of the FDA or such other governmental agencies to timely review and process our regulatory submissions, which could have a material adverse effect on our business.</w:t>
      </w:r>
    </w:p>
    <w:p>
      <w:pPr>
        <w:spacing w:after="0" w:line="1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or similar foreign requirements for manufacturing, good distribution practice, requirements for product distribution, and GCP requirements for any clinical trials that we conduct post-approval, all of which may result in significant expense and limit our ability to commercialize,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right="180"/>
        <w:spacing w:after="0" w:line="258" w:lineRule="auto"/>
        <w:rPr>
          <w:sz w:val="20"/>
          <w:szCs w:val="20"/>
          <w:color w:val="auto"/>
        </w:rPr>
      </w:pPr>
      <w:r>
        <w:rPr>
          <w:rFonts w:ascii="Times New Roman" w:cs="Times New Roman" w:eastAsia="Times New Roman" w:hAnsi="Times New Roman"/>
          <w:sz w:val="18"/>
          <w:szCs w:val="18"/>
          <w:color w:val="auto"/>
        </w:rPr>
        <w:t>or co-commercialize, a product. We and our contract manufacturers will also be subject to user fees and periodic inspection by the FDA, and other comparable foreign regulatory authorities to monitor compliance with these requirements and the terms of any product approval we may obtain. 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183"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189" w:lineRule="exact"/>
        <w:rPr>
          <w:sz w:val="20"/>
          <w:szCs w:val="20"/>
          <w:color w:val="auto"/>
        </w:rPr>
      </w:pPr>
    </w:p>
    <w:p>
      <w:pPr>
        <w:ind w:left="1140" w:right="480" w:hanging="383"/>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untitled letters or holds on clinical trials;</w:t>
      </w:r>
    </w:p>
    <w:p>
      <w:pPr>
        <w:spacing w:after="0" w:line="225"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authority to approve pending applications or supplements to approved applications submitted by us or suspension or revocation of approvals;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the U.K., EU, or other jurisdictions.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of any of our product candidates in a major pharmaceutical market such as the U.S. or the EU, we may not be able to obtain approval or commercialize that product in other markets, which would limit our ability to realize our full market potential.</w:t>
      </w:r>
    </w:p>
    <w:p>
      <w:pPr>
        <w:spacing w:after="0" w:line="159" w:lineRule="exact"/>
        <w:rPr>
          <w:sz w:val="20"/>
          <w:szCs w:val="20"/>
          <w:color w:val="auto"/>
        </w:rPr>
      </w:pPr>
    </w:p>
    <w:p>
      <w:pPr>
        <w:jc w:val="both"/>
        <w:ind w:right="620" w:firstLine="749"/>
        <w:spacing w:after="0" w:line="257" w:lineRule="auto"/>
        <w:rPr>
          <w:sz w:val="20"/>
          <w:szCs w:val="20"/>
          <w:color w:val="auto"/>
        </w:rPr>
      </w:pPr>
      <w:r>
        <w:rPr>
          <w:rFonts w:ascii="Times New Roman" w:cs="Times New Roman" w:eastAsia="Times New Roman" w:hAnsi="Times New Roman"/>
          <w:sz w:val="18"/>
          <w:szCs w:val="18"/>
          <w:color w:val="auto"/>
        </w:rPr>
        <w:t>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U.S., the EU, the U.K. or any other markets, and our management team does not have experience in obtaining regulatory approval in markets outside of the U.S., the EU and the U.K.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3" w:name="page54"/>
    <w:bookmarkEnd w:id="53"/>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175"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and U.K., which imposes obligations and restrictions on the collection and use of personal data relating to individuals located in the EU and U.K., respectively. If we do not comply with our obligations under these privacy regimes, we could be exposed to significant fines and may be the subject of litigation and/or adverse publicity, which could have a material adverse effect on our reputation and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Laws and Other Legal Compliance Matters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the U.S., EU, the U.K.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87" w:lineRule="exact"/>
        <w:rPr>
          <w:sz w:val="20"/>
          <w:szCs w:val="20"/>
          <w:color w:val="auto"/>
        </w:rPr>
      </w:pPr>
    </w:p>
    <w:p>
      <w:pPr>
        <w:ind w:left="1140" w:right="320" w:hanging="383"/>
        <w:spacing w:after="0" w:line="266"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7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of branded and generic drugs, respectively;</w:t>
      </w:r>
    </w:p>
    <w:p>
      <w:pPr>
        <w:spacing w:after="0" w:line="161"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methodology by which rebates owed by manufacturers under the Medicaid Drug Rebate Program are calculated for drugs and biologics, including our product candidates,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161" w:lineRule="exact"/>
        <w:rPr>
          <w:rFonts w:ascii="Times New Roman" w:cs="Times New Roman" w:eastAsia="Times New Roman" w:hAnsi="Times New Roman"/>
          <w:sz w:val="18"/>
          <w:szCs w:val="18"/>
          <w:color w:val="auto"/>
        </w:rPr>
      </w:pPr>
    </w:p>
    <w:p>
      <w:pPr>
        <w:ind w:left="1140" w:right="360" w:hanging="383"/>
        <w:spacing w:after="0" w:line="266"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ind w:left="1140" w:right="20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61"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the CMS, to test innovative payment and service delivery models to lower Medicare and Medicaid spending, potentially including prescription drug spending;</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program;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 on biologic product candidates.</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In addition, other legislative changes have been proposed and adopted since the ACA was enacted. For example, on March 11, 2021, President Biden signed the American Rescue Plan Act of 2021 into law, which eliminated the statutory Medicaid drug rebate cap, beginning January 1, 2024. The rebate was previously capped at 100% of a drug’s average manufacturer price.</w:t>
      </w:r>
    </w:p>
    <w:p>
      <w:pPr>
        <w:spacing w:after="0" w:line="183"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Moreover, heightened governmental scrutiny is likely to continue over the manner in which manufacturers set prices for their marketed products, which has resulted in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or HHS, to implement many of these provisions through guidance, as opposed to regulation, for the initial years. HHS has issued and will continue to issue guidance implementing the IRA.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w:t>
      </w:r>
    </w:p>
    <w:p>
      <w:pPr>
        <w:spacing w:after="0" w:line="19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 candidates and which suppliers will be included in their prescription drug and other healthcare programs. This could reduce the ultimate demand for our product candidates or put pressure on our product pricing.</w:t>
      </w:r>
    </w:p>
    <w:p>
      <w:pPr>
        <w:spacing w:after="0" w:line="192"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In the EU and U.K., similar political, economic and regulatory developments may affect our ability to profitably commercialize, or co-commercialize, our product candidates, if approved. In addition to continuing pressure on prices and cost containment measures, legislative developments at the EU member state level or in the U.K.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 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ind w:firstLine="749"/>
        <w:spacing w:after="0" w:line="253" w:lineRule="auto"/>
        <w:rPr>
          <w:sz w:val="20"/>
          <w:szCs w:val="20"/>
          <w:color w:val="auto"/>
        </w:rPr>
      </w:pPr>
      <w:r>
        <w:rPr>
          <w:rFonts w:ascii="Times New Roman" w:cs="Times New Roman" w:eastAsia="Times New Roman" w:hAnsi="Times New Roman"/>
          <w:sz w:val="18"/>
          <w:szCs w:val="18"/>
          <w:color w:val="auto"/>
        </w:rPr>
        <w:t>On December 13, 2021, EU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oncology and advanced therapy medicinal products (“ATMPs”) as of 2025, orphan medicinal products as of 2028 and 2030 for all other medicinal products. This Regulation intends to boost cooperation among EU member states in assessing health technologies, including new medicinal products, and provide the basis for cooperation at the EU level for joint clinical assessments in these areas, using methodologies adapted to the specificities of the type of product in question.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2"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In markets outside of the U.S., the EU and the U.K., reimbursement and healthcare payment systems vary significantly by country, and many countries have instituted price ceilings on specific product candidates and therapies.</w:t>
      </w:r>
    </w:p>
    <w:p>
      <w:pPr>
        <w:spacing w:after="0" w:line="16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U.S., the EU, the U.K.,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additional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5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180" w:lineRule="exact"/>
        <w:rPr>
          <w:sz w:val="20"/>
          <w:szCs w:val="20"/>
          <w:color w:val="auto"/>
        </w:rPr>
      </w:pPr>
    </w:p>
    <w:p>
      <w:pPr>
        <w:ind w:left="1140" w:right="180" w:hanging="383"/>
        <w:spacing w:after="0" w:line="254"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191" w:lineRule="exact"/>
        <w:rPr>
          <w:rFonts w:ascii="Times New Roman" w:cs="Times New Roman" w:eastAsia="Times New Roman" w:hAnsi="Times New Roman"/>
          <w:sz w:val="18"/>
          <w:szCs w:val="18"/>
          <w:color w:val="auto"/>
        </w:rPr>
      </w:pPr>
    </w:p>
    <w:p>
      <w:pPr>
        <w:ind w:left="1140" w:right="20" w:hanging="383"/>
        <w:spacing w:after="0" w:line="253"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left="1140" w:right="300" w:hanging="383"/>
        <w:spacing w:after="0" w:line="255"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8" w:lineRule="exact"/>
        <w:rPr>
          <w:rFonts w:ascii="Times New Roman" w:cs="Times New Roman" w:eastAsia="Times New Roman" w:hAnsi="Times New Roman"/>
          <w:sz w:val="18"/>
          <w:szCs w:val="18"/>
          <w:color w:val="auto"/>
        </w:rPr>
      </w:pPr>
    </w:p>
    <w:p>
      <w:pPr>
        <w:ind w:left="1140" w:right="40" w:hanging="383"/>
        <w:spacing w:after="0" w:line="255"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the physicians described above and their immediate family members;</w:t>
      </w:r>
    </w:p>
    <w:p>
      <w:pPr>
        <w:spacing w:after="0" w:line="188" w:lineRule="exact"/>
        <w:rPr>
          <w:rFonts w:ascii="Times New Roman" w:cs="Times New Roman" w:eastAsia="Times New Roman" w:hAnsi="Times New Roman"/>
          <w:sz w:val="18"/>
          <w:szCs w:val="18"/>
          <w:color w:val="auto"/>
        </w:rPr>
      </w:pPr>
    </w:p>
    <w:p>
      <w:pPr>
        <w:ind w:left="1140" w:right="140" w:hanging="383"/>
        <w:spacing w:after="0" w:line="255"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188" w:lineRule="exact"/>
        <w:rPr>
          <w:rFonts w:ascii="Times New Roman" w:cs="Times New Roman" w:eastAsia="Times New Roman" w:hAnsi="Times New Roman"/>
          <w:sz w:val="18"/>
          <w:szCs w:val="18"/>
          <w:color w:val="auto"/>
        </w:rPr>
      </w:pPr>
    </w:p>
    <w:p>
      <w:pPr>
        <w:ind w:left="1140" w:right="200" w:hanging="383"/>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and regulations in the EU, the U.K. and other jurisdictions, including reporting requirements detailing interactions with and payments to healthcare providers.</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15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220"/>
        <w:spacing w:after="0" w:line="256" w:lineRule="auto"/>
        <w:rPr>
          <w:sz w:val="20"/>
          <w:szCs w:val="20"/>
          <w:color w:val="auto"/>
        </w:rPr>
      </w:pPr>
      <w:r>
        <w:rPr>
          <w:rFonts w:ascii="Times New Roman" w:cs="Times New Roman" w:eastAsia="Times New Roman" w:hAnsi="Times New Roman"/>
          <w:sz w:val="18"/>
          <w:szCs w:val="18"/>
          <w:color w:val="auto"/>
        </w:rPr>
        <w:t>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8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we are subject to diverse laws and regulations relating to data privacy and security in the EU, and the U.K. including the GDPR and U.K. GDPR. New global privacy rules are being enacted and existing ones are being updated and strengthened. We are likely to be required to expend capital and other resources to ensure ongoing compliance with these laws and regulations. The GDPR and U.K. GDPR implement stringent operational requirements for controllers and processors of personal data, including comprehensive data privacy compliance obligations in relation to our collection, processing, sharing, disclosure, transfer and other use of personal data, including a principal of accountability and the obligation to demonstrate compliance through policies, procedures, training and audit. Failure by us, or our partners or service providers, to comply with the GDPR or U.K. GDPR could result in regulatory investigations, enforcement notices and/or fines of up to the higher of €20 million or £17.5 million or up to 4% of our total worldwide annual turnover. In addition to the foregoing, any breach of privacy laws or data security laws could have a material adverse effect on our business, reputation and financial condition. We may also face civil claims seeking compensation for both material and immaterial harms arising from a GDPR or U.K. GDPR violation. The GDPR and U.K. GDPR also regulate cross-border transfers of personal data to third countries that have not been found to provide adequate protection to such personal data, including the U.S., and the efficacy and longevity of current transfer mechanisms between the EEA, and the U.S. remains uncertain. Case law from the Court of Justice of the European Union (“CJEU”) states that reliance on the standard contractual clauses - a standard form of contract approved by the EU as an adequate personal data transfer mechanism - alone may not necessarily be sufficient in all circumstances and that transfers must be assessed on a case-by-case basis. On July 10, 2023, the EU adopted its Adequacy Decision in relation to the new EU-US Data Privacy Framework (“DPF”), rendering the DPF effective as a GDPR transfer mechanism to U.S. entities self-certified under the DPF.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recent years, U.S. and European lawmakers and regulators have also expressed concern over the use of third-party cookies, web beacons and similar technology. In particular, recent European court and regulator decisions are driving increased attention to cookies and tracking technologies. If the trend of increasing enforcement by European regulators of the strict approach to opt-in consent for all but essential use cases, as seen in recent guidance and decisions continues, this could lead to substantial costs, require significant systems changes, divert the attention of our technology personnel, adversely affect our margins, and subject us to additional liabilities.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 change our use of such technologies, as well as civil claims including class actions, and reputational damage.</w:t>
      </w:r>
    </w:p>
    <w:p>
      <w:pPr>
        <w:spacing w:after="0" w:line="19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Further, in the U.S., numerous state and federal laws, regulations, standards and other legal obligations, including consumer protection laws and regulations, which govern the collection, dissemination, use, access to, confidentiality, security and processing of personal information, including health-related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83" w:lineRule="exact"/>
        <w:rPr>
          <w:sz w:val="20"/>
          <w:szCs w:val="20"/>
          <w:color w:val="auto"/>
        </w:rPr>
      </w:pPr>
    </w:p>
    <w:p>
      <w:pPr>
        <w:ind w:right="20" w:firstLine="749"/>
        <w:spacing w:after="0" w:line="274" w:lineRule="auto"/>
        <w:rPr>
          <w:sz w:val="20"/>
          <w:szCs w:val="20"/>
          <w:color w:val="auto"/>
        </w:rPr>
      </w:pPr>
      <w:r>
        <w:rPr>
          <w:rFonts w:ascii="Times New Roman" w:cs="Times New Roman" w:eastAsia="Times New Roman" w:hAnsi="Times New Roman"/>
          <w:sz w:val="17"/>
          <w:szCs w:val="17"/>
          <w:color w:val="auto"/>
        </w:rPr>
        <w:t>Certain states have also adopted data privacy and security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60"/>
        <w:spacing w:after="0" w:line="256" w:lineRule="auto"/>
        <w:rPr>
          <w:sz w:val="20"/>
          <w:szCs w:val="20"/>
          <w:color w:val="auto"/>
        </w:rPr>
      </w:pPr>
      <w:r>
        <w:rPr>
          <w:rFonts w:ascii="Times New Roman" w:cs="Times New Roman" w:eastAsia="Times New Roman" w:hAnsi="Times New Roman"/>
          <w:sz w:val="18"/>
          <w:szCs w:val="18"/>
          <w:color w:val="auto"/>
        </w:rPr>
        <w:t>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17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(the “Bribery Act”); the U.S. Foreign Corrupt Practices Act (the “FCPA”); and other anti-corruption laws that apply in countries where we do business and may do business in the future. The Bribery Act, the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the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19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any international operations, such as applicable export controls, embargoes, economic, financial and trade sanctions laws and regulations, including those administered and enforced by the U.K., the U.S. and the EU (and its member states), (collectively, the “Trade Controls”). These Trade Controls prohibit or restrict dealings relating to certain countries, regions or persons.</w:t>
      </w:r>
    </w:p>
    <w:p>
      <w:pPr>
        <w:spacing w:after="0" w:line="176"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Compliance with Trade Controls, which are subject to frequent changes, may delay or hinder our business operations (particularly in respect of cross-border business), and, in some cases, prevent certain of our business operations altogether. It is difficult for us to predict how Trade Controls will change in the future and the impact they may have on our business. For example, as stated above, a result of Russia’s invasion of Ukraine, Trade Controls relating to Russia have been significantly expanded.</w:t>
      </w:r>
    </w:p>
    <w:p>
      <w:pPr>
        <w:spacing w:after="0" w:line="18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collaborators or other person who performs services on our behalf and, as a result, we could be subject to fines, penalties, or prosecution.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cybersecurity.</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and our collaborators, CROs, service providers, and other contractors and consultants rely on information technology (“IT”) systems and networks to process, transmit and store electronic information, including but not limited to intellectual property, confidential information, proprietary business information, preclinical and clinical trial data and personal information, and health-related information, in connection with our business activities (collectively, “Confidential Information"). Our IT systems and those of current and future third parties on which we rely may fail and are vulnerable to breakdown, breach, interruption or damage from cyber incidents, employee error or malfeasance, misconfigurations, “bugs” or other vulnerabilities, theft or misuse, sophisticated nation-state and nation-state-supported actors, unauthorized access, natural disasters, terrorism, war, telecommunication and electrical failures or other compromises. As use of digital technologies has increased, cyber incidents, including third parties gaining access to employee accounts using stolen or inferred credentials, computer malware (e.g. ransomware), viruses, spamming, social engineering or phishing attacks, denial-of-service attacks or other means, and deliberate attacks and attempts to gain unauthorized access to computer systems and networks, have increased in frequency, intensity, and sophistication. These threats pose a risk to the security of our and our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160"/>
        <w:spacing w:after="0" w:line="258" w:lineRule="auto"/>
        <w:rPr>
          <w:sz w:val="20"/>
          <w:szCs w:val="20"/>
          <w:color w:val="auto"/>
        </w:rPr>
      </w:pPr>
      <w:r>
        <w:rPr>
          <w:rFonts w:ascii="Times New Roman" w:cs="Times New Roman" w:eastAsia="Times New Roman" w:hAnsi="Times New Roman"/>
          <w:sz w:val="18"/>
          <w:szCs w:val="18"/>
          <w:color w:val="auto"/>
        </w:rPr>
        <w:t>collaborators’, CROs’, service providers’, and other contractors’ and consultants’ systems and networks, and the confidentiality, availability and integrity of our Confidential Information. There can be no assurance that we will be successful in preventing cyberattacks or successfully mitigating their effects. There can also be no assurance that our or our collaborators’, CROs’, service providers’, and other contractors’ and consultants’ cybersecurity risk management program and processes, including policies, controls or procedures, will be fully implemented, complied with or effective in protecting our systems, networks and Confidential Information.</w:t>
      </w:r>
    </w:p>
    <w:p>
      <w:pPr>
        <w:spacing w:after="0" w:line="183"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varying parts of our workforce are currently working remotely on a part or full time basis. This could increase our cyber security risk, create data accessibility concerns, and make us more susceptible to communication disruptions.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Similarly, there can be no assurance that our collaborators, CROs, service providers, and other contractors and consultants will be successful in protecting our clinical and other data that is stored on their systems. Any loss of clinical trial data from our completed or ongoing clinical trials for any of our product candidates could result in delays in our development and regulatory approval efforts and significantly increase our costs to recover or reproduce the data. We and certain of our service providers are from time to time subject to cyberattacks and security incidents. We have experienced and expect to continue to experience attempted cyberattacks on our IT networks, such as through phishing scams and ransomware. Although we do not believe that we have experienced any significant system failure, accident or cybersecurity incidents to date, we cannot guarantee that we will not experience such incidents in the future.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w:t>
      </w:r>
    </w:p>
    <w:p>
      <w:pPr>
        <w:spacing w:after="0" w:line="19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Any cyberattack that leads to unauthorized access, use, or disclosure of Confidential Information, data breach or destruction or loss of Confidential Information could result in a violation of applicable U.S. and international privacy, data protection and other laws and regulations, require us to notify affected individuals or supervisory authorities, subject us to litigation and governmental investigations, proceedings and regulatory actions by federal, state and local regulatory entities in the U.S. and by international regulatory entities, cause our exposure to material civil and/or criminal liability and cause us to breach our contractual obligations, which could result in significant legal and financial exposure and reputational damages. As cyber threats continue to evolve, we may be required to incur significant additional expenses in order to implement further data protection measures or to remediate any information security vulnerability. Further, our general liability insurance and corporate risk program may not cover all potential claims to which we are exposed and may not be adequate to indemnify us for all liability. There can be no assurance that the limitations of liability in our contracts would be enforceable or adequate or would otherwise protect us from liabilities or damages as a result of the events referenced above. We also cannot be certain that our existing insurance coverage will continue to be available on acceptable terms or in amounts sufficient to cover the potentially significant losses that may result from a security incident or breach or that the insurer will not deny coverage wholly or in part, of any future claim. Accordingly, if our cybersecurity measures, and those of our service providers, fail to protect against unauthorized access, attacks and the mishandling of data by our employees and third-party service providers, then our business, financial condition, results of operations and prospects could be adversely affected.</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increasing use of artificial intelligence (“AI”)-based software (including machine learning) in our industry introduces additional risks that could impact our business. AI algorithms may be flawed, rely on insufficient or biased data, or involve unclear intellectual property rights, potentially exposing us to competitive harm, legal liability, or reputational damage. In addition, AI technology is rapidly evolving, making it difficult to anticipate all legal, operational, or technological risks.</w:t>
      </w:r>
    </w:p>
    <w:p>
      <w:pPr>
        <w:spacing w:after="0" w:line="180"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AI-related vulnerabilities, along with cybersecurity threats and IT system failures, may also impact our partners, contractors, and consultants. If disruptions or security breaches result in data loss, intellectual property theft, or operational delays, it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 which may result in others acquiring, developing, or commercializing competing product candidates before or more successfully than we or our partners do.</w:t>
      </w:r>
    </w:p>
    <w:p>
      <w:pPr>
        <w:spacing w:after="0" w:line="15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setrusumab, alvelestat, etigilimab or acumapimod is approved, we will face intense competition from a variety of businesses, including large, fully integrated pharmaceutical and biopharmaceutical companies in the U.S.,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w:t>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expect to face competition for each of our current product candidates, including specifically:</w:t>
      </w:r>
    </w:p>
    <w:p>
      <w:pPr>
        <w:spacing w:after="0" w:line="225" w:lineRule="exact"/>
        <w:rPr>
          <w:sz w:val="20"/>
          <w:szCs w:val="20"/>
          <w:color w:val="auto"/>
        </w:rPr>
      </w:pPr>
    </w:p>
    <w:p>
      <w:pPr>
        <w:ind w:left="1140" w:right="100" w:hanging="383"/>
        <w:spacing w:after="0" w:line="254"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setrusumab’s current closest potential competitors in development for the treatment of OI to be Amgen and UCB’s anti-sclerostin antibody, romosozumab (Evenity), which was approved for osteoporosis in the U.S. in April 2019 and in December 2019 in Europe. In addition, Jiangsu Hengrui has commenced Phase 1 development of an anti-sclerostin antibody for osteoporosis in China, and Transcenta Holding has licensed the Chinese rights to the anti-sclerostin antibody blosozumab from Lilly and plans to develop it for osteoporosis. Amgen has also terminated a Phase 3 study and an open label extension study of denosumab (Prolia) an anti-resorptive agent in pediatric patients with OI. Academics at the University of Edinburgh are conducting a Phase IV trial to determine the efficacy of teriparatide (parathyroid hormone) in adult patients with OI. BOOST Pharma has conducted a Phase I/II trial of its foetal-derived mesenchymal stem cell therapy in pre-natal &amp; post-natal patients with severe OI. Furthermore, Angitia Bio has commenced a Phase I trial of its Sclerostin &amp; Dickkopf-1 bi-specific antibody.</w:t>
      </w:r>
    </w:p>
    <w:p>
      <w:pPr>
        <w:spacing w:after="0" w:line="188" w:lineRule="exact"/>
        <w:rPr>
          <w:rFonts w:ascii="Times New Roman" w:cs="Times New Roman" w:eastAsia="Times New Roman" w:hAnsi="Times New Roman"/>
          <w:sz w:val="18"/>
          <w:szCs w:val="18"/>
          <w:color w:val="auto"/>
        </w:rPr>
      </w:pPr>
    </w:p>
    <w:p>
      <w:pPr>
        <w:ind w:left="1140" w:right="40" w:hanging="383"/>
        <w:spacing w:after="0" w:line="253"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alvelestat’s current closest potential competitors for the treatment of severe AATD to be alpha-1- proteinase inhibitors that are administered intravenously in AAT augmentation therapy. Currently, there are four inhibitors on the market in the U.S. and the EU: Prolastin-C from Grifols, S.A. (“Grifols”), Aralast from Shire plc, now a subsidiary of Takeda Pharmaceutical Company Ltd (“Shire”), Zemaira from CSL Limited (“CSL”), and Glassia from Kamada Ltd. (“Kamada”). Kamada is also developing an inhaled version of augmentation therapy which is in Phase 3 and has a recombinant alpha-1 antitrypsin in early development. Sanofi has initiated a Phase 2 registrational trial of SAR-447537, a recombinant human alpha-1 antitrypsin Fc fusion protein (rhAAT-Fc), for replacement therapy. Wave Life Sciences has initiated a Phase 2 study of RNA base-editing oligonucleotide (WVE-0006) to restore wild-type protein in lung and liver disease, a program that has been partnered with GSK. Intellia Therapeutics has initiated a Phase 1/2 study with a CRISPR/Cas9 -based insertion of normal SERPINA1 gene, targeting lung disease (NTLA-3001). Beam Therapeutics commenced a Phase 1/2 study of BEAM-302, a genome editing therapy to correct mutant Z-AAT. Krystal Bio commenced a Phase 1 study of KB-408, an inhaled gene therapy. Korro Bio are in preliminary stages of clinical development of an RNA Base editing oligonucleotide therapy.</w:t>
      </w:r>
    </w:p>
    <w:p>
      <w:pPr>
        <w:spacing w:after="0" w:line="191" w:lineRule="exact"/>
        <w:rPr>
          <w:rFonts w:ascii="Times New Roman" w:cs="Times New Roman" w:eastAsia="Times New Roman" w:hAnsi="Times New Roman"/>
          <w:sz w:val="18"/>
          <w:szCs w:val="18"/>
          <w:color w:val="auto"/>
        </w:rPr>
      </w:pPr>
    </w:p>
    <w:p>
      <w:pPr>
        <w:ind w:left="1140" w:hanging="383"/>
        <w:spacing w:after="0" w:line="258"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therapies with regulatory approval for Bronchiolitis Obliterans Syndrome (“BOS”) following SCT or lung transplant. We consider alvelestat’s closest potential competitors to be the Janus Kinase (JAK2) inhibitor, Incyte Corporation’s ruxolitinib, in Phase 1/Phase 2 studies in SCT-associated BOS; Boehringer Ingelheim’s tyrosine protein kinase inhibitor, nintendanib, in Phase 3 studies for both post-lung transplantation BOS and SCT-associated BOS. OrphAI Therapeutics inhaled formulation of sirolimus (LAM-001) in Phase 1 for BOS in lung transplant; and liposomal inhaled cyclosporin-A (Zambon) in two Phase 3 global pivotal trials in BOS.</w:t>
      </w:r>
    </w:p>
    <w:p>
      <w:pPr>
        <w:spacing w:after="0" w:line="183" w:lineRule="exact"/>
        <w:rPr>
          <w:rFonts w:ascii="Times New Roman" w:cs="Times New Roman" w:eastAsia="Times New Roman" w:hAnsi="Times New Roman"/>
          <w:sz w:val="18"/>
          <w:szCs w:val="18"/>
          <w:color w:val="auto"/>
        </w:rPr>
      </w:pPr>
    </w:p>
    <w:p>
      <w:pPr>
        <w:ind w:left="1140" w:right="80" w:hanging="383"/>
        <w:spacing w:after="0" w:line="256"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etigilimab’s current closest potential competitors to include other clinical-stage anti-TIGIT agents being developed by companies including Roche, Merck, iTeos and GSK, Beigene (BeOne), Arcus/Gilead and Compugen amongst others. In addition, there are other combinations of existing cancer therapies available commercially for example, Yervoy and Opdivo and Opdivo or Keytruda in combination with chemotherapy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w:t>
      </w:r>
    </w:p>
    <w:p>
      <w:pPr>
        <w:spacing w:after="0" w:line="187" w:lineRule="exact"/>
        <w:rPr>
          <w:rFonts w:ascii="Times New Roman" w:cs="Times New Roman" w:eastAsia="Times New Roman" w:hAnsi="Times New Roman"/>
          <w:sz w:val="18"/>
          <w:szCs w:val="18"/>
          <w:color w:val="auto"/>
        </w:rPr>
      </w:pPr>
    </w:p>
    <w:p>
      <w:pPr>
        <w:ind w:left="1140" w:right="40" w:hanging="383"/>
        <w:spacing w:after="0" w:line="258"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acumapimod, although we are not aware of any approved therapies for the treatment of AECOPD, there are a wide range of established therapies available for the treatment of COPD as well as a number of product candidates in development. We consider acumapimod’s current closest potential competitor for the treatment of AECOPD to be Verona’s nebulized and inhaled ensifentrine (Ohtuvayre), a PDE3 / PDE4 dual inhibitor that recently received regulatory approval as a bronchodilator and anti-inflammatory agent for COPD, Asthma and Cystic Fibrosis patients. Pulmatrix has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1" w:name="page62"/>
    <w:bookmarkEnd w:id="61"/>
    <w:p>
      <w:pPr>
        <w:ind w:left="1140"/>
        <w:spacing w:after="0" w:line="258" w:lineRule="auto"/>
        <w:rPr>
          <w:sz w:val="20"/>
          <w:szCs w:val="20"/>
          <w:color w:val="auto"/>
        </w:rPr>
      </w:pPr>
      <w:r>
        <w:rPr>
          <w:rFonts w:ascii="Times New Roman" w:cs="Times New Roman" w:eastAsia="Times New Roman" w:hAnsi="Times New Roman"/>
          <w:sz w:val="18"/>
          <w:szCs w:val="18"/>
          <w:color w:val="auto"/>
        </w:rPr>
        <w:t>PUR1800, a narrow-spectrum kinase inhibitor (NSKI) that completed a Phase 1b trial in COPD. Pulmatrix recently merged with Cullgen. In addition to Pulmatrix, there are several compounds, which directly or indirectly target the p38 MAP Kinase pathway in clinical development by Poolbeg, Fulcrum, GEn1E Lifesciences, CervoMEd, Kinarus, Neurokine, and Inovio, among others, for therapeutic indications outside the COPD setting. In addition, ReAlta Life Sciences commenced a Phase II clinical trial evaluating its complement 1 sub-component inhibitor for the treatment of AECOPD.</w:t>
      </w:r>
    </w:p>
    <w:p>
      <w:pPr>
        <w:spacing w:after="0" w:line="18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also anticipate that new companies will enter these markets in the future. If we, or our partners, successfully develop and commercialize any of setrusumab, alvelestat, etigilimab, or acumapimod,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180" w:lineRule="exact"/>
        <w:rPr>
          <w:sz w:val="20"/>
          <w:szCs w:val="20"/>
          <w:color w:val="auto"/>
        </w:rPr>
      </w:pPr>
    </w:p>
    <w:p>
      <w:pPr>
        <w:ind w:left="1140" w:right="40" w:hanging="383"/>
        <w:spacing w:after="0" w:line="266"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175"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product candidates that are safer, more effective, less expensive, more convenient, or easier to administer, or have fewer or less severe effects, or in certain cases could be curative for the condition;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quicker regulatory approval;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 covering our product candidates and technologies;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more effective approaches to sales and marketing; or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advantageous strategic alliances.</w:t>
      </w:r>
    </w:p>
    <w:p>
      <w:pPr>
        <w:spacing w:after="0" w:line="22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w:t>
      </w:r>
    </w:p>
    <w:p>
      <w:pPr>
        <w:spacing w:after="0" w:line="18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collaborator Ultragenyx has obtained orphan drug designation for setrusumab for the treatment of OI in the U.S. and we have obtained orphan designation for setrusumab for the treatment of OI in the EU. We have also obtained orphan drug designation for alvelestat for the treatment of AATD in the U.S. and in the EU. We may be unable to obtain or maintain the benefits associated with orphan drug designation, including the potential for orphan drug exclusivity, for setrusumab, alvelestat or any other product for which we obtain orphan drug designation.</w:t>
      </w:r>
    </w:p>
    <w:p>
      <w:pPr>
        <w:spacing w:after="0" w:line="180"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may designate biologics or drugs designed to address relatively small patient populations as “orphan drugs.”</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Under the Orphan Drug Act of 1983 (the “Orphan Drug Act”), the FDA may designate a product as an orphan drug if it is intended to treat a rare disease or condition, defined as one occurring in a patient population of fewer than 200,000 in the U.S., or a patient population greater than 200,000 in the U.S. where there is no reasonable expectation that the cost of developing the drug will be recovered from sales in the U.S. In the EU, the EC grants orphan designation after receiving the opinion of the EMA’s Committee for Orphan Medicinal Products (“COMP”). In the EU, orphan designation is intended to promote the development of medicinal products that (1) are intended for the diagnosis, prevention or treatment of a life-threatening or chronically debilitating condition; (2) either (a) such condition affects no more than five in 10,000 persons in the EU, or (b) the product, without the benefits derived from orphan status, would not generate sufficient return in the EU to justify investment; and (3) there exists no satisfactory method of diagnosis, prevention, or treatment has been authorized (or the product would be a significant benefit to those affected).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Post-Brexit, the U.K. has retained the EU Regulation which governs the designation of medicinal products as orphan drugs and which establishes incentives thereto (Regulation (EC) No. 141/2000) as part of U.K. law by virtue of the EU (Withdrawal) Act 2018, however any future changes to the legal requirements could lead to greater regulatory complexity and increased costs to our business.</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There is no pre-MA orphan designation in Great Britain. Instead, the MHRA will review applications for orphan designation in parallel to the corresponding MAA. The criteria are essentially the same, but have been tailored for the market, i.e., the prevalence of the condition in Great Britain, rather than the EU, must not be more than five in 10,000. Should an orphan designation be granted, the period or market exclusivity will be set from the date of first approval of the product in Great Britain. If a medicinal product has been designated orphan in the EU under Regulation (EC) 141/2000, a Great Britain orphan MAA can be made under regulation 50G of the Human Medicines Regulation 2012 (as amended). A U.K.-wide orphan MAA can only be considered in the absence of an active EU orphan designation.</w:t>
      </w:r>
    </w:p>
    <w:p>
      <w:pPr>
        <w:spacing w:after="0" w:line="18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If a U.K.-wide orphan MA is granted and the medicinal product subsequently receives EU orphan designation, the MA holder would need to submit a variation to change this to a Great Britain orphan MA. In the U.S.,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disease or condition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In the EU, orphan designation entitles a party to financial incentives such as reduction of fees or fee waivers, protocol assistance, and access to the centralized MA procedure. Upon grant of MA, orphan medical products are entitled to a ten year period of market exclusivity. This period can be extended by two years if studies in children are performed in accordance with a pediatric investigation plan (“PIP”). This period may be reduced to six years if , at the end of the fifth year the orphan designation criteria are no longer met, including where it is shown that the drug is sufficiently profitable not to justify maintenance of market exclusivity.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9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collaborator Ultragenyx has obtained orphan drug designation from the FDA, and we have obtained orphan drug designation from the EC for setrusumab, in each case for the treatment of OI. Additionally, we have obtained orphan drug designation for alvelestat for the treatment of AATD from the FDA and from the EC.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U.S. may be unavailable if we seek approval for disease or condition broader than the orphan-designated disease or condition or may be lost in the U.S.,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can be approved for the same condition. In addition, the FDA and foreign regulatory authorities can subsequently approve product candidates with the same active ingredients for the same condition if the FDA or the foreign regulatory authority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a rare pediatric disease designation for setrusumab, there is no guarantee that FDA approval of will result in issuance of a priority review voucher.</w:t>
      </w:r>
    </w:p>
    <w:p>
      <w:pPr>
        <w:spacing w:after="0" w:line="15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We have obtained a rare pediatric disease designation for setrusumab for osteogenesis imperfecta, however, there is no guarantee that we will be able to obtain a priority review voucher, even if setrusumab is approved by the FDA. For example, the FDA may determine that an a BLA or NDA, even if ultimately approved, does not meet the eligibility criteria for a priority review voucher, including for the following reasons:</w:t>
      </w:r>
    </w:p>
    <w:p>
      <w:pPr>
        <w:spacing w:after="0" w:line="176" w:lineRule="exact"/>
        <w:rPr>
          <w:sz w:val="20"/>
          <w:szCs w:val="20"/>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no longer meets the definition of a rare pediatric disease;</w:t>
      </w:r>
    </w:p>
    <w:p>
      <w:pPr>
        <w:spacing w:after="0" w:line="225"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contains an active ingredient (including any ester or salt of the active ingredient) that has been previously approved in another marketing application;</w:t>
      </w:r>
    </w:p>
    <w:p>
      <w:pPr>
        <w:spacing w:after="0" w:line="161"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does not rely on clinical data derived from studies examining a pediatric population and dosages of the drug intended for that population; or</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approved for a different adult indication than the rare pediatric disease for which the product is designated.</w:t>
      </w:r>
    </w:p>
    <w:p>
      <w:pPr>
        <w:spacing w:after="0" w:line="225"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Moreover, Congress included a sunset provision in the statute authorizing the rare pediatric disease priority review voucher program. Under the current statutory sunset provisions, after December 20, 2024, FDA may only award a voucher for an approved rare pediatric disease product application if the sponsor has rare pediatric disease designation for the product candidate, and that designation was granted by December 20, 2024. After September 30, 2026, FDA may not award any rare pediatric disease priority review vouchers.</w:t>
      </w:r>
    </w:p>
    <w:p>
      <w:pPr>
        <w:spacing w:after="0" w:line="176"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from the FDA, even if granted for any of our product candidates, may not lead to a faster development or regulatory review or approval process, and does not increase the likelihood that our product candidates will receive marketing approval.</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FDA has granted Fast Track designation for the investigation of alvelestat for the treatment of alpha-1-antitrypsin deficiency-associated lung disease. We intend to seek such designation for some or all of our other product candidates. The Fast Track program is intended to expedite or facilitate the process for reviewing new product candidates that meet certain criteria. Specifically, new drugs and biologic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or NDA is submitted, the application may be eligible for priority review. An NDA or BLA submitted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application.</w:t>
      </w:r>
    </w:p>
    <w:p>
      <w:pPr>
        <w:spacing w:after="0" w:line="192" w:lineRule="exact"/>
        <w:rPr>
          <w:sz w:val="20"/>
          <w:szCs w:val="20"/>
          <w:color w:val="auto"/>
        </w:rPr>
      </w:pPr>
    </w:p>
    <w:p>
      <w:pPr>
        <w:ind w:right="160" w:firstLine="749"/>
        <w:spacing w:after="0" w:line="274" w:lineRule="auto"/>
        <w:rPr>
          <w:sz w:val="20"/>
          <w:szCs w:val="20"/>
          <w:color w:val="auto"/>
        </w:rPr>
      </w:pPr>
      <w:r>
        <w:rPr>
          <w:rFonts w:ascii="Times New Roman" w:cs="Times New Roman" w:eastAsia="Times New Roman" w:hAnsi="Times New Roman"/>
          <w:sz w:val="17"/>
          <w:szCs w:val="17"/>
          <w:color w:val="auto"/>
        </w:rPr>
        <w:t>The FDA has broad discretion whether or not to grant this designation. Even if we believe a particular product candidate is eligible for this designation, there is no certainty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alvelestat or any other product candidate that may be granted Fast Track designation will receive regulatory approval in the U.S. Many product candidates that have received Fast Track Designation have ultimately failed to obtain approval.</w:t>
      </w:r>
    </w:p>
    <w:p>
      <w:pPr>
        <w:spacing w:after="0" w:line="1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our partners may seek and fail to obtain Breakthrough Therapy designation by the FDA for alvelestat or etigilimab or any future product candidates or access to the PRIME scheme by the EMA for alvelestat, etigilimab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 The designation of a product as a Breakthrough 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80"/>
        <w:spacing w:after="0" w:line="282" w:lineRule="auto"/>
        <w:rPr>
          <w:sz w:val="20"/>
          <w:szCs w:val="20"/>
          <w:color w:val="auto"/>
        </w:rPr>
      </w:pPr>
      <w:r>
        <w:rPr>
          <w:rFonts w:ascii="Times New Roman" w:cs="Times New Roman" w:eastAsia="Times New Roman" w:hAnsi="Times New Roman"/>
          <w:sz w:val="18"/>
          <w:szCs w:val="18"/>
          <w:color w:val="auto"/>
        </w:rPr>
        <w:t>program, beginning as early as Phase 1; organizational commitment involving senior managers; and eligibility for rolling review and priority review, if the relevant criteria are met.</w:t>
      </w:r>
    </w:p>
    <w:p>
      <w:pPr>
        <w:spacing w:after="0" w:line="162"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 October 2024, Ultragenyx received Breakthrough Therapy designation from the FDA for setrsumab to reduce the risk of fracture associated with OI Type I, III or IV in patients two years of age and older. We may seek Breakthrough Therapy designation for other product candidates. 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 Similarly, access to the PRIority MEdicine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9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November 2017, setrusumab was admitted to the PRIME scheme of the EMA. We may seek EMA PRIME designation or other designations, schemes or tools for other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MAA, early dialogue and scientific advice at key development milestones, and the potential to qualify products for accelerated review earlier in the application process.</w:t>
      </w:r>
    </w:p>
    <w:p>
      <w:pPr>
        <w:spacing w:after="0" w:line="19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spacing w:after="0" w:line="183" w:lineRule="exact"/>
        <w:rPr>
          <w:sz w:val="20"/>
          <w:szCs w:val="20"/>
          <w:color w:val="auto"/>
        </w:rPr>
      </w:pPr>
    </w:p>
    <w:p>
      <w:pPr>
        <w:ind w:right="240" w:firstLine="749"/>
        <w:spacing w:after="0" w:line="312" w:lineRule="auto"/>
        <w:rPr>
          <w:sz w:val="20"/>
          <w:szCs w:val="20"/>
          <w:color w:val="auto"/>
        </w:rPr>
      </w:pPr>
      <w:r>
        <w:rPr>
          <w:rFonts w:ascii="Times New Roman" w:cs="Times New Roman" w:eastAsia="Times New Roman" w:hAnsi="Times New Roman"/>
          <w:sz w:val="17"/>
          <w:szCs w:val="17"/>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14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competent regulatory authorities in the EU have broad discretion whether to grant such an accelerated assessment, conditional MA or MA under exceptional circumstances, and, even if such assessment or authorization is granted, we may not experience a faster development process, review or authorization compared to conventional procedures. Moreover, the removal or threat of removal of such MAs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spacing w:after="0" w:line="17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p>
    <w:p>
      <w:pPr>
        <w:spacing w:after="0" w:line="17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have no marketing, sales, or distribution capabilities and we currently have no experience with marketing, selling or distributing pharmaceutical product candidates. We have partnered setrusumab in a global licensing transaction with Ultragenyx, under which we retained EU and U.K. commercial rights. We have entered into a global out-licensing agreement with Feng Biosciences for development and commercialization of navicixizumab. We have entered into a global out-licensing agreement with ReproNovo for development and commercialization of leflutrozole. We currently intend to commercialize setrusumab for children and adults with OI in the EU and U.K. We may seek to partner or commercialize our other product candidates based on the outcome of clinical trials, cost of the registrational trials and other strategic considerations.</w:t>
      </w:r>
    </w:p>
    <w:p>
      <w:pPr>
        <w:spacing w:after="0" w:line="18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currently intend to enter into out-licensing or sales arrangements with pharmaceutical, biopharmaceutical or other partners for the continued development and commercialization of our non-core disease product candidates acumapimod and etigilimab and we may take the same approach for our other product candidates.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w:t>
      </w:r>
    </w:p>
    <w:p>
      <w:pPr>
        <w:spacing w:after="0" w:line="183"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arrangements with third parties, our future product revenue will suffer, and we may incur significant losses.</w:t>
      </w:r>
    </w:p>
    <w:p>
      <w:pPr>
        <w:spacing w:after="0" w:line="17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7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Third-party payors may also elect to restrict coverage to a subset of patients that could potentially be treated with our products, if approved. We cannot be sure that coverage and reimbursement in the U.S., the EU, or elsewhere will be available for our product candidates or any product that we may develop, and any reimbursement that may become available may be decreased or eliminated in the future.</w:t>
      </w:r>
    </w:p>
    <w:p>
      <w:pPr>
        <w:spacing w:after="0" w:line="19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19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 candidates.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187" w:lineRule="exact"/>
        <w:rPr>
          <w:sz w:val="20"/>
          <w:szCs w:val="20"/>
          <w:color w:val="auto"/>
        </w:rPr>
      </w:pPr>
    </w:p>
    <w:p>
      <w:pPr>
        <w:ind w:right="80" w:firstLine="749"/>
        <w:spacing w:after="0" w:line="277" w:lineRule="auto"/>
        <w:rPr>
          <w:sz w:val="20"/>
          <w:szCs w:val="20"/>
          <w:color w:val="auto"/>
        </w:rPr>
      </w:pPr>
      <w:r>
        <w:rPr>
          <w:rFonts w:ascii="Times New Roman" w:cs="Times New Roman" w:eastAsia="Times New Roman" w:hAnsi="Times New Roman"/>
          <w:sz w:val="17"/>
          <w:szCs w:val="17"/>
          <w:color w:val="auto"/>
        </w:rPr>
        <w:t>No uniform policy for coverage and reimbursement for product candidates exists among third-party payors in the U.S.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68"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operations are also subject to extensive governmental price controls and other market regulations in the U.K. and other countries outside of the U.S.,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right="40"/>
        <w:spacing w:after="0" w:line="254" w:lineRule="auto"/>
        <w:rPr>
          <w:sz w:val="20"/>
          <w:szCs w:val="20"/>
          <w:color w:val="auto"/>
        </w:rPr>
      </w:pPr>
      <w:r>
        <w:rPr>
          <w:rFonts w:ascii="Times New Roman" w:cs="Times New Roman" w:eastAsia="Times New Roman" w:hAnsi="Times New Roman"/>
          <w:sz w:val="18"/>
          <w:szCs w:val="18"/>
          <w:color w:val="auto"/>
        </w:rPr>
        <w:t>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 controls or other changes in pricing regulation could restrict the amount that we are able to charge for our product candidates. Accordingly, in markets outside the U.S., the reimbursement for our product candidates may be reduced compared with the U.S. and may be insufficient to generate commercially reasonable revenue and profits.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and future product candidates may not gain market acceptance, in which case our ability to generate revenues from product sales will be compromised.</w:t>
      </w:r>
    </w:p>
    <w:p>
      <w:pPr>
        <w:spacing w:after="0" w:line="15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Even if the FDA,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180" w:lineRule="exact"/>
        <w:rPr>
          <w:sz w:val="20"/>
          <w:szCs w:val="20"/>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clinical profile of competing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coverage, reimbursement, and adequate payment from health maintenance organizations and other insurers, both public and private;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over alternative treatment methods.</w:t>
      </w:r>
    </w:p>
    <w:p>
      <w:pPr>
        <w:spacing w:after="0" w:line="225" w:lineRule="exact"/>
        <w:rPr>
          <w:sz w:val="20"/>
          <w:szCs w:val="20"/>
          <w:color w:val="auto"/>
        </w:rPr>
      </w:pPr>
    </w:p>
    <w:p>
      <w:pPr>
        <w:ind w:right="700" w:firstLine="749"/>
        <w:spacing w:after="0" w:line="282" w:lineRule="auto"/>
        <w:rPr>
          <w:sz w:val="20"/>
          <w:szCs w:val="20"/>
          <w:color w:val="auto"/>
        </w:rPr>
      </w:pPr>
      <w:r>
        <w:rPr>
          <w:rFonts w:ascii="Times New Roman" w:cs="Times New Roman" w:eastAsia="Times New Roman" w:hAnsi="Times New Roman"/>
          <w:sz w:val="18"/>
          <w:szCs w:val="18"/>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 candidates in the U.S. may face competition sooner than anticipated.</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the U.S., the Biologics Price Competition and Innovation Act of 2009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7" w:name="page68"/>
    <w:bookmarkEnd w:id="67"/>
    <w:p>
      <w:pPr>
        <w:ind w:right="140"/>
        <w:spacing w:after="0" w:line="261" w:lineRule="auto"/>
        <w:rPr>
          <w:sz w:val="20"/>
          <w:szCs w:val="20"/>
          <w:color w:val="auto"/>
        </w:rPr>
      </w:pPr>
      <w:r>
        <w:rPr>
          <w:rFonts w:ascii="Times New Roman" w:cs="Times New Roman" w:eastAsia="Times New Roman" w:hAnsi="Times New Roman"/>
          <w:sz w:val="18"/>
          <w:szCs w:val="18"/>
          <w:color w:val="auto"/>
        </w:rPr>
        <w:t>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18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w:t>
      </w:r>
    </w:p>
    <w:p>
      <w:pPr>
        <w:spacing w:after="0" w:line="1" w:lineRule="exact"/>
        <w:rPr>
          <w:sz w:val="20"/>
          <w:szCs w:val="20"/>
          <w:color w:val="auto"/>
        </w:rPr>
      </w:pPr>
    </w:p>
    <w:p>
      <w:pPr>
        <w:jc w:val="both"/>
        <w:ind w:right="660"/>
        <w:spacing w:after="0" w:line="255" w:lineRule="auto"/>
        <w:rPr>
          <w:sz w:val="20"/>
          <w:szCs w:val="20"/>
          <w:color w:val="auto"/>
        </w:rPr>
      </w:pPr>
      <w:r>
        <w:rPr>
          <w:rFonts w:ascii="Times New Roman" w:cs="Times New Roman" w:eastAsia="Times New Roman" w:hAnsi="Times New Roman"/>
          <w:sz w:val="18"/>
          <w:szCs w:val="18"/>
          <w:color w:val="auto"/>
        </w:rPr>
        <w:t>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w:t>
      </w:r>
    </w:p>
    <w:p>
      <w:pPr>
        <w:spacing w:after="0" w:line="18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the EU, MAAs for product candidates that are biosimilar to an already authorized biological product, the so-called reference product, can rely on the safety and efficacy data contained in the dossier of the reference product. To qualify as a biosimilar product the MA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w:t>
      </w:r>
    </w:p>
    <w:p>
      <w:pPr>
        <w:spacing w:after="0" w:line="175"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have announced three out-licensing collaborations. On December 17, 2020, we announced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and the U.K. where we retain commercial rights. Under the terms of the agreement, Ultragenyx will pay up to $254 million in additional development, regulatory and commercial milestones and tiered double digit percentage royalties to us on net sales outside of Europe and we will pay a fixed double digit percentage royalty to Ultragenyx on net sales in Europe. On January 13, 2020, we announced a global out-licensing agreement with Feng Biosciences for development and commercialization of navicixizumab. Under the terms of the agreement Feng Biosciences will pay up to $300 million in future clinical, development and commercial milestones and royalties ranging from the mid-single digit to sub-teen percentages on global annual net sales of navicixizumab, as well as a negotiated percentage of sublicensing revenues from certain sublicensees. In December 2023, we entered into an exclusive global license agreement with ReproNovo for the development and commercialization of leflutrozole, a non-steroidal aromatase inhibitor. Under the terms of the License Agreement, ReproNovo, a reproductive medicine company, is responsible for all future development and commercialization of leflutrozole. Mereo received an upfront payment and will be eligible to receive up to $64.3 million in future clinical, regulatory and commercial milestones as well as tiered mid-single digit royalties on global annual net sales of leflutrozole. Our future plans may include entering into out-licensing or collaboration agreements on some or all of our other development programs.</w:t>
      </w:r>
    </w:p>
    <w:p>
      <w:pPr>
        <w:spacing w:after="0" w:line="19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also have existing acquisition agreements with Novartis which we entered into in 2015 in respect of our purchase of setrusumab, leflutrozole and acumapimod, and an existing in-licensing agreement with AstraZeneca which we entered into in 2017 in respect of our exclusive license of alvelestat.</w:t>
      </w:r>
    </w:p>
    <w:p>
      <w:pPr>
        <w:spacing w:after="0" w:line="162"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Our partners might not fulfill all of their obligations under these agreements, and, in certain circumstances, including our licensing agreement with AstraZeneca, they or we may terminate our partnerships with them. In either event, we may be unable to assume the development and commercialization responsibilities covered by these agreements or enter into alternative arrangements with a third-party to develop and commercialize product candidates. If a partner elected to promote alternative products and product candidates such as its own products and product candidates in preference to those licensed from us, is unable to secure adequate funding to develop our product candidates, does not devote an adequate amount of time and resources to our product candidates or is otherwise unsuccessful in its efforts with respect to our product candidates, the development and commercialization of product candidates covered by the agreements could be delayed or terminated and our business and financial condition could be materially and</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8" w:name="page69"/>
    <w:bookmarkEnd w:id="68"/>
    <w:p>
      <w:pPr>
        <w:ind w:right="100"/>
        <w:spacing w:after="0" w:line="282" w:lineRule="auto"/>
        <w:rPr>
          <w:sz w:val="20"/>
          <w:szCs w:val="20"/>
          <w:color w:val="auto"/>
        </w:rPr>
      </w:pPr>
      <w:r>
        <w:rPr>
          <w:rFonts w:ascii="Times New Roman" w:cs="Times New Roman" w:eastAsia="Times New Roman" w:hAnsi="Times New Roman"/>
          <w:sz w:val="18"/>
          <w:szCs w:val="18"/>
          <w:color w:val="auto"/>
        </w:rPr>
        <w:t>adversely affected. Accordingly, our ability to receive any revenue from the product candidates covered by these agreements is dependent on the efforts of our partners.</w:t>
      </w:r>
    </w:p>
    <w:p>
      <w:pPr>
        <w:spacing w:after="0" w:line="16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If a partner terminates or breaches its agreements with us, otherwise fails to complete its obligations in a timely manner or alleges that we have breached our contractual obligations under these agreements, the chances of successfully developing or commercializing product candidates under the collaboration could be materially and adversely affected.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ADSs.</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7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upon independent clinical investigators and CROs to conduct our clinical trials and to monitor and manage data for our planned and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GCP requirements, which are regulations and guidelines enforced by the FDA, the competent authorities of the EU member states, and comparable foreign regulatory authorities for all of our product candidates in clinical development. Regulatory authorities enforce these GCP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GCP requirements. Our failure to comply with these regulations may require us to repeat clinical trials, which would delay the regulatory approval process.</w:t>
      </w:r>
    </w:p>
    <w:p>
      <w:pPr>
        <w:spacing w:after="0" w:line="18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spacing w:after="0" w:line="18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75"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We have limited personnel with experience in manufacturing and CMC development requirements and we do not own facilities for manufacturing and testing of our product candidates. Instead, we rely on and expect to continue to rely on CMOs for the supply, testing and release of cGMP, or similar foreign requirements, grade clinical trial materials, performance of process and product development activities to facilitate supply of commercial quantities of our product candidates, if approved. Reliance on CMOs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40"/>
        <w:spacing w:after="0" w:line="261" w:lineRule="auto"/>
        <w:rPr>
          <w:sz w:val="20"/>
          <w:szCs w:val="20"/>
          <w:color w:val="auto"/>
        </w:rPr>
      </w:pPr>
      <w:r>
        <w:rPr>
          <w:rFonts w:ascii="Times New Roman" w:cs="Times New Roman" w:eastAsia="Times New Roman" w:hAnsi="Times New Roman"/>
          <w:sz w:val="18"/>
          <w:szCs w:val="18"/>
          <w:color w:val="auto"/>
        </w:rPr>
        <w:t>may expose us to more risk than if we were to manufacture our product candidates ourselves. Novartis previously provided clinical supplies for setrusumab, acumapimod, and leflutrozole and certain transitional services. We have transitioned the clinical supply manufacture for these product candidates to CMOs while demonstrating the manufactured product is equivalent to the Novartis form. We have also contracted with CMOs for the clinical supply of etigilimab and alvelestat.</w:t>
      </w:r>
    </w:p>
    <w:p>
      <w:pPr>
        <w:spacing w:after="0" w:line="18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facilities used to manufacture and test our product candidates must be approved by the FDA, and comparable foreign authorities pursuant to inspections. While we provide oversight of manufacturing activities, we do not and will not control the execution of our manufacturing activities by, and are or will be essentially dependent on, our CMOs for compliance with cGMP or similar foreign requirements for the manufacture of our product candidates. We aim to minimize this risk by entering into quality agreements, by auditing of the CMOs and by ongoing review of all activities linked to product manufacture. Due to this dependence on CMOs, we are potentially subject to the risk that our product candidates may have manufacturing defects that we have limited ability to prevent. If a CMO cannot successfully manufacture material that conforms to our specifications and the regulatory requirements it may delay ongoing clinical studies as we will not be able to secure or maintain regulatory approval for the use of our investigational medicinal product candidates in clinical trials, or for commercial distribution of our product candidates, if approved. In addition, while we have limited direct control over the ability of our CMOs to maintain adequate quality control, quality assurance and qualified personnel, we aim to maintain control through the use of quality agreements and manufacturing supply agreements. If the FDA or the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recall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Novartis has a contractual right to approve or reject any additional CMO we wish to engage for the manufacture of setrusumab, other than those CMOs that we and Novartis have already agreed upon. Following the license of setrusumab to Ultragenyx, CMO capacity in relation to the manufacture of clinical trial and commercial supplies is a key focus and most likely means additional CMO capacity will be a future priority to secure sufficient supplies. If we or our partners were unable to find an acceptable CMO within a reasonable timeframe, our clinical trials could be delayed, or our commercial activities could be negatively impacted.</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rely on and will continue to rely on CMOs to purchase from third-party suppliers the raw materials meeting for our specifications that are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18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rely on our CMOs to conduct all product and process development activities necessary to support regulatory submissions. These activities are critical to the meeting the regulatory expectations and if these studies are not considered adequate by FDA, the EMA or comparable foreign regulatory authority then significant delays could be encountered as a result. This risk is mitigated by following all relevant guidance’s and using staff knowledge and previous experience to guide the product and process development programs but is still a potential risk of regulatory non-compliance.</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159"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Our development program for our product candidates, particularly those entering late-stage development, will require substantial additional funds. We currently intend to enter into out-licensing or sales arrangements with pharmaceutical, biopharmaceutical or other partners for the continued development of our product candidates, acumapimod and leflutrozole, and we may take the same approach for other product candidates.</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types of development arrangements referred to above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183"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If we are unable to enter into an appropriate arrangement for the development of our selected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navicixizumab (which was licensed to Feng Biosciences in January 2020), and our etigilimab product candidate (solely owned by Mereo BioPharma 5 (formerly OncoMed)), patents and patent applications which cover our setrusumab, acumapimod, and leflutrozole product candidates acquired from Novartis and patents and patent applications which cover our alvelestat product candidate exclusively licensed (with the option to purchase) from AstraZeneca. The assignments of those patents and patent applications which we acquired from Novartis have been registered with the relevant authorities in key territories. The patent and patent applications for setrusumab and leflutrozole are subject to a license agreement with Ultragenyx from January 2021 and a license agreement with ReproNovo from December 2023 respectively.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8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1" w:name="page72"/>
    <w:bookmarkEnd w:id="71"/>
    <w:p>
      <w:pPr>
        <w:ind w:right="240"/>
        <w:spacing w:after="0" w:line="258" w:lineRule="auto"/>
        <w:rPr>
          <w:sz w:val="20"/>
          <w:szCs w:val="20"/>
          <w:color w:val="auto"/>
        </w:rPr>
      </w:pPr>
      <w:r>
        <w:rPr>
          <w:rFonts w:ascii="Times New Roman" w:cs="Times New Roman" w:eastAsia="Times New Roman" w:hAnsi="Times New Roman"/>
          <w:sz w:val="18"/>
          <w:szCs w:val="18"/>
          <w:color w:val="auto"/>
        </w:rPr>
        <w:t>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 issued from such patent applications, and then only to the extent the issued claims cover the technology.</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we cannot be certain that we or our licensors were the first to file any patent application related to our product candidates. Furthermore, in the U.S., if third parties have filed such patent applications on or before March 15, 2013, the date on which the U.S. changed from a first to invent to a first to file patent system,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such third parties’ product candidates.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enjoy only limited geographical protection with respect to certain patents and may not be able to protect our intellectual property rights throughout the world.</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U.S. or Europe. These product candidates may compete with our product candidates, and our and our licensors’ patents or other intellectual property rights may not be effective or sufficient to prevent them from competing.</w:t>
      </w:r>
    </w:p>
    <w:p>
      <w:pPr>
        <w:spacing w:after="0" w:line="18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U.S., U.K.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9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2" w:name="page73"/>
    <w:bookmarkEnd w:id="72"/>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62" w:lineRule="exact"/>
        <w:rPr>
          <w:sz w:val="20"/>
          <w:szCs w:val="20"/>
          <w:color w:val="auto"/>
        </w:rPr>
      </w:pPr>
    </w:p>
    <w:p>
      <w:pPr>
        <w:ind w:left="1140" w:right="24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may impair our ability to develop or commercialize our product candidates;</w:t>
      </w:r>
    </w:p>
    <w:p>
      <w:pPr>
        <w:spacing w:after="0" w:line="225"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may be extended beyond the expected patent term and thus may impair our ability to develop or commercialize our product candidates;</w:t>
      </w:r>
    </w:p>
    <w:p>
      <w:pPr>
        <w:spacing w:after="0" w:line="161"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161"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that we own or have exclusively licensed may not lead to issued patents;</w:t>
      </w:r>
    </w:p>
    <w:p>
      <w:pPr>
        <w:spacing w:after="0" w:line="225"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1140" w:right="60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 candidates for sale in our major commercial markets;</w:t>
      </w:r>
    </w:p>
    <w:p>
      <w:pPr>
        <w:spacing w:after="0" w:line="161"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performing manufacturing or testing for us using our product candidates or technologies could use the intellectual property of others without obtaining a proper license;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licensors’ inventions or technologies may be found to be not patentable;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technologies that are patentable.</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75"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3" w:name="page74"/>
    <w:bookmarkEnd w:id="73"/>
    <w:p>
      <w:pPr>
        <w:ind w:right="300"/>
        <w:spacing w:after="0" w:line="282" w:lineRule="auto"/>
        <w:rPr>
          <w:sz w:val="20"/>
          <w:szCs w:val="20"/>
          <w:color w:val="auto"/>
        </w:rPr>
      </w:pPr>
      <w:r>
        <w:rPr>
          <w:rFonts w:ascii="Times New Roman" w:cs="Times New Roman" w:eastAsia="Times New Roman" w:hAnsi="Times New Roman"/>
          <w:sz w:val="18"/>
          <w:szCs w:val="18"/>
          <w:color w:val="auto"/>
        </w:rPr>
        <w:t>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16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 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previously included a patent granted by the European Patent Office (“EPO”), containing claims that appeared to cover the use of etigilimab in the treatment of cancer. This patent has been revoked in its entirety, although a divisional application is pending in the same family. Regarding our anti-sclerostin antibody product candidate, setrusumab, we are aware of litigation involving patents owned by a third-party, OssiFi-Mab LLC (OMab), relating to methods of using sclerostin antagonists in combination with antiresorptive drugs to increase bone growth, bone formation, and/or bone density. Specifically, in the U.S., OMab has asserted certain patents expiring in 2027 or 2028 against Amgen based on Amgen’s commercialization of an anti-sclerostin antibody, Evenity®, for the treatment of osteoporosis in postmenopausal women at high risk for fracture; Amgen denies infringement and asserts the OMab patents are invalid. In Europe, OMab was granted two patents with related subject matter and a third patent application with related subject matter is pending; the first patent has been finally revoked while the second has been revoked subject to a pending appeal, following opposition by Amgen, UCB, and two anonymous parties.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Any of our patents may be challenged, narrowed, circumvented, or invalidated by third parties. The issuance of a patent is not conclusive as to its inventorship, scope, validity, or enforceability, and our patents may be challenged in the courts or patent offices in the U.S. and abroad. We may be subject to a third party pre-issuance submission of prior art to the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is a risk that one or more third parties may choose to engage in litigation with us to enforce or to otherwise assert their patent rights against us. Even if we believe such claims are without merit, a court of competent jurisdiction could hold that one or more of these patents is valid, enforceable, and infringed, in which case the owners of any such patents may be able to block our ability to commercialize a product candidate unless we obtain a license under the applicable patents, or until such patents expire. However, such a license may not be available on commercially reasonable terms or at all. Such proceedings also may result in substantial cost and require significant time from us, even if the eventual outcome is favorable to us.</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4" w:name="page75"/>
    <w:bookmarkEnd w:id="74"/>
    <w:p>
      <w:pPr>
        <w:ind w:firstLine="749"/>
        <w:spacing w:after="0" w:line="252"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 candidates, the defendant could counterclaim that our patent is invalid or unenforceable. In patent litigation in the U.S.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w:t>
      </w:r>
    </w:p>
    <w:p>
      <w:pPr>
        <w:spacing w:after="0" w:line="195"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19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 interim proceedings or developments. If securities analysts or investors view these announcements in a negative light, the price of our ADSs could be adversely affected.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 party patent which might adversely affect our ability to develop, manufacture and market our product candidates.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U.S., Europe and elsewhere that is relevant to or necessary for the commercialization of our product candidates in any jurisdiction. For example, in the U.S., patent applications filed before November 29, 2000 and, upon request, certain patent applications filed after that date that will not be filed outside the U.S., remain confidential until those patent applications issue as patents. Patent applications in the U.S.,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U.S, Europe, or elsewhere that we consider relevant also may be incorrect. Any of the foregoing circumstances, failures, or errors may negatively impact our ability to develop and market our product candidates.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are party to agreements with licensors, including Novartis, AstraZeneca, and Ultragenyx under which we in-license certain intellectual property and were assigned, in the case of Novartis, or granted an option to acquire, in the case of AstraZeneca, certain patents and patent applications related to our business. In addition, we are party to agreements with Ultragenyx, ReproNovo and Feng Biosciences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currently own and have in-licensed rights to intellectual property, including patents, patent applications and know-how, relating to our product candidates, and our success will likely depend on 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88"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76" w:name="page77"/>
    <w:bookmarkEnd w:id="76"/>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We may be subject to claims challenging the inventorship of our patents and patent applications or ownership of our intellectual property. In particular, we may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8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15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would be harmed.</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180" w:lineRule="exact"/>
        <w:rPr>
          <w:sz w:val="20"/>
          <w:szCs w:val="20"/>
          <w:color w:val="auto"/>
        </w:rPr>
      </w:pPr>
    </w:p>
    <w:p>
      <w:pPr>
        <w:jc w:val="both"/>
        <w:ind w:right="500" w:firstLine="749"/>
        <w:spacing w:after="0" w:line="257"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8" w:name="page79"/>
    <w:bookmarkEnd w:id="78"/>
    <w:p>
      <w:pPr>
        <w:ind w:right="40" w:firstLine="749"/>
        <w:spacing w:after="0" w:line="289" w:lineRule="auto"/>
        <w:rPr>
          <w:sz w:val="20"/>
          <w:szCs w:val="20"/>
          <w:color w:val="auto"/>
        </w:rPr>
      </w:pPr>
      <w:r>
        <w:rPr>
          <w:rFonts w:ascii="Times New Roman" w:cs="Times New Roman" w:eastAsia="Times New Roman" w:hAnsi="Times New Roman"/>
          <w:sz w:val="17"/>
          <w:szCs w:val="17"/>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54"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17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and proprietary information may be lost, in the event of information technology system failures, cyberattacks or deficiencies in our cybersecurity.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 and damage from computer viruses and malware (e.g., ransomware), cybersecurity threats, unauthorized access, natural disasters, terrorism, war and telecommunications and electrical failures or breached due to employee error, malfeasance, or other disruptions.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90"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 security incidents. Although, to our knowledge, we have not experienced any significant system failure, accident or security breach to date, any such event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loss of clinical trial data from completed, ongoing, or planned trials could result in delays in our regulatory approval efforts and significantly increase our costs to recover or reproduce the data. We could also incur liability and the further development and commercialization of our product candidates could be delayed. In addition, we also rely on third parties to manufacture our product candidates, so similar events relating to their computer systems could also have a material adverse effect on our business. Further, our insurance coverage may not be sufficient to cover the financial, legal, business or reputational losses that may result from an interruption or breach of our systems.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due to continued hybrid working environment, varying parts of our workforce may work remotely on a part or full-time basis. This could increase our cyber security risk, create data accessibility concerns, and make us more susceptible to communication disruptions. Any of the foregoing could have a material adverse effect on our business, financial condition, results of operations or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volatile, and you could lose all or part of your investment.</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trading price of our ADSs is likely to be highly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report, factors that are expected to affect the market price of our ADSs include:</w:t>
      </w:r>
    </w:p>
    <w:p>
      <w:pPr>
        <w:spacing w:after="0" w:line="183" w:lineRule="exact"/>
        <w:rPr>
          <w:sz w:val="20"/>
          <w:szCs w:val="20"/>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or delays in, testing or clinical trials conducted by our or our competitors;</w:t>
      </w:r>
    </w:p>
    <w:p>
      <w:pPr>
        <w:spacing w:after="0" w:line="225"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competitors;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such as the COVID-19 pandemic, and government efforts to slow their spread;</w:t>
      </w:r>
    </w:p>
    <w:p>
      <w:pPr>
        <w:spacing w:after="0" w:line="225"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public health, financial or geopolitical events that affect us or the financial markets generally, such as the duration and severity of the impact of the COVID-19 pandemic, the conflicts between Ukraine and the Russian Federation, and Israel and Hamas and unexpected rises in inflation and interest rates;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w:t>
      </w:r>
    </w:p>
    <w:p>
      <w:pPr>
        <w:spacing w:after="0" w:line="225"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 and variances in our periodic results of operations from securities analysts’ estimates;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biopharmaceutical and pharmaceutical industries or in the economy as a whole;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by us, our senior management and board members, holders of ADSs or our other security holders in the future;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shareholders;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the investment community; or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225"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the past in the U.S.,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ADSs and the withdrawal of the underlying ordinary shares.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18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U.K. Companies Act 2006, or the Companies Act, and by our articles of association. These rights differ in certain respects from the rights of shareholders in typical U.S. corporations.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principal differences include the following:</w:t>
      </w:r>
    </w:p>
    <w:p>
      <w:pPr>
        <w:spacing w:after="0" w:line="225" w:lineRule="exact"/>
        <w:rPr>
          <w:sz w:val="20"/>
          <w:szCs w:val="20"/>
          <w:color w:val="auto"/>
        </w:rPr>
      </w:pPr>
    </w:p>
    <w:p>
      <w:pPr>
        <w:ind w:left="1140" w:right="140" w:hanging="383"/>
        <w:spacing w:after="0" w:line="25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holders of ordinary shares generally have preemptive rights (in proportion to their existing holdings) in relation to ordinary shares or rights to subscribe for, or to convert securities into, ordinary shares proposed to be allotted for cash, unless an exception applies or a special resolution to the contrary has been passed by shareholders in a general meeting or the articles of association provide otherwise. Under U.S. law, shareholders generally do not have preemptive rights unless specifically granted in the certificate of incorporation or otherwise;</w:t>
      </w:r>
    </w:p>
    <w:p>
      <w:pPr>
        <w:spacing w:after="0" w:line="183" w:lineRule="exact"/>
        <w:rPr>
          <w:rFonts w:ascii="Times New Roman" w:cs="Times New Roman" w:eastAsia="Times New Roman" w:hAnsi="Times New Roman"/>
          <w:sz w:val="18"/>
          <w:szCs w:val="18"/>
          <w:color w:val="auto"/>
        </w:rPr>
      </w:pPr>
    </w:p>
    <w:p>
      <w:pPr>
        <w:ind w:left="1140" w:right="40" w:hanging="383"/>
        <w:spacing w:after="0" w:line="25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the approval of shareholders representing 75% of the ordinary shares voting (in person or by proxy)), including changes to our name, permitting us to issue new ordinary shares for cash without the shareholders’ preemptive rights applying and amendments to the articles of association. Under U.S. law, generally only majority shareholder approval is required to amend the certificate of incorporation or to approve other significant matters;</w:t>
      </w:r>
    </w:p>
    <w:p>
      <w:pPr>
        <w:spacing w:after="0" w:line="183" w:lineRule="exact"/>
        <w:rPr>
          <w:rFonts w:ascii="Times New Roman" w:cs="Times New Roman" w:eastAsia="Times New Roman" w:hAnsi="Times New Roman"/>
          <w:sz w:val="18"/>
          <w:szCs w:val="18"/>
          <w:color w:val="auto"/>
        </w:rPr>
      </w:pPr>
    </w:p>
    <w:p>
      <w:pPr>
        <w:ind w:left="1140" w:right="40" w:hanging="383"/>
        <w:spacing w:after="0" w:line="254"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U.K., a takeover may be structured as takeover offers or as schemes of arrangement. Under English law, a bidder seeking to acquire a company by means of a takeover offer who has acquired or unconditionally contracted to acquire not less than 90% of the shares (not held by the bidder) to which the offer relates may complete a “squeeze out” on the same terms as the takeover offer to obtain 100% control of that company. Accordingly, acceptances in respect of 90% of our outstanding ordinary shares/ADSs will likely be a condition in any takeover offer to acquire us (albeit a condition that the bidder will typically reserve the right to waive down to anything above 50%),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not less than 75% of the ordinary shares voting at the meeting;</w:t>
      </w:r>
    </w:p>
    <w:p>
      <w:pPr>
        <w:spacing w:after="0" w:line="191" w:lineRule="exact"/>
        <w:rPr>
          <w:rFonts w:ascii="Times New Roman" w:cs="Times New Roman" w:eastAsia="Times New Roman" w:hAnsi="Times New Roman"/>
          <w:sz w:val="18"/>
          <w:szCs w:val="18"/>
          <w:color w:val="auto"/>
        </w:rPr>
      </w:pPr>
    </w:p>
    <w:p>
      <w:pPr>
        <w:ind w:left="1140" w:hanging="383"/>
        <w:spacing w:after="0" w:line="25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if a person defaults in providing the required information our directors may certain directions, including that the relevant shareholder will not be entitled to vote at general meetings, that dividends in respect of the default shares will be retained and that no transfers of the default shares may be registered. Comparable provisions generally do not exist under U.S. law; and</w:t>
      </w:r>
    </w:p>
    <w:p>
      <w:pPr>
        <w:spacing w:after="0" w:line="183" w:lineRule="exact"/>
        <w:rPr>
          <w:rFonts w:ascii="Times New Roman" w:cs="Times New Roman" w:eastAsia="Times New Roman" w:hAnsi="Times New Roman"/>
          <w:sz w:val="18"/>
          <w:szCs w:val="18"/>
          <w:color w:val="auto"/>
        </w:rPr>
      </w:pPr>
    </w:p>
    <w:p>
      <w:pPr>
        <w:ind w:left="1140" w:right="20" w:hanging="383"/>
        <w:spacing w:after="0" w:line="25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representative. In addition, in accordance with the applicable Nasdaq rules, under the articles of association for a shareholders’ meeting to be quorate at least 33 1/3 percent of the company’s issued and outstanding ordinary shares must be present at such meeting, whether represented in person (including, in the case of a corporate member, by a duly authorized representative) or by a duly appointed proxy. Under U.S. law, a majority of the shares eligible to vote must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ind w:left="1140" w:right="80"/>
        <w:spacing w:after="0" w:line="266" w:lineRule="auto"/>
        <w:rPr>
          <w:sz w:val="20"/>
          <w:szCs w:val="20"/>
          <w:color w:val="auto"/>
        </w:rPr>
      </w:pPr>
      <w:r>
        <w:rPr>
          <w:rFonts w:ascii="Times New Roman" w:cs="Times New Roman" w:eastAsia="Times New Roman" w:hAnsi="Times New Roman"/>
          <w:sz w:val="18"/>
          <w:szCs w:val="18"/>
          <w:color w:val="auto"/>
        </w:rPr>
        <w:t>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research or unfavorable research about our business, the price and trading volume of ADSs could decline.</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trading market for our ADSs depends in part on the research and reports that securities or industry analysts publish about us or our business. If one or more of the analysts who covers us downgrades our ADSs or publishes incorrect or unfavorable research about our business, the price of our ADSs would likely decline. If one or more of these analysts ceases coverage of us or fails to publish reports on us regularly, or downgrades our ADSs, demand for ADSs could decrease, which could cause the price of ADSs and/or ordinary shares and/or trading volume to decline.</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18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18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distributions on ordinary shares represented by ADSs or any value for them if it is unlawful or impractical to make them available to holders of ADSs.</w:t>
      </w:r>
    </w:p>
    <w:p>
      <w:pPr>
        <w:spacing w:after="0" w:line="159" w:lineRule="exact"/>
        <w:rPr>
          <w:sz w:val="20"/>
          <w:szCs w:val="20"/>
          <w:color w:val="auto"/>
        </w:rPr>
      </w:pPr>
    </w:p>
    <w:p>
      <w:pPr>
        <w:ind w:right="80" w:firstLine="749"/>
        <w:spacing w:after="0" w:line="274" w:lineRule="auto"/>
        <w:rPr>
          <w:sz w:val="20"/>
          <w:szCs w:val="20"/>
          <w:color w:val="auto"/>
        </w:rPr>
      </w:pPr>
      <w:r>
        <w:rPr>
          <w:rFonts w:ascii="Times New Roman" w:cs="Times New Roman" w:eastAsia="Times New Roman" w:hAnsi="Times New Roman"/>
          <w:sz w:val="17"/>
          <w:szCs w:val="17"/>
          <w:color w:val="auto"/>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6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ADSs may not have the same voting rights as holders of ordinary shares and may not receive voting materials in time to be able to exercise their right to vote.</w:t>
      </w:r>
    </w:p>
    <w:p>
      <w:pPr>
        <w:spacing w:after="0" w:line="15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ind w:right="360"/>
        <w:spacing w:after="0" w:line="282" w:lineRule="auto"/>
        <w:rPr>
          <w:sz w:val="20"/>
          <w:szCs w:val="20"/>
          <w:color w:val="auto"/>
        </w:rPr>
      </w:pPr>
      <w:r>
        <w:rPr>
          <w:rFonts w:ascii="Times New Roman" w:cs="Times New Roman" w:eastAsia="Times New Roman" w:hAnsi="Times New Roman"/>
          <w:sz w:val="18"/>
          <w:szCs w:val="18"/>
          <w:color w:val="auto"/>
        </w:rPr>
        <w:t>voting materials in time to instruct the depositary to vote, and it is possible that they, or persons who hold their ADSs through brokers, dealers or other third parties, will not have the opportunity to exercise a right to vote.</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for you to bring any action or enforce any judgment obtained in the U.S. against us or members of our Board, which may limit the remedies otherwise available to us.</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incorporated as a public limited company in England and Wales, and the majority of our assets are located outside the U.S. In addition, several members of our board of directors (our “Board”) are nationals and residents of countries, including the U.K., outside of the U.S. Most or all of the assets of these individuals are located outside the U.S. As a result, it may be difficult or impossible for you to bring an action against us or against these individuals in the U.S. if you believe your rights have been infringed under the securities laws or otherwise. In addition, a U.K. court may prevent you from enforcing a judgment of a U.S. court against us or these individuals based on the securities laws of the U.S. or any state thereof. A U.K. court may not allow you to bring an action against us or our directors based on the securities laws of the U.S.s or any state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in countries other than the U.K. will suffer dilution if they are unable to participate in future preemptive equity offerings.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U.K. may be restricted by applicable law or practice in the U.K. and overseas jurisdictions. In particular, the exercise of preemptive rights by U.S.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w:t>
      </w:r>
    </w:p>
    <w:p>
      <w:pPr>
        <w:spacing w:after="0" w:line="190"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Commencing January 1, 2024, we were required to comply with the domestic reporting regime under the Exchange Act and will continue to incur significant legal, accounting and other expenses, and our management must devote substantial time to public company compliance initiatives and corporate governance matters.</w:t>
      </w:r>
    </w:p>
    <w:p>
      <w:pPr>
        <w:spacing w:after="0" w:line="17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From January 1, 2024, we no longer qualified as a “foreign private issuer”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and were not required to present our financial statements in accordance with U.S. GAAP. Commencing January 1, 2024, we were no longer entitled to “foreign private issuer” exemptions and began reporting as a domestic U.S. filer, including filing annual reports on Form 10-K, quarterly reports on Form 10-Q, current reports on Form 8-K and proxy statements under Section 14 of the Exchange Act. In addition,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p>
      <w:pPr>
        <w:ind w:right="140"/>
        <w:spacing w:after="0" w:line="261" w:lineRule="auto"/>
        <w:rPr>
          <w:sz w:val="20"/>
          <w:szCs w:val="20"/>
          <w:color w:val="auto"/>
        </w:rPr>
      </w:pPr>
      <w:r>
        <w:rPr>
          <w:rFonts w:ascii="Times New Roman" w:cs="Times New Roman" w:eastAsia="Times New Roman" w:hAnsi="Times New Roman"/>
          <w:sz w:val="18"/>
          <w:szCs w:val="18"/>
          <w:color w:val="auto"/>
        </w:rPr>
        <w:t>beginning January 1, 2024, our “insiders” are subject to the reporting and short-swing profit recovery provisions contained in Section 16 of the Exchange Act and the requirements of Regulation FD promulgated by the SEC under the Exchange Act. Moreover, beginning January 1, 2024, we were no longer permitted to follow our home country rules in lieu of the corporate governance obligations imposed by Nasdaq, and are required to comply with the governance practices required of U.S. domestic issuers.</w:t>
      </w:r>
    </w:p>
    <w:p>
      <w:pPr>
        <w:spacing w:after="0" w:line="180"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regulatory and compliance costs associated with the reporting and governance requirements applicable to U.S. domestic issuers may be significantly higher than the costs we previously incurred as a foreign private issuer. As a result, we expect that our legal and financial compliance costs will continue to increase and some compliance activities may be highly time consuming and costly. In addition, we need to further develop our reporting and compliance infrastructure and may face challenges in complying with the new requirements applicable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could have a material adverse effect on our business and stock price.</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senior management on our internal control over financial reporting. However, while we remain a smaller reporting company, we will not be required to include an attestation report on internal control over financial reporting issued by our independent registered public accounting firm. To achieve compliance with Section 404, we have been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As discussed in Item 9A. Controls and Procedures, we have not identified any material weaknesses, however if we do identify one or more material weaknesses in future, it could result in an adverse reaction in the financial markets due to a loss of confidence in the reliability of our financial statements.</w:t>
      </w:r>
    </w:p>
    <w:p>
      <w:pPr>
        <w:spacing w:after="0" w:line="1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(“PFIC”) for any taxable year, which could result in material adverse U.S. federal income tax consequences if you are a U.S. investor.</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19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Although we believe we have been treated as a PFIC in the past, based on our gross income, the average value of our assets, including goodwill, and the nature of the current state of our business, we do not believe we were a PFIC for the year ended December 31, 2024. There can be no assurance regarding our PFIC status for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In addition, we may, directly or indirectly, hold equity interests in other entities, including certain of our subsidiaries that are PFICs. Accordingly, U.S. investors should invest in our ADSs only if they are willing to bear the U.S. federal income tax consequences associated with investments in PFICs.</w:t>
      </w:r>
    </w:p>
    <w:p>
      <w:pPr>
        <w:spacing w:after="0" w:line="190"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If we were a PFIC for any taxable year during which a U.S. investor owns ADSs, certain adverse U.S. federal income tax consequences could apply to such U.S. investor. We will provide the information necessary for a U.S. investor to make a qualified electing fund election with respect to us. U.S. investors should consult their tax advisers regarding our PFIC status for any taxable year and the potential application of the PFIC rules to an investment in our ADSs (including the potential implications of our prior PFIC status).</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62"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U.K. Cyber Essentials and the National Institute of Standards and Technology Cybersecurity Framework (NIST CSF). This does not imply that we meet any particular technical standards, specifications, or requirements, only that we use these frameworks as a guide to help us identify, assess, and manage cybersecurity risks relevant to our business.</w:t>
      </w:r>
    </w:p>
    <w:p>
      <w:pPr>
        <w:spacing w:after="0" w:line="176" w:lineRule="exact"/>
        <w:rPr>
          <w:sz w:val="20"/>
          <w:szCs w:val="20"/>
          <w:color w:val="auto"/>
        </w:rPr>
      </w:pPr>
    </w:p>
    <w:p>
      <w:pPr>
        <w:ind w:right="640" w:firstLine="74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20" w:right="20" w:hanging="503"/>
        <w:spacing w:after="0" w:line="26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Reporting: We have implemented a cross-functional approach to assessing, identifying and managing material cybersecurity threats and incidents to our critical systems, information and our enterprise information technology environment. Our program includes controls and procedures to identify, classify and escalate certain cybersecurity incidents to provide management visibility and obtain direction from management as to the public disclosure and reporting of material incidents in a timely manner.</w:t>
      </w:r>
    </w:p>
    <w:p>
      <w:pPr>
        <w:spacing w:after="0" w:line="71"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Safeguards: We implement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67" w:lineRule="exact"/>
        <w:rPr>
          <w:rFonts w:ascii="Times New Roman" w:cs="Times New Roman" w:eastAsia="Times New Roman" w:hAnsi="Times New Roman"/>
          <w:sz w:val="18"/>
          <w:szCs w:val="18"/>
          <w:color w:val="auto"/>
        </w:rPr>
      </w:pPr>
    </w:p>
    <w:p>
      <w:pPr>
        <w:ind w:left="1020" w:right="140" w:hanging="503"/>
        <w:spacing w:after="0" w:line="258"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Risk Management: We use external service providers, where appropriate, to assess, test or otherwise assist with aspects of our security controls. We maintain a risk-based approach to identifying and overseeing material cybersecurity threats presented by third parties, including vendors, service providers, and other external users of our systems, as well as the systems of third parties that could adversely impact our business in the event of a material cybersecurity incident affecting those third party systems, including any service providers, suppliers, and vendors that have access to our critical systems and information.</w:t>
      </w:r>
    </w:p>
    <w:p>
      <w:pPr>
        <w:spacing w:after="0" w:line="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and Training: We provide annual cybersecurity awareness training and on-going phishing simulation testing for our employees, incident response personnel and senior management in order to communicate evolving information security policies, standards, processes and practices and to provide them with the tools to make them aware of processes on addressing cybersecurity threats.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and Recovery Planning: We maintain incident response, business continuity, and disaster recovery plans designed to address our response to a cybersecurity incident.</w:t>
      </w:r>
    </w:p>
    <w:p>
      <w:pPr>
        <w:spacing w:after="0" w:line="162"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We have not identified any specific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“Item 1A. Risk Factor—Risks Related to Healthcare Laws and Other Legal Compliance Matters—Our business and operations may suffer in the event of information technology system failures, cyberattacks or deficiencies in our cybersecurity."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Cybersecurity Governance</w:t>
      </w:r>
    </w:p>
    <w:p>
      <w:pPr>
        <w:spacing w:after="0" w:line="256"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5" w:name="page86"/>
    <w:bookmarkEnd w:id="85"/>
    <w:p>
      <w:pPr>
        <w:ind w:firstLine="749"/>
        <w:spacing w:after="0" w:line="266" w:lineRule="auto"/>
        <w:rPr>
          <w:sz w:val="20"/>
          <w:szCs w:val="20"/>
          <w:color w:val="auto"/>
        </w:rPr>
      </w:pPr>
      <w:r>
        <w:rPr>
          <w:rFonts w:ascii="Times New Roman" w:cs="Times New Roman" w:eastAsia="Times New Roman" w:hAnsi="Times New Roman"/>
          <w:sz w:val="18"/>
          <w:szCs w:val="18"/>
          <w:color w:val="auto"/>
        </w:rPr>
        <w:t>Material cybersecurity risks are identified by members of our team. Our Head of IT is primarily responsible for managing our cybersecurity risk assessment processes, including those described in “Cybersecurity Risk Management and Strategy” above, our security controls and our response to cybersecurity incidents, with assistance from third party service providers.</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audit and risk committee receives periodic reports and briefings from management on our cybersecurity risks. In addition, management updates the audit and risk committee, as necessary, regarding any material cybersecurity incidents, as well as any incidents with lesser impact potential. The audit and risk committee reports to the full Board regarding its activities, including those related to cybersecurity.</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IT personnel; threat intelligence and other information obtained from governmental, public or private sources, including third party service providers engaged by us; and alerts and reports produced by security tools deployed in the information technology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Mereo’s principal office is located at 4th Floor, One Cavendish Place, London W1G 0QF, United Kingdom, where Mereo leases approximately 7,400 square feet of office space. Mereo leases this office space under leases that terminate on June 24,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2024, we were not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86" w:name="page87"/>
    <w:bookmarkEnd w:id="8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Market Information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ordinary shares, par value £0.003 per share, are not publicly traded. Our American Depositary Shares, or ADSs, each represent five ordinary shares of Mereo BioPharma Group plc and began trading on The Nasdaq Global Select Market on April 24, 2019 under the symbol “MREO.” Prior to that date, there was no public trading market for our ADSs or our ordinary shares. On May 3, 2023, we transferred the listing of our ADSs to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Ordinary Shares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2024, assuming that all of our ordinary shares represented by ADSs are held by residents of the U.S., including ADSs held by the entities set forth in Item 12. Security Ownership of Certain Beneficial Owners and Management and Related Stockholder Matters, and excluding certain other holders that we know to be non-residents of the U.S., we estimate that approximately 96% of our outstanding ordinary shares (including ordinary shares underlying ADSs) were held in the U.S. The number of record holders in the U.S. is not representative of the number of beneficial holders nor is it representative of where such beneficial holders are resident since many of these shares were held by brokers or other nominees.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Distribution Policy</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Mereo has never paid or declared any cash dividends on its ordinary shares, and does not anticipate 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less its accumulated realized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Share Repurchases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was no share repurchase activity in the Company’s fourth quarter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to those statements included elsewhere in this Annual Report on Form 10-K. In addition to our historical consolidated financial information, the following discussion contains forward-looking statements that reflect our plans, estimates, beliefs and expectations.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Part I, Item 1A. “Risk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for the treatment of severe alpha-1 antitrypsin deficiency-associated lung disease (AATD-LD).Setrusumab has received orphan designation for OI from the EC and the FDA, PRIME designation from the EMA and has Breakthrough Therapy designation and rare pediatric disease designation from the FDA. Alvelestat has received orphan designation for AATD from the EC and the FDA, and Fast Track designation for the treatment of AATD-LD from the FDA.</w:t>
      </w:r>
    </w:p>
    <w:p>
      <w:pPr>
        <w:spacing w:after="0" w:line="18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this strategy by acquiring six clinical-stage product candidates of which four were in rare diseases and oncology. Four of our six clinical-stage product candidates were acquired from large pharmaceutical companies and two were acquired in our merger with OncoMed Pharmaceuticals Inc. in 2019. We have successfully completed large, randomized Phase 2 clinical trials for four of our product candidates and the Phase 1b portion of a Phase 1b/2 for a fifth product candidate.</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 Where the Company has performed significant development activities for its product candidates, income from agreements with third parties are considered to be proceeds derived from the Company’s ordinary activities and therefore represent revenue.</w:t>
      </w:r>
    </w:p>
    <w:p>
      <w:pPr>
        <w:spacing w:after="0" w:line="188"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No revenue was recognized in the year ended December 31, 2024, however in previous years revenue has included income from licensing and collaboration agreements. Consideration received up front is recognized at the point in time in which the right to use a license or intellectual property is transferred. Income from development, regulatory, commercial or similar milestones is recognized when considered probable that a significant reversal of cumulative revenue recognized will not occur when the uncertainty associated with the milestone is subsequently resolved.</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do not currently have any approved product candidates. Accordingly, we have not generated any commercial sales revenue during the period. In the future, we expect to be able to generate revenues if we are able to obtain regulatory approval and commercialize one or more of our product candidates.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Payments to third parties arising as a direct consequence of the revenue recognized are recorded within cost of revenue in the Company’s consolidated statements of operations and comprehensive loss. No cost of revenue was recognized in the year ended December 31, 2024, however for the year ended December 31, 2023, cost of revenue included amounts that we were obligated to pay to Novartis under the 2015 asset purchase agreements. In 2015, when we purchased acumapimod, leflutrozole and setrusumab from Novartis, we agreed to pay Novartis if certain events occurred in relation to these compounds. The events that warrant a payment to Novartis are sales related or when a change in control occurs. When it is probable that either of these events will occur, revenue is recognized, and the corresponding payment obligation to Novartis is recognized within cost of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R&amp;D expenses include:</w:t>
      </w:r>
    </w:p>
    <w:p>
      <w:pPr>
        <w:spacing w:after="0" w:line="225" w:lineRule="exact"/>
        <w:rPr>
          <w:sz w:val="20"/>
          <w:szCs w:val="20"/>
          <w:color w:val="auto"/>
        </w:rPr>
      </w:pPr>
    </w:p>
    <w:p>
      <w:pPr>
        <w:ind w:left="1140" w:right="720" w:hanging="383"/>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such as salaries, share-based compensation, and other benefits, for Mereo’s research and development personnel;</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production of drug substance and drug product and development of Mereo’s manufacturing processes by CMOs;</w:t>
      </w:r>
    </w:p>
    <w:p>
      <w:pPr>
        <w:spacing w:after="0" w:line="225" w:lineRule="exact"/>
        <w:rPr>
          <w:rFonts w:ascii="Times New Roman" w:cs="Times New Roman" w:eastAsia="Times New Roman" w:hAnsi="Times New Roman"/>
          <w:sz w:val="18"/>
          <w:szCs w:val="18"/>
          <w:color w:val="auto"/>
        </w:rPr>
      </w:pPr>
    </w:p>
    <w:p>
      <w:pPr>
        <w:ind w:left="1140" w:right="500" w:hanging="383"/>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other costs paid to CROs, consultants, and other suppliers to conduct Mereo’s clinical trials and pre-clinical and non-clinical studies;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facilities, materials, and equipment related to drug production and Mereo’s clinical trials and pre-clinical and non-clinical studies.</w:t>
      </w:r>
    </w:p>
    <w:p>
      <w:pPr>
        <w:spacing w:after="0" w:line="225"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Intellectual property costs incurred on each drug candidate and costs associated with pre-commercial activities to support pricing and reimbursement by health technology assessment (“HTA”) authorities and payor decision-makers in Europe are excluded from R&amp;D expenses and are recognized within general and administrative expenses. Our direct R&amp;D expenses are allocated on a product-candidate-by-product-candidate basis. We allocate employee-related expenses for our R&amp;D personnel and other related expenses to specific product candidate development programs.</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As we advance the clinical development of our product candidates, we expect that our R&amp;D expense will continue to include costs of inputting into development, regulatory and manufacturing plans with our partner, Ultragenyx, for setrusumab; and activities associated with preparation of alvelestat for the Phase 3 study, including CMC, regulatory and other activities required to initiate the study.</w:t>
      </w:r>
    </w:p>
    <w:p>
      <w:pPr>
        <w:spacing w:after="0" w:line="187"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76"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Our future expenditure on developing our product candidates is therefore highly uncertain. This is due to numerous risks and uncertainties associated with developing our product candidates, including the uncertainty of:</w:t>
      </w:r>
    </w:p>
    <w:p>
      <w:pPr>
        <w:spacing w:after="0" w:line="162" w:lineRule="exact"/>
        <w:rPr>
          <w:sz w:val="20"/>
          <w:szCs w:val="20"/>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R&amp;D activities;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and our pre-clinical and non-clinical studies;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regulatory approvals, if any;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our third-party manufacturers to obtain manufacturing supply;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its intellectual property portfolio;</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of commercial sales of any of our product candidates, if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strategic relationships for clinical development and/or commercialization of our non-core product candidates and performance of our strategic partners under these arrangements;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9" w:name="page90"/>
    <w:bookmarkEnd w:id="89"/>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if any, of one or more of our non-core disease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of our product candidates, if approved, by patients, the medical community and payors at our desired pricing levels;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therapies;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any of our product candidates following approval.</w:t>
      </w:r>
    </w:p>
    <w:p>
      <w:pPr>
        <w:spacing w:after="0" w:line="22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principally consist of salaries and related benefits, including share-based compensation, for personnel in our executive, finance and other administrative functions as well as certain pre-commercial activities, including those to support pricing and reimbursement by HTA authorities and payor decision-makers in Europe, particularly in relation to setrusumab. Other general and administrative costs include facility-related costs, professional services fees for auditing, tax and general legal services, intellectual property costs, costs related to our requirements of being a public company listed on Nasdaq, and costs incurred relating to the issue of equity to the extent not capitalized.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comprises interest received on cash and short term deposits.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Interest expense principally comprises interest on convertible loan notes, deferred consideration and bank charges. For further information on the terms of our convertible loan notes see “—Liquidity and Capital Resources—Indebtedness.”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fair value of financial instruments/warrants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changes in financial instruments principally comprises warrant liabilities, which are recognized in the statement of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 gain/(loss)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presented in U.S. dollars. We initially record transactions in foreign currencies at the rate prevailing on the date the transaction first qualifies for recognition. Foreign currency transaction gain/(loss) consists of the difference arising on settlement or translation of transactions denominated in currencies other than the functional currency of the transacting foreign entity, which are primarily held in U.S. dollars and British pound sterling.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Other income consists of income that is derived from a third party which is not a customer and does not fall under the scope of ASC Topic 606, Revenue from Contracts with Customers (“ASC 606”).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research and development tax credits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As a U.K. resident trading entity, we are subject to U.K. corporate taxation. Due to the nature of our business, we have generated operating losses since formation. As of December 31, 2024 and 2023, we had cumulative carry-forward U.K. tax losses of $36.6 million and $30.6 million, respectively. Subject to any relevant restrictions, we expect these to be available to carry forward and offset against future operating profits. As a company that carries out extensive R&amp;D activities, we benefit from the U.K. R&amp;D small or medium-sized enterprise tax credit regime, or SME R&amp;D Relief, and are able to surrender some of our trading losses that arise from our research and development activities for a cash rebate (the "R&amp;D tax credit"). Pursuant to changes made by the Finance Act 2023,</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0" w:name="page91"/>
    <w:bookmarkEnd w:id="90"/>
    <w:p>
      <w:pPr>
        <w:ind w:right="340"/>
        <w:spacing w:after="0" w:line="255" w:lineRule="auto"/>
        <w:rPr>
          <w:sz w:val="20"/>
          <w:szCs w:val="20"/>
          <w:color w:val="auto"/>
        </w:rPr>
      </w:pPr>
      <w:r>
        <w:rPr>
          <w:rFonts w:ascii="Times New Roman" w:cs="Times New Roman" w:eastAsia="Times New Roman" w:hAnsi="Times New Roman"/>
          <w:sz w:val="18"/>
          <w:szCs w:val="18"/>
          <w:color w:val="auto"/>
        </w:rPr>
        <w:t>from April 1, 2023, a cash rebate of up to 27% of eligible R&amp;D expenditure is available for R&amp;D intensive companies where at least 40% of their total expenditure is on qualifying R&amp;D, or for non-R&amp;D intensive companies, a cash rebate of up to 18.6% of eligible R&amp;D expenditure is available. From April 1, 2023, certain subcontracted qualifying research expenditures are eligible for a cash rebate of up to 17.53% for R&amp;D intensive companies or 12.09% for other companies. The difference in cash rebate for qualifying subcontracted expenditure versus other qualifying expenditure is due to a statutory restriction of 65% being applied to unconnected qualifying subcontracted expenditure, thus restricting the benefit available. Qualifying expenditures largely comprise employment costs for R&amp;D staff, subcontracted CRO and CMO costs, consumables and certain internal overhead cost incurred as part of research projects. We do not currently expect to qualify as an R&amp;D intensive company.</w:t>
      </w:r>
    </w:p>
    <w:p>
      <w:pPr>
        <w:spacing w:after="0" w:line="18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these regimes, or we are unable to use net operating loss and tax credit carryforwards and certain built-in losses to reduce future tax payments, our business, results of operations, and financial condition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We operate in the U.K. and in the U.S. and are subject to corporate taxation in those countries. We have generated losses since inception and have therefore not paid U.K. corporation tax except in 2021. The income tax benefit included in the consolidated statements of operations and comprehensive loss in the year ended December 31, 2023 represents tax refunds in respect of income taxes paid in 2021.</w:t>
      </w:r>
    </w:p>
    <w:p>
      <w:pPr>
        <w:spacing w:after="0" w:line="176"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U.K. corporation tax rate applied for 2024 was 25% (2023: 23.5%). The U.K. corporation tax for 2023 resulted from applying the enacted statutory rate of 19% from January 1, 2023 through April 1, 2023, and 25% for the remainder of 2023. U.K. deferred tax assets and liabilities have been measured at a rate of 25%. </w:t>
      </w:r>
      <w:r>
        <w:rPr>
          <w:rFonts w:ascii="Times New Roman" w:cs="Times New Roman" w:eastAsia="Times New Roman" w:hAnsi="Times New Roman"/>
          <w:sz w:val="18"/>
          <w:szCs w:val="18"/>
          <w:color w:val="363435"/>
        </w:rPr>
        <w:t>T</w:t>
      </w:r>
      <w:r>
        <w:rPr>
          <w:rFonts w:ascii="Times New Roman" w:cs="Times New Roman" w:eastAsia="Times New Roman" w:hAnsi="Times New Roman"/>
          <w:sz w:val="18"/>
          <w:szCs w:val="18"/>
          <w:color w:val="auto"/>
        </w:rPr>
        <w:t>he U.S federal income tax rate is 21%.</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U.K. net operating loss carryforwards of $36.6 million, that can be carried forward indefinitely. The Company had U.S. federal tax losses to be carried forward of approximately $66.3 million of which $19.5 million can be carried forward indefinitely and $46.8 million which will begin to expire in 2025. The Company also had $13.9 million of U.S. federal R&amp;D tax credits that begin to expire in 2025 and U.S. state tax losses to be carried forward of less than $0.1 million which begin to expire in 2027. The Company also had less than $0.1 million of state R&amp;D tax credits that do not have an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64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The following table sets forth Mereo’s results of operations for the years ended December 31, 2024 and 2023.</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18"/>
                <w:szCs w:val="18"/>
                <w:color w:val="auto"/>
              </w:rPr>
            </w:pPr>
          </w:p>
        </w:tc>
        <w:tc>
          <w:tcPr>
            <w:tcW w:w="196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14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6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960" w:type="dxa"/>
            <w:vAlign w:val="bottom"/>
            <w:gridSpan w:val="3"/>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(2,574 )</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(17,418 )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(3,512 )</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(26,434 )</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(18,424 )</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(8,010 )</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(47,364 )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(18,948 )</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2,131</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(1,370 )</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(2,881 )</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(2,347 )</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9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(29,998 )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(13,255 )</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(43,253 )</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(29,466 )</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(13,787 )</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 Foreign currency translation adjustments, net of tax</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(1,364 )</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4,202</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(5,566 )</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(44,617 )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(25,264 )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(19,353 )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-1851025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-1851025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-744855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-744855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-462280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-462280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No revenue was recognized in the year ended December 31, 2024. Revenue of $10.0 million for the year ended December 31, 2023 comprised a one-time milestone payment of $9.0 million resulting from the achievement of a clinical milestone on setrusumab by Ultragenyx and a $1.0 million up-front payment from our global license agreement with ReproNovo for the development and commercialization of leflutrozole.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No cost of revenue was recognized in the year ended December 31, 2024. Cost of revenue of $2.6 million for the year ended December 31, 2023 primarily represented amounts payable pursuant to our 2015 agreement with Novartis, under which the Company pays a percentage of proceeds resulting from milestone revenue received, subject to certain deductions and other amounts.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years ended December 31, 2024 and 2023.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0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20"/>
                <w:szCs w:val="20"/>
                <w:color w:val="auto"/>
              </w:rPr>
            </w:pPr>
          </w:p>
        </w:tc>
        <w:tc>
          <w:tcPr>
            <w:tcW w:w="14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1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Setrusumab (BPS-804/UX143)</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5,784</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3,157</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2,627</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Alvelestat (MPH-966)</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12,918</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6,730</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Etigilimab (MPH-313)</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1,768</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7,263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(5,495 )</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Leflutrozole (BGS-649)</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Acumapimod (BCT-197)</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R&amp;D expenses</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20,930</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17,418</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R&amp;D expenses increased by $3.5 million, from $17.4 million in 2023 to $20.9 million in 2024.</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increase was primarily due to a $6.2 million and $2.6 million increase in R&amp;D expenses for alvelestat and setrusumab, respectively, partially offset by a $5.5 million decrease in R&amp;D expenses for etigilimab.</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increase in program expenses for alvelestat is due to the preparatory work for the Phase 3 study. This principally comprised drug formulation and manufacturing activities, SGRQ validation activities and regulatory interactions. In addition to these activities, a payment of $0.5 million in cash and $1.8 million in shares was made to AstraZeneca in connection with an agreed milestone following amendment of the original license agreement and subscription deed. See also "Item 1—Material Agreements— Licensing Agreement with AstraZeneca."</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increase in program expenses for setrusumab was primarily due to higher levels of ongoing activities in Europe, including real-world evidence programs and medical affairs activities, and amounts under the manufacturing and supply agreement with our partner, Ultragenyx, along with input into development, regulatory and manufacturing plans with Ultragenyx, who fund the global development of the program pursuant to our license and collaboration agreement.</w:t>
      </w:r>
    </w:p>
    <w:p>
      <w:pPr>
        <w:spacing w:after="0" w:line="180"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 reduction in etigilimab expenses was primarily due to the winding down and completion of the open label Phase 1b/2 basket study in combination with an anti-PD-1 in a range of tumor types.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General and administrative expenses increased by $8.0 million, from $18.4 million in 2023 to $26.4 million in 2024.</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increase was primarily due to:</w:t>
      </w:r>
    </w:p>
    <w:p>
      <w:pPr>
        <w:spacing w:after="0" w:line="117" w:lineRule="exact"/>
        <w:rPr>
          <w:sz w:val="20"/>
          <w:szCs w:val="20"/>
          <w:color w:val="auto"/>
        </w:rPr>
      </w:pPr>
    </w:p>
    <w:p>
      <w:pPr>
        <w:ind w:left="1020" w:right="8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approximately $2.7 million in certain pre-commercial activities to lay the foundation for the commercial launch of setrusumab in Europe, including activities to support pricing and reimbursement by HTA authorities and payor decision-makers in Europe, from $2.7 million in the year ended December 31, 2023 to $5.4 million in the year ended December 31, 2024;</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increases in other general and administrative expenses of approximately $1.6 million, including employee-related costs, and legal and professional fees in respect of compliance with the U.S. domestic reporting regime;</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$1.7 million in the amount received from our depository to reimburse certain expenses incurred by us in respect of our ADR program in the year ended December 31, 2024 compared to the year ended December 31, 2023;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in the year ended December 31, 2023 of $2.0 million from the settlement of a claim on our Directors and Officers insurance policy to reimburse us for certain legal and professional costs incurred in prior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Interest income increased by $0.9 million from $2.1 million in 2023 to $3.0 million in December 31, 2024, principally due to a higher cash and cash equivalents balance as a result of receiving the net proceeds of $46.2 million from the underwritten registered direct offering in June 2024.</w:t>
      </w:r>
    </w:p>
    <w:p>
      <w:pPr>
        <w:spacing w:after="0" w:line="16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Interest expense decreased by $1.5 million from $2.9 million in 2023 to $1.4 million in 2024. The decrease was principally due to the lower balance in the year of convertible loan notes as the private placement loan notes were fully converted and redeemed in August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color w:val="auto"/>
        </w:rPr>
        <w:t>Changes in the fair value of warrants</w:t>
      </w:r>
    </w:p>
    <w:p>
      <w:pPr>
        <w:spacing w:after="0" w:line="22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total change in fair value of warrants for 2024 was an unrealized loss of $0.4 million, compared to an unrealized gain of $0.2 million in 2023. The unrealized loss in the year ended December 31, 2024 was primarily due to the impact of the increase in the price of the Company’s ADSs on the value of the warrant liabilities, whereas in the year ended December 31, 2023, the unrealized gain was primarily due to the expiry of the Private Placement warrants in June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gain/(loss), net</w:t>
      </w:r>
    </w:p>
    <w:p>
      <w:pPr>
        <w:spacing w:after="0" w:line="22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net foreign exchange gain for the year ended December 31, 2024 was $1.2 million, compared to a loss of $2.3 million in the year ended December 31, 2023. This change primarily reflects (i) the impact of a strengthening in the value of U.S. dollars when translating U.S. dollar balances into our functional currency of pound sterling in the year ended December 31, 2024, compared to a weakening of U.S. dollars in the year ended December 31, 2023, and (ii) higher U.S. dollar cash and cash equivalent balances following the underwritten registered direct offering in June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research and development tax credit</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benefit from research and development tax credit increased by $0.4 million, from $1.3 million in the year ended December 31, 2023 to $1.6 million in the year ended December 31, 2024. The income tax benefit represents eligible cash rebates paid or receivable from the tax authorities in the jurisdictions within which we operate for eligible types of research and development activities and associated expenditure. The increase was due to a higher amount of eligible research and development activities.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income tax benefit for the year ended December 31, 2023 represents income taxes paid in prior years for which a carryback claim was made to offset against taxable income in the prior year. No such claim was made in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loss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adjustment for the year ended December 31, 2024 was a loss of $1.4 million, compared to a gain of $4.2 million in the year ended December 31, 2023. This change primarily reflects the impact of a strengthening in the value of U.S. dollars when translating U.S. dollar balances into our functional currency of pound sterling in the year ended December 31, 2024, compared to a weakening of U.S. dollars in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Under the current business plan and cash flow forecasts, and in consideration of our ongoing research and development efforts and our general corporate funding requirements, we anticipate that our current on-hand cash resources will extend into 2027.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financings or other sources.</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$259.0 million, including through the $50.0 million underwritten registered direct offering in June 2024 and the $12.0 million “at-the-market” offering pursuant to our Open Market Sale Agreement with Jefferies LLC in July 2023 (all amounts are gross proceeds before fees and discounts).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also received payments under various license and collaboration agreements, including payments of:</w:t>
      </w:r>
    </w:p>
    <w:p>
      <w:pPr>
        <w:spacing w:after="0" w:line="225" w:lineRule="exact"/>
        <w:rPr>
          <w:sz w:val="20"/>
          <w:szCs w:val="20"/>
          <w:color w:val="auto"/>
        </w:rPr>
      </w:pPr>
    </w:p>
    <w:p>
      <w:pPr>
        <w:ind w:left="760" w:right="28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under the license and collaboration agreement with Ultragenyx for setrusumab in 2021 and a further milestone payment of $9.0 million in July 2023;</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under the license and collaboration agreement with Feng Biosciences for navicixizumab in 2020 and a further milestone payment of $2.0 million in 2022; and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94" w:name="page95"/>
    <w:bookmarkEnd w:id="94"/>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under the global license agreement with ReproNovo for leflutrozole in December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right="200" w:firstLine="749"/>
        <w:spacing w:after="0" w:line="289" w:lineRule="auto"/>
        <w:rPr>
          <w:sz w:val="20"/>
          <w:szCs w:val="20"/>
          <w:color w:val="auto"/>
        </w:rPr>
      </w:pPr>
      <w:r>
        <w:rPr>
          <w:rFonts w:ascii="Times New Roman" w:cs="Times New Roman" w:eastAsia="Times New Roman" w:hAnsi="Times New Roman"/>
          <w:sz w:val="17"/>
          <w:szCs w:val="17"/>
          <w:color w:val="auto"/>
        </w:rPr>
        <w:t>As further described under “Item 1. Business—Material Agreements—Novartis Agreements” and “Item 1. Business—Material Agreements— Licensing Agreement with AstraZeneca,” under various agreements with Novartis and AstraZeneca, Mereo has agreed to make milestone payments and pay royalties. The amount, timing, and likelihood of such payments are not known and will remain uncertain for the foreseeable future.</w:t>
      </w:r>
    </w:p>
    <w:p>
      <w:pPr>
        <w:spacing w:after="0" w:line="15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addition, Mereo enters into contracts in the ordinary course of business with CROs, CMOs, and other vendors, including with Ultragenyx for the manufacture of setrusumab as described in “Item 1. Business—Material Agreements—Agreements with Ultragenyx for Setrusumab,”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$0.5 million as of December 31, 2024 (2023: $4.2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table below summarizes our cash flows (used in) provided by operating, investing and financing activities for the years ended December 31, 2024 and 2023.</w:t>
      </w:r>
    </w:p>
    <w:p>
      <w:pPr>
        <w:sectPr>
          <w:pgSz w:w="11900" w:h="16838" w:orient="portrait"/>
          <w:cols w:equalWidth="0" w:num="1">
            <w:col w:w="11200"/>
          </w:cols>
          <w:pgMar w:left="320" w:top="120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2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Increase/(decrease)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top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1380" w:type="dxa"/>
            <w:vAlign w:val="bottom"/>
            <w:tcBorders>
              <w:top w:val="single" w:sz="8" w:color="auto"/>
            </w:tcBorders>
          </w:tcPr>
          <w:p>
            <w:pPr>
              <w:jc w:val="right"/>
              <w:ind w:right="390"/>
              <w:spacing w:after="0" w:line="191" w:lineRule="exact"/>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6"/>
                <w:szCs w:val="16"/>
                <w:color w:val="auto"/>
              </w:rPr>
            </w:pPr>
          </w:p>
        </w:tc>
        <w:tc>
          <w:tcPr>
            <w:tcW w:w="1360" w:type="dxa"/>
            <w:vAlign w:val="bottom"/>
            <w:tcBorders>
              <w:top w:val="single" w:sz="8" w:color="auto"/>
            </w:tcBorders>
          </w:tcPr>
          <w:p>
            <w:pPr>
              <w:jc w:val="right"/>
              <w:ind w:right="390"/>
              <w:spacing w:after="0" w:line="191" w:lineRule="exact"/>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(32,834 )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(21,132 )</w:t>
            </w:r>
          </w:p>
        </w:tc>
      </w:tr>
      <w:tr>
        <w:trPr>
          <w:trHeight w:val="216"/>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16"/>
        </w:trPr>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46,147</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7,973</w:t>
            </w:r>
          </w:p>
        </w:tc>
      </w:tr>
      <w:tr>
        <w:trPr>
          <w:trHeight w:val="234"/>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2,818</w:t>
            </w:r>
          </w:p>
        </w:tc>
      </w:tr>
      <w:tr>
        <w:trPr>
          <w:trHeight w:val="209"/>
        </w:trPr>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(10,760 )</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560" w:space="720"/>
            <w:col w:w="3920"/>
          </w:cols>
          <w:pgMar w:left="320" w:top="1201" w:right="379" w:bottom="1440" w:gutter="0" w:footer="0" w:header="0"/>
          <w:type w:val="continuous"/>
        </w:sectPr>
      </w:pPr>
    </w:p>
    <w:p>
      <w:pPr>
        <w:spacing w:after="0" w:line="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Net cash used in operating activities for the year ended December 31, 2024 was $32.8 million, an increase of $11.7 million from $21.1 million in the year ended December 31, 2023. </w:t>
      </w:r>
      <w:r>
        <w:rPr>
          <w:rFonts w:ascii="Times New Roman" w:cs="Times New Roman" w:eastAsia="Times New Roman" w:hAnsi="Times New Roman"/>
          <w:sz w:val="18"/>
          <w:szCs w:val="18"/>
          <w:color w:val="363435"/>
        </w:rPr>
        <w:t>The most significant drivers of the increase were:</w:t>
      </w:r>
    </w:p>
    <w:p>
      <w:pPr>
        <w:spacing w:after="0" w:line="162" w:lineRule="exact"/>
        <w:rPr>
          <w:sz w:val="20"/>
          <w:szCs w:val="20"/>
          <w:color w:val="auto"/>
        </w:rPr>
      </w:pPr>
    </w:p>
    <w:p>
      <w:pPr>
        <w:ind w:firstLine="757"/>
        <w:spacing w:after="0" w:line="282" w:lineRule="auto"/>
        <w:tabs>
          <w:tab w:leader="none" w:pos="964" w:val="left"/>
        </w:tabs>
        <w:numPr>
          <w:ilvl w:val="0"/>
          <w:numId w:val="55"/>
        </w:numPr>
        <w:rPr>
          <w:rFonts w:ascii="Times New Roman" w:cs="Times New Roman" w:eastAsia="Times New Roman" w:hAnsi="Times New Roman"/>
          <w:sz w:val="18"/>
          <w:szCs w:val="18"/>
          <w:color w:val="363435"/>
        </w:rPr>
      </w:pPr>
      <w:r>
        <w:rPr>
          <w:rFonts w:ascii="Times New Roman" w:cs="Times New Roman" w:eastAsia="Times New Roman" w:hAnsi="Times New Roman"/>
          <w:sz w:val="18"/>
          <w:szCs w:val="18"/>
          <w:color w:val="363435"/>
        </w:rPr>
        <w:t xml:space="preserve">an </w:t>
      </w:r>
      <w:r>
        <w:rPr>
          <w:rFonts w:ascii="Times New Roman" w:cs="Times New Roman" w:eastAsia="Times New Roman" w:hAnsi="Times New Roman"/>
          <w:sz w:val="18"/>
          <w:szCs w:val="18"/>
          <w:color w:val="000000"/>
        </w:rPr>
        <w:t>increase of $8.5 million resulting from the receipt of $10.0 million in milestone and up-front payments from Ultragenyx and ReproNovo in</w:t>
      </w:r>
      <w:r>
        <w:rPr>
          <w:rFonts w:ascii="Times New Roman" w:cs="Times New Roman" w:eastAsia="Times New Roman" w:hAnsi="Times New Roman"/>
          <w:sz w:val="18"/>
          <w:szCs w:val="18"/>
          <w:color w:val="363435"/>
        </w:rPr>
        <w:t xml:space="preserve"> </w:t>
      </w:r>
      <w:r>
        <w:rPr>
          <w:rFonts w:ascii="Times New Roman" w:cs="Times New Roman" w:eastAsia="Times New Roman" w:hAnsi="Times New Roman"/>
          <w:sz w:val="18"/>
          <w:szCs w:val="18"/>
          <w:color w:val="000000"/>
        </w:rPr>
        <w:t>the year ended December 31, 2023, net of associated costs of revenue.</w:t>
      </w:r>
    </w:p>
    <w:p>
      <w:pPr>
        <w:spacing w:after="0" w:line="161" w:lineRule="exact"/>
        <w:rPr>
          <w:rFonts w:ascii="Times New Roman" w:cs="Times New Roman" w:eastAsia="Times New Roman" w:hAnsi="Times New Roman"/>
          <w:sz w:val="18"/>
          <w:szCs w:val="18"/>
          <w:color w:val="363435"/>
        </w:rPr>
      </w:pPr>
    </w:p>
    <w:p>
      <w:pPr>
        <w:ind w:right="120" w:firstLine="757"/>
        <w:spacing w:after="0" w:line="282" w:lineRule="auto"/>
        <w:tabs>
          <w:tab w:leader="none" w:pos="101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of $1.8 million in research and development tax credits </w:t>
      </w:r>
      <w:r>
        <w:rPr>
          <w:rFonts w:ascii="Times New Roman" w:cs="Times New Roman" w:eastAsia="Times New Roman" w:hAnsi="Times New Roman"/>
          <w:sz w:val="18"/>
          <w:szCs w:val="18"/>
          <w:color w:val="363435"/>
        </w:rPr>
        <w:t>in the year ended December 31, 2023</w:t>
      </w:r>
      <w:r>
        <w:rPr>
          <w:rFonts w:ascii="Times New Roman" w:cs="Times New Roman" w:eastAsia="Times New Roman" w:hAnsi="Times New Roman"/>
          <w:sz w:val="18"/>
          <w:szCs w:val="18"/>
          <w:color w:val="auto"/>
        </w:rPr>
        <w:t xml:space="preserve"> with no similar amounts received in </w:t>
      </w:r>
      <w:r>
        <w:rPr>
          <w:rFonts w:ascii="Times New Roman" w:cs="Times New Roman" w:eastAsia="Times New Roman" w:hAnsi="Times New Roman"/>
          <w:sz w:val="18"/>
          <w:szCs w:val="18"/>
          <w:color w:val="363435"/>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435"/>
        </w:rPr>
        <w:t>the year ended December 31, 2024</w:t>
      </w:r>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auto"/>
        </w:rPr>
      </w:pPr>
    </w:p>
    <w:p>
      <w:pPr>
        <w:ind w:right="360" w:firstLine="757"/>
        <w:spacing w:after="0" w:line="282" w:lineRule="auto"/>
        <w:tabs>
          <w:tab w:leader="none" w:pos="10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of $1.7 million less from our depository to reimburse certain expenses incurred by us in respect of our ADR program in the </w:t>
      </w:r>
      <w:r>
        <w:rPr>
          <w:rFonts w:ascii="Times New Roman" w:cs="Times New Roman" w:eastAsia="Times New Roman" w:hAnsi="Times New Roman"/>
          <w:sz w:val="18"/>
          <w:szCs w:val="18"/>
          <w:color w:val="363435"/>
        </w:rPr>
        <w:t>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435"/>
        </w:rPr>
        <w:t xml:space="preserve">ended December 31, 2024 </w:t>
      </w:r>
      <w:r>
        <w:rPr>
          <w:rFonts w:ascii="Times New Roman" w:cs="Times New Roman" w:eastAsia="Times New Roman" w:hAnsi="Times New Roman"/>
          <w:sz w:val="18"/>
          <w:szCs w:val="18"/>
          <w:color w:val="000000"/>
        </w:rPr>
        <w:t>than in the</w:t>
      </w:r>
      <w:r>
        <w:rPr>
          <w:rFonts w:ascii="Times New Roman" w:cs="Times New Roman" w:eastAsia="Times New Roman" w:hAnsi="Times New Roman"/>
          <w:sz w:val="18"/>
          <w:szCs w:val="18"/>
          <w:color w:val="363435"/>
        </w:rPr>
        <w:t xml:space="preserve"> year ended December 31, 2023</w:t>
      </w:r>
      <w:r>
        <w:rPr>
          <w:rFonts w:ascii="Times New Roman" w:cs="Times New Roman" w:eastAsia="Times New Roman" w:hAnsi="Times New Roman"/>
          <w:sz w:val="18"/>
          <w:szCs w:val="18"/>
          <w:color w:val="000000"/>
        </w:rPr>
        <w:t>; and</w:t>
      </w:r>
    </w:p>
    <w:p>
      <w:pPr>
        <w:spacing w:after="0" w:line="161"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$3.6 million higher other net cash operating expenses.</w:t>
      </w:r>
    </w:p>
    <w:p>
      <w:pPr>
        <w:spacing w:after="0" w:line="22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These increases were partially offset by the receipt of $2.0 million from a claim on our Directors and Officers insurance policy to reimburse us for certain legal and professional costs incurred in prior years and $1.9 million higher net interest inflows.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$0.7 million, an increase of $0.3 million from $0.4 million in the year ended December 31, 2023. T</w:t>
      </w:r>
      <w:r>
        <w:rPr>
          <w:rFonts w:ascii="Times New Roman" w:cs="Times New Roman" w:eastAsia="Times New Roman" w:hAnsi="Times New Roman"/>
          <w:sz w:val="18"/>
          <w:szCs w:val="18"/>
          <w:color w:val="363435"/>
        </w:rPr>
        <w:t>he increase</w:t>
      </w:r>
      <w:r>
        <w:rPr>
          <w:rFonts w:ascii="Times New Roman" w:cs="Times New Roman" w:eastAsia="Times New Roman" w:hAnsi="Times New Roman"/>
          <w:sz w:val="18"/>
          <w:szCs w:val="18"/>
          <w:color w:val="auto"/>
        </w:rPr>
        <w:t xml:space="preserve"> is due to additional payments to acquire intangible assets in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type w:val="continuous"/>
        </w:sectPr>
      </w:pPr>
    </w:p>
    <w:bookmarkStart w:id="95" w:name="page96"/>
    <w:bookmarkEnd w:id="95"/>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year ended December 31, 2024 was $46.1 million, an increase of $38.2 million from $8.0 million in the year ended December 31, 2023. </w:t>
      </w:r>
      <w:r>
        <w:rPr>
          <w:rFonts w:ascii="Times New Roman" w:cs="Times New Roman" w:eastAsia="Times New Roman" w:hAnsi="Times New Roman"/>
          <w:sz w:val="18"/>
          <w:szCs w:val="18"/>
          <w:color w:val="363435"/>
        </w:rPr>
        <w:t>The increase represents</w:t>
      </w:r>
      <w:r>
        <w:rPr>
          <w:rFonts w:ascii="Times New Roman" w:cs="Times New Roman" w:eastAsia="Times New Roman" w:hAnsi="Times New Roman"/>
          <w:sz w:val="18"/>
          <w:szCs w:val="18"/>
          <w:color w:val="auto"/>
        </w:rPr>
        <w:t xml:space="preserve"> the difference between the net proceeds received from the underwritten registered direct offering of $46.2 million in the year ended December 31, 2024 and the net proceeds of an “at-the-market” offering of $11.1 million, partially offset by $3.2 million paid to redeem the Private Placement loan notes in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2024, we had an accumulated deficit of $462.9 million. We expect to continue to report significant operating losses for the foreseeable future as we continue our research and development efforts and seek to obtain regulatory approval of our product candidates and any future product we develop. See also “Item 1A. Risk Factors—Risks Related to Our Business and Industry—We will need additional funding to complete the development of our current product candidates; to license, acquire, and develop future product candidates; and to commercialize our product candidates, if approved."</w:t>
      </w:r>
    </w:p>
    <w:p>
      <w:pPr>
        <w:spacing w:after="0" w:line="183"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costs will increase further if we:</w:t>
      </w:r>
    </w:p>
    <w:p>
      <w:pPr>
        <w:spacing w:after="0" w:line="225" w:lineRule="exact"/>
        <w:rPr>
          <w:sz w:val="20"/>
          <w:szCs w:val="20"/>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additional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completes clinical trials;</w:t>
      </w:r>
    </w:p>
    <w:p>
      <w:pPr>
        <w:spacing w:after="0" w:line="225"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intellectual property portfolio;</w:t>
      </w:r>
    </w:p>
    <w:p>
      <w:pPr>
        <w:spacing w:after="0" w:line="225"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further clinical, scientific, operational, financial, legal and management information systems, and personnel, including personnel to support our development and to support our operations as a U.S. public company listed on Nasdaq; or</w:t>
      </w:r>
    </w:p>
    <w:p>
      <w:pPr>
        <w:spacing w:after="0" w:line="161"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currently committed clinical trials, operating expenses and capital expenditure requirements into 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jc w:val="both"/>
        <w:ind w:left="1140" w:hanging="383"/>
        <w:spacing w:after="0" w:line="266"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our activities related to our ongoing collaboration with Ultragenyx for setrusumab for the treatment of children and adults with OI, including the costs for our preparation for the potential commercialization of setrusumab, if approved, in Europe and the U.K; and costs for potential future clinical trials for alvelestat in AATD;</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clinical or commercial supplies of our product candidates;</w:t>
      </w:r>
    </w:p>
    <w:p>
      <w:pPr>
        <w:spacing w:after="0" w:line="225"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including post-marketing studies that could be required by regulatory authorities;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ind w:left="1140" w:right="60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life cycle management and distribution, for our product candidates that we commercialize directly;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our product candidates;</w:t>
      </w:r>
    </w:p>
    <w:p>
      <w:pPr>
        <w:spacing w:after="0" w:line="225"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collaborators and partners under the existing agreements on setrusumab, navicixizumab and, leflutrozole;</w:t>
      </w:r>
    </w:p>
    <w:p>
      <w:pPr>
        <w:spacing w:after="0" w:line="225"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and deferred payments under the Amended AstraZeneca Agreements;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or other assessments and our ability to claim R&amp;D tax credits or other reliefs.</w:t>
      </w:r>
    </w:p>
    <w:p>
      <w:pPr>
        <w:spacing w:after="0" w:line="225"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Former Credit Facility</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the former lenders have warrants outstanding to purchase a total of 1,243,908 ordinary shares at an exercise price of £2.95 per share, exercisable until August 2027, and a total of 1,243,908 ordinary shares at an exercise price of $0.4144 per share, exercisable until the period August 2027 to October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Notes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February 10, 2020, we entered into a $4.9 million (£3.8 million) convertible loan note instrument relating to the issue of 3,841,479 Novartis Loan Note. The Novartis Loan Note was convertible at any time at a fixed price of £0.265 per ordinary share until February 10, 2023. In addition, on February 10, 2020, in connection with the Novartis Loan Note, we entered into a warrant instrument with Novartis to issue 1,449,614 ordinary shares at an exercise price of £0.265 per ordinary share. These warrants are exercisable until February 10, 2025.</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7" w:name="page98"/>
    <w:bookmarkEnd w:id="97"/>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On February 10, 2023, we amended the Novartis Loan Note, extending the maturity date to February 10, 2025 and increasing the interest rate to 9%, with all other terms remaining unchanged. Pursuant to the amendment and a new warrant instrument, interest accrued to the amendment date was paid in cash, and warrants to purchase 2,000,000 ordinary shares at an exercise price of £0.150 per ordinary share were issued and are exercisable until February 10, 2028.</w:t>
      </w:r>
    </w:p>
    <w:p>
      <w:pPr>
        <w:spacing w:after="0" w:line="180"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On February 7, 2025, the Company received a conversion notice and issued and allotted 17,105,450 ordinary shares (equivalent to 3,421,090 ADSs) on the non-cash conversion of the outstanding principal and accrued interest of the Novartis Loan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w:t>
      </w:r>
    </w:p>
    <w:p>
      <w:pPr>
        <w:spacing w:after="0" w:line="16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consolidated financial statements. We believe that there are no estimates and assumptions made in our consolidated financial statements that rise to this level. For further information on all of our significant accounting policies, see Note 2 — Summary of Significant Accounting Policies in the accompanying notes to the consolidated financial statements included in Part II, Item 8, “Financial Statements and Supplementary Data”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640" w:firstLine="749"/>
        <w:spacing w:after="0" w:line="282" w:lineRule="auto"/>
        <w:rPr>
          <w:sz w:val="20"/>
          <w:szCs w:val="20"/>
          <w:color w:val="auto"/>
        </w:rPr>
      </w:pPr>
      <w:r>
        <w:rPr>
          <w:rFonts w:ascii="Times New Roman" w:cs="Times New Roman" w:eastAsia="Times New Roman" w:hAnsi="Times New Roman"/>
          <w:sz w:val="18"/>
          <w:szCs w:val="18"/>
          <w:color w:val="auto"/>
        </w:rPr>
        <w:t>We are exposed to a variety of financial risks. Our overall risk management program seeks to minimize potential adverse effects of these financial risks on our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2024, we held cash and cash equivalents of $69.8 million. Our exposure to interest rate sensitivity is impacted by changes in the underlying U.S. and U.K. bank interest rates. We manage interest rate risk by monitoring short and medium-term interest rates and placing cash on deposit for periods that optimize the amount of interest earned while maintaining access to sufficient funds to meet day-to-day cash requirements. Interest payable on our convertible loan notes is fixed.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value of our cash and cash equivalents, and therefore we do not expect our operating results or cash flows to be significantly affected by changes in market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currently maintain the consolidated financial statements of the Company in pounds sterling, but for financial reporting purposes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have been presented in U.S dollars, the reporting currency. Monetary assets and liabilities denominated in currencies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functional currency are translated into the functional currency at rates prevailing at the date of the transaction. Exchange gains or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from foreign currency transactions are included in the consolidated statements of operations and comprehensive loss, as foreign currency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gain/(loss). The financial statements of our consolidated subsidiaries are translated from their functional currency into the reporting currency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are translated at the exchange rates at the balance sheet dates, expenses are translated at the average exchange rates for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and shareholders' equity is translated based on historical exchange rates. Translation adjustments are not included in determining net loss but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as a foreign exchange adjustment to the comprehensive loss, a component of the shareholders’ equity. For the year ended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of unrealized loss on foreign currency translation was included in other comprehensive loss compared to an unrealized gain of $4.2 million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2023.</w:t>
      </w:r>
    </w:p>
    <w:p>
      <w:pPr>
        <w:spacing w:after="0" w:line="207" w:lineRule="exact"/>
        <w:rPr>
          <w:sz w:val="20"/>
          <w:szCs w:val="20"/>
          <w:color w:val="auto"/>
        </w:rPr>
      </w:pPr>
    </w:p>
    <w:p>
      <w:pPr>
        <w:ind w:right="300" w:firstLine="749"/>
        <w:spacing w:after="0" w:line="289" w:lineRule="auto"/>
        <w:rPr>
          <w:sz w:val="20"/>
          <w:szCs w:val="20"/>
          <w:color w:val="auto"/>
        </w:rPr>
      </w:pPr>
      <w:r>
        <w:rPr>
          <w:rFonts w:ascii="Times New Roman" w:cs="Times New Roman" w:eastAsia="Times New Roman" w:hAnsi="Times New Roman"/>
          <w:sz w:val="17"/>
          <w:szCs w:val="17"/>
          <w:color w:val="auto"/>
        </w:rPr>
        <w:t>We monitor our exposure to foreign exchange risk. We have not entered into foreign exchange contracts to hedge against foreign exchange fluctuations but maintain cash and short-term deposits in U.S. dollars to cover anticipated forward commitments, to provide a natural hedge against the impact of foreign exchange rate movements, but there can be no assurance that we will be fully protected against material foreign currency fluctuations.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Inflation may generally affect us by increasing our personnel costs, research and development expenses and general operating expenses. While we have experienced increased operating expenses in recent periods, which we believe are due in part to the recent growth in inflation, we do not believe that inflation has had a material effect on our business, financial condition or results of operations during the year ended December 31, 2024; however, operating expenses may continue to increase in future periods due to inflation.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and regulations promulgated thereunder) as of December 31, 2024, or the Evaluation Date. Based on such evaluation, our principal executive officer and principal financial officer have concluded that, as of the Evaluation Date,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principal executive officer and principal financial officer, or persons performing similar functions,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accounting principles generally accepted in the United States of America.</w:t>
      </w:r>
    </w:p>
    <w:p>
      <w:pPr>
        <w:spacing w:after="0" w:line="18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2024, our internal control over financial reporting was effective.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408 Regulation S-K Compliance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9" w:name="page100"/>
    <w:bookmarkEnd w:id="99"/>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 director or officer (as defined in Rule 16a-1(f) of the Exchange Act) of the Company adopted, modified or terminated a “Rule 10b5-1 trading arrangement” or “non-Rule 10b5-1 trading arrangement,” as each term is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00" w:name="page101"/>
    <w:bookmarkEnd w:id="10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required by this Item is set forth in our 2025 Proxy Statement under “Board of Directors and Corporate</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Governance” and “Executive Officers of the Company” to be filed with the SEC within 120 days of December 31, 2024 and is incorporated by reference into this Annual Report on Form 10-K.</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our 2025 Proxy Statement under “Executive Compensation” to be filed with the SEC within 120 days of December 31, 2024 and is incorporated by reference into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required by this Item is set forth in our 2025 Proxy Statement under “Security Ownership of Certain</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Beneficial Owners and Management” to be filed with the SEC within 120 days of December 31, 2024 and is incorporated by reference into this Annual Report on Form 10-K.</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required by this Item is set forth in our 2025 Proxy Statement under “Transactions with Related Persons”</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and “Corporate Governance—Composition of the Mereo Board” to be filed with the SEC within 120 days of December 31, 2024 and is incorporated by reference into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required by this Item is set forth in our 2025 Proxy Statement under “Fees for Independent Registered Public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Firm—PwC” to be filed with the SEC within 120 days of December 31, 2024 and is incorporated by reference into this Annual Report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w:t>
      </w:r>
    </w:p>
    <w:p>
      <w:pPr>
        <w:spacing w:after="0" w:line="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88" w:lineRule="exact"/>
        <w:rPr>
          <w:sz w:val="20"/>
          <w:szCs w:val="20"/>
          <w:color w:val="auto"/>
        </w:rPr>
      </w:pPr>
    </w:p>
    <w:tbl>
      <w:tblPr>
        <w:tblLayout w:type="fixed"/>
        <w:tblInd w:w="30" w:type="dxa"/>
        <w:tblCellMar>
          <w:top w:w="0" w:type="dxa"/>
          <w:left w:w="0" w:type="dxa"/>
          <w:bottom w:w="0" w:type="dxa"/>
          <w:right w:w="0" w:type="dxa"/>
        </w:tblCellMar>
      </w:tblPr>
      <w:tr>
        <w:trPr>
          <w:trHeight w:val="303"/>
        </w:trPr>
        <w:tc>
          <w:tcPr>
            <w:tcW w:w="9200" w:type="dxa"/>
            <w:vAlign w:val="bottom"/>
            <w:gridSpan w:val="7"/>
          </w:tcPr>
          <w:p>
            <w:pPr>
              <w:ind w:left="740"/>
              <w:spacing w:after="0" w:line="207" w:lineRule="exact"/>
              <w:rPr>
                <w:sz w:val="20"/>
                <w:szCs w:val="20"/>
                <w:color w:val="auto"/>
              </w:rPr>
            </w:pPr>
            <w:r>
              <w:rPr>
                <w:rFonts w:ascii="Times New Roman" w:cs="Times New Roman" w:eastAsia="Times New Roman" w:hAnsi="Times New Roman"/>
                <w:sz w:val="18"/>
                <w:szCs w:val="18"/>
                <w:color w:val="auto"/>
              </w:rPr>
              <w:t>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consolidated financial statements are as follows:</w:t>
            </w:r>
          </w:p>
        </w:tc>
        <w:tc>
          <w:tcPr>
            <w:tcW w:w="1760" w:type="dxa"/>
            <w:vAlign w:val="bottom"/>
          </w:tcPr>
          <w:p>
            <w:pPr>
              <w:spacing w:after="0"/>
              <w:rPr>
                <w:sz w:val="24"/>
                <w:szCs w:val="24"/>
                <w:color w:val="auto"/>
              </w:rPr>
            </w:pPr>
          </w:p>
        </w:tc>
      </w:tr>
      <w:tr>
        <w:trPr>
          <w:trHeight w:val="620"/>
        </w:trPr>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04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204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278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27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3040" w:type="dxa"/>
            <w:vAlign w:val="bottom"/>
            <w:tcBorders>
              <w:left w:val="single" w:sz="8" w:color="0000EE"/>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9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2040" w:type="dxa"/>
            <w:vAlign w:val="bottom"/>
            <w:tcBorders>
              <w:left w:val="single" w:sz="8" w:color="0000EE"/>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 Index</w:t>
      </w:r>
    </w:p>
    <w:p>
      <w:pPr>
        <w:spacing w:after="0" w:line="18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are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00" w:type="dxa"/>
            <w:vAlign w:val="bottom"/>
          </w:tcPr>
          <w:p>
            <w:pPr>
              <w:spacing w:after="0"/>
              <w:rPr>
                <w:sz w:val="18"/>
                <w:szCs w:val="18"/>
                <w:color w:val="auto"/>
              </w:rPr>
            </w:pPr>
          </w:p>
        </w:tc>
        <w:tc>
          <w:tcPr>
            <w:tcW w:w="6220" w:type="dxa"/>
            <w:vAlign w:val="bottom"/>
            <w:gridSpan w:val="10"/>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8"/>
        </w:trPr>
        <w:tc>
          <w:tcPr>
            <w:tcW w:w="1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8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96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Agreement and Plan of Merger and Reorganization, dated December 5, 2018, by and among Mereo BioPharma Group plc, Mereo US</w:t>
              </w:r>
            </w:hyperlink>
          </w:p>
        </w:tc>
        <w:tc>
          <w:tcPr>
            <w:tcW w:w="360" w:type="dxa"/>
            <w:vAlign w:val="bottom"/>
            <w:gridSpan w:val="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9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Holdings Inc., Mereo MergerCo One Inc. and OncoMed Pharmaceuticals, Inc. (incorporated by reference to Exhibit 2.1 to Mereo’s Form</w:t>
              </w:r>
            </w:hyperlink>
          </w:p>
        </w:tc>
        <w:tc>
          <w:tcPr>
            <w:tcW w:w="8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F-4/A filed March 15, 2019 (File No. 333-229351)).</w:t>
              </w:r>
            </w:hyperlink>
          </w:p>
        </w:tc>
        <w:tc>
          <w:tcPr>
            <w:tcW w:w="6220" w:type="dxa"/>
            <w:vAlign w:val="bottom"/>
            <w:gridSpan w:val="10"/>
          </w:tcPr>
          <w:p>
            <w:pPr>
              <w:spacing w:after="0"/>
              <w:rPr>
                <w:sz w:val="17"/>
                <w:szCs w:val="17"/>
                <w:color w:val="auto"/>
              </w:rPr>
            </w:pPr>
          </w:p>
        </w:tc>
      </w:tr>
      <w:tr>
        <w:trPr>
          <w:trHeight w:val="412"/>
        </w:trPr>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93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BCT197 Asset Purchase Agreement, dated July 28, 2015, by and between Mereo BioPharma 1 Limited and Novartis Pharma AG</w:t>
              </w:r>
            </w:hyperlink>
          </w:p>
        </w:tc>
        <w:tc>
          <w:tcPr>
            <w:tcW w:w="660" w:type="dxa"/>
            <w:vAlign w:val="bottom"/>
            <w:gridSpan w:val="6"/>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8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(incorporated by reference to Exhibit 10.20 to Mereo’s Form F-4 filed January 25, 2019 (File No. 333-229351)).</w:t>
              </w:r>
            </w:hyperlink>
          </w:p>
        </w:tc>
        <w:tc>
          <w:tcPr>
            <w:tcW w:w="1880" w:type="dxa"/>
            <w:vAlign w:val="bottom"/>
            <w:gridSpan w:val="9"/>
          </w:tcPr>
          <w:p>
            <w:pPr>
              <w:spacing w:after="0"/>
              <w:rPr>
                <w:sz w:val="17"/>
                <w:szCs w:val="17"/>
                <w:color w:val="auto"/>
              </w:rPr>
            </w:pPr>
          </w:p>
        </w:tc>
      </w:tr>
      <w:tr>
        <w:trPr>
          <w:trHeight w:val="412"/>
        </w:trPr>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2.2.1</w:t>
            </w:r>
          </w:p>
        </w:tc>
        <w:tc>
          <w:tcPr>
            <w:tcW w:w="97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Addendum to the Asset Purchase Agreement, dated April 12, 2016, by and between Mereo BioPharma 1 Limited and Novartis Pharma</w:t>
              </w:r>
            </w:hyperlink>
          </w:p>
        </w:tc>
        <w:tc>
          <w:tcPr>
            <w:tcW w:w="26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8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AG (incorporated by reference to Exhibit 10.20.3 to Mereo’s Form F-4 filed January 25, 2019 (File No. 333-229351)).</w:t>
              </w:r>
            </w:hyperlink>
          </w:p>
        </w:tc>
        <w:tc>
          <w:tcPr>
            <w:tcW w:w="1440" w:type="dxa"/>
            <w:vAlign w:val="bottom"/>
            <w:gridSpan w:val="8"/>
          </w:tcPr>
          <w:p>
            <w:pPr>
              <w:spacing w:after="0"/>
              <w:rPr>
                <w:sz w:val="17"/>
                <w:szCs w:val="17"/>
                <w:color w:val="auto"/>
              </w:rPr>
            </w:pPr>
          </w:p>
        </w:tc>
      </w:tr>
      <w:tr>
        <w:trPr>
          <w:trHeight w:val="412"/>
        </w:trPr>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2.2.2</w:t>
            </w:r>
          </w:p>
        </w:tc>
        <w:tc>
          <w:tcPr>
            <w:tcW w:w="98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Addendum to the Asset Purchase Agreement, dated October 4, 2017, by and between Mereo BioPharma 1 Limited and Novartis Pharma</w:t>
              </w:r>
            </w:hyperlink>
          </w:p>
        </w:tc>
        <w:tc>
          <w:tcPr>
            <w:tcW w:w="160" w:type="dxa"/>
            <w:vAlign w:val="bottom"/>
            <w:gridSpan w:val="2"/>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8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AG (incorporated by reference to Exhibit 10.20.2 to Mereo’s Form F-4 filed January 25, 2019 (File No. 333-229351)).</w:t>
              </w:r>
            </w:hyperlink>
          </w:p>
        </w:tc>
        <w:tc>
          <w:tcPr>
            <w:tcW w:w="1440" w:type="dxa"/>
            <w:vAlign w:val="bottom"/>
            <w:gridSpan w:val="8"/>
          </w:tcPr>
          <w:p>
            <w:pPr>
              <w:spacing w:after="0"/>
              <w:rPr>
                <w:sz w:val="17"/>
                <w:szCs w:val="17"/>
                <w:color w:val="auto"/>
              </w:rPr>
            </w:pPr>
          </w:p>
        </w:tc>
      </w:tr>
      <w:tr>
        <w:trPr>
          <w:trHeight w:val="412"/>
        </w:trPr>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2.2.3</w:t>
            </w:r>
          </w:p>
        </w:tc>
        <w:tc>
          <w:tcPr>
            <w:tcW w:w="96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Agreement for BCT197, dated October 19, 2018, by and between Mereo BioPharma 1 Limited and Novartis Pharma AG</w:t>
              </w:r>
            </w:hyperlink>
          </w:p>
        </w:tc>
        <w:tc>
          <w:tcPr>
            <w:tcW w:w="340" w:type="dxa"/>
            <w:vAlign w:val="bottom"/>
            <w:gridSpan w:val="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1"/>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into by reference to Exhibit 10.20.1 to Mereo’s Form F-4 filed January 25, 2019 (File No. 333-229351)).</w:t>
              </w:r>
            </w:hyperlink>
          </w:p>
        </w:tc>
      </w:tr>
      <w:tr>
        <w:trPr>
          <w:trHeight w:val="560"/>
        </w:trPr>
        <w:tc>
          <w:tcPr>
            <w:tcW w:w="1220" w:type="dxa"/>
            <w:vAlign w:val="bottom"/>
          </w:tcPr>
          <w:p>
            <w:pPr>
              <w:spacing w:after="0"/>
              <w:rPr>
                <w:sz w:val="24"/>
                <w:szCs w:val="24"/>
                <w:color w:val="auto"/>
              </w:rPr>
            </w:pPr>
          </w:p>
        </w:tc>
        <w:tc>
          <w:tcPr>
            <w:tcW w:w="8140" w:type="dxa"/>
            <w:vAlign w:val="bottom"/>
            <w:tcBorders>
              <w:top w:val="single" w:sz="8" w:color="0000EE"/>
            </w:tcBorders>
            <w:gridSpan w:val="2"/>
          </w:tcPr>
          <w:p>
            <w:pPr>
              <w:ind w:left="426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6"/>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gridSpan w:val="19"/>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20"/>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124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2.3†</w:t>
            </w:r>
          </w:p>
        </w:tc>
        <w:tc>
          <w:tcPr>
            <w:tcW w:w="10000" w:type="dxa"/>
            <w:vAlign w:val="bottom"/>
            <w:gridSpan w:val="24"/>
          </w:tcPr>
          <w:p>
            <w:pPr>
              <w:spacing w:after="0" w:line="194"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BGS649 Asset Purchase Agreement, dated July 28, 2015, by and between Mereo BioPharma 2 Limited and Novartis Pharma AG</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by reference to Exhibit 10.21 to Mereo’s Form F-4 filed January 25, 2019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Addendum to the Asset Purchase Agreement, dated August 17, 2017, by and between Mereo BioPharma 2 Limited and Novartis Pharma</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AG (incorporated by reference to Exhibit 10.21.2 to Mereo’s Form F-4 filed January 25, 2019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2.3.2</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Amendment Agreement for BGS649, dated October 19, 2018, by and between Mereo BioPharma 2 Limited and Novartis Pharma AG</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(incorporated by reference to Exhibit 10.21.1 to Mereo’s Form F-4 filed January 25, 2019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BPS804 Asset Purchase Agreement, dated July 28, 2015, by and between Mereo BioPharma 3 Limited and Novartis Pharma AG</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 by reference to Exhibit 10.22 to Mereo’s Form F-4 filed January 25, 2019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2.4.1</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Addendum to the Asset Purchase Agreement, dated December 21, 2016, by and between Mereo BioPharma 3 Limited and Novartis</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Pharma AG (incorporated by reference to Exhibit 10.22.2 to Mereo’s Form F-4 filed January 25, 2019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2.4.2†</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Agreement, dated August 10, 2018, by and between Mereo BioPharma 3 Limited and Novartis Pharma AG (incorporated by</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reference to Exhibit 10.22.1 to Mereo’s Form F-4 filed January 25, 2019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Articles of Association of the Company (incorporated by reference to Exhibit 3.1 to Mereo’s Form 6-K, filed with the SEC on December</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18, 2022 (File No. 001-38452)).</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American Depositary Receipt of Mereo BioPharma Group plc (incorporated by reference to Exhibit 4.3 to Mereo’s Form F-4/A</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filed March 15, 2019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Description of Securities Registered under Section 12 of the Exchange Act (incorporated by reference to Exhibit 4.2 to Mereo’s Form 10-</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K filed March 27, 2024 (File No. 001-38452)).</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Sublicense Agreement, dated July 29, 2015, by and between Mereo BioPharma 3 Limited and Novartis Pharma AG (incorporated by</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reference to Exhibit 10.23 to Mereo’s Form F-4 filed January 25, 2019 (File No. 333- 229351)).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3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 †</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Exclusive License and Option Agreement, dated October 28, 2017, by and between Mereo BioPharma 4 Limited and AstraZeneca AB</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(incorporated by reference to Exhibit 10.24 to Mereo’s Form F-4 filed January 25, 2019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3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tcBorders>
              <w:left w:val="single" w:sz="8" w:color="0000EE"/>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Deed of Indemnity for members of the board of directors of Mereo BioPharma Group plc (incorporated by reference to Exhibit</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r>
                <w:rPr>
                  <w:rFonts w:ascii="Times New Roman" w:cs="Times New Roman" w:eastAsia="Times New Roman" w:hAnsi="Times New Roman"/>
                  <w:sz w:val="18"/>
                  <w:szCs w:val="18"/>
                  <w:color w:val="0000FF"/>
                </w:rPr>
                <w:t xml:space="preserve"> to Mereo’s Form F-4 filed January 25, 2019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38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Contingent Value Rights Agreement by and between Computershare, Inc., as rights agent, and Mereo BioPharma Group plc</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(incorporated by reference to Annex B to Mereo’s Form F-4/A filed March 15, 2019 (File No. 333-229351)).</w:t>
              </w:r>
            </w:hyperlink>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640" w:type="dxa"/>
            <w:vAlign w:val="bottom"/>
            <w:gridSpan w:val="5"/>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10.5</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Mereo BioPharma Group plc 2019 Equity Incentive Plan, as amended on February 13, 2020 and January 15, 2021 (incorporated by</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reference to Exhibit 99.1 to Mereo’s Form S-8 filed January 15, 2021 (File No.</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40" w:type="dxa"/>
            <w:vAlign w:val="bottom"/>
            <w:gridSpan w:val="2"/>
          </w:tcPr>
          <w:p>
            <w:pPr>
              <w:spacing w:after="0" w:line="196" w:lineRule="exact"/>
              <w:rPr>
                <w:rFonts w:ascii="Times New Roman" w:cs="Times New Roman" w:eastAsia="Times New Roman" w:hAnsi="Times New Roman"/>
                <w:sz w:val="18"/>
                <w:szCs w:val="18"/>
                <w:color w:val="0000FF"/>
                <w:w w:val="96"/>
              </w:rPr>
            </w:pPr>
            <w:hyperlink r:id="rId149">
              <w:r>
                <w:rPr>
                  <w:rFonts w:ascii="Times New Roman" w:cs="Times New Roman" w:eastAsia="Times New Roman" w:hAnsi="Times New Roman"/>
                  <w:sz w:val="18"/>
                  <w:szCs w:val="18"/>
                  <w:color w:val="0000FF"/>
                  <w:w w:val="96"/>
                </w:rPr>
                <w:t>333-252147)).</w:t>
              </w:r>
            </w:hyperlink>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Deed of Consent and Amendment to Convertible Loan Note Instrument, dated December 17, 2020 between Mereo BioPharma Group plc.</w:t>
              </w:r>
            </w:hyperlink>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20" w:type="dxa"/>
            <w:vAlign w:val="bottom"/>
            <w:gridSpan w:val="10"/>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gridSpan w:val="7"/>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and the Noteholders named therein (incorporated by reference to Exhibit 4.21 to Mereo’s 20-F filed March 31, 2021 (File No. 001-</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40" w:type="dxa"/>
            <w:vAlign w:val="bottom"/>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38452)</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w:t>
              </w:r>
            </w:hyperlink>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4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20" w:type="dxa"/>
            <w:vAlign w:val="bottom"/>
            <w:gridSpan w:val="10"/>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r>
      <w:tr>
        <w:trPr>
          <w:trHeight w:val="412"/>
        </w:trPr>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10000" w:type="dxa"/>
            <w:vAlign w:val="bottom"/>
            <w:gridSpan w:val="24"/>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Mereo BioPharma Group plc 2019 Non-Employee Equity Incentive Plan, as amended on February 13, 2020 and</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8060" w:type="dxa"/>
            <w:vAlign w:val="bottom"/>
            <w:gridSpan w:val="11"/>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January 15, 2021 (incorporated by reference to Exhibit 99.2 to Mereo’s Form S-8 filed January 15, 2021 (File No. 333-252147)).</w:t>
              </w:r>
            </w:hyperlink>
          </w:p>
        </w:tc>
      </w:tr>
      <w:tr>
        <w:trPr>
          <w:trHeight w:val="560"/>
        </w:trPr>
        <w:tc>
          <w:tcPr>
            <w:tcW w:w="1240" w:type="dxa"/>
            <w:vAlign w:val="bottom"/>
          </w:tcPr>
          <w:p>
            <w:pPr>
              <w:spacing w:after="0"/>
              <w:rPr>
                <w:sz w:val="24"/>
                <w:szCs w:val="24"/>
                <w:color w:val="auto"/>
              </w:rPr>
            </w:pPr>
          </w:p>
        </w:tc>
        <w:tc>
          <w:tcPr>
            <w:tcW w:w="5420" w:type="dxa"/>
            <w:vAlign w:val="bottom"/>
            <w:tcBorders>
              <w:top w:val="single" w:sz="8" w:color="0000FF"/>
            </w:tcBorders>
            <w:gridSpan w:val="6"/>
          </w:tcPr>
          <w:p>
            <w:pPr>
              <w:jc w:val="right"/>
              <w:ind w:right="81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80" w:type="dxa"/>
            <w:vAlign w:val="bottom"/>
            <w:gridSpan w:val="20"/>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20"/>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2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9980" w:type="dxa"/>
            <w:vAlign w:val="bottom"/>
            <w:gridSpan w:val="20"/>
          </w:tcPr>
          <w:p>
            <w:pPr>
              <w:spacing w:after="0" w:line="194"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Amended Convertible Loan Note Instrument, dated December 18, 2020 relating to Mereo BioPharma Group plc. (incorporated</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by reference to Exhibit 4.22 to Mereo’s 20-F filed March 31, 2021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10.9</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Amended Convertible Loan Note Instrument, dated February 5, 2021 relating to Mereo BioPharma Group plc. (incorporated by</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reference to Exhibit 4.23 to Mereo’s 20-F filed March 31, 2021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10.10</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Amended Convertible Loan Note Instrument, dated March 29, 2021 relating to Mereo BioPharma Group plc. (incorporated by</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reference to Exhibit 4.24 to Mereo’s 20-F filed March 31, 2021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10.11</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Deed of Consent and Amendment to Warrant Instrument, dated March 29, 2021 between Mereo BioPharma Group plc. and the Alpha-1</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Project, Inc. (incorporated by reference to Exhibit 4.25 to Mereo’s 20-F filed March 31, 2021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10.12</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Employment Agreement, dated July 1, 2020 between Mereo BioPharma Group plc and John Lewicki (incorporated by reference to</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Exhibit 4.27 to Mereo’s 20-F filed March 31, 2021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10.13††</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License Agreement, dated January 13, 2020, between OncoMed Pharmaceuticals, Inc., Mereo BioPharma Group plc and Oncologie, Inc.</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(incorporated by reference to Exhibit 4.45 to Mereo’s Form 20-F filed March 31, 2021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10.14</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Convertible Loan Instrument, dated February 10, 2020 relating to Mereo BioPharma Group plc (incorporated by reference to</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Exhibit 4.28 to Mereo’s 20-F filed March 31, 2022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10.15</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Warrant Instrument, dated February 10, 2020 relating to Mereo BioPharma Group plc (incorporated by reference to Exhibit 4.29</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44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to Mereo’s 20-F filed March 31, 2022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40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10.16</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Deed of Consent and Amendment to Note Instrument, dated November 24, 2020 between Mereo BioPharma Group plc. and Novartis</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Pharma AG (incorporated by reference to Exhibit 4.30 to Mereo’s 20-F filed March 31, 2022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10.17</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Deed of Consent and Amendment to Warrant Instrument, dated November 24, 2020 between Mereo BioPharma Group plc. and Novartis</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Pharma AG (incorporated by reference to Exhibit 4.31 to Mereo’s 20-F filed March 31, 2022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10.18††</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Collaboration and License Agreement, dated December 17, 2020, between Mereo BioPharma 3 Limited and Ultragenyx Pharmaceutical</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 (incorporated by reference to Exhibit 4.32 to Mereo’s 20-F filed March 31, 2022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10.19</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Amended and restated Contract of Employment, dated September 3, 2021, between Mereo BioPharma Group plc and Denise Scots-</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Knight (incorporated by reference to Exhibit 4.33 to Mereo’s 20-F filed March 31, 2022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10.20</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Amended and restated Contract of Employment, dated September 3, 2021, between Mereo BioPharma Group plc and Christine Fox</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5"/>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(incorporated by reference to Exhibit 4.34 to Mereo’s 20-F filed March 31, 2022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10.21</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Amended and restated Contract of Employment, dated September 3, 2021, between Mereo BioPharma Group plc and Charles Sermon</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(incorporated by reference to Exhibit 4.36 to Mereo’s 20-F filed March 31, 2022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10.22</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Amended and restated Contract of Employment, dated September 16, 2021, between Mereo BioPharma Group plc and Alexandra (Wills)</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40" w:type="dxa"/>
            <w:vAlign w:val="bottom"/>
            <w:tcBorders>
              <w:right w:val="single" w:sz="8" w:color="0000FF"/>
            </w:tcBorders>
            <w:gridSpan w:val="9"/>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Hughes-Wilson (incorporated by reference to Exhibit 4.37 to Mereo’s 20-F filed March 31, 2022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40" w:type="dxa"/>
            <w:vAlign w:val="bottom"/>
            <w:tcBorders>
              <w:right w:val="single" w:sz="8" w:color="0000EE"/>
            </w:tcBorders>
            <w:gridSpan w:val="9"/>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10.23</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Change in Control and Severance Agreement for Executives employed by Mereo Biopharma 5, Inc. (incorporated by reference</w:t>
              </w:r>
            </w:hyperlink>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5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80" w:type="dxa"/>
            <w:vAlign w:val="bottom"/>
            <w:tcBorders>
              <w:right w:val="single" w:sz="8" w:color="0000FF"/>
            </w:tcBorders>
            <w:gridSpan w:val="11"/>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to Exhibit 4.40 to Mereo’s 20-F filed March 31, 2022 (File No. 001-38452)).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53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gridSpan w:val="11"/>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412"/>
        </w:trPr>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10.24</w:t>
            </w: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Letter of Appointment for members of the board of directors of Mereo BioPharma Group plc. (incorporated by reference to</w:t>
              </w:r>
            </w:hyperlink>
          </w:p>
        </w:tc>
        <w:tc>
          <w:tcPr>
            <w:tcW w:w="36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Exhibit 4.17 to Mereo’s Form F-4 filed March 28, 2023 (File No. 333-229351)).</w:t>
              </w:r>
            </w:hyperlink>
          </w:p>
        </w:tc>
      </w:tr>
      <w:tr>
        <w:trPr>
          <w:trHeight w:val="345"/>
        </w:trPr>
        <w:tc>
          <w:tcPr>
            <w:tcW w:w="1260" w:type="dxa"/>
            <w:vAlign w:val="bottom"/>
          </w:tcPr>
          <w:p>
            <w:pPr>
              <w:spacing w:after="0"/>
              <w:rPr>
                <w:sz w:val="24"/>
                <w:szCs w:val="24"/>
                <w:color w:val="auto"/>
              </w:rPr>
            </w:pPr>
          </w:p>
        </w:tc>
        <w:tc>
          <w:tcPr>
            <w:tcW w:w="5320" w:type="dxa"/>
            <w:vAlign w:val="bottom"/>
            <w:tcBorders>
              <w:top w:val="single" w:sz="8" w:color="0000FF"/>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80" w:type="dxa"/>
            <w:vAlign w:val="bottom"/>
            <w:gridSpan w:val="13"/>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920" w:type="dxa"/>
            <w:vAlign w:val="bottom"/>
            <w:gridSpan w:val="1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Deed of Consent and Amendment to Note Instrument, dated February 9, 2023 between Mereo BioPharma Group plc and Novartis</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Pharma AG (incorporated by reference to Exhibit 4.46 to Mereo’s Form 20-F filed March 28, 2023 (File No. 001-38452)).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920" w:type="dxa"/>
            <w:vAlign w:val="bottom"/>
            <w:gridSpan w:val="19"/>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Form of Warrant Instrument, dated February 10, 2023, relating to Mereo BioPharma Group plc (incorporated by reference to Exhibit 4.47</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to Mereo’s Form 20-F filed March 28, 2023 (File No. 001-38452)).</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9920" w:type="dxa"/>
            <w:vAlign w:val="bottom"/>
            <w:gridSpan w:val="1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Deferred Compensation Plan for Non-Employee Directors, as amended on December 13, 2023 (incorporated by reference to Exhibit 4.3</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to Mereo’s S-8 filed January 23, 2024 (File No. 333-276656)).</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9920" w:type="dxa"/>
            <w:vAlign w:val="bottom"/>
            <w:gridSpan w:val="19"/>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Form of Performance Based Restricted Stock Unit Award Agreement under the Plan (incorporated by reference to Exhibit 4.4 to Mereo’s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S-8 filed January 24, 2023 (File No. 333-269388))</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920" w:type="dxa"/>
            <w:vAlign w:val="bottom"/>
            <w:gridSpan w:val="19"/>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Restricted Stock Unit Award Agreement under the Plans (incorporated by reference to Exhibit 4.5 to Mereo’s Form S-8 filed</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January 24, 2023 (File No. 333-269388))</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920" w:type="dxa"/>
            <w:vAlign w:val="bottom"/>
            <w:gridSpan w:val="19"/>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License Agreement, dated December 11, 2023, between Mereo BioPharma Group plc and ReproNovo SA (incorporated by reference to</w:t>
              </w:r>
            </w:hyperlink>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30</w:t>
              </w:r>
              <w:r>
                <w:rPr>
                  <w:rFonts w:ascii="Times New Roman" w:cs="Times New Roman" w:eastAsia="Times New Roman" w:hAnsi="Times New Roman"/>
                  <w:sz w:val="18"/>
                  <w:szCs w:val="18"/>
                  <w:color w:val="0000FF"/>
                </w:rPr>
                <w:t xml:space="preserve"> to Mereo’s Form 10-K filed March 27, 2024 (File No. 001-38452)).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Deed of Amendment and Restatement to Amended and Restated Subscription Deed, dated November 8, 2024, between Mereo</w:t>
            </w:r>
          </w:p>
        </w:tc>
      </w:tr>
      <w:tr>
        <w:trPr>
          <w:trHeight w:val="20"/>
        </w:trPr>
        <w:tc>
          <w:tcPr>
            <w:tcW w:w="116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BioPharma Group plc and AstraZeneca AB.</w:t>
            </w: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Amended and restated Exclusive License and Option Agreement, dated November 8, 2024, between Mereo Biopharma</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Group plc and AstraZeneca AB.</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920" w:type="dxa"/>
            <w:vAlign w:val="bottom"/>
            <w:gridSpan w:val="19"/>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Insider Trading Policy (incorporated by reference to Exhibit 19.1 to Mereo’s Form 10-K filed March 27, 2024 (File</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No. 001-38452)).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920" w:type="dxa"/>
            <w:vAlign w:val="bottom"/>
            <w:gridSpan w:val="19"/>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List of Subsidiaries of Mereo BioPharma Group plc. (incorporated by reference to Exhibit 8.1 Mereo’s Form 20-F filed March 28, 2023</w:t>
              </w:r>
            </w:hyperlink>
          </w:p>
        </w:tc>
      </w:tr>
      <w:tr>
        <w:trPr>
          <w:trHeight w:val="20"/>
        </w:trPr>
        <w:tc>
          <w:tcPr>
            <w:tcW w:w="1160" w:type="dxa"/>
            <w:vAlign w:val="bottom"/>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40" w:type="dxa"/>
            <w:vAlign w:val="bottom"/>
            <w:tcBorders>
              <w:right w:val="single" w:sz="8" w:color="0000FF"/>
            </w:tcBorders>
            <w:gridSpan w:val="4"/>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(File No. 001-38452))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0" w:type="dxa"/>
            <w:vAlign w:val="bottom"/>
            <w:tcBorders>
              <w:right w:val="single" w:sz="8" w:color="0000EE"/>
            </w:tcBorders>
            <w:gridSpan w:val="2"/>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4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of this report).</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4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w:t>
            </w: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4040" w:type="dxa"/>
            <w:vAlign w:val="bottom"/>
            <w:tcBorders>
              <w:right w:val="single" w:sz="8" w:color="0000EE"/>
            </w:tcBorders>
            <w:gridSpan w:val="6"/>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w:t>
            </w: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4040" w:type="dxa"/>
            <w:vAlign w:val="bottom"/>
            <w:tcBorders>
              <w:right w:val="single" w:sz="8" w:color="0000EE"/>
            </w:tcBorders>
            <w:gridSpan w:val="6"/>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4040" w:type="dxa"/>
            <w:vAlign w:val="bottom"/>
            <w:tcBorders>
              <w:right w:val="single" w:sz="8" w:color="0000EE"/>
            </w:tcBorders>
            <w:gridSpan w:val="6"/>
            <w:shd w:val="clear" w:color="auto" w:fill="0000EE"/>
          </w:tcPr>
          <w:p>
            <w:pPr>
              <w:spacing w:after="0" w:line="20" w:lineRule="exact"/>
              <w:rPr>
                <w:sz w:val="1"/>
                <w:szCs w:val="1"/>
                <w:color w:val="auto"/>
              </w:rPr>
            </w:pPr>
          </w:p>
        </w:tc>
        <w:tc>
          <w:tcPr>
            <w:tcW w:w="462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40" w:type="dxa"/>
            <w:vAlign w:val="bottom"/>
            <w:tcBorders>
              <w:right w:val="single" w:sz="8" w:color="0000FF"/>
            </w:tcBorders>
            <w:gridSpan w:val="6"/>
            <w:shd w:val="clear" w:color="auto" w:fill="0000FF"/>
          </w:tcPr>
          <w:p>
            <w:pPr>
              <w:spacing w:after="0" w:line="20" w:lineRule="exact"/>
              <w:rPr>
                <w:sz w:val="1"/>
                <w:szCs w:val="1"/>
                <w:color w:val="auto"/>
              </w:rPr>
            </w:pPr>
          </w:p>
        </w:tc>
        <w:tc>
          <w:tcPr>
            <w:tcW w:w="4620" w:type="dxa"/>
            <w:vAlign w:val="bottom"/>
            <w:tcBorders>
              <w:left w:val="single" w:sz="8" w:color="0000FF"/>
            </w:tcBorders>
            <w:gridSpan w:val="7"/>
            <w:shd w:val="clear" w:color="auto" w:fill="0000FF"/>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920" w:type="dxa"/>
            <w:vAlign w:val="bottom"/>
            <w:gridSpan w:val="19"/>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Mereo BioPharma Group plc Compensation Recovery Policy (incorporated by reference to Exhibit 97.1 to Mereo’s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40" w:type="dxa"/>
            <w:vAlign w:val="bottom"/>
            <w:tcBorders>
              <w:right w:val="single" w:sz="8" w:color="0000FF"/>
            </w:tcBorders>
            <w:gridSpan w:val="6"/>
            <w:shd w:val="clear" w:color="auto" w:fill="0000FF"/>
          </w:tcPr>
          <w:p>
            <w:pPr>
              <w:spacing w:after="0" w:line="20" w:lineRule="exact"/>
              <w:rPr>
                <w:sz w:val="1"/>
                <w:szCs w:val="1"/>
                <w:color w:val="auto"/>
              </w:rPr>
            </w:pPr>
          </w:p>
        </w:tc>
        <w:tc>
          <w:tcPr>
            <w:tcW w:w="4260" w:type="dxa"/>
            <w:vAlign w:val="bottom"/>
            <w:tcBorders>
              <w:left w:val="single" w:sz="8" w:color="0000FF"/>
            </w:tcBorders>
            <w:gridSpan w:val="5"/>
            <w:shd w:val="clear" w:color="auto" w:fill="0000FF"/>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19"/>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10-K filed March 27, 2024 (File No. 001-38452)).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205" w:lineRule="exact"/>
        <w:rPr>
          <w:sz w:val="20"/>
          <w:szCs w:val="20"/>
          <w:color w:val="auto"/>
        </w:rPr>
      </w:pPr>
    </w:p>
    <w:p>
      <w:pPr>
        <w:ind w:left="1140" w:right="160" w:hanging="1138"/>
        <w:spacing w:after="0" w:line="258"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this Annual Report on Form 10-K formatted in XBRL (Extensible Business Reporting Language) are furnished herewith: (i) the Report of Independent Registered Public Accounting Firm, (ii) the consolidated statements of financial position data, (iii) the consolidated statements of comprehensive loss data, (iv) the consolidated statements of changes in shareholders’ equity (capital deficiency), (v) the consolidated statements of cash flows, and (vi) the notes to consolidated financial statements, in each case tagged as blocks of text and in detail.</w:t>
      </w:r>
    </w:p>
    <w:p>
      <w:pPr>
        <w:spacing w:after="0" w:line="183" w:lineRule="exact"/>
        <w:rPr>
          <w:sz w:val="20"/>
          <w:szCs w:val="20"/>
          <w:color w:val="auto"/>
        </w:rPr>
      </w:pPr>
    </w:p>
    <w:p>
      <w:pPr>
        <w:ind w:left="-80" w:right="7540" w:firstLine="82"/>
        <w:spacing w:after="0" w:line="500" w:lineRule="auto"/>
        <w:tabs>
          <w:tab w:leader="none" w:pos="112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-201295</wp:posOffset>
            </wp:positionV>
            <wp:extent cx="19030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981" w:right="4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 Portions of this exhibit are subject to a previously filed confidential treatment order pursuant to Rule 406 under the Securities Act.</w:t>
      </w:r>
    </w:p>
    <w:p>
      <w:pPr>
        <w:spacing w:after="0" w:line="27" w:lineRule="exact"/>
        <w:rPr>
          <w:sz w:val="20"/>
          <w:szCs w:val="20"/>
          <w:color w:val="auto"/>
        </w:rPr>
      </w:pPr>
    </w:p>
    <w:p>
      <w:pPr>
        <w:jc w:val="both"/>
        <w:ind w:firstLine="8"/>
        <w:spacing w:after="0" w:line="255" w:lineRule="auto"/>
        <w:tabs>
          <w:tab w:leader="none" w:pos="2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 or Item 601(a)(5) of Regulation S-K because they are not material and they are the type of information that the Registrant treats as private or confidential. The Company agrees to furnish supplementally to the Commission a copy of any omissions upon request.</w:t>
      </w:r>
    </w:p>
    <w:p>
      <w:pPr>
        <w:spacing w:after="0" w:line="200" w:lineRule="exact"/>
        <w:rPr>
          <w:sz w:val="20"/>
          <w:szCs w:val="20"/>
          <w:color w:val="auto"/>
        </w:rPr>
      </w:pPr>
    </w:p>
    <w:p>
      <w:pPr>
        <w:spacing w:after="0" w:line="37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Item 16.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 Summary</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5" w:right="61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hereunto duly authorized, on March 26, 2025.</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Denise Scots-Knight</w:t>
      </w:r>
    </w:p>
    <w:p>
      <w:pPr>
        <w:spacing w:after="0" w:line="23" w:lineRule="exact"/>
        <w:rPr>
          <w:sz w:val="20"/>
          <w:szCs w:val="20"/>
          <w:color w:val="auto"/>
        </w:rPr>
      </w:pPr>
    </w:p>
    <w:p>
      <w:pPr>
        <w:ind w:left="6540"/>
        <w:spacing w:after="0"/>
        <w:tabs>
          <w:tab w:leader="none" w:pos="7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Denise Scots-Knight and Christine Fox, and each of them, as his or her true and lawful attorney-in-fact and agent, with full power of substitution and resubstitution, for him or her and in his or her name, place and stead, in any and all capacities, to sign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20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March 26, 2025, in the capacities indicated.</w:t>
      </w:r>
    </w:p>
    <w:p>
      <w:pPr>
        <w:sectPr>
          <w:pgSz w:w="11900" w:h="16838" w:orient="portrait"/>
          <w:cols w:equalWidth="0" w:num="1">
            <w:col w:w="11240"/>
          </w:cols>
          <w:pgMar w:left="320" w:top="981" w:right="339" w:bottom="1440" w:gutter="0" w:footer="0" w:header="0"/>
        </w:sectPr>
      </w:pPr>
    </w:p>
    <w:p>
      <w:pPr>
        <w:spacing w:after="0" w:line="18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716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8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Denise Scots-Knight</w:t>
      </w:r>
    </w:p>
    <w:p>
      <w:pPr>
        <w:spacing w:after="0" w:line="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Christine Fox</w:t>
      </w:r>
    </w:p>
    <w:p>
      <w:pPr>
        <w:spacing w:after="0" w:line="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Michael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Michael Wyzga</w:t>
      </w:r>
    </w:p>
    <w:p>
      <w:pPr>
        <w:spacing w:after="0" w:line="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Jeremy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Jeremy Bender</w:t>
      </w:r>
    </w:p>
    <w:p>
      <w:pPr>
        <w:spacing w:after="0" w:line="9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Anders Ekblom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Anders Ekblom</w:t>
      </w:r>
    </w:p>
    <w:p>
      <w:pPr>
        <w:spacing w:after="0" w:line="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Pierre Jacquet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Pierre Jacquet</w:t>
      </w:r>
    </w:p>
    <w:p>
      <w:pPr>
        <w:spacing w:after="0" w:line="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Annalisa Jenkins</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 Deepika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716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Deepika Pakianathan</w:t>
      </w:r>
    </w:p>
    <w:p>
      <w:pPr>
        <w:spacing w:after="0" w:line="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Justin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Justin Roberts</w:t>
      </w:r>
    </w:p>
    <w:p>
      <w:pPr>
        <w:spacing w:after="0" w:line="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Daniel Shames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Daniel Shames</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Marc Yoskowitz</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Marc Yoskowitz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716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97"/>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23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0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23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and Financial Officer</w:t>
            </w: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2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54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bl>
    <w:p>
      <w:pPr>
        <w:spacing w:after="0" w:line="393" w:lineRule="exact"/>
        <w:rPr>
          <w:sz w:val="20"/>
          <w:szCs w:val="20"/>
          <w:color w:val="auto"/>
        </w:rPr>
      </w:pPr>
    </w:p>
    <w:p>
      <w:pPr>
        <w:sectPr>
          <w:pgSz w:w="11900" w:h="16838" w:orient="portrait"/>
          <w:cols w:equalWidth="0" w:num="2">
            <w:col w:w="2620" w:space="720"/>
            <w:col w:w="7900"/>
          </w:cols>
          <w:pgMar w:left="320" w:top="981" w:right="339" w:bottom="1440" w:gutter="0" w:footer="0" w:header="0"/>
          <w:type w:val="continuous"/>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00" w:type="dxa"/>
            <w:vAlign w:val="bottom"/>
          </w:tcPr>
          <w:p>
            <w:pPr>
              <w:spacing w:after="0"/>
              <w:rPr>
                <w:sz w:val="20"/>
                <w:szCs w:val="20"/>
                <w:color w:val="auto"/>
              </w:rPr>
            </w:pPr>
          </w:p>
        </w:tc>
      </w:tr>
      <w:tr>
        <w:trPr>
          <w:trHeight w:val="459"/>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876)</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20" w:type="dxa"/>
            <w:vAlign w:val="bottom"/>
            <w:shd w:val="clear" w:color="auto" w:fill="0000EE"/>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shd w:val="clear" w:color="auto" w:fill="0000EE"/>
          </w:tcPr>
          <w:p>
            <w:pPr>
              <w:spacing w:after="0" w:line="20" w:lineRule="exact"/>
              <w:rPr>
                <w:sz w:val="1"/>
                <w:szCs w:val="1"/>
                <w:color w:val="auto"/>
              </w:rPr>
            </w:pPr>
          </w:p>
        </w:tc>
        <w:tc>
          <w:tcPr>
            <w:tcW w:w="27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20" w:type="dxa"/>
            <w:vAlign w:val="bottom"/>
            <w:shd w:val="clear" w:color="auto" w:fill="0000EE"/>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12"/>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0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981" w:right="599" w:bottom="1440" w:gutter="0" w:footer="0" w:header="0"/>
        </w:sectPr>
      </w:pPr>
    </w:p>
    <w:bookmarkStart w:id="108" w:name="page109"/>
    <w:bookmarkEnd w:id="108"/>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Mereo BioPharma Group plc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Mereo BioPharma Group plc and its subsidiaries (the “Company”) as of December 31, 2024 and December 31, 2023, and the related consolidated statements of operations and comprehensive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December 31, 2023, and the results of its operations and its cash flows for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 expense</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As described in Note 15 to the consolidated financial statements, the total charge for share-based compensation was $7.4 million. Employees (including executives) and non-executive directors of the Company receive remuneration in the form of share-based compensation, whereby employees and non-executive directors render services as consideration for equity instruments (equity settled transactions). The total amounts to be expensed are measured based on the grant-date fair value of the awards and recognized over the period during which the employee or non-executive director is required to perform services in exchange for the award. The fair value of each option is estimated on the date of grant using the Black-Scholes option pricing model which includes assumptions made by management.</w:t>
      </w:r>
    </w:p>
    <w:p>
      <w:pPr>
        <w:spacing w:after="0" w:line="18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share-based compensation charge is a critical audit matter are the high degree of auditor effort in performing procedures and evaluating audit evidence related to the grant-date fair value of awards.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9" w:name="page110"/>
    <w:bookmarkEnd w:id="109"/>
    <w:p>
      <w:pPr>
        <w:ind w:firstLine="749"/>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(ii) evaluating the appropriateness of the model used by management, (iii) testing the completeness and accuracy of underlying data used in the fair value estimate, (iv) evaluating the reasonableness of the significant assumptions used by management in estimating the fair value, (v) performing a recalculation of the grant-date fair value estimate for a sample of awards, and (vi) testing the expense recognized during the period for a sample of awards. Evaluating management’s assumptions involved evaluating whether they were reasonable considering consistency with external market and industry data.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6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6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69,802</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57,421</w:t>
            </w:r>
          </w:p>
        </w:tc>
      </w:tr>
      <w:tr>
        <w:trPr>
          <w:trHeight w:val="216"/>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5,156</w:t>
            </w:r>
          </w:p>
        </w:tc>
      </w:tr>
      <w:tr>
        <w:trPr>
          <w:trHeight w:val="216"/>
        </w:trPr>
        <w:tc>
          <w:tcPr>
            <w:tcW w:w="6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3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2,786</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r>
      <w:tr>
        <w:trPr>
          <w:trHeight w:val="209"/>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74,763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63,760</w:t>
            </w: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6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1,089</w:t>
            </w:r>
          </w:p>
        </w:tc>
      </w:tr>
      <w:tr>
        <w:trPr>
          <w:trHeight w:val="20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76,390</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66,499</w:t>
            </w:r>
          </w:p>
        </w:tc>
      </w:tr>
      <w:tr>
        <w:trPr>
          <w:trHeight w:val="20"/>
        </w:trPr>
        <w:tc>
          <w:tcPr>
            <w:tcW w:w="6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6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2,440</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2,346</w:t>
            </w:r>
          </w:p>
        </w:tc>
      </w:tr>
      <w:tr>
        <w:trPr>
          <w:trHeight w:val="216"/>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5,467</w:t>
            </w:r>
          </w:p>
        </w:tc>
      </w:tr>
      <w:tr>
        <w:trPr>
          <w:trHeight w:val="216"/>
        </w:trPr>
        <w:tc>
          <w:tcPr>
            <w:tcW w:w="6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5,535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r>
      <w:tr>
        <w:trPr>
          <w:trHeight w:val="216"/>
        </w:trPr>
        <w:tc>
          <w:tcPr>
            <w:tcW w:w="62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1,095</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r>
      <w:tr>
        <w:trPr>
          <w:trHeight w:val="210"/>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13,848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9,486</w:t>
            </w: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loan notes – non-current</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4,394</w:t>
            </w: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906</w:t>
            </w: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r>
      <w:tr>
        <w:trPr>
          <w:trHeight w:val="250"/>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15,421</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15,962</w:t>
            </w:r>
          </w:p>
        </w:tc>
      </w:tr>
      <w:tr>
        <w:trPr>
          <w:trHeight w:val="215"/>
        </w:trPr>
        <w:tc>
          <w:tcPr>
            <w:tcW w:w="6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3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r>
      <w:tr>
        <w:trPr>
          <w:trHeight w:val="198"/>
        </w:trPr>
        <w:tc>
          <w:tcPr>
            <w:tcW w:w="6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r>
      <w:tr>
        <w:trPr>
          <w:trHeight w:val="198"/>
        </w:trPr>
        <w:tc>
          <w:tcPr>
            <w:tcW w:w="6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775,728,034 shares issued at</w:t>
            </w: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 (December 31, 2023: 701,217,089).</w:t>
            </w:r>
          </w:p>
        </w:tc>
        <w:tc>
          <w:tcPr>
            <w:tcW w:w="34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2,775</w:t>
            </w: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(1,230 )</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539,642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486,107</w:t>
            </w: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(462,883 )</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(419,630 )</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(18,849 )</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(17,485 )</w:t>
            </w:r>
          </w:p>
        </w:tc>
      </w:tr>
      <w:tr>
        <w:trPr>
          <w:trHeight w:val="210"/>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4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60,969</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50,537</w:t>
            </w: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76,390</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66,499</w:t>
            </w:r>
          </w:p>
        </w:tc>
      </w:tr>
      <w:tr>
        <w:trPr>
          <w:trHeight w:val="20"/>
        </w:trPr>
        <w:tc>
          <w:tcPr>
            <w:tcW w:w="6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-4242435</wp:posOffset>
            </wp:positionV>
            <wp:extent cx="1631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-3685540</wp:posOffset>
            </wp:positionV>
            <wp:extent cx="1631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-2416810</wp:posOffset>
            </wp:positionV>
            <wp:extent cx="1631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-1576705</wp:posOffset>
            </wp:positionV>
            <wp:extent cx="1631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-1559560</wp:posOffset>
            </wp:positionV>
            <wp:extent cx="1631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1631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0"/>
        </w:trPr>
        <w:tc>
          <w:tcPr>
            <w:tcW w:w="69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69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6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5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(2,574 )</w:t>
            </w:r>
          </w:p>
        </w:tc>
      </w:tr>
      <w:tr>
        <w:trPr>
          <w:trHeight w:val="216"/>
        </w:trPr>
        <w:tc>
          <w:tcPr>
            <w:tcW w:w="6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(17,418 )</w:t>
            </w:r>
          </w:p>
        </w:tc>
      </w:tr>
      <w:tr>
        <w:trPr>
          <w:trHeight w:val="216"/>
        </w:trPr>
        <w:tc>
          <w:tcPr>
            <w:tcW w:w="6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(26,434 )</w:t>
            </w:r>
          </w:p>
        </w:tc>
        <w:tc>
          <w:tcPr>
            <w:tcW w:w="2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(18,424 )</w:t>
            </w: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(47,364 )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(28,416 )</w:t>
            </w: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5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2,131</w:t>
            </w: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(1,370 )</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5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5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5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5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1,649</w:t>
            </w:r>
          </w:p>
        </w:tc>
        <w:tc>
          <w:tcPr>
            <w:tcW w:w="2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1,280</w:t>
            </w:r>
          </w:p>
        </w:tc>
      </w:tr>
      <w:tr>
        <w:trPr>
          <w:trHeight w:val="21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5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(29,998 )</w:t>
            </w:r>
          </w:p>
        </w:tc>
      </w:tr>
      <w:tr>
        <w:trPr>
          <w:trHeight w:val="216"/>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5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532</w:t>
            </w:r>
          </w:p>
        </w:tc>
      </w:tr>
      <w:tr>
        <w:trPr>
          <w:trHeight w:val="20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(43,253 )</w:t>
            </w:r>
          </w:p>
        </w:tc>
        <w:tc>
          <w:tcPr>
            <w:tcW w:w="7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(29,466 )</w:t>
            </w:r>
          </w:p>
        </w:tc>
      </w:tr>
      <w:tr>
        <w:trPr>
          <w:trHeight w:val="20"/>
        </w:trPr>
        <w:tc>
          <w:tcPr>
            <w:tcW w:w="6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70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(0.04 )</w:t>
            </w:r>
          </w:p>
        </w:tc>
      </w:tr>
      <w:tr>
        <w:trPr>
          <w:trHeight w:val="210"/>
        </w:trPr>
        <w:tc>
          <w:tcPr>
            <w:tcW w:w="6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739,624,264</w:t>
            </w:r>
          </w:p>
        </w:tc>
        <w:tc>
          <w:tcPr>
            <w:tcW w:w="20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659,453,921</w:t>
            </w:r>
          </w:p>
        </w:tc>
      </w:tr>
      <w:tr>
        <w:trPr>
          <w:trHeight w:val="20"/>
        </w:trPr>
        <w:tc>
          <w:tcPr>
            <w:tcW w:w="6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6"/>
        </w:trPr>
        <w:tc>
          <w:tcPr>
            <w:tcW w:w="6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(43,253 )</w:t>
            </w:r>
          </w:p>
        </w:tc>
        <w:tc>
          <w:tcPr>
            <w:tcW w:w="70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(29,466 )</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 Foreign currency translation adjustments, net of tax</w:t>
            </w:r>
          </w:p>
        </w:tc>
        <w:tc>
          <w:tcPr>
            <w:tcW w:w="5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(1,364 )</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4,202</w:t>
            </w:r>
          </w:p>
        </w:tc>
      </w:tr>
      <w:tr>
        <w:trPr>
          <w:trHeight w:val="250"/>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(44,617 )</w:t>
            </w:r>
          </w:p>
        </w:tc>
        <w:tc>
          <w:tcPr>
            <w:tcW w:w="2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-2588260</wp:posOffset>
            </wp:positionV>
            <wp:extent cx="1289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-1482090</wp:posOffset>
            </wp:positionV>
            <wp:extent cx="1289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-1199515</wp:posOffset>
            </wp:positionV>
            <wp:extent cx="1289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-753745</wp:posOffset>
            </wp:positionV>
            <wp:extent cx="1289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1289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1289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09"/>
        </w:trPr>
        <w:tc>
          <w:tcPr>
            <w:tcW w:w="77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(43,253 )</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(29,466 )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7,390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4,924</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9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1,942</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(gain)/loss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2,347</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consideration, milestone payment</w:t>
            </w:r>
          </w:p>
        </w:tc>
        <w:tc>
          <w:tcPr>
            <w:tcW w:w="9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2,980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(1,263 )</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(710 )</w:t>
            </w: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(32,834 )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(21,132 )</w:t>
            </w:r>
          </w:p>
        </w:tc>
      </w:tr>
      <w:tr>
        <w:trPr>
          <w:trHeight w:val="4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(699 )</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(419 )</w:t>
            </w:r>
          </w:p>
        </w:tc>
      </w:tr>
      <w:tr>
        <w:trPr>
          <w:trHeight w:val="194"/>
        </w:trPr>
        <w:tc>
          <w:tcPr>
            <w:tcW w:w="7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financing agreement with TAP</w:t>
            </w:r>
          </w:p>
        </w:tc>
        <w:tc>
          <w:tcPr>
            <w:tcW w:w="9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47,000</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11,605</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 on issuance of ordinary shares</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 on convertible loan notes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of convertible loan notes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46,147</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7,973</w:t>
            </w:r>
          </w:p>
        </w:tc>
      </w:tr>
      <w:tr>
        <w:trPr>
          <w:trHeight w:val="4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9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2,818</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Increase/(decrease) in cash and cash equivalents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12,381</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(10,761 )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57,421</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68,182</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December 31,</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69,802</w:t>
            </w:r>
          </w:p>
        </w:tc>
        <w:tc>
          <w:tcPr>
            <w:tcW w:w="11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57,421</w:t>
            </w:r>
          </w:p>
        </w:tc>
      </w:tr>
      <w:tr>
        <w:trPr>
          <w:trHeight w:val="41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9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884</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paid/(received) for income taxes</w:t>
            </w:r>
          </w:p>
        </w:tc>
        <w:tc>
          <w:tcPr>
            <w:tcW w:w="9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-2531110</wp:posOffset>
            </wp:positionV>
            <wp:extent cx="1117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-585470</wp:posOffset>
            </wp:positionV>
            <wp:extent cx="1117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-568325</wp:posOffset>
            </wp:positionV>
            <wp:extent cx="1117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580" w:type="dxa"/>
            <w:vAlign w:val="bottom"/>
            <w:gridSpan w:val="3"/>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1"/>
                <w:szCs w:val="11"/>
                <w:color w:val="auto"/>
              </w:rPr>
            </w:pPr>
          </w:p>
        </w:tc>
        <w:tc>
          <w:tcPr>
            <w:tcW w:w="1460" w:type="dxa"/>
            <w:vAlign w:val="bottom"/>
            <w:gridSpan w:val="4"/>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1580" w:type="dxa"/>
            <w:vAlign w:val="bottom"/>
            <w:tcBorders>
              <w:bottom w:val="single" w:sz="8" w:color="auto"/>
            </w:tcBorders>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7"/>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940" w:type="dxa"/>
            <w:vAlign w:val="bottom"/>
            <w:gridSpan w:val="2"/>
          </w:tcPr>
          <w:p>
            <w:pPr>
              <w:jc w:val="right"/>
              <w:ind w:right="117"/>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3"/>
                <w:szCs w:val="13"/>
                <w:b w:val="1"/>
                <w:bCs w:val="1"/>
                <w:color w:val="auto"/>
                <w:w w:val="94"/>
              </w:rPr>
              <w:t>shareholders’</w:t>
            </w: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940" w:type="dxa"/>
            <w:vAlign w:val="bottom"/>
            <w:tcBorders>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52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Cost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(loss)/income</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108"/>
        </w:trPr>
        <w:tc>
          <w:tcPr>
            <w:tcW w:w="35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(1,33</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624,928,519</w:t>
            </w:r>
          </w:p>
        </w:tc>
        <w:tc>
          <w:tcPr>
            <w:tcW w:w="6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$ 2,478</w:t>
            </w:r>
          </w:p>
        </w:tc>
        <w:tc>
          <w:tcPr>
            <w:tcW w:w="9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1,003,030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476,521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(21,687 )</w:t>
            </w:r>
          </w:p>
        </w:tc>
        <w:tc>
          <w:tcPr>
            <w:tcW w:w="2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(404,575 )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51,402</w:t>
            </w:r>
          </w:p>
        </w:tc>
        <w:tc>
          <w:tcPr>
            <w:tcW w:w="0" w:type="dxa"/>
            <w:vAlign w:val="bottom"/>
          </w:tcPr>
          <w:p>
            <w:pPr>
              <w:spacing w:after="0"/>
              <w:rPr>
                <w:sz w:val="1"/>
                <w:szCs w:val="1"/>
                <w:color w:val="auto"/>
              </w:rPr>
            </w:pPr>
          </w:p>
        </w:tc>
      </w:tr>
      <w:tr>
        <w:trPr>
          <w:trHeight w:val="128"/>
        </w:trPr>
        <w:tc>
          <w:tcPr>
            <w:tcW w:w="3500" w:type="dxa"/>
            <w:vAlign w:val="bottom"/>
            <w:tcBorders>
              <w:top w:val="single" w:sz="8" w:color="CFF0FC"/>
            </w:tcBorders>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(29,466 )</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(29,466 )</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4,202</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4,202</w:t>
            </w:r>
          </w:p>
        </w:tc>
        <w:tc>
          <w:tcPr>
            <w:tcW w:w="0" w:type="dxa"/>
            <w:vAlign w:val="bottom"/>
          </w:tcPr>
          <w:p>
            <w:pPr>
              <w:spacing w:after="0"/>
              <w:rPr>
                <w:sz w:val="1"/>
                <w:szCs w:val="1"/>
                <w:color w:val="auto"/>
              </w:rPr>
            </w:pPr>
          </w:p>
        </w:tc>
      </w:tr>
      <w:tr>
        <w:trPr>
          <w:trHeight w:val="135"/>
        </w:trPr>
        <w:tc>
          <w:tcPr>
            <w:tcW w:w="35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4,924</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Exercise of share options</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(79,630 )</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(105 )</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5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Delivery of shares on vesting of deferred restricted stock units</w:t>
            </w: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501,380</w:t>
            </w:r>
          </w:p>
        </w:tc>
        <w:tc>
          <w:tcPr>
            <w:tcW w:w="6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shares, net of discount</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48,367,095</w:t>
            </w:r>
          </w:p>
        </w:tc>
        <w:tc>
          <w:tcPr>
            <w:tcW w:w="64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186</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11,284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11,470</w:t>
            </w:r>
          </w:p>
        </w:tc>
        <w:tc>
          <w:tcPr>
            <w:tcW w:w="0" w:type="dxa"/>
            <w:vAlign w:val="bottom"/>
          </w:tcPr>
          <w:p>
            <w:pPr>
              <w:spacing w:after="0"/>
              <w:rPr>
                <w:sz w:val="1"/>
                <w:szCs w:val="1"/>
                <w:color w:val="auto"/>
              </w:rPr>
            </w:pPr>
          </w:p>
        </w:tc>
      </w:tr>
      <w:tr>
        <w:trPr>
          <w:trHeight w:val="135"/>
        </w:trPr>
        <w:tc>
          <w:tcPr>
            <w:tcW w:w="35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Conversion of convertible loan note</w:t>
            </w: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27,420,095</w:t>
            </w:r>
          </w:p>
        </w:tc>
        <w:tc>
          <w:tcPr>
            <w:tcW w:w="6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(6,569 )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14,411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7,950</w:t>
            </w:r>
          </w:p>
        </w:tc>
        <w:tc>
          <w:tcPr>
            <w:tcW w:w="0" w:type="dxa"/>
            <w:vAlign w:val="bottom"/>
          </w:tcPr>
          <w:p>
            <w:pPr>
              <w:spacing w:after="0"/>
              <w:rPr>
                <w:sz w:val="1"/>
                <w:szCs w:val="1"/>
                <w:color w:val="auto"/>
              </w:rPr>
            </w:pPr>
          </w:p>
        </w:tc>
      </w:tr>
      <w:tr>
        <w:trPr>
          <w:trHeight w:val="135"/>
        </w:trPr>
        <w:tc>
          <w:tcPr>
            <w:tcW w:w="3500" w:type="dxa"/>
            <w:vAlign w:val="bottom"/>
            <w:tcBorders>
              <w:bottom w:val="single" w:sz="8" w:color="CFF0FC"/>
            </w:tcBorders>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warrants</w:t>
            </w:r>
          </w:p>
        </w:tc>
        <w:tc>
          <w:tcPr>
            <w:tcW w:w="9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(1,23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5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701,217,089</w:t>
            </w:r>
          </w:p>
        </w:tc>
        <w:tc>
          <w:tcPr>
            <w:tcW w:w="6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$ 2,775</w:t>
            </w:r>
          </w:p>
        </w:tc>
        <w:tc>
          <w:tcPr>
            <w:tcW w:w="9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923,400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486,107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(17,485 )</w:t>
            </w:r>
          </w:p>
        </w:tc>
        <w:tc>
          <w:tcPr>
            <w:tcW w:w="2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(419,630 )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50,537</w:t>
            </w:r>
          </w:p>
        </w:tc>
        <w:tc>
          <w:tcPr>
            <w:tcW w:w="0" w:type="dxa"/>
            <w:vAlign w:val="bottom"/>
          </w:tcPr>
          <w:p>
            <w:pPr>
              <w:spacing w:after="0"/>
              <w:rPr>
                <w:sz w:val="1"/>
                <w:szCs w:val="1"/>
                <w:color w:val="auto"/>
              </w:rPr>
            </w:pPr>
          </w:p>
        </w:tc>
      </w:tr>
      <w:tr>
        <w:trPr>
          <w:trHeight w:val="128"/>
        </w:trPr>
        <w:tc>
          <w:tcPr>
            <w:tcW w:w="350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Borders>
              <w:top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(43,253 )</w:t>
            </w: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(43,253 )</w:t>
            </w:r>
          </w:p>
        </w:tc>
        <w:tc>
          <w:tcPr>
            <w:tcW w:w="0" w:type="dxa"/>
            <w:vAlign w:val="bottom"/>
          </w:tcPr>
          <w:p>
            <w:pPr>
              <w:spacing w:after="0"/>
              <w:rPr>
                <w:sz w:val="1"/>
                <w:szCs w:val="1"/>
                <w:color w:val="auto"/>
              </w:rPr>
            </w:pPr>
          </w:p>
        </w:tc>
      </w:tr>
      <w:tr>
        <w:trPr>
          <w:trHeight w:val="135"/>
        </w:trPr>
        <w:tc>
          <w:tcPr>
            <w:tcW w:w="35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(1,364 )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(1,364 )</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7,390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7,390</w:t>
            </w:r>
          </w:p>
        </w:tc>
        <w:tc>
          <w:tcPr>
            <w:tcW w:w="0" w:type="dxa"/>
            <w:vAlign w:val="bottom"/>
          </w:tcPr>
          <w:p>
            <w:pPr>
              <w:spacing w:after="0"/>
              <w:rPr>
                <w:sz w:val="1"/>
                <w:szCs w:val="1"/>
                <w:color w:val="auto"/>
              </w:rPr>
            </w:pPr>
          </w:p>
        </w:tc>
      </w:tr>
      <w:tr>
        <w:trPr>
          <w:trHeight w:val="135"/>
        </w:trPr>
        <w:tc>
          <w:tcPr>
            <w:tcW w:w="350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Exercise of share options</w:t>
            </w:r>
          </w:p>
        </w:tc>
        <w:tc>
          <w:tcPr>
            <w:tcW w:w="9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2,685,420</w:t>
            </w:r>
          </w:p>
        </w:tc>
        <w:tc>
          <w:tcPr>
            <w:tcW w:w="6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(210,485 )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(299 )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433,880</w:t>
            </w:r>
          </w:p>
        </w:tc>
        <w:tc>
          <w:tcPr>
            <w:tcW w:w="64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(712,915 )</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(953 )</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17"/>
        </w:trPr>
        <w:tc>
          <w:tcPr>
            <w:tcW w:w="350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Delivery of shares on vesting of performance based restricted</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 units</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6,690,755</w:t>
            </w:r>
          </w:p>
        </w:tc>
        <w:tc>
          <w:tcPr>
            <w:tcW w:w="6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shares, net of discount</w:t>
            </w:r>
          </w:p>
        </w:tc>
        <w:tc>
          <w:tcPr>
            <w:tcW w:w="9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64,700,890</w:t>
            </w:r>
          </w:p>
        </w:tc>
        <w:tc>
          <w:tcPr>
            <w:tcW w:w="64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246</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48,503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48,749</w:t>
            </w:r>
          </w:p>
        </w:tc>
        <w:tc>
          <w:tcPr>
            <w:tcW w:w="0" w:type="dxa"/>
            <w:vAlign w:val="bottom"/>
          </w:tcPr>
          <w:p>
            <w:pPr>
              <w:spacing w:after="0"/>
              <w:rPr>
                <w:sz w:val="1"/>
                <w:szCs w:val="1"/>
                <w:color w:val="auto"/>
              </w:rPr>
            </w:pPr>
          </w:p>
        </w:tc>
      </w:tr>
      <w:tr>
        <w:trPr>
          <w:trHeight w:val="135"/>
        </w:trPr>
        <w:tc>
          <w:tcPr>
            <w:tcW w:w="3500" w:type="dxa"/>
            <w:vAlign w:val="bottom"/>
            <w:tcBorders>
              <w:bottom w:val="single" w:sz="8" w:color="CFF0FC"/>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Transaction costs on issuance of shares</w:t>
            </w:r>
          </w:p>
        </w:tc>
        <w:tc>
          <w:tcPr>
            <w:tcW w:w="9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(1,039 )</w:t>
            </w: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(1,039 )</w:t>
            </w:r>
          </w:p>
        </w:tc>
        <w:tc>
          <w:tcPr>
            <w:tcW w:w="0" w:type="dxa"/>
            <w:vAlign w:val="bottom"/>
          </w:tcPr>
          <w:p>
            <w:pPr>
              <w:spacing w:after="0"/>
              <w:rPr>
                <w:sz w:val="1"/>
                <w:szCs w:val="1"/>
                <w:color w:val="auto"/>
              </w:rPr>
            </w:pPr>
          </w:p>
        </w:tc>
      </w:tr>
      <w:tr>
        <w:trPr>
          <w:trHeight w:val="168"/>
        </w:trPr>
        <w:tc>
          <w:tcPr>
            <w:tcW w:w="3500" w:type="dxa"/>
            <w:vAlign w:val="bottom"/>
            <w:tcBorders>
              <w:bottom w:val="single" w:sz="8" w:color="CFF0FC"/>
            </w:tcBorders>
            <w:shd w:val="clear" w:color="auto" w:fill="CFF0FC"/>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94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b w:val="1"/>
                <w:bCs w:val="1"/>
                <w:color w:val="auto"/>
              </w:rPr>
              <w:t>775,728,034</w:t>
            </w:r>
          </w:p>
        </w:tc>
        <w:tc>
          <w:tcPr>
            <w:tcW w:w="12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b w:val="1"/>
                <w:bCs w:val="1"/>
                <w:color w:val="auto"/>
                <w:w w:val="97"/>
              </w:rPr>
              <w:t>$ 3,059</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ind w:right="77"/>
              <w:spacing w:after="0" w:line="115" w:lineRule="exact"/>
              <w:rPr>
                <w:sz w:val="20"/>
                <w:szCs w:val="20"/>
                <w:color w:val="auto"/>
              </w:rPr>
            </w:pPr>
            <w:r>
              <w:rPr>
                <w:rFonts w:ascii="Times New Roman" w:cs="Times New Roman" w:eastAsia="Times New Roman" w:hAnsi="Times New Roman"/>
                <w:sz w:val="13"/>
                <w:szCs w:val="13"/>
                <w:b w:val="1"/>
                <w:bCs w:val="1"/>
                <w:color w:val="auto"/>
              </w:rPr>
              <w:t>539,642</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(18,849 )</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(462,883 )</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FF0FC"/>
          </w:tcPr>
          <w:p>
            <w:pPr>
              <w:jc w:val="right"/>
              <w:ind w:right="77"/>
              <w:spacing w:after="0" w:line="115" w:lineRule="exact"/>
              <w:rPr>
                <w:sz w:val="20"/>
                <w:szCs w:val="20"/>
                <w:color w:val="auto"/>
              </w:rPr>
            </w:pPr>
            <w:r>
              <w:rPr>
                <w:rFonts w:ascii="Times New Roman" w:cs="Times New Roman" w:eastAsia="Times New Roman" w:hAnsi="Times New Roman"/>
                <w:sz w:val="13"/>
                <w:szCs w:val="13"/>
                <w:b w:val="1"/>
                <w:bCs w:val="1"/>
                <w:color w:val="auto"/>
              </w:rPr>
              <w:t>60,969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-1773555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-1773555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-1773555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-1773555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-1773555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-1773555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-1773555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-1079500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-1079500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-1079500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-1079500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-1079500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-1079500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-1079500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-119380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-119380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-119380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-119380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-119380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-119380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-119380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Mereo BioPharma Group plc (the “Company” or “Mereo”) is United Kingdom (“U.K.”) based biopharmaceutical company focused on the development of innovative therapeutics for rare diseases. The Company has developed a portfolio of late-stage clinical product candidates, and its two rare disease product candidates are setrusumab for the treatment of OI and alvelestat primarily for the treatment of severe AATD-LD.</w:t>
      </w:r>
    </w:p>
    <w:p>
      <w:pPr>
        <w:spacing w:after="0" w:line="176"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is a public limited company incorporated and domiciled in the U.K., and registered in England, with shares publicly traded on the Nasdaq Capital Market via American Depositary Shares (“ADSs”) under the ticker symbol “MREO”. The Company’s registered office is located at Fourth Floor, 1 Cavendish Place, London, W1G 0QF,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GAAP and pursuant to the rules and regulations of the SEC for annual financial reporting.</w:t>
      </w:r>
    </w:p>
    <w:p>
      <w:pPr>
        <w:spacing w:after="0" w:line="162"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presented in U.S. dollars (“$”), which is the reporting currency of the Company. The functional currency of the Company is pound sterling (“£”). The functional currency of consolidated subsidiaries are pound sterling and U.S. dollar. All amounts disclosed in the consolidated financial statements and notes have been rounded to the nearest thousand, unless otherwise stated.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has prepared its financial statements on the basis that it will continue as a going concern. 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 has historically been loss making, anticipates that it will continue to incur losses for the foreseeable future, and had an accumulated deficit of $462.9 million as of December 31, 2024.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oncology product candidates. On June 17, 2024, the Company raised net proceeds of $47.0 million before issuance costs through an underwritten registered direct offering of its ADSs, though there is no assurance that it will continue to be successful in obtaining sufficient funding on terms acceptable to the Company to fund continuing operations, if at all.</w:t>
      </w:r>
    </w:p>
    <w:p>
      <w:pPr>
        <w:spacing w:after="0" w:line="18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cash and cash equivalents of $69.8 million. The Company expects that its cash and cash equivalents as of December 31, 2024 will be sufficient to fund its operations and capital expenditure requirements for at least twelve months from the date of filing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consolidated financial information comprises the financial statements of Mereo BioPharma Group plc and its wholly owned subsidiaries. All intercompany balances and transactions have been eliminated on consolidation.</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previously had an employee benefit trust (“EBT”) to facilitate share transactions pursuant to employee equity award schemes until it was terminated during the year ended December 31, 2024 as the remaining shares it held were used to satisfy the exercise or vesting of awards. Although the EBT was a separate legal entity from the Company, prior to termination, it was consolidated into the Company’s results in accordance with the rules in ASC Topic 810, Consolidations (“ASC 810”) on special purpose entities. The Company was deemed to control the EBT principally because the trust could not operate without the funding the Company provided.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While there are no estimates and assumptions made in the consolidated financial statements that are considered to be critical, the Company's financial statements include, among others, estimates about revenue recognition on contracts with customers and convertible loan notes. Estimates are periodically reviewed in light of changes in circumstances, facts and experience. Changes in estimates are recorded in the period in which they become known.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Segmental information</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 the Company’s operations and manage its business as a single operating segment, which is the business of developing rare disease therapies; however, the Company operates in two geographic regions: the U.K. and the U.S. The Company’s long-lived assets are primarily located in the U.K. As of December 31, 2024, no property and equipment was located in the U.S. (2023: $0.1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counterparties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Company is dependent on a number of third parties for the delivery of its programs and, where required, pays upfront deposits and fees in advance of the delivery of services. The Company considers all of its material counterparties to be creditworthy and the credit risk for each of its major counterparties to be low, but continues to assess credit risk as part of its management of these third-party relationships. Financial instruments that subject the Company to credit risk consist primarily of cash and cash equivalents. The Company places cash and cash equivalents with established financial institutions with strong credit ratings. The Company’s maximum exposure to credit risk for the components of the balance sheet of December 31, 2024 are the carrying amounts. The Company has no significant off-balance sheet risk or concentration of credit risk, such as foreign exchange contracts, options contracts, or other foreign hedging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Company’s ongoing major or central operations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w:t>
      </w:r>
    </w:p>
    <w:p>
      <w:pPr>
        <w:spacing w:after="0" w:line="19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terms of these arrangements typically include payment to the Company of one or more of the following: nonrefundable, upfront license fees; payments for research and development services; fees upon the exercise of options to obtain additional services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ind w:right="80"/>
        <w:spacing w:after="0" w:line="282" w:lineRule="auto"/>
        <w:rPr>
          <w:sz w:val="20"/>
          <w:szCs w:val="20"/>
          <w:color w:val="auto"/>
        </w:rPr>
      </w:pPr>
      <w:r>
        <w:rPr>
          <w:rFonts w:ascii="Times New Roman" w:cs="Times New Roman" w:eastAsia="Times New Roman" w:hAnsi="Times New Roman"/>
          <w:sz w:val="18"/>
          <w:szCs w:val="18"/>
          <w:color w:val="auto"/>
        </w:rPr>
        <w:t>or licenses; payments based upon the achievement of defined collaboration objectives; future regulatory and sales-based milestone payments; and royalties on net sales of future products.</w:t>
      </w:r>
    </w:p>
    <w:p>
      <w:pPr>
        <w:spacing w:after="0" w:line="162"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Where the Company has performed significant development activities for its product candidates, including the setrusumab and leflutrozole partnerships described in Note 14, receipts from agreements with third parties are considered to be proceeds derived from customers of the Company’s ongoing major or central operations and therefore the Company recognizes revenue in accordance with ASC Topic 606, Revenue from Contracts with Customers (“ASC 606”).</w:t>
      </w:r>
    </w:p>
    <w:p>
      <w:pPr>
        <w:spacing w:after="0" w:line="180" w:lineRule="exact"/>
        <w:rPr>
          <w:sz w:val="20"/>
          <w:szCs w:val="20"/>
          <w:color w:val="auto"/>
        </w:rPr>
      </w:pPr>
    </w:p>
    <w:p>
      <w:pPr>
        <w:ind w:right="280" w:firstLine="794"/>
        <w:spacing w:after="0" w:line="282"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6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entity will collect substantially all of the consideration it is entitled to in exchange for the goods or services it transfers to the customer.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Once a contract is determined to be within the scope of ASC 606, the Company assesses the goods or services promised within the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80"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Performance obligations are promised goods or services in a contract to transfer a distinct good or service to the customer. The promised goods or services in the Company’s contracts with customers primarily consist of license rights to the Company’s intellectual property, research and development services and options to obtain additional licenses, such as a commercialization license for a potential product candidate.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collaboration partner to develop the intellectual property on their own and whether the required expertise is readily available. In addition, the Company considers whether the customer can benefit from a promise for its intended purpose without the receipt of the remaining promises, whether the value of the promise is dependent on the unsatisfied promises, whether there are other vendors that could provide the remaining promises, and whether it is separately identifiable from the remaining promises.</w:t>
      </w:r>
    </w:p>
    <w:p>
      <w:pPr>
        <w:spacing w:after="0" w:line="194" w:lineRule="exact"/>
        <w:rPr>
          <w:sz w:val="20"/>
          <w:szCs w:val="20"/>
          <w:color w:val="auto"/>
        </w:rPr>
      </w:pPr>
    </w:p>
    <w:p>
      <w:pPr>
        <w:jc w:val="both"/>
        <w:ind w:right="40" w:firstLine="749"/>
        <w:spacing w:after="0" w:line="257"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of consideration the Company expects to receive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Company utilizes either the most likely amount method or expected value method to estimate variable consideration to include in the transaction price based on which method better predicts the amount of consideration expected to be received.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The initial transaction price of a contract does not include amounts associated with customer option payments.</w:t>
      </w:r>
    </w:p>
    <w:p>
      <w:pPr>
        <w:spacing w:after="0" w:line="190"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After the transaction price is determined, it is allocated to the identified performance obligations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probabilities of technical and regulatory success and the estimated costs. Based on the current agreements in effect, there is limited judgment in determining the revenue and transaction price.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the Company would expect to receive for each performance obligation.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7" w:name="page118"/>
    <w:bookmarkEnd w:id="117"/>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Company then recognizes as revenue the amount of the transaction price that is allocated to the respective performance obligation when (or as) each performance obligation is satisfied at a point in time or over time, and if over time, the facts and circumstances of each respective contract will be used to determine the revenue recognition pattern. The Company currently does not have any revenue that is being recognized over a time period.</w:t>
      </w:r>
    </w:p>
    <w:p>
      <w:pPr>
        <w:spacing w:after="0" w:line="176"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Payments to third parties arising as a direct consequence of the revenue recognized are also recorded within cost of revenue in the Company’s consolidated statements of operations and comprehensive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Company has no approved product candidates and accordingly has not generated any revenue from commercial product sales. Revenue to date has been generated principally from licensing arrangements and collaboration agreements with a small number of the Company's customers.</w:t>
      </w:r>
    </w:p>
    <w:p>
      <w:pPr>
        <w:spacing w:after="0" w:line="16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revenues from non-refundable, upfront fees allocated to the license at such time as the license is transferred to the licensee and the licensee is able to use, and benefit from, the license.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milestone payments</w:t>
      </w:r>
    </w:p>
    <w:p>
      <w:pPr>
        <w:spacing w:after="0" w:line="227"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Company's licensing arrangements and collaboration agreements may include development, regulatory and sales milestones. ASC 606 constrains the amount of variable consideration included in the transaction price in that either all, or a portion, of variable consideration should be included in the transaction price. The variable consideration should be included only to the extent that it is probable that a significant reversal in the amount of cumulative revenue recognized will not occur when the uncertainty associated with the variable consideration is subsequently resolved. The Company evaluates the probability of the milestones being reached and estimates the amount to be included in the transaction price using the most likely amount method. The Company evaluates factors such as the scientific, clinical, regulatory, commercial and other risks that must be overcome to achieve the particular milestone in making this assessment. If it is probable that a significant revenue reversal would not occur, the associated milestone value is included in the transaction price. Milestone payments that are not within the Company's control, such as regulatory approvals, are not considered probable of being achieved until those approvals are received. At the end of each reporting period, the Company re-evaluates the probability of achievement of such milestones and any related constraints and, if necessary, adjusts the estimate of the overall transaction price. Any such adjustments are recorded on a cumulative catch up basis, which would affect revenue and net loss in the period of adjustment.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R&amp;D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expenses</w:t>
      </w:r>
    </w:p>
    <w:p>
      <w:pPr>
        <w:spacing w:after="0" w:line="229"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on an accruals basis in accordance with ASC Topic 730, Research and Development (“ASC 730”) because they have no alternative future uses. These expenses are comprised of the costs of the Company’s proprietary research and development efforts, including preclinical studies, clinical trials, manufacturing costs, employee salaries and benefits and share-based compensation expense, contract services including external research and development expenses incurred under arrangements with third parties such as CRO, facilities costs, overhead costs and other related expenses. Intellectual property costs incurred on each drug candidate and costs associated with pre-commercial activities to support pricing and reimbursement by health technology assessment authorities and payor decision-makers in Europe are excluded from R&amp;D expenses and are recognized within general and administrative expenses. Research and development costs that are paid in advance of performance are recorded as a prepaid expense and expensed over the service period as the services are provided. Accruals and prepayments for research and development expenses typically include fees and costs to be paid to CROs in relation to clinical trials and CMOs in relation to the manufacture of drug substance and drug product. These accruals and prepayments are calculated each period based on regular review and challenge by the relevant program manager of the detailed activity analysis provided directly by CROs and CMOs to determine their completeness and accuracy.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Income Taxes (“ASC 740”), using the asset and liability method, which requires the recognition of deferred tax assets and liabilities for the expected future tax consequences of events that have been recognized in the consolidated financial statements or in its tax returns. Deferred tax assets and liabilities are determined based on the difference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deferred tax assets will be recovered in the future to the extent management believes, based upon the weight of available evidence, that it is more likely than not that all or a portion of the deferred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8" w:name="page119"/>
    <w:bookmarkEnd w:id="118"/>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tax assets will not be realized, a valuation allowance is established through a charge to income tax expense. Potential for recovery of deferred tax assets is evaluated by estimating the future taxable profits expected and considering prudent and feasible tax planning strategies. Deferred tax assets and liabilities are offset when there is a legally enforceable right to set off current tax assets against current tax liabilities and when they relate to income taxes levied by the same taxation authority and the Company intends to settle its current tax assets and liabilities on a net basis.</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by applying a two-step process to determine the amount of tax benefit to be recognized. First, the tax position is evaluated to determine the likelihood that it will be sustained upon external examination by the taxing authorities. If the tax position is deemed more-likely-than-not to be sustained, the tax position is then assessed as the amount of benefit to recognize in the consolidated financial statements. The amount of benefits that may be used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7"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within interest expense in the accompanying consolidated statements of operations and comprehensive loss. As of December 31, 2024 and 2023, no material accrued interest is included in the related tax liability line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R&amp;D tax credit</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is subject to corporate taxation in the U.K. Due to the nature of the business, the Company has generated operating losses since inception. The benefit from R&amp;D tax credits is recognized in the consolidated statements of operations and comprehensive loss, and represents the research and development tax credits recoverable in the U.K.</w:t>
      </w:r>
    </w:p>
    <w:p>
      <w:pPr>
        <w:spacing w:after="0" w:line="17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U.K. R&amp;D tax credit is fully refundable to the Company and is not dependent on current or future taxable income. As a result, the Company has recorded the entire benefit from the U.K. R&amp;D tax credit as a benefit which is included in net loss before income tax and, accordingly, not reflected it as part of the income tax provision. If, in the future, any U.K. R&amp;D tax credits generated are needed to offset a corporate income tax liability in the U.K., the relevant portion would be recorded as a benefit within the income tax provision and any refundable portion not dependent on taxable income would continue to be recorded within the benefit from research and development tax credit in the consolidated statement of operations and comprehensive loss.</w:t>
      </w:r>
    </w:p>
    <w:p>
      <w:pPr>
        <w:spacing w:after="0" w:line="18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As a company that carries out extensive R&amp;D activities, it benefits from the U.K. small and medium sized enterprises research and development relief, or SME R&amp;D Relief, which provides relief against U.K. Corporation Tax and enables it to surrender some of its trading losses that arise from its research and development activities for a cash rebate (the "R&amp;D tax credit"). Pursuant to changes made by the Finance Act 2023, for expenditure incurred on or after April 1, 2023, a cash rebate of up to 27% for R&amp;D intensive companies where at least 30% of their total expenditure is on qualifying R&amp;D, or for non-R&amp;D intensive companies, a cash rebate of up to 18.6% of eligible R&amp;D expenditure is available. From April 1, 2023, certain subcontracted qualifying research expenditures are eligible for a cash rebate of up to 17.53% for R&amp;D intensive companies or 12.09% for other companies. The difference in cash rebate for qualifying subcontracted expenditure vs. other qualifying expenditure is due to a statutory restriction of 65% being applied to unconnected qualifying subcontracted expenditure, thus restricting the benefit available. We do not currently expect to qualify as an R&amp;D intensive company.</w:t>
      </w:r>
    </w:p>
    <w:p>
      <w:pPr>
        <w:spacing w:after="0" w:line="18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Pursuant to changes made by the Finance Act 2024, for accounting periods starting on or after April 1, 2024, the new merged scheme will come into effect for all companies, other than loss making R&amp;D intensive SMEs. For loss making R&amp;D intensive SMEs, the enhanced R&amp;D intensive support (“ERIS”) regime will be available (for companies where at least 30% of their total expenditure including any connected companies is on qualifying R&amp;D). Under the new merged scheme, we expect to benefit from the taxable credit for qualifying R&amp;D expenditure which may either be offset against corporation tax liabilities or paid net of tax as a cash credit where there is no liability in the future. Subcontracted expenditure in most cases is expected to be a qualifying cost (unless it relates to non-qualifying costs subcontracted overseas) under the new merged scheme.</w:t>
      </w:r>
    </w:p>
    <w:p>
      <w:pPr>
        <w:spacing w:after="0" w:line="18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the event the Company generates revenues in the future, it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the Company expects a long-term lower rate of corporation tax to apply to it. If, however, there are unexpected adverse changes to the U.K. R&amp;D tax credit regime or the “patent box” regime, or for any reason it is unable to qualify for these regimes, or it is unable to use net operating loss and tax credit carryforwards and certain built-in losses to reduce future tax payments, the Company's business, results of operations, and financial condition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9" w:name="page120"/>
    <w:bookmarkEnd w:id="119"/>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Company maintains its consolidated financial statements in its functional currency, which is pound sterling. This is also the functional currency of the wholly-owned subsidiaries which are consolidated, with the exception of Mereo BioPharma 5, for which the functional currency is U.S. dollars.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consolidated statements of operations and comprehensive loss.</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For financial reporting purposes, the consolidated financial statements of the Company have been presented in U.S. dollars, the reporting currency. The financial statements of entities are translated from their functional currency into U.S. dollars as follows: assets and liabilities are translated at the exchange rates at the balance sheet dates, revenue, operating expenses and other income/ (expense), net are translated at the average exchange rates for the periods presented, and shareholders’ equity is translated at the prevailing historical exchange rates. Translation adjustments are not included in determining net loss but are included as a foreign exchange adjustment to other comprehensive income, a component of shareholders’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accumulated impairment losses, if any. Such cost includes the cost of replacing part of the equipment if the recognition criteria are met. All other repair and maintenance costs are recognized in profit or loss as incurred.</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lives of the related assets. Useful lives of various property and equipment are as follows:</w:t>
      </w:r>
    </w:p>
    <w:p>
      <w:pPr>
        <w:sectPr>
          <w:pgSz w:w="11900" w:h="16838" w:orient="portrait"/>
          <w:cols w:equalWidth="0" w:num="1">
            <w:col w:w="11220"/>
          </w:cols>
          <w:pgMar w:left="320" w:top="1201" w:right="359" w:bottom="1440" w:gutter="0" w:footer="0" w:header="0"/>
        </w:sectPr>
      </w:pP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 Leasehold improvements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shorter of lease term or ten years</w:t>
      </w:r>
    </w:p>
    <w:p>
      <w:pPr>
        <w:spacing w:after="0" w:line="200" w:lineRule="exact"/>
        <w:rPr>
          <w:sz w:val="20"/>
          <w:szCs w:val="20"/>
          <w:color w:val="auto"/>
        </w:rPr>
      </w:pPr>
    </w:p>
    <w:p>
      <w:pPr>
        <w:sectPr>
          <w:pgSz w:w="11900" w:h="16838" w:orient="portrait"/>
          <w:cols w:equalWidth="0" w:num="2">
            <w:col w:w="3200" w:space="720"/>
            <w:col w:w="7300"/>
          </w:cols>
          <w:pgMar w:left="320" w:top="1201" w:right="359" w:bottom="1440" w:gutter="0" w:footer="0" w:header="0"/>
          <w:type w:val="continuous"/>
        </w:sectPr>
      </w:pPr>
    </w:p>
    <w:p>
      <w:pPr>
        <w:spacing w:after="0" w:line="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 Office equipment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five years</w:t>
      </w:r>
    </w:p>
    <w:p>
      <w:pPr>
        <w:spacing w:after="0" w:line="200" w:lineRule="exact"/>
        <w:rPr>
          <w:sz w:val="20"/>
          <w:szCs w:val="20"/>
          <w:color w:val="auto"/>
        </w:rPr>
      </w:pPr>
    </w:p>
    <w:p>
      <w:pPr>
        <w:sectPr>
          <w:pgSz w:w="11900" w:h="16838" w:orient="portrait"/>
          <w:cols w:equalWidth="0" w:num="2">
            <w:col w:w="3200" w:space="720"/>
            <w:col w:w="7300"/>
          </w:cols>
          <w:pgMar w:left="320" w:top="1201" w:right="359" w:bottom="1440" w:gutter="0" w:footer="0" w:header="0"/>
          <w:type w:val="continuous"/>
        </w:sectPr>
      </w:pPr>
    </w:p>
    <w:p>
      <w:pPr>
        <w:spacing w:after="0" w:line="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 IT equipment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years</w:t>
      </w:r>
    </w:p>
    <w:p>
      <w:pPr>
        <w:spacing w:after="0" w:line="200" w:lineRule="exact"/>
        <w:rPr>
          <w:sz w:val="20"/>
          <w:szCs w:val="20"/>
          <w:color w:val="auto"/>
        </w:rPr>
      </w:pPr>
    </w:p>
    <w:p>
      <w:pPr>
        <w:sectPr>
          <w:pgSz w:w="11900" w:h="16838" w:orient="portrait"/>
          <w:cols w:equalWidth="0" w:num="2">
            <w:col w:w="3200" w:space="720"/>
            <w:col w:w="7300"/>
          </w:cols>
          <w:pgMar w:left="320" w:top="1201" w:right="359" w:bottom="1440" w:gutter="0" w:footer="0" w:header="0"/>
          <w:type w:val="continuous"/>
        </w:sectPr>
      </w:pPr>
    </w:p>
    <w:p>
      <w:pPr>
        <w:spacing w:after="0" w:line="7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Property and equipment is derecognized upon disposal or when no future economic benefits are expected from its use. Any gain or loss arising on derecognition of the asset (calculated as the difference between the net disposal proceeds and the carrying amount of the asset) is included in the consolidated statement of operations and comprehensive loss when the asset is derecognized.</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residual values, useful lives and methods of depreciation of property, plant and equipment are reviewed annually and adjusted prospectively, if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Leases are accounted for under ASC Topic 842, Leases (“ASC 842”). The Company only has operating leases. The Company assesses whether a contract is, or contains, a lease at inception of the contract. The Company recognizes a right-of-use (“ROU”) asset and a corresponding liability with respect to all lease arrangements in which it is a lessee. ROU assets and liabilities are recognized at the commencement date based on the present value of remaining lease payments. For this purpose, the Company considers only payments that are fixed and determinable at the time of commencement.</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w:t>
      </w:r>
    </w:p>
    <w:p>
      <w:pPr>
        <w:spacing w:after="0" w:line="16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Company’s lease terms may include options to extend or terminate the lease. When it is reasonably certain the Company will exercise such options the term of the lease will be amended and the ROU asset and corresponding liability will be measured based on inclusion the option term. The Company accounts for lease and non-lease components separately. The non-lease components are service and maintenance charges and are accounted for separately. There are no variable lease costs associated with the current leases.</w:t>
      </w:r>
    </w:p>
    <w:p>
      <w:pPr>
        <w:spacing w:after="0" w:line="180"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right-of-use assets and in current and non-current operating lease liabilities on the Company's consolidated balance sheets.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120" w:name="page121"/>
    <w:bookmarkEnd w:id="120"/>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Lease expense for lease payments is considered operating lease costs and is recognized on a straight-line basis over the lease term. The lease terms for the underlying assets is as follows:</w:t>
      </w:r>
    </w:p>
    <w:p>
      <w:pPr>
        <w:spacing w:after="0" w:line="162" w:lineRule="exact"/>
        <w:rPr>
          <w:sz w:val="20"/>
          <w:szCs w:val="20"/>
          <w:color w:val="auto"/>
        </w:rPr>
      </w:pPr>
    </w:p>
    <w:p>
      <w:pPr>
        <w:ind w:left="780"/>
        <w:spacing w:after="0"/>
        <w:tabs>
          <w:tab w:leader="none" w:pos="3900" w:val="left"/>
        </w:tabs>
        <w:rPr>
          <w:sz w:val="20"/>
          <w:szCs w:val="20"/>
          <w:color w:val="auto"/>
        </w:rPr>
      </w:pPr>
      <w:r>
        <w:rPr>
          <w:rFonts w:ascii="Times New Roman" w:cs="Times New Roman" w:eastAsia="Times New Roman" w:hAnsi="Times New Roman"/>
          <w:sz w:val="18"/>
          <w:szCs w:val="18"/>
          <w:color w:val="auto"/>
        </w:rPr>
        <w:t>• Right-of-use asset (building)</w:t>
      </w:r>
      <w:r>
        <w:rPr>
          <w:sz w:val="20"/>
          <w:szCs w:val="20"/>
          <w:color w:val="auto"/>
        </w:rPr>
        <w:tab/>
      </w:r>
      <w:r>
        <w:rPr>
          <w:rFonts w:ascii="Times New Roman" w:cs="Times New Roman" w:eastAsia="Times New Roman" w:hAnsi="Times New Roman"/>
          <w:sz w:val="17"/>
          <w:szCs w:val="17"/>
          <w:color w:val="auto"/>
        </w:rPr>
        <w:t>six to nine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Identifiable intangible assets within the scope of ASC 730 that are purchased from others for a particular research and development project outside of a business combination, and that have no alternative future uses are expensed as incurred.</w:t>
      </w:r>
    </w:p>
    <w:p>
      <w:pPr>
        <w:spacing w:after="0" w:line="162" w:lineRule="exact"/>
        <w:rPr>
          <w:sz w:val="20"/>
          <w:szCs w:val="20"/>
          <w:color w:val="auto"/>
        </w:rPr>
      </w:pPr>
    </w:p>
    <w:p>
      <w:pPr>
        <w:ind w:right="240" w:firstLine="749"/>
        <w:spacing w:after="0" w:line="312" w:lineRule="auto"/>
        <w:rPr>
          <w:sz w:val="20"/>
          <w:szCs w:val="20"/>
          <w:color w:val="auto"/>
        </w:rPr>
      </w:pPr>
      <w:r>
        <w:rPr>
          <w:rFonts w:ascii="Times New Roman" w:cs="Times New Roman" w:eastAsia="Times New Roman" w:hAnsi="Times New Roman"/>
          <w:sz w:val="17"/>
          <w:szCs w:val="17"/>
          <w:color w:val="auto"/>
        </w:rPr>
        <w:t>Intangible assets that have an alternative future use, or which are outside the scope of ASC 730, are accounted for under ASC Topic 350, Intangibles – Goodwill and Other (“ASC 350”) and are initially recorded at cost, which is the fair value of the consideration paid on the acquisition date.</w:t>
      </w:r>
    </w:p>
    <w:p>
      <w:pPr>
        <w:spacing w:after="0" w:line="14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Consideration that is contingent on future events is included in the cost of the asset (irrespective of whether the asset is subsequently expensed under ASC 730) with a corresponding contingent consideration liability recorded if the contingency is both probable and estimable. However, where the liability is payable in a variable number of shares based on a fixed monetary amount known at the inception of an arrangement, it is initially recorded at fair value and presented as a liability under ASC Topic 480, Distinguishing Liabilities from Equity. The Company continues to reassess the fair value of such instruments each reporting period until the milestones are achieved, if ever, and the issuance of shares occurs.</w:t>
      </w:r>
    </w:p>
    <w:p>
      <w:pPr>
        <w:spacing w:after="0" w:line="18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Given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 the Company has determined the fair value of the equity milestones to be paid in a variable number of shares pursuant to its Amended AstraZeneca License Agreement to be negligible and therefore assigned a nil value to the instrument as of December 31, 2024.</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Intangible assets that have been acquired in a business combination are initially recorded at fair value.</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economic life from the date they are available for use and are recognized in general and administrative expenses. 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are recognized in profit or loss when the asset is derecognized.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7"/>
          <w:szCs w:val="17"/>
          <w:color w:val="auto"/>
        </w:rPr>
        <w:t>The Company’s financial instruments consist of cash and cash equivalents, accounts receivable, accounts payable, certain accrued expenses, warrant liabilities and the liability components of convertible loan notes and other financing arrangements. Cash, cash equivalents, accounts receivable, accounts payable and accrued expenses are initially recorded and subsequently measured at cost, which is considered to approximate their fair value due to the short-term nature of such financial instruments. The carrying value of warrant liabilities and convertible loan notes is explained in the sections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Company reviews the terms of convertible loan notes and other hybrid financing arrangements to determine whether there are embedded derivative instruments, including conversion options that are required to be bifurcated and accounted for separately either as a derivative financial instrument or an equity instrument.</w:t>
      </w:r>
    </w:p>
    <w:p>
      <w:pPr>
        <w:spacing w:after="0" w:line="17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are initially measured at fair value, and then re-valued at each reporting date, with changes in the fair value reported in the consolidated statements of operations and comprehensive loss as a component of net income.</w:t>
      </w:r>
    </w:p>
    <w:p>
      <w:pPr>
        <w:spacing w:after="0" w:line="16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discount from face value of the liability component remaining from allocating some or all of the proceeds of the hybrid instrument to the derivative, together with the stated rate of interest on the instrument, is amortized over the life of the instrument through periodic charges to consolidated statements of operations and comprehensive loss, using the effective interest method. Embedded derivatives that are bifurcated and recognized as liability instruments are presented in a separate line in the consolidated balance sheets.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1" w:name="page122"/>
    <w:bookmarkEnd w:id="121"/>
    <w:p>
      <w:pPr>
        <w:ind w:left="760"/>
        <w:spacing w:after="0"/>
        <w:rPr>
          <w:sz w:val="20"/>
          <w:szCs w:val="20"/>
          <w:color w:val="auto"/>
        </w:rPr>
      </w:pPr>
      <w:r>
        <w:rPr>
          <w:rFonts w:ascii="Times New Roman" w:cs="Times New Roman" w:eastAsia="Times New Roman" w:hAnsi="Times New Roman"/>
          <w:sz w:val="18"/>
          <w:szCs w:val="18"/>
          <w:color w:val="auto"/>
        </w:rPr>
        <w:t>Embedded derivative instruments that meet the criteria of equity instruments under ASC Topic 815-40, Contracts in Entity’s Own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Subtopic 815-40</w:t>
      </w:r>
      <w:r>
        <w:rPr>
          <w:rFonts w:ascii="Times New Roman" w:cs="Times New Roman" w:eastAsia="Times New Roman" w:hAnsi="Times New Roman"/>
          <w:sz w:val="18"/>
          <w:szCs w:val="18"/>
          <w:color w:val="auto"/>
        </w:rPr>
        <w:t>) are initially recognized within additional paid-in capital at an amount determined by allocating the proceeds between the debt and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based on their relative fair values.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 notes</w:t>
      </w:r>
    </w:p>
    <w:p>
      <w:pPr>
        <w:spacing w:after="0" w:line="229"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Convertible loan notes are accounted for in accordance with ASC Topic 470-20, Debt with Conversion and Other Options as amended by ASU 2020-06, Debt with Conversion and Other Options (Subtopic 470-20) and Derivatives and Hedging—Contracts in Entity’s Own Equity (Subtopic 815-40) which the Company early adopted on January 1, 2021 on a fully retrospective basis.</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As described in Note 11, the Company issued two hybrid financial instruments in 2020; the Novartis Loan Note and the Private Placement Loan Notes, which both included multiple instruments, including convertible loan notes and warrants. For both hybrid financial instruments, pursuant to ASC Subtopic 470-20, the Company separately accounted for the liability component of the convertible loan notes, the embedded conversion option and the warrants.</w:t>
      </w:r>
    </w:p>
    <w:p>
      <w:pPr>
        <w:spacing w:after="0" w:line="180"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In the case of the Novartis Loan Note, both the conversion option and the warrants were separately accounted for as equity instruments upon issuance. The conversion option and warrants are accounted for as equity instruments as they met the requirements to be considered indexed to the Company's own shares under Subtopic 815-40.</w:t>
      </w:r>
    </w:p>
    <w:p>
      <w:pPr>
        <w:spacing w:after="0" w:line="176" w:lineRule="exact"/>
        <w:rPr>
          <w:sz w:val="20"/>
          <w:szCs w:val="20"/>
          <w:color w:val="auto"/>
        </w:rPr>
      </w:pPr>
    </w:p>
    <w:p>
      <w:pPr>
        <w:ind w:firstLine="749"/>
        <w:spacing w:after="0" w:line="289" w:lineRule="auto"/>
        <w:rPr>
          <w:sz w:val="20"/>
          <w:szCs w:val="20"/>
          <w:color w:val="auto"/>
        </w:rPr>
      </w:pPr>
      <w:r>
        <w:rPr>
          <w:rFonts w:ascii="Times New Roman" w:cs="Times New Roman" w:eastAsia="Times New Roman" w:hAnsi="Times New Roman"/>
          <w:sz w:val="17"/>
          <w:szCs w:val="17"/>
          <w:color w:val="auto"/>
        </w:rPr>
        <w:t>In the case of the Private Placement Loan Notes, both the conversion option and the warrants were initially separately accounted for as derivative instruments under ASC 815, however upon the passing of certain resolutions of the Company’s shareholders on June 30, 2020, the classification of the conversion option was reassessed and reclassified as an equity instrument. The warrants continued to be separately accounted for as derivative liabilities.</w:t>
      </w:r>
    </w:p>
    <w:p>
      <w:pPr>
        <w:spacing w:after="0" w:line="15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Consideration received for hybrid financial instruments containing convertible debt is initially allocated to the fair value of separately recognized derivative instruments that will be subsequently remeasured at fair value under ASC 815, including the warrants issued with the Private Placement Loan Notes. The remaining consideration is allocated to the liability portion of the convertible loan notes and any other separately recognized equity instruments, such as the embedded conversion option, based on the relative fair value of each instrument.</w:t>
      </w:r>
    </w:p>
    <w:p>
      <w:pPr>
        <w:spacing w:after="0" w:line="180" w:lineRule="exact"/>
        <w:rPr>
          <w:sz w:val="20"/>
          <w:szCs w:val="20"/>
          <w:color w:val="auto"/>
        </w:rPr>
      </w:pPr>
    </w:p>
    <w:p>
      <w:pPr>
        <w:jc w:val="both"/>
        <w:ind w:right="620" w:firstLine="749"/>
        <w:spacing w:after="0" w:line="261" w:lineRule="auto"/>
        <w:rPr>
          <w:sz w:val="20"/>
          <w:szCs w:val="20"/>
          <w:color w:val="auto"/>
        </w:rPr>
      </w:pPr>
      <w:r>
        <w:rPr>
          <w:rFonts w:ascii="Times New Roman" w:cs="Times New Roman" w:eastAsia="Times New Roman" w:hAnsi="Times New Roman"/>
          <w:sz w:val="18"/>
          <w:szCs w:val="18"/>
          <w:color w:val="auto"/>
        </w:rPr>
        <w:t>Where none of the embedded derivatives are required to be subsequently remeasured at fair value, including the Novartis Loan Note, the consideration is allocated to all elements based on the relative fair value of each instrument. As the conversion option in the Novartis Loan Note is classified as an equity instrument, it qualifies for the scope exception for contracts indexed to the Company's own equity and as such is allocated to additional paid-in capital and accounted for at the initial recognition amount.</w:t>
      </w:r>
    </w:p>
    <w:p>
      <w:pPr>
        <w:spacing w:after="0" w:line="180"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Changes to the terms of convertible loan notes are evaluated to determine whether they constitute an extinguishment or modification. Changes are accounted for as an extinguishment if:</w:t>
      </w:r>
    </w:p>
    <w:p>
      <w:pPr>
        <w:spacing w:after="0" w:line="162" w:lineRule="exact"/>
        <w:rPr>
          <w:sz w:val="20"/>
          <w:szCs w:val="20"/>
          <w:color w:val="auto"/>
        </w:rPr>
      </w:pPr>
    </w:p>
    <w:p>
      <w:pPr>
        <w:ind w:left="1140" w:right="20" w:hanging="383"/>
        <w:spacing w:after="0" w:line="282"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cause the present value of the cash flows under the terms of the new debt instrument to be at least 10% different from the present value of the remaining cash flows under the terms of the original instrument; or</w:t>
      </w:r>
    </w:p>
    <w:p>
      <w:pPr>
        <w:spacing w:after="0" w:line="161"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change the fair value of the embedded conversion option by more than 10% of the carrying amount of the original debt instrument immediately before the modification; or</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add a substantive conversion option or eliminate a conversion option that was substantive at the date of the modification or exchange.</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Where changes are extinguishments, the liability component is derecognized and new component recognized in the same way as described above on initial recognition. The difference between the carrying value of the original debt and the fair value of the new component will be recognized as an extinguishment gain or loss. For the years ended December 31, 2024 and 2023, no extinguishment gain or loss was recognized in the consolidated statements of operations and comprehensive loss.</w:t>
      </w:r>
    </w:p>
    <w:p>
      <w:pPr>
        <w:spacing w:after="0" w:line="18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Where changes are modifications, the carrying value of the liability component is adjusted to the present value of the modified cash flows discounted at the original effective interest rate, net of identifiable transaction costs, with the difference recognized by accreting the new carrying value to its face value using a revised effective interest rate and the accretion recognized in interest income. If the conversion option had previously been classified as a financial liability, but had been reclassified to equity (as was the case with the Private Placement Loan Notes) the carrying value of the liability is also adjusted to reflect any increase (but not decrease) in the fair value of the embedded, un-separated, conversion option with a corresponding adjustment to additional paid-in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capital. The revised carrying value is accreted to the value of the principal plus accrued interest payable at maturity using the new effective interest rate.</w:t>
      </w:r>
    </w:p>
    <w:p>
      <w:pPr>
        <w:spacing w:after="0" w:line="22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Upon any conversion of the convertible loan notes in accordance with the conversion privileges provided in the terms of the instrument, the carrying value is adjusted for any unamortized capitalized transaction costs, which are recognized within interest expense. The carrying value is reduced by the cash consideration received and any excess or deficit after recognizing the nominal value of the ordinary shares issued is recognized within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Company issued warrants as part of a private placement transaction on June 30, 2020 and to its previous lenders pursuant to the terms of its loan facility in August 2017 and October 2018. The private placement warrants expired in June 2023.</w:t>
      </w:r>
    </w:p>
    <w:p>
      <w:pPr>
        <w:spacing w:after="0" w:line="162"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warrants were classified as liabilities as they included provisions that could require cash settlement. The warrant instruments are recorded at fair value, with changes in the fair value recognized in the consolidated statements of operations and comprehensive loss as a component of net loss, where the terms of the warrant instruments allow for cashless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issued the following equity classified warrants:</w:t>
      </w:r>
    </w:p>
    <w:p>
      <w:pPr>
        <w:spacing w:after="0" w:line="239" w:lineRule="exact"/>
        <w:rPr>
          <w:sz w:val="20"/>
          <w:szCs w:val="20"/>
          <w:color w:val="auto"/>
        </w:rPr>
      </w:pPr>
    </w:p>
    <w:p>
      <w:pPr>
        <w:ind w:left="1140" w:hanging="383"/>
        <w:spacing w:after="0" w:line="251" w:lineRule="auto"/>
        <w:tabs>
          <w:tab w:leader="none" w:pos="11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first tranche of warrants over 1,449,614 ordinary shares with a subscription price of £0.265 per ordinary share in conjunction with the Novartis Loan Note in 2020 and a second tranche of warrants over a further 2,000,000 ordinary shares with a subscription price of £0.15 per ordinary share in conjunction with amendments made to the Novartis Loan Note in 2023. The first tranche were exercisable until February 10, 2025 and an exercise notice was received on February 7, 2025. The Company subsequently received $0.5 million in cash in satisfaction of the subscription price and issued and allotted 1,449,610 shares (equivalent to 289,922 ADSs). The second tranche of warrants are exercisable until February 10, 2028. The value allocated to both tranches of warrants was recognized in additional paid-in capital at issuance as described above.</w:t>
      </w:r>
    </w:p>
    <w:p>
      <w:pPr>
        <w:spacing w:after="0" w:line="202" w:lineRule="exact"/>
        <w:rPr>
          <w:rFonts w:ascii="Times New Roman" w:cs="Times New Roman" w:eastAsia="Times New Roman" w:hAnsi="Times New Roman"/>
          <w:sz w:val="20"/>
          <w:szCs w:val="20"/>
          <w:color w:val="auto"/>
        </w:rPr>
      </w:pPr>
    </w:p>
    <w:p>
      <w:pPr>
        <w:ind w:left="1140" w:right="140" w:hanging="383"/>
        <w:spacing w:after="0" w:line="250" w:lineRule="auto"/>
        <w:tabs>
          <w:tab w:leader="none" w:pos="11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 October 2018, the Company entered into a funding agreement with The Alpha-1 Project (“TAP”), which provided for total payments of $0.4 million, of which the final installment of $0.1 million was received in May 2023. In exchange for funding, the Company issued warrants over a total of 1,551,699 ordinary shares, allowing TAP to subscribe for ordinary shares in the Company. Under the agreement, TAP is potentially entitled to receive a payment equivalent to the amounts received by Mereo (up to a maximum of $0.4 million) conditional on and within thirty days of the first regulatory approval for alvelestat. The agreement was accounted for as a compound instrument that includes both debt and equity components with the carrying value of each component established based on the relative fair value of each component. The amount allocated to the liability component is accreted back to the face value over the period to the earliest reasonable repayment date using the effective interest method. The amount allocated to the warrants was recognized in additional paid-in capital and is not subsequently remeasured.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Topic 820, Fair Value Measurements and Disclosures (“ASC 820”) which defines fair value and establishes a fair value hierarchy that prioritizes the inputs to valuation techniques used to measure fair value.</w:t>
      </w:r>
    </w:p>
    <w:p>
      <w:pPr>
        <w:spacing w:after="0" w:line="16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162" w:lineRule="exact"/>
        <w:rPr>
          <w:sz w:val="20"/>
          <w:szCs w:val="20"/>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(unadjusted) market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techniques for which the lowest level input that is significant to the fair value measurement is directly or indirectly observable.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3" w:name="page124"/>
    <w:bookmarkEnd w:id="123"/>
    <w:p>
      <w:pPr>
        <w:ind w:left="1140" w:hanging="383"/>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techniques for which the lowest level input that is significant to the fair value measurement is unobservable.</w:t>
      </w:r>
    </w:p>
    <w:p>
      <w:pPr>
        <w:spacing w:after="0" w:line="225"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For assets and liabilities that are recognized in the consolidated financial statements on a recurring basis, the Company determines whether transfers have occurred between levels in the hierarchy by reassessing categorization (based on the lowest level input that is significant to the fair value measurement as a whole) at the end of each reporting period. There were no transfers within the fair value hierarchy during the years ended December 31,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Cash and cash equivalents in the consolidated balance sheets comprise cash at banks along with short-term deposits with a maturity of three months or less from placement.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Employees (including executives) and non-executive directors of the Company receive remuneration in the form of share-based compensation, whereby employees and non-executive directors render services as consideration for equity instruments (equity settled transactions). Incentives in the form of ADSs are provided to employees and non-executive directors under various plans.</w:t>
      </w:r>
    </w:p>
    <w:p>
      <w:pPr>
        <w:spacing w:after="0" w:line="176"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In accordance with ASC Topic 718, Stock Compensation (“ASC 718”), the total amounts to be expensed for these incentives are expensed through the consolidated statements of operations and comprehensive loss and are measured based on the grant-date fair value of the awards and recognized over the period during which the employee or non-executive director is required to perform services in exchange for the award (generally the vesting period of the award).</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accordance with ASC 718, the cancellation of share options is accounted for as an acceleration of the vesting period and therefore any amount unrecognized that would otherwise have been recorded in future accounting periods is recognized immediately. The Company has elected to recognize the effect of forfeitures on share-based compensation when they occur. Any differences in compensation recognized at the time of forfeiture are recorded as a cumulative adjustment in the period in which the forfeiture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Until it was terminated during the year ended December 31, 2024, the EBT held ADSs as treasury shares to satisfy the exercise of options and the vesting of restricted stock units under the Company’s share-based incentive schemes. The EBT was a Jersey-based trust which was initially funded by a loan from the Company, which it utilized to purchase shares in sufficient quantity to fulfill the envisaged awards. In accordance with ASC Topic 505, Equity (“ASC 505”), these shares were deducted from ordinary shares on the consolidated balance sheet at their nominal value. Shares held by the EBT were included in the consolidated balance sheets as a reduction in additional paid-in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income/(loss)</w:t>
      </w:r>
    </w:p>
    <w:p>
      <w:pPr>
        <w:spacing w:after="0" w:line="229"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Comprehensive income/(loss) includes net income/(loss) as well as other changes in shareholders’ equity that result from transactions and economic events other than those with shareholders. The Company records unrealized gains and losses related to foreign currency translation as a component of other comprehensive income/(loss) 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Ordinary shares are classified in shareholders’ equity and represent issued share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paid-in capital</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Additional paid-in capital is classified in shareholders’ equity and includes the difference between the price paid per share and the nominal value. The equity element of share-based compensation is also recognized in additional paid-in capital as are derivative instruments that meet the requirements for equity classification.</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Incremental costs incurred and directly attributable to the offering of equity securities are deducted from the related proceeds of the offering. The net amount is recorded as additional paid-in capital in the period when such shares are issued. Where such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4" w:name="page125"/>
    <w:bookmarkEnd w:id="124"/>
    <w:p>
      <w:pPr>
        <w:ind w:right="620"/>
        <w:spacing w:after="0" w:line="282" w:lineRule="auto"/>
        <w:rPr>
          <w:sz w:val="20"/>
          <w:szCs w:val="20"/>
          <w:color w:val="auto"/>
        </w:rPr>
      </w:pPr>
      <w:r>
        <w:rPr>
          <w:rFonts w:ascii="Times New Roman" w:cs="Times New Roman" w:eastAsia="Times New Roman" w:hAnsi="Times New Roman"/>
          <w:sz w:val="18"/>
          <w:szCs w:val="18"/>
          <w:color w:val="auto"/>
        </w:rPr>
        <w:t>expenses are incurred prior to the offering, they are recorded in prepayments until the offering completes. Other costs incurred in such offerings are expensed as incurred and included in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income/(loss) per share</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Basic net income/(loss) per share is computed by dividing the net income/(loss) attributable to ordinary shareholders by the weighted-average number of ordinary shares outstanding for the reporting period without consideration for potentially dilutive securities. Net income/(loss) attributable to ordinary shareholders is computed as if all net income/(loss) for the period had been distributed. During periods in which the Company incurred a net loss, the Company allocates no net loss to participating securities because they do not have a contractual obligation to share in the net loss of the Company.</w:t>
      </w:r>
    </w:p>
    <w:p>
      <w:pPr>
        <w:spacing w:after="0" w:line="180"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Company computes diluted net income/(loss) per ordinary share after giving consideration to all potentially dilutive ordinary equivalents, including share options outstanding during the period, except where the effect of such non-participating securities would be antidilutive.</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Diluted net income/(loss) per share is computed by dividing the net income/(loss) attributable to ordinary shareholders by the weighted average number of ordinary shares and dilutive ordinary share equivalents outstanding for the period, determined using the treasury stock and if-converted methods.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In November 2023, the FASB issued ASU 2023-07, Improvements to Reportable Segment Disclosures. </w:t>
      </w:r>
      <w:r>
        <w:rPr>
          <w:rFonts w:ascii="Times New Roman" w:cs="Times New Roman" w:eastAsia="Times New Roman" w:hAnsi="Times New Roman"/>
          <w:sz w:val="18"/>
          <w:szCs w:val="18"/>
          <w:color w:val="2D2D2D"/>
        </w:rPr>
        <w:t>The amendments</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require incremental disclosures related to a public entity’s reportable segments but does not change the definition of a segment, the method for determining segments, or the criteria for aggregating operating segments into reportable segments. The biggest change in the ASU is the requirement for a public entity to disclose its significant segment expense categories and amounts for each reportable segment. </w:t>
      </w:r>
      <w:r>
        <w:rPr>
          <w:rFonts w:ascii="Times New Roman" w:cs="Times New Roman" w:eastAsia="Times New Roman" w:hAnsi="Times New Roman"/>
          <w:sz w:val="18"/>
          <w:szCs w:val="18"/>
          <w:color w:val="2D2D2D"/>
        </w:rPr>
        <w:t>The Company adopted this standard for the period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D2D2D"/>
        </w:rPr>
        <w:t>December 31, 2024 on a retrospective basis and the adoption did not have a material impact on its consolidated financial statements and related disclosures other than the inclusion of the breakdown of R&amp;D expenses within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1040" w:firstLine="749"/>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standard requires disaggregated information about a reporting entity’s effective tax rate reconciliation as well as information on income taxes paid.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key provisions under effective tax rate reconciliations are as follows:</w:t>
      </w:r>
    </w:p>
    <w:p>
      <w:pPr>
        <w:spacing w:after="0" w:line="117" w:lineRule="exact"/>
        <w:rPr>
          <w:sz w:val="20"/>
          <w:szCs w:val="20"/>
          <w:color w:val="auto"/>
        </w:rPr>
      </w:pPr>
    </w:p>
    <w:p>
      <w:pPr>
        <w:ind w:left="1020" w:right="180" w:hanging="503"/>
        <w:spacing w:after="0" w:line="261"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ASU requires public business entities, on an annual basis, to provide a tabular rate reconciliation (using both percentages and reporting currency amounts) of the reported income tax expense (or benefit) from continuing operations, to the product of the income (or loss) from continuing operations before income taxes and the applicable statutory federal income tax rate of the country of domicile using specific categories, and;</w:t>
      </w:r>
    </w:p>
    <w:p>
      <w:pPr>
        <w:spacing w:after="0" w:line="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disclosure for any reconciling items within certain categories that are equal to or greater than a specified quantitative threshold. The quantitative threshold for the designated categories requiring further disaggregation is 5%.</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key provisions under income taxes paid are as follows:</w:t>
      </w:r>
    </w:p>
    <w:p>
      <w:pPr>
        <w:spacing w:after="0" w:line="117" w:lineRule="exact"/>
        <w:rPr>
          <w:sz w:val="20"/>
          <w:szCs w:val="20"/>
          <w:color w:val="auto"/>
        </w:rPr>
      </w:pPr>
    </w:p>
    <w:p>
      <w:pPr>
        <w:ind w:left="1020" w:right="2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ASU requires all reporting entities to disclose the year-to-date amount of income taxes paid (net of refunds received) disaggregated by federal, state, and foreign;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also requires additional disaggregated information on income taxes paid (net of refunds received) to an individual jurisdiction equal to or greater than 5% of total income taxes paid (net of refunds received). An entity may identify a country, state, or local territory as an individual jurisdiction.</w:t>
      </w:r>
    </w:p>
    <w:p>
      <w:pPr>
        <w:spacing w:after="0" w:line="176" w:lineRule="exact"/>
        <w:rPr>
          <w:sz w:val="20"/>
          <w:szCs w:val="20"/>
          <w:color w:val="auto"/>
        </w:rPr>
      </w:pPr>
    </w:p>
    <w:p>
      <w:pPr>
        <w:ind w:right="660" w:firstLine="749"/>
        <w:spacing w:after="0" w:line="266" w:lineRule="auto"/>
        <w:rPr>
          <w:sz w:val="20"/>
          <w:szCs w:val="20"/>
          <w:color w:val="auto"/>
        </w:rPr>
      </w:pPr>
      <w:r>
        <w:rPr>
          <w:rFonts w:ascii="Times New Roman" w:cs="Times New Roman" w:eastAsia="Times New Roman" w:hAnsi="Times New Roman"/>
          <w:sz w:val="18"/>
          <w:szCs w:val="18"/>
          <w:color w:val="auto"/>
        </w:rPr>
        <w:t>ASU 2023-09 is effective for fiscal periods beginning after December 15, 2024. The Company is currently evaluating the impact of the adoption of this ASU on the consolidated financial statements, but does not believe the adoption of this standard will have a material impact on the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5" w:name="page126"/>
    <w:bookmarkEnd w:id="125"/>
    <w:p>
      <w:pPr>
        <w:ind w:right="260" w:firstLine="74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ASC No. 2024-03, Income Statement—Reporting Comprehensive Income—Expense Disaggregation Disclosures (Subtopic 220-40), which requires more detailed disclosures about specified categories of expenses included in certain expense captions presented on the face of the consolidated statements of operations and comprehensive loss, including employee compensation, depreciation and amortization. ASU No. 2024-03 is effective in annual reporting periods beginning after December 15, 2026, and interim periods within annual reporting periods beginning after December 15, 2027. Early adoption is permitted. The amendments may be applied either prospectively to financial statement issued for reporting periods after the effective date of the ASU or retrospectively to all prior periods presented. The Company is currently evaluating the impact of the adopting of ASU No. 2024-03 on its consolidated financial statement disclosures.</w:t>
      </w:r>
    </w:p>
    <w:p>
      <w:pPr>
        <w:spacing w:after="0" w:line="189"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by the FASB or other standards-setting bodies that do not require adoption until a future date are not expected to have a material impact on the Company's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and classified under the appropriate level of the fair value hierarchy as described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760" w:type="dxa"/>
            <w:vAlign w:val="bottom"/>
          </w:tcPr>
          <w:p>
            <w:pPr>
              <w:spacing w:after="0"/>
              <w:rPr>
                <w:sz w:val="16"/>
                <w:szCs w:val="16"/>
                <w:color w:val="auto"/>
              </w:rPr>
            </w:pPr>
          </w:p>
        </w:tc>
        <w:tc>
          <w:tcPr>
            <w:tcW w:w="880" w:type="dxa"/>
            <w:vAlign w:val="bottom"/>
          </w:tcPr>
          <w:p>
            <w:pPr>
              <w:jc w:val="center"/>
              <w:ind w:left="2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Pr>
          <w:p>
            <w:pPr>
              <w:ind w:left="86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tcPr>
          <w:p>
            <w:pPr>
              <w:ind w:left="7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540" w:type="dxa"/>
            <w:vAlign w:val="bottom"/>
          </w:tcPr>
          <w:p>
            <w:pPr>
              <w:spacing w:after="0"/>
              <w:rPr>
                <w:sz w:val="16"/>
                <w:szCs w:val="16"/>
                <w:color w:val="auto"/>
              </w:rPr>
            </w:pPr>
          </w:p>
        </w:tc>
        <w:tc>
          <w:tcPr>
            <w:tcW w:w="126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6640" w:type="dxa"/>
            <w:vAlign w:val="bottom"/>
            <w:gridSpan w:val="2"/>
          </w:tcPr>
          <w:p>
            <w:pPr>
              <w:jc w:val="center"/>
              <w:ind w:left="59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($'000)</w:t>
            </w:r>
          </w:p>
        </w:tc>
        <w:tc>
          <w:tcPr>
            <w:tcW w:w="540" w:type="dxa"/>
            <w:vAlign w:val="bottom"/>
          </w:tcPr>
          <w:p>
            <w:pPr>
              <w:spacing w:after="0"/>
              <w:rPr>
                <w:sz w:val="20"/>
                <w:szCs w:val="20"/>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821</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821</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57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880" w:type="dxa"/>
            <w:vAlign w:val="bottom"/>
          </w:tcPr>
          <w:p>
            <w:pPr>
              <w:jc w:val="center"/>
              <w:ind w:left="2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Pr>
          <w:p>
            <w:pPr>
              <w:ind w:left="86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tcPr>
          <w:p>
            <w:pPr>
              <w:ind w:left="7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540" w:type="dxa"/>
            <w:vAlign w:val="bottom"/>
          </w:tcPr>
          <w:p>
            <w:pPr>
              <w:spacing w:after="0"/>
              <w:rPr>
                <w:sz w:val="16"/>
                <w:szCs w:val="16"/>
                <w:color w:val="auto"/>
              </w:rPr>
            </w:pPr>
          </w:p>
        </w:tc>
        <w:tc>
          <w:tcPr>
            <w:tcW w:w="126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6640" w:type="dxa"/>
            <w:vAlign w:val="bottom"/>
            <w:gridSpan w:val="2"/>
          </w:tcPr>
          <w:p>
            <w:pPr>
              <w:jc w:val="center"/>
              <w:ind w:left="59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($'000)</w:t>
            </w:r>
          </w:p>
        </w:tc>
        <w:tc>
          <w:tcPr>
            <w:tcW w:w="540" w:type="dxa"/>
            <w:vAlign w:val="bottom"/>
          </w:tcPr>
          <w:p>
            <w:pPr>
              <w:spacing w:after="0"/>
              <w:rPr>
                <w:sz w:val="20"/>
                <w:szCs w:val="20"/>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412</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the years ended December 31,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00" w:type="dxa"/>
            <w:vAlign w:val="bottom"/>
          </w:tcPr>
          <w:p>
            <w:pPr>
              <w:spacing w:after="0"/>
              <w:rPr>
                <w:sz w:val="24"/>
                <w:szCs w:val="24"/>
                <w:color w:val="auto"/>
              </w:rPr>
            </w:pPr>
          </w:p>
        </w:tc>
        <w:tc>
          <w:tcPr>
            <w:tcW w:w="12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services</w:t>
            </w: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claim receivable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2B333D"/>
        </w:rPr>
        <w:t>Prepaid insurance premiums included within Other prepaid expenses and current assets in prior periods have been separately disclosed for the years ended December 31, 2024 and 2023, accordingly, certain prior year amounts have been reclassified for consistency with the current year presentation. These reclassifications had no effect on the reported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160" w:type="dxa"/>
            <w:vAlign w:val="bottom"/>
          </w:tcPr>
          <w:p>
            <w:pPr>
              <w:spacing w:after="0"/>
              <w:rPr>
                <w:sz w:val="24"/>
                <w:szCs w:val="24"/>
                <w:color w:val="auto"/>
              </w:rPr>
            </w:pPr>
          </w:p>
        </w:tc>
        <w:tc>
          <w:tcPr>
            <w:tcW w:w="1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4"/>
                <w:szCs w:val="24"/>
                <w:color w:val="auto"/>
              </w:rPr>
            </w:pPr>
          </w:p>
        </w:tc>
        <w:tc>
          <w:tcPr>
            <w:tcW w:w="13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-453390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for the year ended December 31, 2024 was $0.1 million (2023: $0.2 million).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In August 2015, Mereo entered into a lease agreement under which the Company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revisionary lease to extend the term for the original fourth floor lease to be co-terminus with the fifth floor, ending in June 2026.</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total lease expense included in the statements of operations and comprehensive loss for the year ended December 31, 2024 was $0.7 million (2023: $0.7 million). There were no material variable lease costs.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10"/>
        </w:trPr>
        <w:tc>
          <w:tcPr>
            <w:tcW w:w="60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r>
      <w:tr>
        <w:trPr>
          <w:trHeight w:val="210"/>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contractual lease term (years)</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7"/>
              </w:rPr>
              <w:t>10.0 %</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7"/>
              </w:rPr>
              <w:t>10.0 %</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1120" w:type="dxa"/>
            <w:vAlign w:val="bottom"/>
          </w:tcPr>
          <w:p>
            <w:pPr>
              <w:spacing w:after="0"/>
              <w:rPr>
                <w:sz w:val="20"/>
                <w:szCs w:val="20"/>
                <w:color w:val="auto"/>
              </w:rPr>
            </w:pPr>
          </w:p>
        </w:tc>
      </w:tr>
      <w:tr>
        <w:trPr>
          <w:trHeight w:val="630"/>
        </w:trPr>
        <w:tc>
          <w:tcPr>
            <w:tcW w:w="1140" w:type="dxa"/>
            <w:vAlign w:val="bottom"/>
          </w:tcPr>
          <w:p>
            <w:pPr>
              <w:spacing w:after="0"/>
              <w:rPr>
                <w:sz w:val="24"/>
                <w:szCs w:val="24"/>
                <w:color w:val="auto"/>
              </w:rPr>
            </w:pPr>
          </w:p>
        </w:tc>
        <w:tc>
          <w:tcPr>
            <w:tcW w:w="614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F-20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December</w:t>
            </w:r>
          </w:p>
        </w:tc>
      </w:tr>
      <w:tr>
        <w:trPr>
          <w:trHeight w:val="238"/>
        </w:trPr>
        <w:tc>
          <w:tcPr>
            <w:tcW w:w="17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31, 2024</w:t>
            </w:r>
          </w:p>
        </w:tc>
      </w:tr>
      <w:tr>
        <w:trPr>
          <w:trHeight w:val="210"/>
        </w:trPr>
        <w:tc>
          <w:tcPr>
            <w:tcW w:w="17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194"/>
        </w:trPr>
        <w:tc>
          <w:tcPr>
            <w:tcW w:w="1700" w:type="dxa"/>
            <w:vAlign w:val="bottom"/>
          </w:tcPr>
          <w:p>
            <w:pPr>
              <w:spacing w:after="0"/>
              <w:rPr>
                <w:sz w:val="16"/>
                <w:szCs w:val="16"/>
                <w:color w:val="auto"/>
              </w:rPr>
            </w:pPr>
          </w:p>
        </w:tc>
        <w:tc>
          <w:tcPr>
            <w:tcW w:w="64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Maturity analysis of the operating lease liabilities for the years ending December</w:t>
            </w: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238"/>
        </w:trPr>
        <w:tc>
          <w:tcPr>
            <w:tcW w:w="1700" w:type="dxa"/>
            <w:vAlign w:val="bottom"/>
          </w:tcPr>
          <w:p>
            <w:pPr>
              <w:spacing w:after="0"/>
              <w:rPr>
                <w:sz w:val="20"/>
                <w:szCs w:val="20"/>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1700" w:type="dxa"/>
            <w:vAlign w:val="bottom"/>
          </w:tcPr>
          <w:p>
            <w:pPr>
              <w:spacing w:after="0"/>
              <w:rPr>
                <w:sz w:val="18"/>
                <w:szCs w:val="18"/>
                <w:color w:val="auto"/>
              </w:rPr>
            </w:pPr>
          </w:p>
        </w:tc>
        <w:tc>
          <w:tcPr>
            <w:tcW w:w="6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70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6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6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7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1700" w:type="dxa"/>
            <w:vAlign w:val="bottom"/>
          </w:tcPr>
          <w:p>
            <w:pPr>
              <w:spacing w:after="0"/>
              <w:rPr>
                <w:sz w:val="18"/>
                <w:szCs w:val="18"/>
                <w:color w:val="auto"/>
              </w:rPr>
            </w:pPr>
          </w:p>
        </w:tc>
        <w:tc>
          <w:tcPr>
            <w:tcW w:w="6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09"/>
        </w:trPr>
        <w:tc>
          <w:tcPr>
            <w:tcW w:w="17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894</w:t>
            </w:r>
          </w:p>
        </w:tc>
      </w:tr>
      <w:tr>
        <w:trPr>
          <w:trHeight w:val="20"/>
        </w:trPr>
        <w:tc>
          <w:tcPr>
            <w:tcW w:w="17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1700" w:type="dxa"/>
            <w:vAlign w:val="bottom"/>
          </w:tcPr>
          <w:p>
            <w:pPr>
              <w:spacing w:after="0"/>
              <w:rPr>
                <w:sz w:val="17"/>
                <w:szCs w:val="17"/>
                <w:color w:val="auto"/>
              </w:rPr>
            </w:pPr>
          </w:p>
        </w:tc>
        <w:tc>
          <w:tcPr>
            <w:tcW w:w="6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Lease liability – current</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707</w:t>
            </w:r>
          </w:p>
        </w:tc>
      </w:tr>
      <w:tr>
        <w:trPr>
          <w:trHeight w:val="234"/>
        </w:trPr>
        <w:tc>
          <w:tcPr>
            <w:tcW w:w="170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r>
      <w:tr>
        <w:trPr>
          <w:trHeight w:val="441"/>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Other current liabilities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Other current liabilities consists of the following:</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Social security and other taxes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liability</w:t>
            </w: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issuance costs payable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49"/>
        </w:trPr>
        <w:tc>
          <w:tcPr>
            <w:tcW w:w="1140" w:type="dxa"/>
            <w:vAlign w:val="bottom"/>
          </w:tcPr>
          <w:p>
            <w:pPr>
              <w:spacing w:after="0"/>
              <w:rPr>
                <w:sz w:val="21"/>
                <w:szCs w:val="21"/>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r>
      <w:tr>
        <w:trPr>
          <w:trHeight w:val="440"/>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72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1,821</w:t>
            </w: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fees</w:t>
            </w: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audit fees</w:t>
            </w: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114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local taxes</w:t>
            </w: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114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r>
      <w:tr>
        <w:trPr>
          <w:trHeight w:val="210"/>
        </w:trPr>
        <w:tc>
          <w:tcPr>
            <w:tcW w:w="11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5,467</w:t>
            </w: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-2305050</wp:posOffset>
            </wp:positionV>
            <wp:extent cx="857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-2287905</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85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loan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Loan Note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February 10, 2020, the Company entered into a convertible equity financing with Novartis Pharma (AG) (“Novartis”) under which Novartis purchased a £3.8 million ($5.2 million) convertible loan note (the “Novartis Loan Note”). The Novartis Loan Note is convertible at the discretion of the holder, at a fixed price of £0.265 per ordinary share and originally bore interest at 6% per annum with a maturity date of February 10, 2023. In connection with the Novartis Loan Note, the Company also issued 1,449,610</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128" w:name="page129"/>
    <w:bookmarkEnd w:id="128"/>
    <w:p>
      <w:pPr>
        <w:ind w:right="80"/>
        <w:spacing w:after="0" w:line="282" w:lineRule="auto"/>
        <w:rPr>
          <w:sz w:val="20"/>
          <w:szCs w:val="20"/>
          <w:color w:val="auto"/>
        </w:rPr>
      </w:pPr>
      <w:r>
        <w:rPr>
          <w:rFonts w:ascii="Times New Roman" w:cs="Times New Roman" w:eastAsia="Times New Roman" w:hAnsi="Times New Roman"/>
          <w:sz w:val="18"/>
          <w:szCs w:val="18"/>
          <w:color w:val="auto"/>
        </w:rPr>
        <w:t>warrants which are exercisable until February 2025 at an exercise price of £0.265 per ordinary share. These warrants were recognized separately as equity instruments.</w:t>
      </w:r>
    </w:p>
    <w:p>
      <w:pPr>
        <w:spacing w:after="0" w:line="162"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Effective February 10, 2023, the maturity date of the Novartis Loan Note was extended to February 10, 2025 and the interest rate amended to 9%. Interest accrued to the amendment date of $0.9 million was paid in cash, and additional warrants to purchase 2,000,000 ordinary shares were issued. These warrants were also recognized separately as equity instruments.</w:t>
      </w:r>
    </w:p>
    <w:p>
      <w:pPr>
        <w:spacing w:after="0" w:line="176"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The amendments to the Novartis Loan Note were an extinguishment of the original instrument and the issuance of a new one. Accordingly, on the extinguishment date, the carrying value of $5.5 million was derecognized. At the same time, a new liability of $3.4 million was recognized, which represents the portion of the consideration of the new arrangement allocated to the liability component of the new Novartis Loan Note on the basis of its relative fair value, net of fees. The remaining amount was allocated between the $0.9 million of interest paid in cash and the residual $1.2 million which was recorded in additional paid-in capital to reflect the relative fair value of the warrants and the conversion option embedded in the new Novartis Loan Note. No extinguishment gain or loss was recognized in the consolidated statements of operations and comprehensive loss. The Company recognized interest expense of $1.2 million in relation to the Novartis Loan Note in the consolidated statements of operations and comprehensive loss for the year ended December 31, 2024 (2023: $1.0 million). The effective interest rate applied to the liability portion of the Novartis Loan Note in 2024 and in 2023 after the amendments was 27.8% while the effective interest rate applied in 2023 before the amendments was 37.4%.</w:t>
      </w:r>
    </w:p>
    <w:p>
      <w:pPr>
        <w:spacing w:after="0" w:line="188"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net carrying amount of the liability component of the convertible debt instrument was $5.5 million and $4.4 million, respectively. The fair value as of December 31, 2024 was $5.6 million.</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On February 7, 2025, the Company received a conversion notice and subsequently issued and allotted 17,105,450 ordinary shares (equivalent to 3,421,090 ADSs) on the non-cash conversion of the outstanding principal and accrued interest of the Novartis Loan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Loan Notes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Private Placement Loan Notes were issued in 2020 as part of a $70.0 million private placement transaction which also included the issuance of ordinary shares and warrants (see Note 12). When issued, the Private Placement Loan Notes were convertible at a fixed price of £0.174 per ordinary share, bore interest at a rate of 6% per annum and had a maturity date of June 3, 2023. As of January 1, 2023, Private Placement Loan Notes with an aggregate principal of $7.5 million were still outstanding, following conversions in prior years.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May 2023, the maturity date of the Private Placement Loan Notes was extended to August 3, 2023, with all other terms remaining unchanged. This extension was a modification and the carrying value of the liability component was adjusted to the present value of the modified cash flows discounted at the original effective interest rate, net of identifiable transaction costs. The carrying value was also reduced by $0.6 million with a corresponding adjustment to additional paid-in capital to reflect the increase in the fair value of the embedded conversion option.</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May and July 2023, the Company received conversion notices and subsequently issued and allotted 17,774,895 and 9,645,200 ordinary shares respectively, both at a price of £0.174 per share on non-cash conversion of Private Placement Loan Notes with an aggregate principal amount of $4.6 million.</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In August 2023, the Company paid $3.2 million to fully settle the outstanding principal and accrued interest balance on the remaining Private Placement Loan Notes.</w:t>
      </w:r>
    </w:p>
    <w:p>
      <w:pPr>
        <w:spacing w:after="0" w:line="162"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interest expense of $1.6 million in relation to the Private Placement Loan Notes in the consolidated statements of operations and comprehensive loss for the year ended December 31, 2023. The effective interest rate applied to the liability portion of the Private Placement Loan Notes in 2023 after the amendments was 27.1% while the effective interest rate applied in 2023 prior to the amendments was 25.1%.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 liability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29" w:name="page130"/>
    <w:bookmarkEnd w:id="129"/>
    <w:p>
      <w:pPr>
        <w:ind w:left="792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94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38"/>
        </w:trPr>
        <w:tc>
          <w:tcPr>
            <w:tcW w:w="7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40" w:type="dxa"/>
            <w:vAlign w:val="bottom"/>
          </w:tcPr>
          <w:p>
            <w:pPr>
              <w:spacing w:after="0"/>
              <w:rPr>
                <w:sz w:val="20"/>
                <w:szCs w:val="20"/>
                <w:color w:val="auto"/>
              </w:rPr>
            </w:pPr>
          </w:p>
        </w:tc>
        <w:tc>
          <w:tcPr>
            <w:tcW w:w="14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6"/>
        </w:trPr>
        <w:tc>
          <w:tcPr>
            <w:tcW w:w="7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January 1</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fair value during the year</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9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r>
      <w:tr>
        <w:trPr>
          <w:trHeight w:val="20"/>
        </w:trPr>
        <w:tc>
          <w:tcPr>
            <w:tcW w:w="6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-170815</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private placement</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a part of a private placement transaction on June 3, 2020, the participating investors received conditional warrants entitling them to subscribe for an aggregate of 161,048,366 ordinary shares in the Company at an exercise price of £0.348 per warrant and were exercisable until June 2023 when they expired. The warrants were classified as liabilities as the Company did not have an unconditional right to avoid redeeming the instruments for cash. The change in the fair value of $0.5 million for the year ended December 31, 2023 was recognized as a gain in the consolidated statements of operations and comprehensive loss. In the year ended December 31, 2023 no warrants were exercised.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bank loan</w:t>
      </w:r>
    </w:p>
    <w:p>
      <w:pPr>
        <w:spacing w:after="0" w:line="22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the former lenders of the Company have warrants outstanding to purchase a total of 1,243,908 ordinary shares at an exercise price of £2.95 per share, exercisable until August 2027 and a total of 1,243,908 ordinary shares at an exercise price of $0.4144 per share, exercisable until dates between August 2027 and October 2028. There were no warrants exercised during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outstanding warrants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a total of 2,487,816 warrants are outstanding. The warrants outstanding are equivalent to 0.3% of the issued ordinary share capital of the Company (2023: 0.4%).</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lists the weighted average inputs to the models used for the fair value of warrants: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10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1080" w:type="dxa"/>
            <w:vAlign w:val="bottom"/>
          </w:tcPr>
          <w:p>
            <w:pPr>
              <w:spacing w:after="0"/>
              <w:rPr>
                <w:sz w:val="18"/>
                <w:szCs w:val="18"/>
                <w:color w:val="auto"/>
              </w:rPr>
            </w:pP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 value of ADSs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080" w:type="dxa"/>
            <w:vAlign w:val="bottom"/>
          </w:tcPr>
          <w:p>
            <w:pPr>
              <w:spacing w:after="0"/>
              <w:rPr>
                <w:sz w:val="18"/>
                <w:szCs w:val="18"/>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16"/>
        </w:trPr>
        <w:tc>
          <w:tcPr>
            <w:tcW w:w="1080" w:type="dxa"/>
            <w:vAlign w:val="bottom"/>
          </w:tcPr>
          <w:p>
            <w:pPr>
              <w:spacing w:after="0"/>
              <w:rPr>
                <w:sz w:val="18"/>
                <w:szCs w:val="18"/>
                <w:color w:val="auto"/>
              </w:rPr>
            </w:pP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80" w:type="dxa"/>
            <w:vAlign w:val="bottom"/>
          </w:tcPr>
          <w:p>
            <w:pPr>
              <w:spacing w:after="0"/>
              <w:rPr>
                <w:sz w:val="18"/>
                <w:szCs w:val="18"/>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16"/>
        </w:trPr>
        <w:tc>
          <w:tcPr>
            <w:tcW w:w="1080" w:type="dxa"/>
            <w:vAlign w:val="bottom"/>
          </w:tcPr>
          <w:p>
            <w:pPr>
              <w:spacing w:after="0"/>
              <w:rPr>
                <w:sz w:val="18"/>
                <w:szCs w:val="18"/>
                <w:color w:val="auto"/>
              </w:rPr>
            </w:pPr>
          </w:p>
        </w:tc>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dividends (%)</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459"/>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2022</w:t>
            </w:r>
          </w:p>
        </w:tc>
        <w:tc>
          <w:tcPr>
            <w:tcW w:w="2180" w:type="dxa"/>
            <w:vAlign w:val="bottom"/>
          </w:tcPr>
          <w:p>
            <w:pPr>
              <w:spacing w:after="0"/>
              <w:rPr>
                <w:sz w:val="20"/>
                <w:szCs w:val="20"/>
                <w:color w:val="auto"/>
              </w:rPr>
            </w:pPr>
          </w:p>
        </w:tc>
        <w:tc>
          <w:tcPr>
            <w:tcW w:w="1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3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624,928,519</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Vesting of deferred RSUs</w:t>
            </w:r>
          </w:p>
        </w:tc>
        <w:tc>
          <w:tcPr>
            <w:tcW w:w="404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501,380</w:t>
            </w:r>
          </w:p>
        </w:tc>
        <w:tc>
          <w:tcPr>
            <w:tcW w:w="136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shares</w:t>
            </w:r>
          </w:p>
        </w:tc>
        <w:tc>
          <w:tcPr>
            <w:tcW w:w="4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48,367,095</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Conversion of convertible loan notes</w:t>
            </w:r>
          </w:p>
        </w:tc>
        <w:tc>
          <w:tcPr>
            <w:tcW w:w="2180" w:type="dxa"/>
            <w:vAlign w:val="bottom"/>
            <w:tcBorders>
              <w:bottom w:val="single" w:sz="8" w:color="CFF0FC"/>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27,420,095</w:t>
            </w:r>
          </w:p>
        </w:tc>
        <w:tc>
          <w:tcPr>
            <w:tcW w:w="1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4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701,217,089</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58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Exercise of share options</w:t>
            </w:r>
          </w:p>
        </w:tc>
        <w:tc>
          <w:tcPr>
            <w:tcW w:w="404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2,685,420</w:t>
            </w:r>
          </w:p>
        </w:tc>
        <w:tc>
          <w:tcPr>
            <w:tcW w:w="136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4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433,880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Vesting of PSUs</w:t>
            </w:r>
          </w:p>
        </w:tc>
        <w:tc>
          <w:tcPr>
            <w:tcW w:w="40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6,690,755</w:t>
            </w:r>
          </w:p>
        </w:tc>
        <w:tc>
          <w:tcPr>
            <w:tcW w:w="1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shares</w:t>
            </w:r>
          </w:p>
        </w:tc>
        <w:tc>
          <w:tcPr>
            <w:tcW w:w="4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64,700,890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2180" w:type="dxa"/>
            <w:vAlign w:val="bottom"/>
            <w:tcBorders>
              <w:top w:val="single" w:sz="8" w:color="CFF0FC"/>
              <w:bottom w:val="single" w:sz="8" w:color="CFF0FC"/>
            </w:tcBorders>
            <w:shd w:val="clear" w:color="auto" w:fill="CFF0FC"/>
          </w:tcPr>
          <w:p>
            <w:pPr>
              <w:spacing w:after="0"/>
              <w:rPr>
                <w:sz w:val="21"/>
                <w:szCs w:val="21"/>
                <w:color w:val="auto"/>
              </w:rPr>
            </w:pPr>
          </w:p>
        </w:tc>
        <w:tc>
          <w:tcPr>
            <w:tcW w:w="18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775,728,034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3,059</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040" w:type="dxa"/>
            <w:vAlign w:val="bottom"/>
            <w:gridSpan w:val="2"/>
          </w:tcPr>
          <w:p>
            <w:pPr>
              <w:jc w:val="right"/>
              <w:ind w:right="2870"/>
              <w:spacing w:after="0"/>
              <w:rPr>
                <w:sz w:val="20"/>
                <w:szCs w:val="20"/>
                <w:color w:val="auto"/>
              </w:rPr>
            </w:pPr>
            <w:r>
              <w:rPr>
                <w:rFonts w:ascii="Times New Roman" w:cs="Times New Roman" w:eastAsia="Times New Roman" w:hAnsi="Times New Roman"/>
                <w:sz w:val="18"/>
                <w:szCs w:val="18"/>
                <w:color w:val="auto"/>
              </w:rPr>
              <w:t>F-23</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-1799590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-933450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-916305</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-1079500</wp:posOffset>
            </wp:positionV>
            <wp:extent cx="60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0" w:name="page131"/>
    <w:bookmarkEnd w:id="130"/>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Private Placement Loan Notes with a carrying value of $7.5 million were converted into 27,420,095 ordinary shares at a conversion price of £0.174 per ordinary share.</w:t>
      </w:r>
    </w:p>
    <w:p>
      <w:pPr>
        <w:spacing w:after="0" w:line="16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July 2023, 9,673,419 ADSs representing 48,367,095 ordinary shares were issued for aggregate gross proceeds of $12.0 million through an “at-the-market” offering pursuant to an Open Market Sale Agreement with Jefferies LLC.</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 ended December 31, 2023, 501,380 ordinary shares were issued upon satisfaction of deferred restricted stock units.</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June 2024, the Company issued 12,531,300 ADSs representing 62,656,500 ordinary shares through an underwritten registered direct offering priced at $3.99 per ADS. The Company raised aggregate gross proceeds of $50.0 million, or $47.0 million after underwriting discounts of $3.0 million. The Company also incurred other issuance costs of $1.0 million related to the offering.</w:t>
      </w:r>
    </w:p>
    <w:p>
      <w:pPr>
        <w:spacing w:after="0" w:line="176"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In November 2024, 408,878 ADSs representing 2,044,390 ordinary shares with a value of $1.8 million were issued in respect of an agreed milestone pursuant to the Amended AstraZeneca Agreements.</w:t>
      </w:r>
    </w:p>
    <w:p>
      <w:pPr>
        <w:spacing w:after="0" w:line="16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9,810,055 ordinary shares were issued to satisfy the exercise of employee share options and the vesting of RSUs and PSUs.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and 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Ultragenyx Partnership</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On January 25, 2021, the Company’s license and collaboration agreement with Ultragenyx for the development and commercialization of setrusumab for OI became effective. Under the terms of the agreement, the Company received an upfront payment of $50 million and was eligible to receive up to $254 million in development, regulatory and commercial milestones and tiered double digit percentage royalties on net sales outside of Europe and pay a fixed double digit percentage royalty to Ultragenyx on net sales in Europe. The license and collaboration agreement grants Ultragenyx an exclusive license to develop and commercialize setrusumab in the US and rest of the world, excluding Europe where the Company retains commercial rights.</w:t>
      </w:r>
    </w:p>
    <w:p>
      <w:pPr>
        <w:spacing w:after="0" w:line="187"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Two distinct performance obligations were identified as part of the license and collaboration agreement: (i) a promise to grant the license to develop and commercialize setrusumab, and (ii) provision of subsequent clinical supply of setrusumab.</w:t>
      </w:r>
    </w:p>
    <w:p>
      <w:pPr>
        <w:spacing w:after="0" w:line="16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No revenues were recognized in respect of this agreement in the year ended December 31, 2024, however in the year ended December 31, 2023, the Company recognized milestone proceeds of $9 million as revenue under the license and collaboration agreement with Ultragenyx for setrusumab following achievement of a development milestone. The milestone payments constituted a change in transaction price for the Ultragenyx agreement, to which revenue was first recorded in the year ended December 31, 2021. Pursuant to the terms of the agreement, the Company is entitled to receive milestone payments from Ultragenyx upon achievement of certain development, regulatory and sales based milestones. The variable consideration relating to future milestones and sales royalties are recognized in the consolidated statements of operations and comprehensive loss when achievement of the milestones are probable or the underlying commercial sales are made, in the event regulatory approval is achieved.</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As a consequence of the milestone received by the Company under the license and collaboration agreement with Ultragenyx, and in accordance with the terms of the 2015 asset purchase agreement with Novartis which requires payment of a percentage of the proceeds received, subject to certain deductions, the Company also recognized cost of revenue of $2.4 million in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ReproNovo Partnership</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On December 13, 2023, the Company and ReproNovo SA. (“ReproNovo”) announced a global licensing agreement for the development and commercialization of leflutrozole. Under the terms of the global licensing agreement, ReproNovo received an exclusive worldwide license to develop and commercialize leflutrozole.</w:t>
      </w:r>
    </w:p>
    <w:p>
      <w:pPr>
        <w:spacing w:after="0" w:line="176"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No revenues were recognized in respect of this agreement in the year ended December 31, 2024, however, the Company received an upfront payment of $1.0 million in December 2023. ReproNovo will be responsible for all future research, development and commercialization of leflutrozole. Additionally, the Company will be eligible to receive up to $64.3 million in future clinical, regulatory and commercial milestones, tiered royalties ranging from the low-to-mid-single digits on global annual net sales of leflutrozole, as well as a negotiated percentage of sublicensing revenues from certain sublicenses. A single performance obligation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1" w:name="page132"/>
    <w:bookmarkEnd w:id="131"/>
    <w:p>
      <w:pPr>
        <w:ind w:right="40"/>
        <w:spacing w:after="0" w:line="261" w:lineRule="auto"/>
        <w:rPr>
          <w:sz w:val="20"/>
          <w:szCs w:val="20"/>
          <w:color w:val="auto"/>
        </w:rPr>
      </w:pPr>
      <w:r>
        <w:rPr>
          <w:rFonts w:ascii="Times New Roman" w:cs="Times New Roman" w:eastAsia="Times New Roman" w:hAnsi="Times New Roman"/>
          <w:sz w:val="18"/>
          <w:szCs w:val="18"/>
          <w:color w:val="auto"/>
        </w:rPr>
        <w:t>was identified in this agreement which is the promise to grant the license to develop and commercialize leflutrozole. As the upfront payment is fixed and non-refundable, and therefore does not represent variable consideration, the performance obligation is satisfied and revenue of $1.0 million was recognized at the point in time that ReproNovo gained the right to access the license. The additional potential future milestone and royalty payments represent variable consideration that will be recognized when the corresponding variable consideration is no longer constrained.</w:t>
      </w:r>
    </w:p>
    <w:p>
      <w:pPr>
        <w:spacing w:after="0" w:line="180" w:lineRule="exact"/>
        <w:rPr>
          <w:sz w:val="20"/>
          <w:szCs w:val="20"/>
          <w:color w:val="auto"/>
        </w:rPr>
      </w:pPr>
    </w:p>
    <w:p>
      <w:pPr>
        <w:ind w:right="440" w:firstLine="749"/>
        <w:spacing w:after="0" w:line="281" w:lineRule="auto"/>
        <w:rPr>
          <w:sz w:val="20"/>
          <w:szCs w:val="20"/>
          <w:color w:val="auto"/>
        </w:rPr>
      </w:pPr>
      <w:r>
        <w:rPr>
          <w:rFonts w:ascii="Times New Roman" w:cs="Times New Roman" w:eastAsia="Times New Roman" w:hAnsi="Times New Roman"/>
          <w:sz w:val="17"/>
          <w:szCs w:val="17"/>
          <w:color w:val="auto"/>
        </w:rPr>
        <w:t>As a consequence of the milestone proceeds paid to the Company under the license and collaboration agreement with ReproNovo, and in accordance with the terms of the 2015 asset purchase agreement with Novartis, the Company is also obligated to pay a proportion of cash milestone payments received after deduction of costs, charges and expenditures. The Company therefore accrued for a payment to Novartis of $0.1 million as of December 31, 2023, which was subsequently paid. No revenues were recognized in respect of this agreement in the year ended December 31, 2024.</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revenue recognized by the Company in the year ended December 31, 2023 was attributable to its operations in the U.K.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 operates in the U.K. and in the U.S. and is subject to income taxes in those countries. The U.K corporation tax rate applied for 2024 was 25% (2023: 23.5%). The rate in 2023 resulted from applying the enacted statutory rate of 19% from January 1, 2023 through April 1, 2023, and 25% for the remainder of 2023. U.K. deferred tax assets and liabilities have been measured at the enacted rate of 25%. </w:t>
      </w:r>
      <w:r>
        <w:rPr>
          <w:rFonts w:ascii="Times New Roman" w:cs="Times New Roman" w:eastAsia="Times New Roman" w:hAnsi="Times New Roman"/>
          <w:sz w:val="18"/>
          <w:szCs w:val="18"/>
          <w:color w:val="363435"/>
        </w:rPr>
        <w:t>T</w:t>
      </w:r>
      <w:r>
        <w:rPr>
          <w:rFonts w:ascii="Times New Roman" w:cs="Times New Roman" w:eastAsia="Times New Roman" w:hAnsi="Times New Roman"/>
          <w:sz w:val="18"/>
          <w:szCs w:val="18"/>
          <w:color w:val="auto"/>
        </w:rPr>
        <w:t>he U.S federal income tax rate is 21%. U.S. deferred tax assets and liabilities are calculated at the enacted rate of 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components of net loss before income tax are as follows:</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2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2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8,464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21,534</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43,253</w:t>
            </w: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29,998</w:t>
            </w:r>
          </w:p>
        </w:tc>
        <w:tc>
          <w:tcPr>
            <w:tcW w:w="1120" w:type="dxa"/>
            <w:vAlign w:val="bottom"/>
          </w:tcPr>
          <w:p>
            <w:pPr>
              <w:spacing w:after="0"/>
              <w:rPr>
                <w:sz w:val="21"/>
                <w:szCs w:val="21"/>
                <w:color w:val="auto"/>
              </w:rPr>
            </w:pPr>
          </w:p>
        </w:tc>
      </w:tr>
      <w:tr>
        <w:trPr>
          <w:trHeight w:val="440"/>
        </w:trPr>
        <w:tc>
          <w:tcPr>
            <w:tcW w:w="5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components of income tax provision are as follows:</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tax expense</w:t>
            </w:r>
          </w:p>
        </w:tc>
        <w:tc>
          <w:tcPr>
            <w:tcW w:w="1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 Federal and State</w:t>
            </w:r>
          </w:p>
        </w:tc>
        <w:tc>
          <w:tcPr>
            <w:tcW w:w="21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534</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tax benefit</w:t>
            </w:r>
          </w:p>
        </w:tc>
        <w:tc>
          <w:tcPr>
            <w:tcW w:w="21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532</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expense</w:t>
            </w:r>
          </w:p>
        </w:tc>
        <w:tc>
          <w:tcPr>
            <w:tcW w:w="1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18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1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532</w:t>
            </w: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120" w:type="dxa"/>
            <w:vAlign w:val="bottom"/>
            <w:gridSpan w:val="3"/>
          </w:tcPr>
          <w:p>
            <w:pPr>
              <w:jc w:val="right"/>
              <w:ind w:right="1550"/>
              <w:spacing w:after="0"/>
              <w:rPr>
                <w:sz w:val="20"/>
                <w:szCs w:val="20"/>
                <w:color w:val="auto"/>
              </w:rPr>
            </w:pPr>
            <w:r>
              <w:rPr>
                <w:rFonts w:ascii="Times New Roman" w:cs="Times New Roman" w:eastAsia="Times New Roman" w:hAnsi="Times New Roman"/>
                <w:sz w:val="18"/>
                <w:szCs w:val="18"/>
                <w:color w:val="auto"/>
              </w:rPr>
              <w:t>F-25</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-3256915</wp:posOffset>
            </wp:positionV>
            <wp:extent cx="939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-3239770</wp:posOffset>
            </wp:positionV>
            <wp:extent cx="939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-1945005</wp:posOffset>
            </wp:positionV>
            <wp:extent cx="939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-1224915</wp:posOffset>
            </wp:positionV>
            <wp:extent cx="93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-933450</wp:posOffset>
            </wp:positionV>
            <wp:extent cx="939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-916305</wp:posOffset>
            </wp:positionV>
            <wp:extent cx="939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2" w:name="page133"/>
    <w:bookmarkEnd w:id="132"/>
    <w:p>
      <w:pPr>
        <w:ind w:left="760"/>
        <w:spacing w:after="0"/>
        <w:rPr>
          <w:sz w:val="20"/>
          <w:szCs w:val="20"/>
          <w:color w:val="auto"/>
        </w:rPr>
      </w:pPr>
      <w:r>
        <w:rPr>
          <w:rFonts w:ascii="Times New Roman" w:cs="Times New Roman" w:eastAsia="Times New Roman" w:hAnsi="Times New Roman"/>
          <w:sz w:val="18"/>
          <w:szCs w:val="18"/>
          <w:color w:val="auto"/>
        </w:rPr>
        <w:t>A reconciliation of the U.K. statutory income tax rate to the effective tax rate is as follows:</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using U.K. statutory rate</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 on opening tax balances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rate change on current and deferred taxes</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 R&amp;D tax credits</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Changes in deferred tax valuation allowance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in respect of prior years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for loss</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Components of the Company’s deferred tax assets and liabilities are as follows:</w:t>
            </w: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losses carryforwards</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117,604</w:t>
            </w:r>
          </w:p>
        </w:tc>
        <w:tc>
          <w:tcPr>
            <w:tcW w:w="6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110,604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Intangible fixed assets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Temporary differences trading</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Temporary differences non trading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relationships</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U.S. tax credits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79,024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Section 174 R&amp;E</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4,106</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awards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215,021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206,344</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(215,021 )</w:t>
            </w: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(206,344 )</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net</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Movements in deferred tax valuation allowance:</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Valuation allowance at January 1</w:t>
            </w: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(206,344 )</w:t>
            </w:r>
          </w:p>
        </w:tc>
        <w:tc>
          <w:tcPr>
            <w:tcW w:w="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(197,243 )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rates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(8,677 )</w:t>
            </w: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(9,101 )</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Valuation allowance at December 31</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(215,021 )</w:t>
            </w:r>
          </w:p>
        </w:tc>
        <w:tc>
          <w:tcPr>
            <w:tcW w:w="6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(206,344 )</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-5031105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-2193925</wp:posOffset>
            </wp:positionV>
            <wp:extent cx="93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-1628140</wp:posOffset>
            </wp:positionV>
            <wp:extent cx="939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93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Management has reviewed cumulative tax losses and projections of future taxable losses and determined that it is not more likely than not that they will be realized. Accordingly, valuation allowances have been provided over deferred tax assets.</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85" w:right="579" w:bottom="1440" w:gutter="0" w:footer="0" w:header="0"/>
        </w:sectPr>
      </w:pPr>
    </w:p>
    <w:bookmarkStart w:id="133" w:name="page134"/>
    <w:bookmarkEnd w:id="133"/>
    <w:p>
      <w:pPr>
        <w:ind w:left="760"/>
        <w:spacing w:after="0"/>
        <w:rPr>
          <w:sz w:val="20"/>
          <w:szCs w:val="20"/>
          <w:color w:val="auto"/>
        </w:rPr>
      </w:pPr>
      <w:r>
        <w:rPr>
          <w:rFonts w:ascii="Times New Roman" w:cs="Times New Roman" w:eastAsia="Times New Roman" w:hAnsi="Times New Roman"/>
          <w:sz w:val="18"/>
          <w:szCs w:val="18"/>
          <w:color w:val="auto"/>
        </w:rPr>
        <w:t>As of December 31, 2024, the Company had (i) U.K. net operating loss carryforwards of $36.6 million that can be carried forward indefinitely;</w:t>
      </w:r>
    </w:p>
    <w:p>
      <w:pPr>
        <w:spacing w:after="0" w:line="27" w:lineRule="exact"/>
        <w:rPr>
          <w:sz w:val="20"/>
          <w:szCs w:val="20"/>
          <w:color w:val="auto"/>
        </w:rPr>
      </w:pPr>
    </w:p>
    <w:p>
      <w:pPr>
        <w:ind w:right="180" w:firstLine="8"/>
        <w:spacing w:after="0" w:line="255"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tax losses to be carried forward of $66.3 million, of which $19.5 million can be carried forward indefinitely and $46.8 million began to expire in 2025; (iii) U.S. federal R&amp;D tax credits of $13.9 million that began to expire in 2025 and less than $0.1 million of state R&amp;D tax credits that do not expire; and (iv) U.S. state tax losses to be carried forward of less than $0.1 million which begin to expire in 2027.</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2023 the Company had (i) U.K. net operating loss carryforwards of $30.6 million that can be carried forward indefinitely;</w:t>
      </w:r>
    </w:p>
    <w:p>
      <w:pPr>
        <w:spacing w:after="0" w:line="27" w:lineRule="exact"/>
        <w:rPr>
          <w:sz w:val="20"/>
          <w:szCs w:val="20"/>
          <w:color w:val="auto"/>
        </w:rPr>
      </w:pPr>
    </w:p>
    <w:p>
      <w:pPr>
        <w:ind w:firstLine="8"/>
        <w:spacing w:after="0" w:line="255" w:lineRule="auto"/>
        <w:tabs>
          <w:tab w:leader="none" w:pos="2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tax losses to be carried forward of $66.2 million, of which $18.2 million can be carried forward indefinitely and $48.0 million that began to expire in 2024; (iii) U.S. federal R&amp;D tax credits of $14.0 million that began to expire in 2024 and less than $0.1 million of state R&amp;D tax credits that do not expire; and (iv) U.S. state tax losses to be carried forward of less than $0.1 million which begin to expire in 2027.</w:t>
      </w:r>
    </w:p>
    <w:p>
      <w:pPr>
        <w:spacing w:after="0" w:line="18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Company files separate income tax returns in the U.K. and the U.S. All necessary income tax filings have been completed for all years up to and including December 31, 2023, and there are no ongoing tax examinations in any jurisdiction. As of December 31, 2024, the Company has an uncertain tax position of $2.9 million, representing 20% of historic R&amp;D tax losses claimed for Alternative Minimum Tax (“AMT”) specific to the year ending December 31, 2022.</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For Mereo BioPharma 5, Inc., with respect to accumulated tax losses carried forward prior to its acquisition by the Company, of $18.2 million, there is a change of control restriction which will limit the amount available in any one year to $0.3 million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currently grants equity awards under the Mereo 2019 Equity Incentive Plan (the “2019 EIP”) and the 2019 Non-Employee Equity Incentive Plan (the “2019 NED EIP”). There are also still outstanding awards under two previous plans, the 2015 Plan and the Mereo Share Option Plan (together the "Previous Share Option Plans"), however no awards have been granted under these plans since 2016 and no further grants are envisaged.</w:t>
      </w:r>
    </w:p>
    <w:p>
      <w:pPr>
        <w:spacing w:after="0" w:line="176" w:lineRule="exact"/>
        <w:rPr>
          <w:sz w:val="20"/>
          <w:szCs w:val="20"/>
          <w:color w:val="auto"/>
        </w:rPr>
      </w:pPr>
    </w:p>
    <w:p>
      <w:pPr>
        <w:jc w:val="both"/>
        <w:ind w:right="200" w:firstLine="794"/>
        <w:spacing w:after="0" w:line="266" w:lineRule="auto"/>
        <w:rPr>
          <w:sz w:val="20"/>
          <w:szCs w:val="20"/>
          <w:color w:val="auto"/>
        </w:rPr>
      </w:pPr>
      <w:r>
        <w:rPr>
          <w:rFonts w:ascii="Times New Roman" w:cs="Times New Roman" w:eastAsia="Times New Roman" w:hAnsi="Times New Roman"/>
          <w:sz w:val="18"/>
          <w:szCs w:val="18"/>
          <w:color w:val="auto"/>
        </w:rPr>
        <w:t>The 2019 EIP and 2019 NED EIP were adopted on April 4, 2019, and subsequently amended on February 3, 2020 and January 15, 2021. The 2019 EIP and 2019 NED EIP authorize the grant of a variety of types of share awards over the Company’s ADSs to executives and employees, and non-executives, respectively. The total number of ADSs available for issue under the 2019 EIP and 2019 NED EIP was 9.0 million as of December 31, 2024.</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charge for share based compensation arises solely in respect of awards made under these two active plans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00" w:type="dxa"/>
            <w:vAlign w:val="bottom"/>
          </w:tcPr>
          <w:p>
            <w:pPr>
              <w:spacing w:after="0"/>
              <w:rPr>
                <w:sz w:val="18"/>
                <w:szCs w:val="18"/>
                <w:color w:val="auto"/>
              </w:rPr>
            </w:pPr>
          </w:p>
        </w:tc>
      </w:tr>
      <w:tr>
        <w:trPr>
          <w:trHeight w:val="238"/>
        </w:trPr>
        <w:tc>
          <w:tcPr>
            <w:tcW w:w="6140" w:type="dxa"/>
            <w:vAlign w:val="bottom"/>
          </w:tcPr>
          <w:p>
            <w:pPr>
              <w:spacing w:after="0"/>
              <w:rPr>
                <w:sz w:val="20"/>
                <w:szCs w:val="20"/>
                <w:color w:val="auto"/>
              </w:rPr>
            </w:pPr>
          </w:p>
        </w:tc>
        <w:tc>
          <w:tcPr>
            <w:tcW w:w="284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140" w:type="dxa"/>
            <w:vAlign w:val="bottom"/>
          </w:tcPr>
          <w:p>
            <w:pPr>
              <w:spacing w:after="0"/>
              <w:rPr>
                <w:sz w:val="18"/>
                <w:szCs w:val="18"/>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14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($'000)</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EIP</w:t>
            </w:r>
          </w:p>
        </w:tc>
        <w:tc>
          <w:tcPr>
            <w:tcW w:w="13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5,898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4,064</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2019 NED EIP</w:t>
            </w:r>
          </w:p>
        </w:tc>
        <w:tc>
          <w:tcPr>
            <w:tcW w:w="13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r>
      <w:tr>
        <w:trPr>
          <w:trHeight w:val="250"/>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cost related to outstanding share awards was $4.1 million, which the Company expects to recognize over a weighted-average period of 1.6 years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majority of awards that were exercised in the years ended December 31, 2024 and 2023 were net share settled such that the Company withheld shares with a value equivalent to the exercise price. Shares delivered on exercise with a value sufficient to cover the employees’ obligation for the applicable income and other employment taxes were sold and the proceeds remitted to the appropriate taxing authorities.</w:t>
      </w:r>
    </w:p>
    <w:p>
      <w:pPr>
        <w:spacing w:after="0" w:line="176"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Shares delivered in the settlement of employee Option exercises, and RSU and PSU vestings were satisfied through the issuance of new shares. However, prior to March 2024, the remaining shares held in the Employee Benefit Trust ("EBT") were used to satisfy the exercise of Options and vesting of RSUs to employees. The EBT was subsequently terminated during the year ended December 31, 2024. Shares delivered in settlement of deferred RSUs to non-executive directors following separation of service were satisfied by issuing new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EIP</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4" w:name="page135"/>
    <w:bookmarkEnd w:id="134"/>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Value Options (“Options”)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Options permit the recipient to purchase ADSs at an exercise price equal to the market price of the underlying ADSs on the date of grant. Options issued under the EIP have a contractual term of 10 years and vest over four years, with one-fourth of the award vesting on the first anniversary of the grant date and the remainder vesting in equal monthly installments over the three-year period thereafter. No performance conditions apply to such Options.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under the 2019 EIP for 2024 and 2023 is as follows; all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are expected to vest:</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40" w:type="dxa"/>
            <w:vAlign w:val="bottom"/>
          </w:tcPr>
          <w:p>
            <w:pPr>
              <w:spacing w:after="0"/>
              <w:rPr>
                <w:sz w:val="18"/>
                <w:szCs w:val="18"/>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840" w:type="dxa"/>
            <w:vAlign w:val="bottom"/>
          </w:tcPr>
          <w:p>
            <w:pPr>
              <w:spacing w:after="0"/>
              <w:rPr>
                <w:sz w:val="18"/>
                <w:szCs w:val="18"/>
                <w:color w:val="auto"/>
              </w:rPr>
            </w:pP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8"/>
        </w:trPr>
        <w:tc>
          <w:tcPr>
            <w:tcW w:w="5840" w:type="dxa"/>
            <w:vAlign w:val="bottom"/>
          </w:tcPr>
          <w:p>
            <w:pPr>
              <w:spacing w:after="0"/>
              <w:rPr>
                <w:sz w:val="20"/>
                <w:szCs w:val="20"/>
                <w:color w:val="auto"/>
              </w:rPr>
            </w:pP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6,857,861</w:t>
            </w:r>
          </w:p>
        </w:tc>
        <w:tc>
          <w:tcPr>
            <w:tcW w:w="1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4,874,300</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(1,324,809 )</w:t>
            </w:r>
          </w:p>
        </w:tc>
        <w:tc>
          <w:tcPr>
            <w:tcW w:w="1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(60,519 )</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(751,672 )</w:t>
            </w: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9,595,161</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8,122</w:t>
            </w:r>
          </w:p>
        </w:tc>
      </w:tr>
      <w:tr>
        <w:trPr>
          <w:trHeight w:val="209"/>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2,502,269</w:t>
            </w:r>
          </w:p>
        </w:tc>
        <w:tc>
          <w:tcPr>
            <w:tcW w:w="1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(47,288 )</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(774,119 )</w:t>
            </w:r>
          </w:p>
        </w:tc>
        <w:tc>
          <w:tcPr>
            <w:tcW w:w="1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1,792</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11,271,023</w:t>
            </w: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15,758</w:t>
            </w:r>
          </w:p>
        </w:tc>
      </w:tr>
      <w:tr>
        <w:trPr>
          <w:trHeight w:val="196"/>
        </w:trPr>
        <w:tc>
          <w:tcPr>
            <w:tcW w:w="58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5,720,248</w:t>
            </w:r>
          </w:p>
        </w:tc>
        <w:tc>
          <w:tcPr>
            <w:tcW w:w="14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14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8,943</w:t>
            </w:r>
          </w:p>
        </w:tc>
      </w:tr>
      <w:tr>
        <w:trPr>
          <w:trHeight w:val="216"/>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Unvested</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5,550,775</w:t>
            </w:r>
          </w:p>
        </w:tc>
        <w:tc>
          <w:tcPr>
            <w:tcW w:w="1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-1148080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-1148080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-299720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-282575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-299720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-282575</wp:posOffset>
            </wp:positionV>
            <wp:extent cx="603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At January 1, 2024, 6,169,952 Options with a weighted average grant date fair value of $1.13 were unvested. The weighted average per share fair value of options vesting during the year ended December 31, 2024 was $1.20 (2023: $1.55).</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 ended December 31, 2024 was $2.61 (2023: $0.92).</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December 31, 2024, the weighted average contractual life of Options outstanding was 7.6 years (2023: 8.1 years) and for vested Options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 years (2023: 7.1 years).</w:t>
      </w:r>
    </w:p>
    <w:p>
      <w:pPr>
        <w:spacing w:after="0" w:line="20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332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3.36</w:t>
            </w:r>
          </w:p>
        </w:tc>
        <w:tc>
          <w:tcPr>
            <w:tcW w:w="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90.82 %</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2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120" w:type="dxa"/>
            <w:vAlign w:val="bottom"/>
          </w:tcPr>
          <w:p>
            <w:pPr>
              <w:spacing w:after="0"/>
              <w:rPr>
                <w:sz w:val="18"/>
                <w:szCs w:val="18"/>
                <w:color w:val="auto"/>
              </w:rPr>
            </w:pPr>
          </w:p>
        </w:tc>
      </w:tr>
      <w:tr>
        <w:trPr>
          <w:trHeight w:val="648"/>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320" w:type="dxa"/>
            <w:vAlign w:val="bottom"/>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F-28</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5" w:name="page136"/>
    <w:bookmarkEnd w:id="135"/>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expected volatility assumption is calculated by reference to the historical volatility of an appropriate peer group of companies for a period equal to the expected term of the Option. The grant date fair value is recognized over the requisite service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Each RSU entitles the holder a conditional right to receive an ADS at no cost upon the completion of the applicable vesting period. RSUs granted under the EIP vest over three years with one-third of the awards vesting on the first anniversary of the grant date and the remainder vesting in four equal six-monthly installments thereafter. Upon vesting of the RSUs, the Company issues the requisite ADSs, a portion of which are sold to satisfy the resulting tax obligations, and the remaining ADSs are delivered to the holder. RSUs have a maximum contractual life of 3.0 years.</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RSU activity and related information under the 2019 EIP for 2024 and 2023 is as follows. All outstanding RSUs are expected to vest:</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3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3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8"/>
        </w:trPr>
        <w:tc>
          <w:tcPr>
            <w:tcW w:w="530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(ADSs)</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1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679,225</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(190,000 )</w:t>
            </w:r>
          </w:p>
        </w:tc>
        <w:tc>
          <w:tcPr>
            <w:tcW w:w="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489,225</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r>
      <w:tr>
        <w:trPr>
          <w:trHeight w:val="209"/>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204,914</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(229,359 )</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(23,533 )</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December 31, 2024</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441,247</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r>
      <w:tr>
        <w:trPr>
          <w:trHeight w:val="20"/>
        </w:trPr>
        <w:tc>
          <w:tcPr>
            <w:tcW w:w="5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-736600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-736600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December 31, 2024, the weighted average remaining vesting period of RSUs outstanding was 2.2 years (2023: 2.1 years). The total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shares vested during the year ended December 31, 2024 was $0.9 million (2023: $nil).</w:t>
      </w:r>
    </w:p>
    <w:p>
      <w:pPr>
        <w:spacing w:after="0" w:line="20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quoted market price of the Company’s ADSs. The fair value of each RSU is calculated by reference to the value of the shares awarded.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Restricted Stock Units (“PSUs”)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Each PSU entitles the holder a conditional right to receive an ADS at no cost upon satisfaction of four escalating ADS price performance targets over a two year performance period following the date of grant. A summary of the Company’s PSU activity and related information under the 2019 EIP for 2024 and 2023 is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3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3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PSUs</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8"/>
        </w:trPr>
        <w:tc>
          <w:tcPr>
            <w:tcW w:w="530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(ADSs)</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1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1,543,150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(205,000 )</w:t>
            </w:r>
          </w:p>
        </w:tc>
        <w:tc>
          <w:tcPr>
            <w:tcW w:w="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1,338,150</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3,091</w:t>
            </w:r>
          </w:p>
        </w:tc>
      </w:tr>
      <w:tr>
        <w:trPr>
          <w:trHeight w:val="210"/>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(1,338,150 )</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5,100</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-462280</wp:posOffset>
            </wp:positionV>
            <wp:extent cx="514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-462280</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awards were valued using a Monte Carlo model with the following key inputs: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36" w:name="page137"/>
    <w:bookmarkEnd w:id="136"/>
    <w:tbl>
      <w:tblPr>
        <w:tblLayout w:type="fixed"/>
        <w:tblInd w:w="114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17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1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105.56 %</w:t>
            </w: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grant date fair value was recognized over the expected life using the straight-line attribution method. The total fair value of shares vested during the year ended December 31, 2024 was $0.8 million (2023: $nil).</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NED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NED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Options permit the recipient to purchase ADSs at an exercise price equal to the market price of the underlying ADSs on the date of grant. Options issued under the 2019 NED EIP have a contractual term of 10 years and vest in equal monthly installments over one year. There are no performance conditions. A summary of the Company’s Option activity and related information under the 2019 NED EIP for 2024 and 2023 is as follows; all outstanding Options are expected to vest:</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30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30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8"/>
        </w:trPr>
        <w:tc>
          <w:tcPr>
            <w:tcW w:w="5300" w:type="dxa"/>
            <w:vAlign w:val="bottom"/>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915,087</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440,000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1,355,087</w:t>
            </w:r>
          </w:p>
        </w:tc>
        <w:tc>
          <w:tcPr>
            <w:tcW w:w="8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360,000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(173,000 )</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466</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1,542,087</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2,123</w:t>
            </w:r>
          </w:p>
        </w:tc>
      </w:tr>
      <w:tr>
        <w:trPr>
          <w:trHeight w:val="20"/>
        </w:trPr>
        <w:tc>
          <w:tcPr>
            <w:tcW w:w="5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530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1,482,087</w:t>
            </w:r>
          </w:p>
        </w:tc>
        <w:tc>
          <w:tcPr>
            <w:tcW w:w="126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126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2,123</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-876935</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-876935</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At January 1, 2024, 73,336 Options with a weighted average grant date fair value of $0.94 were unvested. The weighted average per share fair value of options vesting during the year ended December 31, 2024 was $2.44 (2023: $1.38).</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 ended December 31, 2024 was $2.83 (2023: $0.84).</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December 31, 2024, the weighted average contractual life of Options outstanding was 7.5 years (2023: 8.0 years) and for vested Options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years (2023: 7.9 years).</w:t>
      </w:r>
    </w:p>
    <w:p>
      <w:pPr>
        <w:spacing w:after="0" w:line="20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using the following weighted average assumptions:</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137" w:name="page138"/>
    <w:bookmarkEnd w:id="137"/>
    <w:tbl>
      <w:tblPr>
        <w:tblLayout w:type="fixed"/>
        <w:tblInd w:w="114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04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4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3.87</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0.94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8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90.67 %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97.94 %</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 (%)</w:t>
            </w:r>
          </w:p>
        </w:tc>
        <w:tc>
          <w:tcPr>
            <w:tcW w:w="8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25"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expected volatility assumption is calculated by reference to the historical volatility of an appropriate peer group of companies for a period equal to the expected term of the Option.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Restricted Stock Units (“DRSUs”)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Non-executive directors may voluntarily elect to convert their annual cash fees for services on the board of directors and DRSUs were granted to NEDs who made such elections. The number of DRSUs granted is determined by dividing the amount of the annual cash compensation by the average closing trading price of the Company's ADSs over the most recent 30 trading days as of the date of grant. Each DRSU entitles the holder to receive an ADS at no cost upon the completion of the vesting period. DRSUs granted under the 2019 NED EIP vest in substantially equal monthly installments over the plan year. Delivery of ADSs underlying DRSUs will generally be 180 days following separation of service but have no specified contractual term.</w:t>
      </w:r>
    </w:p>
    <w:p>
      <w:pPr>
        <w:spacing w:after="0" w:line="183"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DRSU activity and related information under the 2019 NED EIP for 2024 and 2023 is as follows. At December 31, 2024 all DRSUs are expected to vest:</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30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30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DRSUs</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8"/>
        </w:trPr>
        <w:tc>
          <w:tcPr>
            <w:tcW w:w="5300" w:type="dxa"/>
            <w:vAlign w:val="bottom"/>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348,044</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482,214</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 and delivered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(100,276 )</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729,982</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1,686</w:t>
            </w: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125,393</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855,375</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2,891</w:t>
            </w:r>
          </w:p>
        </w:tc>
      </w:tr>
      <w:tr>
        <w:trPr>
          <w:trHeight w:val="20"/>
        </w:trPr>
        <w:tc>
          <w:tcPr>
            <w:tcW w:w="5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530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834,472</w:t>
            </w:r>
          </w:p>
        </w:tc>
        <w:tc>
          <w:tcPr>
            <w:tcW w:w="126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126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2,821</w:t>
            </w: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20,903</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bl>
    <w:p>
      <w:pPr>
        <w:spacing w:after="0" w:line="17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quoted market price of the Company’s ADSs. The fair value of each DRSU was calculated by reference to the value of the shares awarded.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Share Option Plans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Mereo previously granted options to employees under two separate plans, the Mereo BioPharma Group Limited Share Option Plan (the “2015 Plan”) and the Mereo Share Option Plan (the “Share Option Plan”). No awards have been granted under either of these plans since 2017 and following the introduction of the 2019 EIP and the 2019 NED EIP, no further awards are envisaged.</w:t>
      </w:r>
    </w:p>
    <w:p>
      <w:pPr>
        <w:spacing w:after="0" w:line="176"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All awards made under these plans became fully vested, with all compensation cost fully recognized before December 31, 2021. A summary of the awards still outstanding under these plans is as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8" w:name="page139"/>
    <w:bookmarkEnd w:id="138"/>
    <w:tbl>
      <w:tblPr>
        <w:tblLayout w:type="fixed"/>
        <w:tblInd w:w="11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30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30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8"/>
        </w:trPr>
        <w:tc>
          <w:tcPr>
            <w:tcW w:w="5300" w:type="dxa"/>
            <w:vAlign w:val="bottom"/>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1,683,555</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(111,197 )</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tcPr>
          <w:p>
            <w:pPr>
              <w:spacing w:after="0"/>
              <w:rPr>
                <w:sz w:val="18"/>
                <w:szCs w:val="18"/>
                <w:color w:val="auto"/>
              </w:rPr>
            </w:pP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1,572,358</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(152,491 )</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18"/>
                <w:szCs w:val="18"/>
                <w:color w:val="auto"/>
              </w:rPr>
            </w:pP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1,419,867</w:t>
            </w: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-25400</wp:posOffset>
            </wp:positionV>
            <wp:extent cx="514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December 31, 2024, the weighted average contractual life of options outstanding and vested was 0.8 years (2023: 1.8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Loss per share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by dividing the loss attributable for the year to ordinary equity holders of the Company by the weighted average number of ordinary shares outstanding during the year. Diluted loss per share is based on dividing the loss attributable for the year, adjusted for the effect of diluted ordinary shares, by ordinary share equivalents, which includes the weighted average number of ordinary shares outstanding and the effect of dilutive ordinary share equivalents.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6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87"/>
        </w:trPr>
        <w:tc>
          <w:tcPr>
            <w:tcW w:w="6120" w:type="dxa"/>
            <w:vAlign w:val="bottom"/>
          </w:tcPr>
          <w:p>
            <w:pPr>
              <w:spacing w:after="0"/>
              <w:rPr>
                <w:sz w:val="16"/>
                <w:szCs w:val="16"/>
                <w:color w:val="auto"/>
              </w:rPr>
            </w:pPr>
          </w:p>
        </w:tc>
        <w:tc>
          <w:tcPr>
            <w:tcW w:w="1360" w:type="dxa"/>
            <w:vAlign w:val="bottom"/>
            <w:gridSpan w:val="2"/>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140" w:type="dxa"/>
            <w:vAlign w:val="bottom"/>
          </w:tcPr>
          <w:p>
            <w:pPr>
              <w:spacing w:after="0"/>
              <w:rPr>
                <w:sz w:val="16"/>
                <w:szCs w:val="16"/>
                <w:color w:val="auto"/>
              </w:rPr>
            </w:pPr>
          </w:p>
        </w:tc>
        <w:tc>
          <w:tcPr>
            <w:tcW w:w="1360" w:type="dxa"/>
            <w:vAlign w:val="bottom"/>
            <w:gridSpan w:val="2"/>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13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40" w:type="dxa"/>
            <w:vAlign w:val="bottom"/>
          </w:tcPr>
          <w:p>
            <w:pPr>
              <w:spacing w:after="0"/>
              <w:rPr>
                <w:sz w:val="18"/>
                <w:szCs w:val="18"/>
                <w:color w:val="auto"/>
              </w:rPr>
            </w:pPr>
          </w:p>
        </w:tc>
        <w:tc>
          <w:tcPr>
            <w:tcW w:w="13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0" w:type="dxa"/>
            <w:vAlign w:val="bottom"/>
          </w:tcPr>
          <w:p>
            <w:pPr>
              <w:spacing w:after="0"/>
              <w:rPr>
                <w:sz w:val="1"/>
                <w:szCs w:val="1"/>
                <w:color w:val="auto"/>
              </w:rPr>
            </w:pPr>
          </w:p>
        </w:tc>
      </w:tr>
      <w:tr>
        <w:trPr>
          <w:trHeight w:val="238"/>
        </w:trPr>
        <w:tc>
          <w:tcPr>
            <w:tcW w:w="6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(43,253 )</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(29,466 )</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1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 basic</w:t>
            </w:r>
          </w:p>
        </w:tc>
        <w:tc>
          <w:tcPr>
            <w:tcW w:w="18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739,624,264</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659,453,921</w:t>
            </w:r>
          </w:p>
        </w:tc>
        <w:tc>
          <w:tcPr>
            <w:tcW w:w="0" w:type="dxa"/>
            <w:vAlign w:val="bottom"/>
          </w:tcPr>
          <w:p>
            <w:pPr>
              <w:spacing w:after="0"/>
              <w:rPr>
                <w:sz w:val="1"/>
                <w:szCs w:val="1"/>
                <w:color w:val="auto"/>
              </w:rPr>
            </w:pPr>
          </w:p>
        </w:tc>
      </w:tr>
      <w:tr>
        <w:trPr>
          <w:trHeight w:val="234"/>
        </w:trPr>
        <w:tc>
          <w:tcPr>
            <w:tcW w:w="612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-445135</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857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share-based compensation awards, convertible loan notes, warrant liabilities and warrants classified in equity were anti-dilutive as they would have decreased the loss per share and were excluded from the calculation of diluted loss per share. Therefore, the weighted average shares outstanding used to calculate both the basic and diluted loss per share was the same.</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20" w:type="dxa"/>
            <w:vAlign w:val="bottom"/>
          </w:tcPr>
          <w:p>
            <w:pPr>
              <w:spacing w:after="0"/>
              <w:rPr>
                <w:sz w:val="18"/>
                <w:szCs w:val="18"/>
                <w:color w:val="auto"/>
              </w:rPr>
            </w:pPr>
          </w:p>
        </w:tc>
      </w:tr>
      <w:tr>
        <w:trPr>
          <w:trHeight w:val="238"/>
        </w:trPr>
        <w:tc>
          <w:tcPr>
            <w:tcW w:w="614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10"/>
        </w:trPr>
        <w:tc>
          <w:tcPr>
            <w:tcW w:w="6140" w:type="dxa"/>
            <w:vAlign w:val="bottom"/>
          </w:tcPr>
          <w:p>
            <w:pPr>
              <w:spacing w:after="0"/>
              <w:rPr>
                <w:sz w:val="18"/>
                <w:szCs w:val="18"/>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77,647,995</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75,399,815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16,966,052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15,657,825</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2,487,816</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2,487,816</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Warrants classified in equity</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5,001,313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5,001,313</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right="20" w:firstLine="749"/>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w:t>
      </w:r>
    </w:p>
    <w:p>
      <w:pPr>
        <w:spacing w:after="0" w:line="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However, the Company may record charges in the future as a result of these indemnification obligations. In accordance with the Articles of Association in force on December 31, 2024, the Company has indemnification obligations to its officers and directors for certain events or occurrences, subject to certain limits, while they are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9" w:name="page140"/>
    <w:bookmarkEnd w:id="139"/>
    <w:p>
      <w:pPr>
        <w:ind w:right="440"/>
        <w:spacing w:after="0" w:line="282" w:lineRule="auto"/>
        <w:rPr>
          <w:sz w:val="20"/>
          <w:szCs w:val="20"/>
          <w:color w:val="auto"/>
        </w:rPr>
      </w:pPr>
      <w:r>
        <w:rPr>
          <w:rFonts w:ascii="Times New Roman" w:cs="Times New Roman" w:eastAsia="Times New Roman" w:hAnsi="Times New Roman"/>
          <w:sz w:val="18"/>
          <w:szCs w:val="18"/>
          <w:color w:val="auto"/>
        </w:rPr>
        <w:t>serving at the Company’s request in such capacity. There have been no claims to date, and the Company has directors and officers insurance that may enable it to recover a portion of any amounts paid for future potential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Asset Purchase Agreements</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issued to Novartis loan notes and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spacing w:after="0" w:line="176" w:lineRule="exact"/>
        <w:rPr>
          <w:sz w:val="20"/>
          <w:szCs w:val="20"/>
          <w:color w:val="auto"/>
        </w:rPr>
      </w:pPr>
    </w:p>
    <w:p>
      <w:pPr>
        <w:jc w:val="both"/>
        <w:ind w:right="300" w:firstLine="749"/>
        <w:spacing w:after="0" w:line="261" w:lineRule="auto"/>
        <w:rPr>
          <w:sz w:val="20"/>
          <w:szCs w:val="20"/>
          <w:color w:val="auto"/>
        </w:rPr>
      </w:pPr>
      <w:r>
        <w:rPr>
          <w:rFonts w:ascii="Times New Roman" w:cs="Times New Roman" w:eastAsia="Times New Roman" w:hAnsi="Times New Roman"/>
          <w:sz w:val="18"/>
          <w:szCs w:val="18"/>
          <w:color w:val="auto"/>
        </w:rPr>
        <w:t>The Company further agreed that in the event it transfers, licenses, assigns or leases all or substantially all of its assets, it will pay Novartis a percentage of the proceeds of such transaction.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AstraZeneca</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October 2017, the Company entered into an exclusive license and option agreement (“the AstraZeneca License Agreement”) and subscription deed (the “AstraZeneca Subscription Deed”), together (the “Original Agreements”) with AstraZeneca. Each of these were amended on November 8, 2024, when the Company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Original Agreements, the Company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the Company made a payment of $3.0 million and issued 490,798 ordinary shares (equivalent to 98,159 ADSs) to AstraZeneca, for an aggregate upfront payment equal to $5.0 million. Upon execution of the Amended AstraZeneca License Agreement, the Company issued 2,044,390 ordinary shares and paid $0.5 million to AstraZeneca in respect of an agreed milestone.</w:t>
      </w:r>
    </w:p>
    <w:p>
      <w:pPr>
        <w:spacing w:after="0" w:line="187" w:lineRule="exact"/>
        <w:rPr>
          <w:sz w:val="20"/>
          <w:szCs w:val="20"/>
          <w:color w:val="auto"/>
        </w:rPr>
      </w:pPr>
    </w:p>
    <w:p>
      <w:pPr>
        <w:ind w:firstLine="794"/>
        <w:spacing w:after="0" w:line="253" w:lineRule="auto"/>
        <w:rPr>
          <w:sz w:val="20"/>
          <w:szCs w:val="20"/>
          <w:color w:val="auto"/>
        </w:rPr>
      </w:pPr>
      <w:r>
        <w:rPr>
          <w:rFonts w:ascii="Times New Roman" w:cs="Times New Roman" w:eastAsia="Times New Roman" w:hAnsi="Times New Roman"/>
          <w:sz w:val="18"/>
          <w:szCs w:val="18"/>
          <w:color w:val="auto"/>
        </w:rPr>
        <w:t>Under the terms of the Amended AstraZeneca Agreements, the Company has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 The number of ADSs to be issued to satisfy each equity milestone is determined by dividing a monetary amount by a defined subscription price based on the weighted average trading price of our ADSs. In addition,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19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Amended AstraZeneca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AstraZeneca License Agreement upon prior written notice. Either party may terminate the agreement upon prior written notice for the other party’s material breach that remains uncured for a specified period of time or insolvency.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CROs,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manufacturing commitments with CMOs of $0.5 million as of December 31, 2024 (2023: $4.2 million).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 agreement with Ultragenyx</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December 2024, the Company entered into a manufacturing and supply agreement with Ultragenyx under which Ultragenyx is responsible for the manufacture and supply of setrusumab to the Company in its territories. The Company is also required to reimburse Ultragenyx for a portion of the manufacturing process development costs as well as future commercial supply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140" w:firstLine="749"/>
        <w:spacing w:after="0" w:line="312" w:lineRule="auto"/>
        <w:rPr>
          <w:sz w:val="20"/>
          <w:szCs w:val="20"/>
          <w:color w:val="auto"/>
        </w:rPr>
      </w:pPr>
      <w:r>
        <w:rPr>
          <w:rFonts w:ascii="Times New Roman" w:cs="Times New Roman" w:eastAsia="Times New Roman" w:hAnsi="Times New Roman"/>
          <w:sz w:val="17"/>
          <w:szCs w:val="17"/>
          <w:color w:val="auto"/>
        </w:rPr>
        <w:t>From time to time, the Company may be a party to litigation or subject to claims incident to the ordinary course of business. The Company was not a party to any material litigation and did not have any material contingency reserves established for any liabilities as of December 31, 2024 and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years ended December 31, 2024 and 2023, there were no reportable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one operating segment focused on the business of developing rare disease therapies. The accounting policies of the single operating segment are described in Note 2. The chief operating decision maker, its Chief Executive Officer, assesses performance for the entity and decides how to allocate resources based on consolidated net loss, which is reported on the consolidated statements of operations and comprehensive loss. The measure of segment assets is reported on the balance sheet as total consolidated assets.</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consolidated net loss and budget-to-actual variances for consolidated net loss to assess the performance of the operating segment.</w:t>
      </w:r>
    </w:p>
    <w:p>
      <w:pPr>
        <w:spacing w:after="0" w:line="16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financial data for the Company’s reportable segment, including significant segment expenses regularly provided to the chief operating decision maker to assess performance of the Company.</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10"/>
        </w:trPr>
        <w:tc>
          <w:tcPr>
            <w:tcW w:w="6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194"/>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(2,574 )</w:t>
            </w: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Setrusumab (BPS-804/UX143)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(3,157 )</w:t>
            </w: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Alvelestat (MPH-966)</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(12,918 )</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(6,730 )</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Etigilimab (MPH-313)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(7,263 )</w:t>
            </w: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Leflutrozole (BGS-649)</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Acumapimod (BCT-197)</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(26,434 )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(18,424 )</w:t>
            </w:r>
          </w:p>
        </w:tc>
      </w:tr>
      <w:tr>
        <w:trPr>
          <w:trHeight w:val="21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expenses</w:t>
            </w: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4,111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(1,582 )</w:t>
            </w: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(43,253 )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(29,998 )</w:t>
            </w: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-170815</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Other segment expenses consist of interest income, interest expense, change in fair value of warrants, foreign currency transaction loss/(gain), other expenses, net, and benefit from research and development tax credit. These are disclosed 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41" w:name="page142"/>
    <w:bookmarkEnd w:id="141"/>
    <w:p>
      <w:pPr>
        <w:ind w:firstLine="749"/>
        <w:spacing w:after="0" w:line="282" w:lineRule="auto"/>
        <w:rPr>
          <w:sz w:val="20"/>
          <w:szCs w:val="20"/>
          <w:color w:val="auto"/>
        </w:rPr>
      </w:pPr>
      <w:r>
        <w:rPr>
          <w:rFonts w:ascii="Times New Roman" w:cs="Times New Roman" w:eastAsia="Times New Roman" w:hAnsi="Times New Roman"/>
          <w:sz w:val="18"/>
          <w:szCs w:val="18"/>
          <w:color w:val="auto"/>
        </w:rPr>
        <w:t>On February 7, 2025, the Company received a conversion notice and subsequently issued and allotted 17,105,450 ordinary shares (equivalent to 3,421,090 ADSs) on the non-cash conversion of the outstanding principal and accrued interest of the Novartis Loan Note.</w:t>
      </w:r>
    </w:p>
    <w:p>
      <w:pPr>
        <w:spacing w:after="0" w:line="162" w:lineRule="exact"/>
        <w:rPr>
          <w:sz w:val="20"/>
          <w:szCs w:val="20"/>
          <w:color w:val="auto"/>
        </w:rPr>
      </w:pPr>
    </w:p>
    <w:p>
      <w:pPr>
        <w:ind w:right="420" w:firstLine="794"/>
        <w:spacing w:after="0" w:line="282" w:lineRule="auto"/>
        <w:rPr>
          <w:sz w:val="20"/>
          <w:szCs w:val="20"/>
          <w:color w:val="auto"/>
        </w:rPr>
      </w:pPr>
      <w:r>
        <w:rPr>
          <w:rFonts w:ascii="Times New Roman" w:cs="Times New Roman" w:eastAsia="Times New Roman" w:hAnsi="Times New Roman"/>
          <w:sz w:val="18"/>
          <w:szCs w:val="18"/>
          <w:color w:val="auto"/>
        </w:rPr>
        <w:t>In addition, on February 7, 2025, Novartis exercised 1,449,610 warrants (equivalent to 289,922 ADSs) and upon receipt of $0.5 million in satisfaction of the subscription price of £0.265 per ordinary share, the Company issued and allotted the shares.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42" w:name="page143"/>
    <w:bookmarkEnd w:id="142"/>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10.31</w:t>
      </w:r>
    </w:p>
    <w:p>
      <w:pPr>
        <w:spacing w:after="0" w:line="200" w:lineRule="exact"/>
        <w:rPr>
          <w:sz w:val="20"/>
          <w:szCs w:val="20"/>
          <w:color w:val="auto"/>
        </w:rPr>
      </w:pPr>
    </w:p>
    <w:p>
      <w:pPr>
        <w:spacing w:after="0" w:line="286" w:lineRule="exact"/>
        <w:rPr>
          <w:sz w:val="20"/>
          <w:szCs w:val="20"/>
          <w:color w:val="auto"/>
        </w:rPr>
      </w:pPr>
    </w:p>
    <w:p>
      <w:pPr>
        <w:jc w:val="center"/>
        <w:ind w:right="120"/>
        <w:spacing w:after="0" w:line="286" w:lineRule="auto"/>
        <w:rPr>
          <w:sz w:val="20"/>
          <w:szCs w:val="20"/>
          <w:color w:val="auto"/>
        </w:rPr>
      </w:pPr>
      <w:r>
        <w:rPr>
          <w:rFonts w:ascii="Arial" w:cs="Arial" w:eastAsia="Arial" w:hAnsi="Arial"/>
          <w:sz w:val="16"/>
          <w:szCs w:val="16"/>
          <w:color w:val="auto"/>
        </w:rPr>
        <w:t>CERTAIN CONFIDENTIAL INFORMATION CONTAINED IN THIS DOCUMENT, MARKED BY [***], HAS BEEN OMITTED BECAUSE IT IS BOTH (i) NOT MATERIAL AND (ii) WOULD BE COMPETITIVELY HARMFUL IF PUBLICLY DISCLOSED</w:t>
      </w:r>
    </w:p>
    <w:p>
      <w:pPr>
        <w:spacing w:after="0" w:line="33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030303"/>
        </w:rPr>
        <w:t>DATED</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030303"/>
        </w:rPr>
        <w:t>8 November 2024</w:t>
      </w: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030303"/>
        </w:rPr>
        <w:t>DEED OF AMENDMENT AND RESTATEMENT</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030303"/>
        </w:rPr>
        <w:t>relating to an Amended and Restated Subscription Deed</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030303"/>
        </w:rPr>
        <w:t>between</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030303"/>
        </w:rPr>
        <w:t>ASTRAZENECA AB</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030303"/>
        </w:rPr>
        <w:t>and</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030303"/>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220345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143" w:name="page144"/>
    <w:bookmarkEnd w:id="143"/>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030303"/>
        </w:rPr>
        <w:t xml:space="preserve">This deed (the </w:t>
      </w:r>
      <w:r>
        <w:rPr>
          <w:rFonts w:ascii="Arial" w:cs="Arial" w:eastAsia="Arial" w:hAnsi="Arial"/>
          <w:sz w:val="17"/>
          <w:szCs w:val="17"/>
          <w:b w:val="1"/>
          <w:bCs w:val="1"/>
          <w:color w:val="030303"/>
        </w:rPr>
        <w:t>"Deed")</w:t>
      </w:r>
      <w:r>
        <w:rPr>
          <w:rFonts w:ascii="Arial" w:cs="Arial" w:eastAsia="Arial" w:hAnsi="Arial"/>
          <w:sz w:val="17"/>
          <w:szCs w:val="17"/>
          <w:color w:val="030303"/>
        </w:rPr>
        <w:t xml:space="preserve"> is dated 8 November 2024, between:</w:t>
      </w:r>
    </w:p>
    <w:p>
      <w:pPr>
        <w:spacing w:after="0" w:line="156" w:lineRule="exact"/>
        <w:rPr>
          <w:sz w:val="20"/>
          <w:szCs w:val="20"/>
          <w:color w:val="auto"/>
        </w:rPr>
      </w:pPr>
    </w:p>
    <w:p>
      <w:pPr>
        <w:ind w:left="660" w:right="20" w:hanging="639"/>
        <w:spacing w:after="0" w:line="280" w:lineRule="auto"/>
        <w:tabs>
          <w:tab w:leader="none" w:pos="660" w:val="left"/>
        </w:tabs>
        <w:numPr>
          <w:ilvl w:val="0"/>
          <w:numId w:val="70"/>
        </w:numPr>
        <w:rPr>
          <w:rFonts w:ascii="Arial" w:cs="Arial" w:eastAsia="Arial" w:hAnsi="Arial"/>
          <w:sz w:val="17"/>
          <w:szCs w:val="17"/>
          <w:b w:val="1"/>
          <w:bCs w:val="1"/>
          <w:color w:val="030303"/>
        </w:rPr>
      </w:pPr>
      <w:r>
        <w:rPr>
          <w:rFonts w:ascii="Arial" w:cs="Arial" w:eastAsia="Arial" w:hAnsi="Arial"/>
          <w:sz w:val="17"/>
          <w:szCs w:val="17"/>
          <w:b w:val="1"/>
          <w:bCs w:val="1"/>
          <w:color w:val="030303"/>
        </w:rPr>
        <w:t xml:space="preserve">ASTRAZENECA AB, </w:t>
      </w:r>
      <w:r>
        <w:rPr>
          <w:rFonts w:ascii="Arial" w:cs="Arial" w:eastAsia="Arial" w:hAnsi="Arial"/>
          <w:sz w:val="17"/>
          <w:szCs w:val="17"/>
          <w:color w:val="030303"/>
        </w:rPr>
        <w:t>a company incorporated in Sweden under number 566011-7482 with its registered office at SE-151 85</w:t>
      </w:r>
      <w:r>
        <w:rPr>
          <w:rFonts w:ascii="Arial" w:cs="Arial" w:eastAsia="Arial" w:hAnsi="Arial"/>
          <w:sz w:val="17"/>
          <w:szCs w:val="17"/>
          <w:b w:val="1"/>
          <w:bCs w:val="1"/>
          <w:color w:val="030303"/>
        </w:rPr>
        <w:t xml:space="preserve"> </w:t>
      </w:r>
      <w:r>
        <w:rPr>
          <w:rFonts w:ascii="Arial" w:cs="Arial" w:eastAsia="Arial" w:hAnsi="Arial"/>
          <w:sz w:val="17"/>
          <w:szCs w:val="17"/>
          <w:color w:val="030303"/>
        </w:rPr>
        <w:t xml:space="preserve">Sodertalje, Sweden </w:t>
      </w:r>
      <w:r>
        <w:rPr>
          <w:rFonts w:ascii="Arial" w:cs="Arial" w:eastAsia="Arial" w:hAnsi="Arial"/>
          <w:sz w:val="17"/>
          <w:szCs w:val="17"/>
          <w:b w:val="1"/>
          <w:bCs w:val="1"/>
          <w:color w:val="030303"/>
        </w:rPr>
        <w:t>("AstraZeneca");</w:t>
      </w:r>
      <w:r>
        <w:rPr>
          <w:rFonts w:ascii="Arial" w:cs="Arial" w:eastAsia="Arial" w:hAnsi="Arial"/>
          <w:sz w:val="17"/>
          <w:szCs w:val="17"/>
          <w:color w:val="030303"/>
        </w:rPr>
        <w:t xml:space="preserve"> and</w:t>
      </w:r>
    </w:p>
    <w:p>
      <w:pPr>
        <w:spacing w:after="0" w:line="97" w:lineRule="exact"/>
        <w:rPr>
          <w:rFonts w:ascii="Arial" w:cs="Arial" w:eastAsia="Arial" w:hAnsi="Arial"/>
          <w:sz w:val="17"/>
          <w:szCs w:val="17"/>
          <w:b w:val="1"/>
          <w:bCs w:val="1"/>
          <w:color w:val="030303"/>
        </w:rPr>
      </w:pPr>
    </w:p>
    <w:p>
      <w:pPr>
        <w:ind w:left="660" w:right="40" w:hanging="639"/>
        <w:spacing w:after="0" w:line="280" w:lineRule="auto"/>
        <w:tabs>
          <w:tab w:leader="none" w:pos="660" w:val="left"/>
        </w:tabs>
        <w:numPr>
          <w:ilvl w:val="0"/>
          <w:numId w:val="70"/>
        </w:numPr>
        <w:rPr>
          <w:rFonts w:ascii="Arial" w:cs="Arial" w:eastAsia="Arial" w:hAnsi="Arial"/>
          <w:sz w:val="17"/>
          <w:szCs w:val="17"/>
          <w:b w:val="1"/>
          <w:bCs w:val="1"/>
          <w:color w:val="030303"/>
        </w:rPr>
      </w:pPr>
      <w:r>
        <w:rPr>
          <w:rFonts w:ascii="Arial" w:cs="Arial" w:eastAsia="Arial" w:hAnsi="Arial"/>
          <w:sz w:val="17"/>
          <w:szCs w:val="17"/>
          <w:b w:val="1"/>
          <w:bCs w:val="1"/>
          <w:color w:val="030303"/>
        </w:rPr>
        <w:t xml:space="preserve">MEREO BIOPHARMA GROUP PLC, </w:t>
      </w:r>
      <w:r>
        <w:rPr>
          <w:rFonts w:ascii="Arial" w:cs="Arial" w:eastAsia="Arial" w:hAnsi="Arial"/>
          <w:sz w:val="17"/>
          <w:szCs w:val="17"/>
          <w:color w:val="030303"/>
        </w:rPr>
        <w:t>a company incorporated in England and Wales with the registered number 09481161 and</w:t>
      </w:r>
      <w:r>
        <w:rPr>
          <w:rFonts w:ascii="Arial" w:cs="Arial" w:eastAsia="Arial" w:hAnsi="Arial"/>
          <w:sz w:val="17"/>
          <w:szCs w:val="17"/>
          <w:b w:val="1"/>
          <w:bCs w:val="1"/>
          <w:color w:val="030303"/>
        </w:rPr>
        <w:t xml:space="preserve"> </w:t>
      </w:r>
      <w:r>
        <w:rPr>
          <w:rFonts w:ascii="Arial" w:cs="Arial" w:eastAsia="Arial" w:hAnsi="Arial"/>
          <w:sz w:val="17"/>
          <w:szCs w:val="17"/>
          <w:color w:val="030303"/>
        </w:rPr>
        <w:t xml:space="preserve">registered address at 4th Floor, One Cavendish Place, London, England, W1G 0QF (the </w:t>
      </w:r>
      <w:r>
        <w:rPr>
          <w:rFonts w:ascii="Arial" w:cs="Arial" w:eastAsia="Arial" w:hAnsi="Arial"/>
          <w:sz w:val="17"/>
          <w:szCs w:val="17"/>
          <w:b w:val="1"/>
          <w:bCs w:val="1"/>
          <w:color w:val="030303"/>
        </w:rPr>
        <w:t>"Company").</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30303"/>
        </w:rPr>
        <w:t>BACKGROUND</w:t>
      </w:r>
    </w:p>
    <w:p>
      <w:pPr>
        <w:spacing w:after="0" w:line="331"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6"/>
          <w:szCs w:val="16"/>
          <w:color w:val="030303"/>
        </w:rPr>
      </w:pPr>
      <w:r>
        <w:rPr>
          <w:rFonts w:ascii="Arial" w:cs="Arial" w:eastAsia="Arial" w:hAnsi="Arial"/>
          <w:sz w:val="17"/>
          <w:szCs w:val="17"/>
          <w:color w:val="030303"/>
        </w:rPr>
        <w:t>AstraZeneca and the Company are party to the First Amended and Restated Subscription Deed.</w:t>
      </w:r>
    </w:p>
    <w:p>
      <w:pPr>
        <w:spacing w:after="0" w:line="101" w:lineRule="exact"/>
        <w:rPr>
          <w:rFonts w:ascii="Times New Roman" w:cs="Times New Roman" w:eastAsia="Times New Roman" w:hAnsi="Times New Roman"/>
          <w:sz w:val="16"/>
          <w:szCs w:val="16"/>
          <w:color w:val="030303"/>
        </w:rPr>
      </w:pPr>
    </w:p>
    <w:p>
      <w:pPr>
        <w:ind w:left="660" w:right="40" w:hanging="653"/>
        <w:spacing w:after="0" w:line="267" w:lineRule="auto"/>
        <w:tabs>
          <w:tab w:leader="none" w:pos="660" w:val="left"/>
        </w:tabs>
        <w:numPr>
          <w:ilvl w:val="0"/>
          <w:numId w:val="71"/>
        </w:numPr>
        <w:rPr>
          <w:rFonts w:ascii="Times New Roman" w:cs="Times New Roman" w:eastAsia="Times New Roman" w:hAnsi="Times New Roman"/>
          <w:sz w:val="16"/>
          <w:szCs w:val="16"/>
          <w:color w:val="030303"/>
        </w:rPr>
      </w:pPr>
      <w:r>
        <w:rPr>
          <w:rFonts w:ascii="Arial" w:cs="Arial" w:eastAsia="Arial" w:hAnsi="Arial"/>
          <w:sz w:val="17"/>
          <w:szCs w:val="17"/>
          <w:color w:val="030303"/>
        </w:rPr>
        <w:t>The Parties now wish to further amend and restate the First Amended and Restated Subscription Deed in the form of the Second Amended and Restated Subscription Deed with effect from the Variation Date.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030303"/>
        </w:rPr>
        <w:t>Agreed terms</w:t>
      </w:r>
    </w:p>
    <w:p>
      <w:pPr>
        <w:spacing w:after="0" w:line="331" w:lineRule="exact"/>
        <w:rPr>
          <w:sz w:val="20"/>
          <w:szCs w:val="20"/>
          <w:color w:val="auto"/>
        </w:rPr>
      </w:pPr>
    </w:p>
    <w:p>
      <w:pPr>
        <w:ind w:left="700" w:hanging="677"/>
        <w:spacing w:after="0"/>
        <w:tabs>
          <w:tab w:leader="none" w:pos="700" w:val="left"/>
        </w:tabs>
        <w:numPr>
          <w:ilvl w:val="0"/>
          <w:numId w:val="72"/>
        </w:numPr>
        <w:rPr>
          <w:rFonts w:ascii="Arial" w:cs="Arial" w:eastAsia="Arial" w:hAnsi="Arial"/>
          <w:sz w:val="17"/>
          <w:szCs w:val="17"/>
          <w:b w:val="1"/>
          <w:bCs w:val="1"/>
          <w:color w:val="030303"/>
        </w:rPr>
      </w:pPr>
      <w:r>
        <w:rPr>
          <w:rFonts w:ascii="Arial" w:cs="Arial" w:eastAsia="Arial" w:hAnsi="Arial"/>
          <w:sz w:val="17"/>
          <w:szCs w:val="17"/>
          <w:b w:val="1"/>
          <w:bCs w:val="1"/>
          <w:color w:val="030303"/>
        </w:rPr>
        <w:t>Definitions and Interpretation</w:t>
      </w:r>
    </w:p>
    <w:p>
      <w:pPr>
        <w:spacing w:after="0" w:line="277"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6"/>
          <w:szCs w:val="16"/>
          <w:color w:val="030303"/>
        </w:rPr>
        <w:t>1.1</w:t>
      </w:r>
      <w:r>
        <w:rPr>
          <w:sz w:val="20"/>
          <w:szCs w:val="20"/>
          <w:color w:val="auto"/>
        </w:rPr>
        <w:tab/>
      </w:r>
      <w:r>
        <w:rPr>
          <w:rFonts w:ascii="Arial" w:cs="Arial" w:eastAsia="Arial" w:hAnsi="Arial"/>
          <w:sz w:val="17"/>
          <w:szCs w:val="17"/>
          <w:color w:val="030303"/>
        </w:rPr>
        <w:t>In this Deed, expressions defined in the First Amended and Restated Subscription Deed shall have the same meaning in this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7"/>
          <w:szCs w:val="17"/>
          <w:color w:val="030303"/>
        </w:rPr>
        <w:t>Deed, unless otherwise defined. In addition, the definitions below apply in this Deed:</w:t>
      </w:r>
    </w:p>
    <w:p>
      <w:pPr>
        <w:spacing w:after="0" w:line="194"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6"/>
          <w:szCs w:val="16"/>
          <w:color w:val="030303"/>
        </w:rPr>
        <w:t>1.2</w:t>
      </w:r>
      <w:r>
        <w:rPr>
          <w:sz w:val="20"/>
          <w:szCs w:val="20"/>
          <w:color w:val="auto"/>
        </w:rPr>
        <w:tab/>
      </w:r>
      <w:r>
        <w:rPr>
          <w:rFonts w:ascii="Arial" w:cs="Arial" w:eastAsia="Arial" w:hAnsi="Arial"/>
          <w:sz w:val="17"/>
          <w:szCs w:val="17"/>
          <w:color w:val="030303"/>
        </w:rPr>
        <w:t>Definitions</w:t>
      </w:r>
    </w:p>
    <w:p>
      <w:pPr>
        <w:spacing w:after="0" w:line="26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030303"/>
        </w:rPr>
        <w:t xml:space="preserve">"First Amended and Restated Subscription Deed" </w:t>
      </w:r>
      <w:r>
        <w:rPr>
          <w:rFonts w:ascii="Arial" w:cs="Arial" w:eastAsia="Arial" w:hAnsi="Arial"/>
          <w:sz w:val="17"/>
          <w:szCs w:val="17"/>
          <w:color w:val="030303"/>
        </w:rPr>
        <w:t>means the Subscription Deed dated 28 October 2017, as amended by a</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7"/>
          <w:szCs w:val="17"/>
          <w:color w:val="030303"/>
        </w:rPr>
        <w:t>Deed of Amendment and Restatement dated</w:t>
      </w:r>
    </w:p>
    <w:p>
      <w:pPr>
        <w:ind w:left="700"/>
        <w:spacing w:after="0"/>
        <w:rPr>
          <w:sz w:val="20"/>
          <w:szCs w:val="20"/>
          <w:color w:val="auto"/>
        </w:rPr>
      </w:pPr>
      <w:r>
        <w:rPr>
          <w:rFonts w:ascii="Arial" w:cs="Arial" w:eastAsia="Arial" w:hAnsi="Arial"/>
          <w:sz w:val="17"/>
          <w:szCs w:val="17"/>
          <w:color w:val="030303"/>
        </w:rPr>
        <w:t>21 May 2021, between the Parties;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030303"/>
        </w:rPr>
        <w:t xml:space="preserve">"Party" </w:t>
      </w:r>
      <w:r>
        <w:rPr>
          <w:rFonts w:ascii="Arial" w:cs="Arial" w:eastAsia="Arial" w:hAnsi="Arial"/>
          <w:sz w:val="17"/>
          <w:szCs w:val="17"/>
          <w:color w:val="030303"/>
        </w:rPr>
        <w:t>means a party to this Deed;</w:t>
      </w:r>
    </w:p>
    <w:p>
      <w:pPr>
        <w:spacing w:after="0" w:line="264" w:lineRule="exact"/>
        <w:rPr>
          <w:sz w:val="20"/>
          <w:szCs w:val="20"/>
          <w:color w:val="auto"/>
        </w:rPr>
      </w:pPr>
    </w:p>
    <w:p>
      <w:pPr>
        <w:ind w:left="700" w:right="20"/>
        <w:spacing w:after="0" w:line="267" w:lineRule="auto"/>
        <w:rPr>
          <w:sz w:val="20"/>
          <w:szCs w:val="20"/>
          <w:color w:val="auto"/>
        </w:rPr>
      </w:pPr>
      <w:r>
        <w:rPr>
          <w:rFonts w:ascii="Arial" w:cs="Arial" w:eastAsia="Arial" w:hAnsi="Arial"/>
          <w:sz w:val="17"/>
          <w:szCs w:val="17"/>
          <w:b w:val="1"/>
          <w:bCs w:val="1"/>
          <w:color w:val="030303"/>
        </w:rPr>
        <w:t xml:space="preserve">"Second Amended and Restated Subscription Deed" </w:t>
      </w:r>
      <w:r>
        <w:rPr>
          <w:rFonts w:ascii="Arial" w:cs="Arial" w:eastAsia="Arial" w:hAnsi="Arial"/>
          <w:sz w:val="17"/>
          <w:szCs w:val="17"/>
          <w:color w:val="030303"/>
        </w:rPr>
        <w:t>means the First Amended and Restated Subscription Deed, as further</w:t>
      </w:r>
      <w:r>
        <w:rPr>
          <w:rFonts w:ascii="Arial" w:cs="Arial" w:eastAsia="Arial" w:hAnsi="Arial"/>
          <w:sz w:val="17"/>
          <w:szCs w:val="17"/>
          <w:b w:val="1"/>
          <w:bCs w:val="1"/>
          <w:color w:val="030303"/>
        </w:rPr>
        <w:t xml:space="preserve"> </w:t>
      </w:r>
      <w:r>
        <w:rPr>
          <w:rFonts w:ascii="Arial" w:cs="Arial" w:eastAsia="Arial" w:hAnsi="Arial"/>
          <w:sz w:val="17"/>
          <w:szCs w:val="17"/>
          <w:color w:val="030303"/>
        </w:rPr>
        <w:t>amended and restated in the form set out in the Schedule to this Deed; and</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030303"/>
        </w:rPr>
        <w:t xml:space="preserve">"Variation Date" </w:t>
      </w:r>
      <w:r>
        <w:rPr>
          <w:rFonts w:ascii="Arial" w:cs="Arial" w:eastAsia="Arial" w:hAnsi="Arial"/>
          <w:sz w:val="17"/>
          <w:szCs w:val="17"/>
          <w:color w:val="030303"/>
        </w:rPr>
        <w:t>means the date of this Deed.</w:t>
      </w:r>
    </w:p>
    <w:p>
      <w:pPr>
        <w:spacing w:after="0" w:line="264" w:lineRule="exact"/>
        <w:rPr>
          <w:sz w:val="20"/>
          <w:szCs w:val="20"/>
          <w:color w:val="auto"/>
        </w:rPr>
      </w:pPr>
    </w:p>
    <w:p>
      <w:pPr>
        <w:jc w:val="both"/>
        <w:ind w:left="660" w:hanging="634"/>
        <w:spacing w:after="0" w:line="249" w:lineRule="auto"/>
        <w:tabs>
          <w:tab w:leader="none" w:pos="640" w:val="left"/>
        </w:tabs>
        <w:rPr>
          <w:sz w:val="20"/>
          <w:szCs w:val="20"/>
          <w:color w:val="auto"/>
        </w:rPr>
      </w:pPr>
      <w:r>
        <w:rPr>
          <w:rFonts w:ascii="Arial" w:cs="Arial" w:eastAsia="Arial" w:hAnsi="Arial"/>
          <w:sz w:val="16"/>
          <w:szCs w:val="16"/>
          <w:color w:val="030303"/>
        </w:rPr>
        <w:t>1.3</w:t>
      </w:r>
      <w:r>
        <w:rPr>
          <w:sz w:val="20"/>
          <w:szCs w:val="20"/>
          <w:color w:val="auto"/>
        </w:rPr>
        <w:tab/>
      </w:r>
      <w:r>
        <w:rPr>
          <w:rFonts w:ascii="Arial" w:cs="Arial" w:eastAsia="Arial" w:hAnsi="Arial"/>
          <w:sz w:val="17"/>
          <w:szCs w:val="17"/>
          <w:color w:val="030303"/>
        </w:rPr>
        <w:t>The rules of interpretation set out in the First Amended and Restated Subscription Deed shall apply to this Deed as if set out in this Deed, save that references in the First Amended and Restated Subscription Deed to "this Deed" shall be construed as references to this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1080770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740" w:top="1440" w:right="739" w:bottom="1440" w:gutter="0" w:footer="0" w:header="0"/>
        </w:sectPr>
      </w:pPr>
    </w:p>
    <w:bookmarkStart w:id="144" w:name="page145"/>
    <w:bookmarkEnd w:id="144"/>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6"/>
          <w:szCs w:val="16"/>
          <w:color w:val="030303"/>
        </w:rPr>
        <w:t>1.4</w:t>
      </w:r>
      <w:r>
        <w:rPr>
          <w:sz w:val="20"/>
          <w:szCs w:val="20"/>
          <w:color w:val="auto"/>
        </w:rPr>
        <w:tab/>
      </w:r>
      <w:r>
        <w:rPr>
          <w:rFonts w:ascii="Arial" w:cs="Arial" w:eastAsia="Arial" w:hAnsi="Arial"/>
          <w:sz w:val="16"/>
          <w:szCs w:val="16"/>
          <w:color w:val="030303"/>
        </w:rPr>
        <w:t>References to this Deed include its Schedule.</w:t>
      </w:r>
    </w:p>
    <w:p>
      <w:pPr>
        <w:spacing w:after="0" w:line="240" w:lineRule="exact"/>
        <w:rPr>
          <w:sz w:val="20"/>
          <w:szCs w:val="20"/>
          <w:color w:val="auto"/>
        </w:rPr>
      </w:pPr>
    </w:p>
    <w:p>
      <w:pPr>
        <w:ind w:left="680" w:hanging="673"/>
        <w:spacing w:after="0"/>
        <w:tabs>
          <w:tab w:leader="none" w:pos="680" w:val="left"/>
        </w:tabs>
        <w:numPr>
          <w:ilvl w:val="0"/>
          <w:numId w:val="73"/>
        </w:numPr>
        <w:rPr>
          <w:rFonts w:ascii="Arial" w:cs="Arial" w:eastAsia="Arial" w:hAnsi="Arial"/>
          <w:sz w:val="17"/>
          <w:szCs w:val="17"/>
          <w:b w:val="1"/>
          <w:bCs w:val="1"/>
          <w:color w:val="030303"/>
        </w:rPr>
      </w:pPr>
      <w:r>
        <w:rPr>
          <w:rFonts w:ascii="Arial" w:cs="Arial" w:eastAsia="Arial" w:hAnsi="Arial"/>
          <w:sz w:val="17"/>
          <w:szCs w:val="17"/>
          <w:b w:val="1"/>
          <w:bCs w:val="1"/>
          <w:color w:val="030303"/>
        </w:rPr>
        <w:t>Amendment</w:t>
      </w:r>
    </w:p>
    <w:p>
      <w:pPr>
        <w:spacing w:after="0" w:line="285" w:lineRule="exact"/>
        <w:rPr>
          <w:sz w:val="20"/>
          <w:szCs w:val="20"/>
          <w:color w:val="auto"/>
        </w:rPr>
      </w:pPr>
    </w:p>
    <w:p>
      <w:pPr>
        <w:ind w:left="660" w:hanging="661"/>
        <w:spacing w:after="0" w:line="286" w:lineRule="auto"/>
        <w:tabs>
          <w:tab w:leader="none" w:pos="640" w:val="left"/>
        </w:tabs>
        <w:rPr>
          <w:sz w:val="20"/>
          <w:szCs w:val="20"/>
          <w:color w:val="auto"/>
        </w:rPr>
      </w:pPr>
      <w:r>
        <w:rPr>
          <w:rFonts w:ascii="Arial" w:cs="Arial" w:eastAsia="Arial" w:hAnsi="Arial"/>
          <w:sz w:val="16"/>
          <w:szCs w:val="16"/>
          <w:color w:val="030303"/>
        </w:rPr>
        <w:t>2.1</w:t>
      </w:r>
      <w:r>
        <w:rPr>
          <w:sz w:val="20"/>
          <w:szCs w:val="20"/>
          <w:color w:val="auto"/>
        </w:rPr>
        <w:tab/>
      </w:r>
      <w:r>
        <w:rPr>
          <w:rFonts w:ascii="Arial" w:cs="Arial" w:eastAsia="Arial" w:hAnsi="Arial"/>
          <w:sz w:val="16"/>
          <w:szCs w:val="16"/>
          <w:color w:val="030303"/>
        </w:rPr>
        <w:t>With effect on and from the Variation Date, the First Amended and Restated Subscription Deed shall be amended and restated in the form set out in the Schedule to this Deed.</w:t>
      </w:r>
    </w:p>
    <w:p>
      <w:pPr>
        <w:spacing w:after="0" w:line="169" w:lineRule="exact"/>
        <w:rPr>
          <w:sz w:val="20"/>
          <w:szCs w:val="20"/>
          <w:color w:val="auto"/>
        </w:rPr>
      </w:pPr>
    </w:p>
    <w:p>
      <w:pPr>
        <w:ind w:left="660" w:hanging="661"/>
        <w:spacing w:after="0" w:line="286" w:lineRule="auto"/>
        <w:tabs>
          <w:tab w:leader="none" w:pos="640" w:val="left"/>
        </w:tabs>
        <w:rPr>
          <w:sz w:val="20"/>
          <w:szCs w:val="20"/>
          <w:color w:val="auto"/>
        </w:rPr>
      </w:pPr>
      <w:r>
        <w:rPr>
          <w:rFonts w:ascii="Arial" w:cs="Arial" w:eastAsia="Arial" w:hAnsi="Arial"/>
          <w:sz w:val="16"/>
          <w:szCs w:val="16"/>
          <w:color w:val="030303"/>
        </w:rPr>
        <w:t>2.2</w:t>
      </w:r>
      <w:r>
        <w:rPr>
          <w:sz w:val="20"/>
          <w:szCs w:val="20"/>
          <w:color w:val="auto"/>
        </w:rPr>
        <w:tab/>
      </w:r>
      <w:r>
        <w:rPr>
          <w:rFonts w:ascii="Arial" w:cs="Arial" w:eastAsia="Arial" w:hAnsi="Arial"/>
          <w:sz w:val="16"/>
          <w:szCs w:val="16"/>
          <w:color w:val="030303"/>
        </w:rPr>
        <w:t>Upon this Deed being entered into, the Second Amended and Restated Subscription Deed shall supersede the First Amended and Restated Subscription Deed in its entirety.</w:t>
      </w:r>
    </w:p>
    <w:p>
      <w:pPr>
        <w:spacing w:after="0" w:line="120" w:lineRule="exact"/>
        <w:rPr>
          <w:sz w:val="20"/>
          <w:szCs w:val="20"/>
          <w:color w:val="auto"/>
        </w:rPr>
      </w:pPr>
    </w:p>
    <w:p>
      <w:pPr>
        <w:ind w:left="700" w:hanging="692"/>
        <w:spacing w:after="0"/>
        <w:tabs>
          <w:tab w:leader="none" w:pos="700" w:val="left"/>
        </w:tabs>
        <w:numPr>
          <w:ilvl w:val="0"/>
          <w:numId w:val="74"/>
        </w:numPr>
        <w:rPr>
          <w:rFonts w:ascii="Arial" w:cs="Arial" w:eastAsia="Arial" w:hAnsi="Arial"/>
          <w:sz w:val="17"/>
          <w:szCs w:val="17"/>
          <w:b w:val="1"/>
          <w:bCs w:val="1"/>
          <w:color w:val="030303"/>
        </w:rPr>
      </w:pPr>
      <w:r>
        <w:rPr>
          <w:rFonts w:ascii="Arial" w:cs="Arial" w:eastAsia="Arial" w:hAnsi="Arial"/>
          <w:sz w:val="17"/>
          <w:szCs w:val="17"/>
          <w:b w:val="1"/>
          <w:bCs w:val="1"/>
          <w:color w:val="030303"/>
        </w:rPr>
        <w:t>Incorporation of terms</w:t>
      </w:r>
    </w:p>
    <w:p>
      <w:pPr>
        <w:spacing w:after="0" w:line="285" w:lineRule="exact"/>
        <w:rPr>
          <w:sz w:val="20"/>
          <w:szCs w:val="20"/>
          <w:color w:val="auto"/>
        </w:rPr>
      </w:pPr>
    </w:p>
    <w:p>
      <w:pPr>
        <w:ind w:left="20" w:hanging="3"/>
        <w:spacing w:after="0" w:line="286" w:lineRule="auto"/>
        <w:rPr>
          <w:sz w:val="20"/>
          <w:szCs w:val="20"/>
          <w:color w:val="auto"/>
        </w:rPr>
      </w:pPr>
      <w:r>
        <w:rPr>
          <w:rFonts w:ascii="Arial" w:cs="Arial" w:eastAsia="Arial" w:hAnsi="Arial"/>
          <w:sz w:val="16"/>
          <w:szCs w:val="16"/>
          <w:color w:val="030303"/>
        </w:rPr>
        <w:t>The provisions of clauses 9, 10, 12, and 13 of the Second Amended and Restated Subscription Deed shall apply to this Deed as if set out in full in this Deed and as if references to "party" or "parties" are references to Parties to this Deed.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030303"/>
        </w:rPr>
        <w:t>This document has been executed as a deed and is delivered and takes effect on the date stated at the beginning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1096645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740" w:top="1440" w:right="759" w:bottom="1440" w:gutter="0" w:footer="0" w:header="0"/>
        </w:sectPr>
      </w:pPr>
    </w:p>
    <w:bookmarkStart w:id="145" w:name="page146"/>
    <w:bookmarkEnd w:id="145"/>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color w:val="030303"/>
        </w:rPr>
        <w:t xml:space="preserve">Executed and delivered as a deed by </w:t>
      </w:r>
      <w:r>
        <w:rPr>
          <w:rFonts w:ascii="Arial" w:cs="Arial" w:eastAsia="Arial" w:hAnsi="Arial"/>
          <w:sz w:val="15"/>
          <w:szCs w:val="15"/>
          <w:b w:val="1"/>
          <w:bCs w:val="1"/>
          <w:color w:val="030303"/>
        </w:rPr>
        <w:t>ASTRAZENECA AB (publ)</w:t>
      </w:r>
      <w:r>
        <w:rPr>
          <w:rFonts w:ascii="Arial" w:cs="Arial" w:eastAsia="Arial" w:hAnsi="Arial"/>
          <w:sz w:val="15"/>
          <w:szCs w:val="15"/>
          <w:color w:val="030303"/>
        </w:rPr>
        <w:t xml:space="preserve"> acting by two authorised signatories</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8"/>
              </w:rPr>
              <w:t>/s/ Ulrika Lilja</w:t>
            </w:r>
          </w:p>
        </w:tc>
        <w:tc>
          <w:tcPr>
            <w:tcW w:w="2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/s/ Martin Sundblad</w:t>
            </w:r>
          </w:p>
        </w:tc>
        <w:tc>
          <w:tcPr>
            <w:tcW w:w="500" w:type="dxa"/>
            <w:vAlign w:val="bottom"/>
          </w:tcPr>
          <w:p>
            <w:pPr>
              <w:spacing w:after="0"/>
              <w:rPr>
                <w:sz w:val="16"/>
                <w:szCs w:val="16"/>
                <w:color w:val="auto"/>
              </w:rPr>
            </w:pPr>
          </w:p>
        </w:tc>
      </w:tr>
      <w:tr>
        <w:trPr>
          <w:trHeight w:val="228"/>
        </w:trPr>
        <w:tc>
          <w:tcPr>
            <w:tcW w:w="3800" w:type="dxa"/>
            <w:vAlign w:val="bottom"/>
            <w:gridSpan w:val="2"/>
          </w:tcPr>
          <w:p>
            <w:pPr>
              <w:spacing w:after="0"/>
              <w:rPr>
                <w:sz w:val="20"/>
                <w:szCs w:val="20"/>
                <w:color w:val="auto"/>
              </w:rPr>
            </w:pPr>
            <w:r>
              <w:rPr>
                <w:rFonts w:ascii="Arial" w:cs="Arial" w:eastAsia="Arial" w:hAnsi="Arial"/>
                <w:sz w:val="17"/>
                <w:szCs w:val="17"/>
                <w:color w:val="auto"/>
              </w:rPr>
              <w:t>Name: Ulrika Lilja</w:t>
            </w:r>
          </w:p>
        </w:tc>
        <w:tc>
          <w:tcPr>
            <w:tcW w:w="3820" w:type="dxa"/>
            <w:vAlign w:val="bottom"/>
            <w:gridSpan w:val="3"/>
          </w:tcPr>
          <w:p>
            <w:pPr>
              <w:ind w:left="1840"/>
              <w:spacing w:after="0"/>
              <w:rPr>
                <w:sz w:val="20"/>
                <w:szCs w:val="20"/>
                <w:color w:val="auto"/>
              </w:rPr>
            </w:pPr>
            <w:r>
              <w:rPr>
                <w:rFonts w:ascii="Arial" w:cs="Arial" w:eastAsia="Arial" w:hAnsi="Arial"/>
                <w:sz w:val="17"/>
                <w:szCs w:val="17"/>
                <w:color w:val="auto"/>
              </w:rPr>
              <w:t>Name: Martin Sundblad</w:t>
            </w:r>
          </w:p>
        </w:tc>
      </w:tr>
      <w:tr>
        <w:trPr>
          <w:trHeight w:val="225"/>
        </w:trPr>
        <w:tc>
          <w:tcPr>
            <w:tcW w:w="3800" w:type="dxa"/>
            <w:vAlign w:val="bottom"/>
            <w:gridSpan w:val="2"/>
          </w:tcPr>
          <w:p>
            <w:pPr>
              <w:spacing w:after="0"/>
              <w:rPr>
                <w:sz w:val="20"/>
                <w:szCs w:val="20"/>
                <w:color w:val="auto"/>
              </w:rPr>
            </w:pPr>
            <w:r>
              <w:rPr>
                <w:rFonts w:ascii="Arial" w:cs="Arial" w:eastAsia="Arial" w:hAnsi="Arial"/>
                <w:sz w:val="17"/>
                <w:szCs w:val="17"/>
                <w:color w:val="auto"/>
              </w:rPr>
              <w:t>Title: Authorised signatory</w:t>
            </w:r>
          </w:p>
        </w:tc>
        <w:tc>
          <w:tcPr>
            <w:tcW w:w="3820" w:type="dxa"/>
            <w:vAlign w:val="bottom"/>
            <w:gridSpan w:val="3"/>
          </w:tcPr>
          <w:p>
            <w:pPr>
              <w:ind w:left="1840"/>
              <w:spacing w:after="0"/>
              <w:rPr>
                <w:sz w:val="20"/>
                <w:szCs w:val="20"/>
                <w:color w:val="auto"/>
              </w:rPr>
            </w:pPr>
            <w:r>
              <w:rPr>
                <w:rFonts w:ascii="Arial" w:cs="Arial" w:eastAsia="Arial" w:hAnsi="Arial"/>
                <w:sz w:val="17"/>
                <w:szCs w:val="17"/>
                <w:color w:val="auto"/>
                <w:w w:val="99"/>
              </w:rPr>
              <w:t>Title: Authorised signatory</w:t>
            </w:r>
          </w:p>
        </w:tc>
      </w:tr>
    </w:tbl>
    <w:p>
      <w:pPr>
        <w:spacing w:after="0" w:line="200" w:lineRule="exact"/>
        <w:rPr>
          <w:sz w:val="20"/>
          <w:szCs w:val="20"/>
          <w:color w:val="auto"/>
        </w:rPr>
      </w:pPr>
    </w:p>
    <w:p>
      <w:pPr>
        <w:spacing w:after="0" w:line="388" w:lineRule="exact"/>
        <w:rPr>
          <w:sz w:val="20"/>
          <w:szCs w:val="20"/>
          <w:color w:val="auto"/>
        </w:rPr>
      </w:pPr>
    </w:p>
    <w:p>
      <w:pPr>
        <w:ind w:right="1559"/>
        <w:spacing w:after="0" w:line="267" w:lineRule="auto"/>
        <w:rPr>
          <w:sz w:val="20"/>
          <w:szCs w:val="20"/>
          <w:color w:val="auto"/>
        </w:rPr>
      </w:pPr>
      <w:r>
        <w:rPr>
          <w:rFonts w:ascii="Arial" w:cs="Arial" w:eastAsia="Arial" w:hAnsi="Arial"/>
          <w:sz w:val="15"/>
          <w:szCs w:val="15"/>
          <w:color w:val="030303"/>
        </w:rPr>
        <w:t xml:space="preserve">Executed and delivered as a deed by </w:t>
      </w:r>
      <w:r>
        <w:rPr>
          <w:rFonts w:ascii="Arial" w:cs="Arial" w:eastAsia="Arial" w:hAnsi="Arial"/>
          <w:sz w:val="15"/>
          <w:szCs w:val="15"/>
          <w:b w:val="1"/>
          <w:bCs w:val="1"/>
          <w:color w:val="030303"/>
        </w:rPr>
        <w:t>MEREO BIOPHARMA GROUP PLC</w:t>
      </w:r>
      <w:r>
        <w:rPr>
          <w:rFonts w:ascii="Arial" w:cs="Arial" w:eastAsia="Arial" w:hAnsi="Arial"/>
          <w:sz w:val="15"/>
          <w:szCs w:val="15"/>
          <w:color w:val="030303"/>
        </w:rPr>
        <w:t xml:space="preserve"> acting by Dr. Denise Scots-Knight, a director, and Charles Sermon, its Secretary</w:t>
      </w:r>
    </w:p>
    <w:p>
      <w:pPr>
        <w:sectPr>
          <w:pgSz w:w="11900" w:h="16838" w:orient="portrait"/>
          <w:cols w:equalWidth="0" w:num="1">
            <w:col w:w="9699"/>
          </w:cols>
          <w:pgMar w:left="760" w:top="1440" w:right="1440" w:bottom="1440" w:gutter="0" w:footer="0" w:header="0"/>
        </w:sect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/s/ Denise Scots-Knight</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Name: Denise Scots-Knight</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Title: Director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Charles Sermon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Name: Charles Sermon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Title: Company Secretary</w:t>
      </w:r>
    </w:p>
    <w:p>
      <w:pPr>
        <w:spacing w:after="0" w:line="200" w:lineRule="exact"/>
        <w:rPr>
          <w:sz w:val="20"/>
          <w:szCs w:val="20"/>
          <w:color w:val="auto"/>
        </w:rPr>
      </w:pPr>
    </w:p>
    <w:p>
      <w:pPr>
        <w:sectPr>
          <w:pgSz w:w="11900" w:h="16838" w:orient="portrait"/>
          <w:cols w:equalWidth="0" w:num="2">
            <w:col w:w="5240" w:space="720"/>
            <w:col w:w="3739"/>
          </w:cols>
          <w:pgMar w:left="76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3"/>
          <w:szCs w:val="13"/>
          <w:i w:val="1"/>
          <w:iCs w:val="1"/>
          <w:color w:val="030303"/>
        </w:rPr>
        <w:t>[Signature page to Deed of Amendment and Restatement -- Subscription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226060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440" w:right="1440" w:bottom="1440"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30303"/>
        </w:rPr>
        <w:t>SCHEDULE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30303"/>
        </w:rPr>
        <w:t>Second Amended and Restated Subscription Deed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030303"/>
        </w:rPr>
        <w:t>(Continues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30303"/>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222250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030303"/>
        </w:rPr>
        <w:t>ASTRAZENECA AB</w:t>
      </w:r>
    </w:p>
    <w:p>
      <w:pPr>
        <w:spacing w:after="0" w:line="25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030303"/>
        </w:rPr>
        <w:t>and</w:t>
      </w:r>
    </w:p>
    <w:p>
      <w:pPr>
        <w:spacing w:after="0" w:line="25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030303"/>
        </w:rPr>
        <w:t>MEREO BIOPHARMA GROUP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030303"/>
        </w:rPr>
        <w:t>SUBSCRIPTION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60"/>
        <w:spacing w:after="0"/>
        <w:rPr>
          <w:sz w:val="20"/>
          <w:szCs w:val="20"/>
          <w:color w:val="auto"/>
        </w:rPr>
      </w:pPr>
      <w:r>
        <w:rPr>
          <w:rFonts w:ascii="Arial" w:cs="Arial" w:eastAsia="Arial" w:hAnsi="Arial"/>
          <w:sz w:val="28"/>
          <w:szCs w:val="28"/>
          <w:b w:val="1"/>
          <w:bCs w:val="1"/>
          <w:color w:val="A34952"/>
        </w:rPr>
        <w:t>LATHAM</w:t>
      </w:r>
      <w:r>
        <w:rPr>
          <w:rFonts w:ascii="Arial" w:cs="Arial" w:eastAsia="Arial" w:hAnsi="Arial"/>
          <w:sz w:val="28"/>
          <w:szCs w:val="28"/>
          <w:b w:val="1"/>
          <w:bCs w:val="1"/>
          <w:color w:val="866266"/>
        </w:rPr>
        <w:t>@</w:t>
      </w:r>
      <w:r>
        <w:rPr>
          <w:rFonts w:ascii="Arial" w:cs="Arial" w:eastAsia="Arial" w:hAnsi="Arial"/>
          <w:sz w:val="28"/>
          <w:szCs w:val="28"/>
          <w:b w:val="1"/>
          <w:bCs w:val="1"/>
          <w:color w:val="A34952"/>
        </w:rPr>
        <w:t>WATKINS</w:t>
      </w:r>
    </w:p>
    <w:p>
      <w:pPr>
        <w:spacing w:after="0" w:line="8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color w:val="030303"/>
        </w:rPr>
        <w:t>99 Bishopsgate London EC2M3XF</w:t>
      </w:r>
    </w:p>
    <w:p>
      <w:pPr>
        <w:spacing w:after="0" w:line="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color w:val="auto"/>
        </w:rPr>
        <w:t>www.lw.com</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030303"/>
        </w:rPr>
        <w:t xml:space="preserve">Contact: </w:t>
      </w:r>
      <w:r>
        <w:rPr>
          <w:rFonts w:ascii="Times New Roman" w:cs="Times New Roman" w:eastAsia="Times New Roman" w:hAnsi="Times New Roman"/>
          <w:sz w:val="17"/>
          <w:szCs w:val="17"/>
          <w:color w:val="04040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353060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26"/>
        </w:trPr>
        <w:tc>
          <w:tcPr>
            <w:tcW w:w="840" w:type="dxa"/>
            <w:vAlign w:val="bottom"/>
          </w:tcPr>
          <w:p>
            <w:pPr>
              <w:spacing w:after="0"/>
              <w:rPr>
                <w:sz w:val="19"/>
                <w:szCs w:val="19"/>
                <w:color w:val="auto"/>
              </w:rPr>
            </w:pPr>
          </w:p>
        </w:tc>
        <w:tc>
          <w:tcPr>
            <w:tcW w:w="8900" w:type="dxa"/>
            <w:vAlign w:val="bottom"/>
          </w:tcPr>
          <w:p>
            <w:pPr>
              <w:ind w:left="4200"/>
              <w:spacing w:after="0"/>
              <w:rPr>
                <w:sz w:val="20"/>
                <w:szCs w:val="20"/>
                <w:color w:val="auto"/>
              </w:rPr>
            </w:pPr>
            <w:r>
              <w:rPr>
                <w:rFonts w:ascii="Times New Roman" w:cs="Times New Roman" w:eastAsia="Times New Roman" w:hAnsi="Times New Roman"/>
                <w:sz w:val="17"/>
                <w:szCs w:val="17"/>
                <w:b w:val="1"/>
                <w:bCs w:val="1"/>
                <w:color w:val="030303"/>
              </w:rPr>
              <w:t>TABLE OF CONTENTS</w:t>
            </w:r>
          </w:p>
        </w:tc>
        <w:tc>
          <w:tcPr>
            <w:tcW w:w="1500" w:type="dxa"/>
            <w:vAlign w:val="bottom"/>
          </w:tcPr>
          <w:p>
            <w:pPr>
              <w:spacing w:after="0"/>
              <w:rPr>
                <w:sz w:val="19"/>
                <w:szCs w:val="19"/>
                <w:color w:val="auto"/>
              </w:rPr>
            </w:pPr>
          </w:p>
        </w:tc>
      </w:tr>
      <w:tr>
        <w:trPr>
          <w:trHeight w:val="578"/>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8900" w:type="dxa"/>
            <w:vAlign w:val="bottom"/>
          </w:tcPr>
          <w:p>
            <w:pPr>
              <w:spacing w:after="0"/>
              <w:rPr>
                <w:sz w:val="24"/>
                <w:szCs w:val="24"/>
                <w:color w:val="auto"/>
              </w:rPr>
            </w:pPr>
          </w:p>
        </w:tc>
        <w:tc>
          <w:tcPr>
            <w:tcW w:w="15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4"/>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RESTRICTED ADSs, ADSs AND EXCHANGE  COMMISSION U.S. SECURITIES AND</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840" w:type="dxa"/>
            <w:vAlign w:val="bottom"/>
          </w:tcPr>
          <w:p>
            <w:pPr>
              <w:spacing w:after="0"/>
              <w:rPr>
                <w:sz w:val="20"/>
                <w:szCs w:val="20"/>
                <w:color w:val="auto"/>
              </w:rPr>
            </w:pP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REGISTRATION</w:t>
            </w:r>
          </w:p>
        </w:tc>
        <w:tc>
          <w:tcPr>
            <w:tcW w:w="1500" w:type="dxa"/>
            <w:vAlign w:val="bottom"/>
          </w:tcPr>
          <w:p>
            <w:pPr>
              <w:spacing w:after="0"/>
              <w:rPr>
                <w:sz w:val="20"/>
                <w:szCs w:val="20"/>
                <w:color w:val="auto"/>
              </w:rPr>
            </w:pP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040404"/>
              </w:rPr>
              <w:t xml:space="preserve">[***] </w:t>
            </w:r>
            <w:r>
              <w:rPr>
                <w:rFonts w:ascii="Times New Roman" w:cs="Times New Roman" w:eastAsia="Times New Roman" w:hAnsi="Times New Roman"/>
                <w:sz w:val="18"/>
                <w:szCs w:val="18"/>
                <w:color w:val="000000"/>
              </w:rPr>
              <w:t>EVENTS</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WARRANTIES</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ACKNOWLEDGEMENTS</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12</w:t>
            </w: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USED]</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13</w:t>
            </w: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REORGANISATION OF THE MEREO GROUP</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13</w:t>
            </w: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PARTY RIGHTS</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13</w:t>
            </w: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13</w:t>
            </w: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15</w:t>
            </w: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15</w:t>
            </w:r>
          </w:p>
        </w:tc>
      </w:tr>
      <w:tr>
        <w:trPr>
          <w:trHeight w:val="432"/>
        </w:trPr>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 LAW</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15</w:t>
            </w:r>
          </w:p>
        </w:tc>
      </w:tr>
      <w:tr>
        <w:trPr>
          <w:trHeight w:val="648"/>
        </w:trPr>
        <w:tc>
          <w:tcPr>
            <w:tcW w:w="9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SCHEDULE 1 [NOT USED]</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16</w:t>
            </w:r>
          </w:p>
        </w:tc>
      </w:tr>
      <w:tr>
        <w:trPr>
          <w:trHeight w:val="432"/>
        </w:trPr>
        <w:tc>
          <w:tcPr>
            <w:tcW w:w="9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SCHEDULE 2 SHARE CAPITAL</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17</w:t>
            </w:r>
          </w:p>
        </w:tc>
      </w:tr>
      <w:tr>
        <w:trPr>
          <w:trHeight w:val="432"/>
        </w:trPr>
        <w:tc>
          <w:tcPr>
            <w:tcW w:w="9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SCHEDULE 3 [NOT USED]</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18</w:t>
            </w:r>
          </w:p>
        </w:tc>
      </w:tr>
      <w:tr>
        <w:trPr>
          <w:trHeight w:val="432"/>
        </w:trPr>
        <w:tc>
          <w:tcPr>
            <w:tcW w:w="9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SCHEDULE 4 RESTRICTED ADS ISSUANCE AND DELIVERY INSTRUCTION</w:t>
            </w:r>
          </w:p>
        </w:tc>
        <w:tc>
          <w:tcPr>
            <w:tcW w:w="15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19</w:t>
            </w:r>
          </w:p>
        </w:tc>
      </w:tr>
      <w:tr>
        <w:trPr>
          <w:trHeight w:val="1640"/>
        </w:trPr>
        <w:tc>
          <w:tcPr>
            <w:tcW w:w="84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9" w:right="339" w:bottom="1440" w:gutter="0" w:footer="0" w:header="0"/>
        </w:sectPr>
      </w:pPr>
    </w:p>
    <w:bookmarkStart w:id="149" w:name="page150"/>
    <w:bookmarkEnd w:id="149"/>
    <w:p>
      <w:pPr>
        <w:ind w:right="260" w:firstLine="4"/>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THIS DEED </w:t>
      </w:r>
      <w:r>
        <w:rPr>
          <w:rFonts w:ascii="Times New Roman" w:cs="Times New Roman" w:eastAsia="Times New Roman" w:hAnsi="Times New Roman"/>
          <w:sz w:val="18"/>
          <w:szCs w:val="18"/>
          <w:color w:val="040404"/>
        </w:rPr>
        <w:t>was made on 28 October 2017, was amended and restated by an amendment deed dated May 21, 2021 and was further amended and</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 xml:space="preserve">restated by an amendment deed dated 8 November 2024 (as amended and restated, this </w:t>
      </w:r>
      <w:r>
        <w:rPr>
          <w:rFonts w:ascii="Times New Roman" w:cs="Times New Roman" w:eastAsia="Times New Roman" w:hAnsi="Times New Roman"/>
          <w:sz w:val="18"/>
          <w:szCs w:val="18"/>
          <w:b w:val="1"/>
          <w:bCs w:val="1"/>
          <w:color w:val="040404"/>
        </w:rPr>
        <w:t>"Agreement")</w:t>
      </w:r>
    </w:p>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040404"/>
        </w:rPr>
        <w:t>BETWEEN</w:t>
      </w:r>
    </w:p>
    <w:p>
      <w:pPr>
        <w:spacing w:after="0" w:line="252" w:lineRule="exact"/>
        <w:rPr>
          <w:sz w:val="20"/>
          <w:szCs w:val="20"/>
          <w:color w:val="auto"/>
        </w:rPr>
      </w:pPr>
    </w:p>
    <w:p>
      <w:pPr>
        <w:ind w:left="820" w:right="340" w:hanging="663"/>
        <w:spacing w:after="0" w:line="286" w:lineRule="auto"/>
        <w:tabs>
          <w:tab w:leader="none" w:pos="820" w:val="left"/>
        </w:tabs>
        <w:numPr>
          <w:ilvl w:val="0"/>
          <w:numId w:val="75"/>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b w:val="1"/>
          <w:bCs w:val="1"/>
          <w:color w:val="040404"/>
        </w:rPr>
        <w:t xml:space="preserve">ASTRAZENECA AB, </w:t>
      </w:r>
      <w:r>
        <w:rPr>
          <w:rFonts w:ascii="Times New Roman" w:cs="Times New Roman" w:eastAsia="Times New Roman" w:hAnsi="Times New Roman"/>
          <w:sz w:val="18"/>
          <w:szCs w:val="18"/>
          <w:color w:val="040404"/>
        </w:rPr>
        <w:t>a company incorporated in Sweden under no. 566011-7482 with its registered office at SE-151 85 Sodertalje,</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 xml:space="preserve">Sweden </w:t>
      </w:r>
      <w:r>
        <w:rPr>
          <w:rFonts w:ascii="Times New Roman" w:cs="Times New Roman" w:eastAsia="Times New Roman" w:hAnsi="Times New Roman"/>
          <w:sz w:val="18"/>
          <w:szCs w:val="18"/>
          <w:b w:val="1"/>
          <w:bCs w:val="1"/>
          <w:color w:val="040404"/>
        </w:rPr>
        <w:t>("AstraZeneca);</w:t>
      </w:r>
      <w:r>
        <w:rPr>
          <w:rFonts w:ascii="Times New Roman" w:cs="Times New Roman" w:eastAsia="Times New Roman" w:hAnsi="Times New Roman"/>
          <w:sz w:val="18"/>
          <w:szCs w:val="18"/>
          <w:color w:val="040404"/>
        </w:rPr>
        <w:t xml:space="preserve"> and</w:t>
      </w:r>
    </w:p>
    <w:p>
      <w:pPr>
        <w:spacing w:after="0" w:line="141" w:lineRule="exact"/>
        <w:rPr>
          <w:rFonts w:ascii="Times New Roman" w:cs="Times New Roman" w:eastAsia="Times New Roman" w:hAnsi="Times New Roman"/>
          <w:sz w:val="18"/>
          <w:szCs w:val="18"/>
          <w:color w:val="040404"/>
        </w:rPr>
      </w:pPr>
    </w:p>
    <w:p>
      <w:pPr>
        <w:ind w:left="840" w:right="320" w:hanging="667"/>
        <w:spacing w:after="0" w:line="286" w:lineRule="auto"/>
        <w:tabs>
          <w:tab w:leader="none" w:pos="840" w:val="left"/>
        </w:tabs>
        <w:numPr>
          <w:ilvl w:val="1"/>
          <w:numId w:val="75"/>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b w:val="1"/>
          <w:bCs w:val="1"/>
          <w:color w:val="040404"/>
        </w:rPr>
        <w:t xml:space="preserve">MEREO BIOPHARMA GROUP PLC, </w:t>
      </w:r>
      <w:r>
        <w:rPr>
          <w:rFonts w:ascii="Times New Roman" w:cs="Times New Roman" w:eastAsia="Times New Roman" w:hAnsi="Times New Roman"/>
          <w:sz w:val="18"/>
          <w:szCs w:val="18"/>
          <w:color w:val="040404"/>
        </w:rPr>
        <w:t>a company incorporated in England and Wales with the registered number 09481161 and</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 xml:space="preserve">registered address at 4" Floor, One Cavendish Place, London, England, WIG 0QF (the </w:t>
      </w:r>
      <w:r>
        <w:rPr>
          <w:rFonts w:ascii="Times New Roman" w:cs="Times New Roman" w:eastAsia="Times New Roman" w:hAnsi="Times New Roman"/>
          <w:sz w:val="18"/>
          <w:szCs w:val="18"/>
          <w:b w:val="1"/>
          <w:bCs w:val="1"/>
          <w:color w:val="040404"/>
        </w:rPr>
        <w:t>"Company).</w:t>
      </w:r>
    </w:p>
    <w:p>
      <w:pPr>
        <w:spacing w:after="0" w:line="1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040404"/>
        </w:rPr>
        <w:t>WHEREAS</w:t>
      </w:r>
    </w:p>
    <w:p>
      <w:pPr>
        <w:spacing w:after="0" w:line="256" w:lineRule="exact"/>
        <w:rPr>
          <w:sz w:val="20"/>
          <w:szCs w:val="20"/>
          <w:color w:val="auto"/>
        </w:rPr>
      </w:pPr>
    </w:p>
    <w:p>
      <w:pPr>
        <w:ind w:left="680" w:hanging="523"/>
        <w:spacing w:after="0"/>
        <w:tabs>
          <w:tab w:leader="none" w:pos="680" w:val="left"/>
        </w:tabs>
        <w:numPr>
          <w:ilvl w:val="0"/>
          <w:numId w:val="76"/>
        </w:numPr>
        <w:rPr>
          <w:rFonts w:ascii="Times New Roman" w:cs="Times New Roman" w:eastAsia="Times New Roman" w:hAnsi="Times New Roman"/>
          <w:sz w:val="17"/>
          <w:szCs w:val="17"/>
          <w:b w:val="1"/>
          <w:bCs w:val="1"/>
          <w:color w:val="040404"/>
        </w:rPr>
      </w:pPr>
      <w:r>
        <w:rPr>
          <w:rFonts w:ascii="Times New Roman" w:cs="Times New Roman" w:eastAsia="Times New Roman" w:hAnsi="Times New Roman"/>
          <w:sz w:val="18"/>
          <w:szCs w:val="18"/>
          <w:color w:val="040404"/>
        </w:rPr>
        <w:t>AstraZeneca owns and controls certain intellectual property rights and assets relating to a compound designated [***]</w:t>
      </w:r>
    </w:p>
    <w:p>
      <w:pPr>
        <w:spacing w:after="0" w:line="198" w:lineRule="exact"/>
        <w:rPr>
          <w:rFonts w:ascii="Times New Roman" w:cs="Times New Roman" w:eastAsia="Times New Roman" w:hAnsi="Times New Roman"/>
          <w:sz w:val="17"/>
          <w:szCs w:val="17"/>
          <w:b w:val="1"/>
          <w:bCs w:val="1"/>
          <w:color w:val="040404"/>
        </w:rPr>
      </w:pPr>
    </w:p>
    <w:p>
      <w:pPr>
        <w:ind w:left="700" w:hanging="528"/>
        <w:spacing w:after="0"/>
        <w:tabs>
          <w:tab w:leader="none" w:pos="700" w:val="left"/>
        </w:tabs>
        <w:numPr>
          <w:ilvl w:val="0"/>
          <w:numId w:val="76"/>
        </w:numPr>
        <w:rPr>
          <w:rFonts w:ascii="Times New Roman" w:cs="Times New Roman" w:eastAsia="Times New Roman" w:hAnsi="Times New Roman"/>
          <w:sz w:val="17"/>
          <w:szCs w:val="17"/>
          <w:b w:val="1"/>
          <w:bCs w:val="1"/>
          <w:color w:val="040404"/>
        </w:rPr>
      </w:pPr>
      <w:r>
        <w:rPr>
          <w:rFonts w:ascii="Times New Roman" w:cs="Times New Roman" w:eastAsia="Times New Roman" w:hAnsi="Times New Roman"/>
          <w:sz w:val="18"/>
          <w:szCs w:val="18"/>
          <w:color w:val="040404"/>
        </w:rPr>
        <w:t>AstraZeneca wishes to grant, and Mereo wishes to obtain, the License pursuant to the terms set forth in the License Agreement.</w:t>
      </w:r>
    </w:p>
    <w:p>
      <w:pPr>
        <w:spacing w:after="0" w:line="198" w:lineRule="exact"/>
        <w:rPr>
          <w:rFonts w:ascii="Times New Roman" w:cs="Times New Roman" w:eastAsia="Times New Roman" w:hAnsi="Times New Roman"/>
          <w:sz w:val="17"/>
          <w:szCs w:val="17"/>
          <w:b w:val="1"/>
          <w:bCs w:val="1"/>
          <w:color w:val="040404"/>
        </w:rPr>
      </w:pPr>
    </w:p>
    <w:p>
      <w:pPr>
        <w:ind w:left="680" w:right="320" w:hanging="507"/>
        <w:spacing w:after="0" w:line="282" w:lineRule="auto"/>
        <w:tabs>
          <w:tab w:leader="none" w:pos="680" w:val="left"/>
        </w:tabs>
        <w:numPr>
          <w:ilvl w:val="1"/>
          <w:numId w:val="76"/>
        </w:numPr>
        <w:rPr>
          <w:rFonts w:ascii="Times New Roman" w:cs="Times New Roman" w:eastAsia="Times New Roman" w:hAnsi="Times New Roman"/>
          <w:sz w:val="17"/>
          <w:szCs w:val="17"/>
          <w:b w:val="1"/>
          <w:bCs w:val="1"/>
          <w:color w:val="040404"/>
        </w:rPr>
      </w:pPr>
      <w:r>
        <w:rPr>
          <w:rFonts w:ascii="Times New Roman" w:cs="Times New Roman" w:eastAsia="Times New Roman" w:hAnsi="Times New Roman"/>
          <w:sz w:val="18"/>
          <w:szCs w:val="18"/>
          <w:color w:val="040404"/>
        </w:rPr>
        <w:t>The Company has agreed to allot and issue the Subscription Shares, credited as fully paid, to AstraZeneca in consideration for Mereo issuing the Loan Notes to the Company subject to the terms and conditions set out in the Transaction Documents.</w:t>
      </w:r>
    </w:p>
    <w:p>
      <w:pPr>
        <w:spacing w:after="0" w:line="1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040404"/>
        </w:rPr>
        <w:t>IT IS AGREED THAT:</w:t>
      </w:r>
    </w:p>
    <w:p>
      <w:pPr>
        <w:spacing w:after="0" w:line="279" w:lineRule="exact"/>
        <w:rPr>
          <w:sz w:val="20"/>
          <w:szCs w:val="20"/>
          <w:color w:val="auto"/>
        </w:rPr>
      </w:pPr>
    </w:p>
    <w:p>
      <w:pPr>
        <w:ind w:left="860" w:hanging="687"/>
        <w:spacing w:after="0"/>
        <w:tabs>
          <w:tab w:leader="none" w:pos="860" w:val="left"/>
        </w:tabs>
        <w:numPr>
          <w:ilvl w:val="0"/>
          <w:numId w:val="77"/>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b w:val="1"/>
          <w:bCs w:val="1"/>
          <w:color w:val="040404"/>
        </w:rPr>
        <w:t>DEFINITIONS AND INTERPRETATION</w:t>
      </w:r>
    </w:p>
    <w:p>
      <w:pPr>
        <w:spacing w:after="0" w:line="256"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040404"/>
        </w:rPr>
        <w:t>1.1</w:t>
      </w:r>
      <w:r>
        <w:rPr>
          <w:sz w:val="20"/>
          <w:szCs w:val="20"/>
          <w:color w:val="auto"/>
        </w:rPr>
        <w:tab/>
      </w:r>
      <w:r>
        <w:rPr>
          <w:rFonts w:ascii="Times New Roman" w:cs="Times New Roman" w:eastAsia="Times New Roman" w:hAnsi="Times New Roman"/>
          <w:sz w:val="17"/>
          <w:szCs w:val="17"/>
          <w:color w:val="040404"/>
        </w:rPr>
        <w:t>Words and expressions not otherwise defined in this Agreement shall have the meanings given to them in the License Agreement.</w:t>
      </w:r>
    </w:p>
    <w:p>
      <w:pPr>
        <w:spacing w:after="0" w:line="252" w:lineRule="exact"/>
        <w:rPr>
          <w:sz w:val="20"/>
          <w:szCs w:val="20"/>
          <w:color w:val="auto"/>
        </w:rPr>
      </w:pPr>
    </w:p>
    <w:p>
      <w:pPr>
        <w:ind w:left="180"/>
        <w:spacing w:after="0"/>
        <w:tabs>
          <w:tab w:leader="none" w:pos="840" w:val="left"/>
        </w:tabs>
        <w:rPr>
          <w:sz w:val="20"/>
          <w:szCs w:val="20"/>
          <w:color w:val="auto"/>
        </w:rPr>
      </w:pPr>
      <w:r>
        <w:rPr>
          <w:rFonts w:ascii="Times New Roman" w:cs="Times New Roman" w:eastAsia="Times New Roman" w:hAnsi="Times New Roman"/>
          <w:sz w:val="18"/>
          <w:szCs w:val="18"/>
          <w:color w:val="040404"/>
        </w:rPr>
        <w:t>1.2</w:t>
      </w:r>
      <w:r>
        <w:rPr>
          <w:sz w:val="20"/>
          <w:szCs w:val="20"/>
          <w:color w:val="auto"/>
        </w:rPr>
        <w:tab/>
      </w:r>
      <w:r>
        <w:rPr>
          <w:rFonts w:ascii="Times New Roman" w:cs="Times New Roman" w:eastAsia="Times New Roman" w:hAnsi="Times New Roman"/>
          <w:sz w:val="17"/>
          <w:szCs w:val="17"/>
          <w:color w:val="040404"/>
        </w:rPr>
        <w:t>In this Agreement, the following words and expressions shall have the meanings set out below.</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any of the following:</w:t>
      </w:r>
    </w:p>
    <w:p>
      <w:pPr>
        <w:spacing w:after="0" w:line="256" w:lineRule="exact"/>
        <w:rPr>
          <w:sz w:val="20"/>
          <w:szCs w:val="20"/>
          <w:color w:val="auto"/>
        </w:rPr>
      </w:pPr>
    </w:p>
    <w:p>
      <w:pPr>
        <w:ind w:left="1580" w:hanging="704"/>
        <w:spacing w:after="0"/>
        <w:tabs>
          <w:tab w:leader="none" w:pos="1580" w:val="left"/>
        </w:tabs>
        <w:numPr>
          <w:ilvl w:val="0"/>
          <w:numId w:val="78"/>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 or</w:t>
      </w:r>
    </w:p>
    <w:p>
      <w:pPr>
        <w:spacing w:after="0" w:line="252" w:lineRule="exact"/>
        <w:rPr>
          <w:rFonts w:ascii="Times New Roman" w:cs="Times New Roman" w:eastAsia="Times New Roman" w:hAnsi="Times New Roman"/>
          <w:sz w:val="18"/>
          <w:szCs w:val="18"/>
          <w:color w:val="040404"/>
        </w:rPr>
      </w:pPr>
    </w:p>
    <w:p>
      <w:pPr>
        <w:ind w:left="1580" w:hanging="704"/>
        <w:spacing w:after="0"/>
        <w:tabs>
          <w:tab w:leader="none" w:pos="1580" w:val="left"/>
        </w:tabs>
        <w:numPr>
          <w:ilvl w:val="0"/>
          <w:numId w:val="78"/>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w:t>
      </w:r>
    </w:p>
    <w:p>
      <w:pPr>
        <w:spacing w:after="0" w:line="200" w:lineRule="exact"/>
        <w:rPr>
          <w:sz w:val="20"/>
          <w:szCs w:val="20"/>
          <w:color w:val="auto"/>
        </w:rPr>
      </w:pPr>
    </w:p>
    <w:p>
      <w:pPr>
        <w:spacing w:after="0" w:line="2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040404"/>
        </w:rPr>
        <w:t xml:space="preserve">"ADSs" </w:t>
      </w:r>
      <w:r>
        <w:rPr>
          <w:rFonts w:ascii="Times New Roman" w:cs="Times New Roman" w:eastAsia="Times New Roman" w:hAnsi="Times New Roman"/>
          <w:sz w:val="18"/>
          <w:szCs w:val="18"/>
          <w:color w:val="040404"/>
        </w:rPr>
        <w:t>means American Depositary Shares, each representing Ordinary Shares, of the Company;</w:t>
      </w:r>
    </w:p>
    <w:p>
      <w:pPr>
        <w:spacing w:after="0" w:line="239" w:lineRule="exact"/>
        <w:rPr>
          <w:sz w:val="20"/>
          <w:szCs w:val="20"/>
          <w:color w:val="auto"/>
        </w:rPr>
      </w:pPr>
    </w:p>
    <w:p>
      <w:pPr>
        <w:ind w:left="860" w:right="20" w:firstLine="60"/>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"Affiliate" </w:t>
      </w:r>
      <w:r>
        <w:rPr>
          <w:rFonts w:ascii="Times New Roman" w:cs="Times New Roman" w:eastAsia="Times New Roman" w:hAnsi="Times New Roman"/>
          <w:sz w:val="18"/>
          <w:szCs w:val="18"/>
          <w:color w:val="040404"/>
        </w:rPr>
        <w:t>shall have the meaning assigned to such term by the SEC under Rule 405 promulgated under the Securities Act, or under any</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successor regulation thereto;</w:t>
      </w:r>
    </w:p>
    <w:p>
      <w:pPr>
        <w:spacing w:after="0" w:line="155" w:lineRule="exact"/>
        <w:rPr>
          <w:sz w:val="20"/>
          <w:szCs w:val="20"/>
          <w:color w:val="auto"/>
        </w:rPr>
      </w:pPr>
    </w:p>
    <w:p>
      <w:pPr>
        <w:ind w:left="860"/>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"Business Day" </w:t>
      </w:r>
      <w:r>
        <w:rPr>
          <w:rFonts w:ascii="Times New Roman" w:cs="Times New Roman" w:eastAsia="Times New Roman" w:hAnsi="Times New Roman"/>
          <w:sz w:val="18"/>
          <w:szCs w:val="18"/>
          <w:color w:val="040404"/>
        </w:rPr>
        <w:t>means any day other than a Saturday or Sunday or a day on which banking institutions in London or Stockholm, Sweden</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are permitted or required to be closed;</w:t>
      </w:r>
    </w:p>
    <w:p>
      <w:pPr>
        <w:spacing w:after="0" w:line="3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040404"/>
        </w:rPr>
        <w:t xml:space="preserve">"Change of Control" </w:t>
      </w:r>
      <w:r>
        <w:rPr>
          <w:rFonts w:ascii="Times New Roman" w:cs="Times New Roman" w:eastAsia="Times New Roman" w:hAnsi="Times New Roman"/>
          <w:sz w:val="18"/>
          <w:szCs w:val="18"/>
          <w:color w:val="040404"/>
        </w:rPr>
        <w:t>means the occurrence of</w:t>
      </w:r>
      <w:r>
        <w:rPr>
          <w:rFonts w:ascii="Times New Roman" w:cs="Times New Roman" w:eastAsia="Times New Roman" w:hAnsi="Times New Roman"/>
          <w:sz w:val="18"/>
          <w:szCs w:val="18"/>
          <w:color w:val="151515"/>
        </w:rPr>
        <w:t>:</w:t>
      </w:r>
    </w:p>
    <w:p>
      <w:pPr>
        <w:spacing w:after="0" w:line="81" w:lineRule="exact"/>
        <w:rPr>
          <w:sz w:val="20"/>
          <w:szCs w:val="20"/>
          <w:color w:val="auto"/>
        </w:rPr>
      </w:pPr>
    </w:p>
    <w:p>
      <w:pPr>
        <w:jc w:val="both"/>
        <w:ind w:left="1540" w:right="280" w:hanging="663"/>
        <w:spacing w:after="0" w:line="261" w:lineRule="auto"/>
        <w:tabs>
          <w:tab w:leader="none" w:pos="1540" w:val="left"/>
        </w:tabs>
        <w:numPr>
          <w:ilvl w:val="0"/>
          <w:numId w:val="79"/>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an offer (as such term is defined the Takeover Code) being made by a person or group of persons acting in concert (as such term is defined in the Takeover Code), other than AstraZeneca or any person acting in concert with AstraZeneca, to all holders of Ordinary Shares ( other than the offeror and/or any associate (as defined in section 988 of the Companies Act) of the offeror, and any person to whom the offer is not made (i)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695960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620" w:top="1332" w:right="459" w:bottom="1440" w:gutter="0" w:footer="0" w:header="0"/>
        </w:sectPr>
      </w:pPr>
    </w:p>
    <w:bookmarkStart w:id="150" w:name="page151"/>
    <w:bookmarkEnd w:id="150"/>
    <w:p>
      <w:pPr>
        <w:jc w:val="both"/>
        <w:ind w:left="720"/>
        <w:spacing w:after="0" w:line="261" w:lineRule="auto"/>
        <w:rPr>
          <w:sz w:val="20"/>
          <w:szCs w:val="20"/>
          <w:color w:val="auto"/>
        </w:rPr>
      </w:pPr>
      <w:r>
        <w:rPr>
          <w:rFonts w:ascii="Times New Roman" w:cs="Times New Roman" w:eastAsia="Times New Roman" w:hAnsi="Times New Roman"/>
          <w:sz w:val="18"/>
          <w:szCs w:val="18"/>
          <w:color w:val="040404"/>
        </w:rPr>
        <w:t>to a dispensation granted by the Panel on Takeovers and Mergers; and/or (ii) in reliance on any exception to Rule 30.4 provided in the Takeover Code (including the note on Rule 30.4)) to acquire the whole of the issued ordinary share capital of the Company ( other than that held by the offeror and/or any associate ( as defined in section 988 of the Companies Act) of the offeror) and such offer being declared unconditional in all respects; or</w:t>
      </w:r>
    </w:p>
    <w:p>
      <w:pPr>
        <w:spacing w:after="0" w:line="207" w:lineRule="exact"/>
        <w:rPr>
          <w:sz w:val="20"/>
          <w:szCs w:val="20"/>
          <w:color w:val="auto"/>
        </w:rPr>
      </w:pPr>
    </w:p>
    <w:p>
      <w:pPr>
        <w:jc w:val="both"/>
        <w:ind w:left="720" w:right="40" w:hanging="663"/>
        <w:spacing w:after="0" w:line="258" w:lineRule="auto"/>
        <w:tabs>
          <w:tab w:leader="none" w:pos="720" w:val="left"/>
        </w:tabs>
        <w:numPr>
          <w:ilvl w:val="0"/>
          <w:numId w:val="80"/>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a proposal being made by a person or group of persons acting in concert, other than AstraZeneca or any person acting in concert with AstraZeneca, to undertake a scheme of arrangement pursuant to Part 26 of the Companies Act as a means of effecting an acquisition of the whole of the issued ordinary share capital of the Company ( other than that held by the offeror and/or any associate (as defined in section 988 of the Companies Act) of the offeror) and such scheme becoming effective;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the [***], the [***], the [***] or the [***], as relevant;</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the [***], the [***], the [***] and the [***], as relevant;</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40404"/>
        </w:rPr>
        <w:t xml:space="preserve">"Companies Act" </w:t>
      </w:r>
      <w:r>
        <w:rPr>
          <w:rFonts w:ascii="Times New Roman" w:cs="Times New Roman" w:eastAsia="Times New Roman" w:hAnsi="Times New Roman"/>
          <w:sz w:val="18"/>
          <w:szCs w:val="18"/>
          <w:color w:val="040404"/>
        </w:rPr>
        <w:t>means the Companies Act 2006;</w:t>
      </w:r>
    </w:p>
    <w:p>
      <w:pPr>
        <w:spacing w:after="0" w:line="252" w:lineRule="exact"/>
        <w:rPr>
          <w:sz w:val="20"/>
          <w:szCs w:val="20"/>
          <w:color w:val="auto"/>
        </w:rPr>
      </w:pPr>
    </w:p>
    <w:p>
      <w:pPr>
        <w:jc w:val="both"/>
        <w:ind w:left="60" w:right="40"/>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"Deposit Agreement" </w:t>
      </w:r>
      <w:r>
        <w:rPr>
          <w:rFonts w:ascii="Times New Roman" w:cs="Times New Roman" w:eastAsia="Times New Roman" w:hAnsi="Times New Roman"/>
          <w:sz w:val="18"/>
          <w:szCs w:val="18"/>
          <w:color w:val="040404"/>
        </w:rPr>
        <w:t>means the deposit agreement dated 23 April 2019 among the Company, Citibank, N.A. (as depositary) and all</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Holders (as defined therein) and Beneficial Owners (as defined therein) of ADSs issued thereunder;</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"Depositary" </w:t>
      </w:r>
      <w:r>
        <w:rPr>
          <w:rFonts w:ascii="Times New Roman" w:cs="Times New Roman" w:eastAsia="Times New Roman" w:hAnsi="Times New Roman"/>
          <w:sz w:val="18"/>
          <w:szCs w:val="18"/>
          <w:color w:val="040404"/>
        </w:rPr>
        <w:t>has the meaning given in the Deposit Agreement;</w:t>
      </w:r>
    </w:p>
    <w:p>
      <w:pPr>
        <w:spacing w:after="0" w:line="252" w:lineRule="exact"/>
        <w:rPr>
          <w:sz w:val="20"/>
          <w:szCs w:val="20"/>
          <w:color w:val="auto"/>
        </w:rPr>
      </w:pPr>
    </w:p>
    <w:p>
      <w:pPr>
        <w:jc w:val="both"/>
        <w:ind w:left="40" w:right="40"/>
        <w:spacing w:after="0" w:line="262" w:lineRule="auto"/>
        <w:rPr>
          <w:sz w:val="20"/>
          <w:szCs w:val="20"/>
          <w:color w:val="auto"/>
        </w:rPr>
      </w:pPr>
      <w:r>
        <w:rPr>
          <w:rFonts w:ascii="Times New Roman" w:cs="Times New Roman" w:eastAsia="Times New Roman" w:hAnsi="Times New Roman"/>
          <w:sz w:val="18"/>
          <w:szCs w:val="18"/>
          <w:b w:val="1"/>
          <w:bCs w:val="1"/>
          <w:color w:val="040404"/>
        </w:rPr>
        <w:t xml:space="preserve">"Disposal" </w:t>
      </w:r>
      <w:r>
        <w:rPr>
          <w:rFonts w:ascii="Times New Roman" w:cs="Times New Roman" w:eastAsia="Times New Roman" w:hAnsi="Times New Roman"/>
          <w:sz w:val="18"/>
          <w:szCs w:val="18"/>
          <w:color w:val="040404"/>
        </w:rPr>
        <w:t>means directly or indirectly, offer, issue, lend, mortgage, assign, charge, pledge, sell or contract to sell, issue options in</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respect of, or otherwise dispose of, directly or indirectly, or announce an offering or issue of, any Subscription Shares (or any interest therein or in respect thereof) or any other securities exchangeable for or convertible into the Subscription Shares or agree to do any of the foregoing;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40404"/>
        </w:rPr>
        <w:t xml:space="preserve">"Effective Date" </w:t>
      </w:r>
      <w:r>
        <w:rPr>
          <w:rFonts w:ascii="Times New Roman" w:cs="Times New Roman" w:eastAsia="Times New Roman" w:hAnsi="Times New Roman"/>
          <w:sz w:val="18"/>
          <w:szCs w:val="18"/>
          <w:color w:val="040404"/>
        </w:rPr>
        <w:t>means 28 October 2017;</w:t>
      </w:r>
    </w:p>
    <w:p>
      <w:pPr>
        <w:spacing w:after="0" w:line="252" w:lineRule="exact"/>
        <w:rPr>
          <w:sz w:val="20"/>
          <w:szCs w:val="20"/>
          <w:color w:val="auto"/>
        </w:rPr>
      </w:pPr>
    </w:p>
    <w:p>
      <w:pPr>
        <w:jc w:val="both"/>
        <w:ind w:left="40" w:right="40" w:firstLine="4"/>
        <w:spacing w:after="0" w:line="262" w:lineRule="auto"/>
        <w:rPr>
          <w:sz w:val="20"/>
          <w:szCs w:val="20"/>
          <w:color w:val="auto"/>
        </w:rPr>
      </w:pPr>
      <w:r>
        <w:rPr>
          <w:rFonts w:ascii="Times New Roman" w:cs="Times New Roman" w:eastAsia="Times New Roman" w:hAnsi="Times New Roman"/>
          <w:sz w:val="18"/>
          <w:szCs w:val="18"/>
          <w:b w:val="1"/>
          <w:bCs w:val="1"/>
          <w:color w:val="040404"/>
        </w:rPr>
        <w:t xml:space="preserve">"Encumbrance" </w:t>
      </w:r>
      <w:r>
        <w:rPr>
          <w:rFonts w:ascii="Times New Roman" w:cs="Times New Roman" w:eastAsia="Times New Roman" w:hAnsi="Times New Roman"/>
          <w:sz w:val="18"/>
          <w:szCs w:val="18"/>
          <w:color w:val="040404"/>
        </w:rPr>
        <w:t>means any mortgage, charge (fixed or floating), pledge, lien, hypothecation trust, right of set-off or other third</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party right or interest (legal or equitable) including any right of pre-emption, assignment by way of security, reservation of title or any other security interest of any kind however created or arising or any other agreement or arrangement (including a sale and repurchase arrangement);</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"Exchange Act" </w:t>
      </w:r>
      <w:r>
        <w:rPr>
          <w:rFonts w:ascii="Times New Roman" w:cs="Times New Roman" w:eastAsia="Times New Roman" w:hAnsi="Times New Roman"/>
          <w:sz w:val="18"/>
          <w:szCs w:val="18"/>
          <w:color w:val="040404"/>
        </w:rPr>
        <w:t>means the U.S. Securities Exchange Act of 1934, as amended;</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"CA" </w:t>
      </w:r>
      <w:r>
        <w:rPr>
          <w:rFonts w:ascii="Times New Roman" w:cs="Times New Roman" w:eastAsia="Times New Roman" w:hAnsi="Times New Roman"/>
          <w:sz w:val="18"/>
          <w:szCs w:val="18"/>
          <w:color w:val="040404"/>
        </w:rPr>
        <w:t>means the UK Financial Conduct Authority and any successor to its functions from time to time;</w:t>
      </w:r>
    </w:p>
    <w:p>
      <w:pPr>
        <w:spacing w:after="0" w:line="239" w:lineRule="exact"/>
        <w:rPr>
          <w:sz w:val="20"/>
          <w:szCs w:val="20"/>
          <w:color w:val="auto"/>
        </w:rPr>
      </w:pPr>
    </w:p>
    <w:p>
      <w:pPr>
        <w:jc w:val="both"/>
        <w:ind w:left="40" w:right="40"/>
        <w:spacing w:after="0" w:line="286" w:lineRule="auto"/>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the date on which the Subscription Shares comprised in the [***] were allotted and issued to AstraZeneca pursuant to</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 xml:space="preserve">clause 2.1 </w:t>
      </w: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 Ordinary Shares;</w:t>
      </w:r>
    </w:p>
    <w:p>
      <w:pPr>
        <w:spacing w:after="0" w:line="279" w:lineRule="exact"/>
        <w:rPr>
          <w:sz w:val="20"/>
          <w:szCs w:val="20"/>
          <w:color w:val="auto"/>
        </w:rPr>
      </w:pPr>
    </w:p>
    <w:p>
      <w:pPr>
        <w:ind w:left="40" w:right="680" w:firstLine="4"/>
        <w:spacing w:after="0" w:line="286" w:lineRule="auto"/>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the date on which the Restricted ADSs representing the Subscription Shares comprised in the [***] are</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 xml:space="preserve">issued to AstraZeneca pursuant to clause 2.4 (the </w:t>
      </w: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w:t>
      </w:r>
    </w:p>
    <w:p>
      <w:pPr>
        <w:spacing w:after="0" w:line="168" w:lineRule="exact"/>
        <w:rPr>
          <w:sz w:val="20"/>
          <w:szCs w:val="20"/>
          <w:color w:val="auto"/>
        </w:rPr>
      </w:pPr>
    </w:p>
    <w:p>
      <w:pPr>
        <w:ind w:left="40" w:right="360" w:firstLine="4"/>
        <w:spacing w:after="0" w:line="286" w:lineRule="auto"/>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such number of ADSs (which, at the time of issue, shall be Restricted ADSs) that represent a number of Ordinary</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Shares (rounded down to the nearest whole Ordinary Share) as results from the following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691515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1440" w:top="1336" w:right="739" w:bottom="1440" w:gutter="0" w:footer="0" w:header="0"/>
        </w:sectPr>
      </w:pPr>
    </w:p>
    <w:bookmarkStart w:id="151" w:name="page152"/>
    <w:bookmarkEnd w:id="151"/>
    <w:p>
      <w:pPr>
        <w:spacing w:after="0" w:line="5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040404"/>
        </w:rPr>
        <w:t>No. of Ordinary Shares=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40404"/>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40404"/>
        </w:rPr>
        <w:t>Subscription Price</w:t>
      </w:r>
    </w:p>
    <w:p>
      <w:pPr>
        <w:spacing w:after="0" w:line="200" w:lineRule="exact"/>
        <w:rPr>
          <w:sz w:val="20"/>
          <w:szCs w:val="20"/>
          <w:color w:val="auto"/>
        </w:rPr>
      </w:pPr>
    </w:p>
    <w:p>
      <w:pPr>
        <w:sectPr>
          <w:pgSz w:w="11900" w:h="16838" w:orient="portrait"/>
          <w:cols w:equalWidth="0" w:num="2">
            <w:col w:w="4000" w:space="240"/>
            <w:col w:w="5720"/>
          </w:cols>
          <w:pgMar w:left="1440" w:top="1440" w:right="499" w:bottom="1440" w:gutter="0" w:footer="0" w:header="0"/>
        </w:sectPr>
      </w:pP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"Guarantee" </w:t>
      </w:r>
      <w:r>
        <w:rPr>
          <w:rFonts w:ascii="Times New Roman" w:cs="Times New Roman" w:eastAsia="Times New Roman" w:hAnsi="Times New Roman"/>
          <w:sz w:val="18"/>
          <w:szCs w:val="18"/>
          <w:color w:val="040404"/>
        </w:rPr>
        <w:t>means the parent company guarantee entered into between AstraZeneca and the Company on or around the Effective Date;</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"License" </w:t>
      </w:r>
      <w:r>
        <w:rPr>
          <w:rFonts w:ascii="Times New Roman" w:cs="Times New Roman" w:eastAsia="Times New Roman" w:hAnsi="Times New Roman"/>
          <w:sz w:val="18"/>
          <w:szCs w:val="18"/>
          <w:color w:val="040404"/>
        </w:rPr>
        <w:t>means the license granted by AstraZeneca to Mereo pursuant to the License Agreement;</w:t>
      </w:r>
    </w:p>
    <w:p>
      <w:pPr>
        <w:spacing w:after="0" w:line="239" w:lineRule="exact"/>
        <w:rPr>
          <w:sz w:val="20"/>
          <w:szCs w:val="20"/>
          <w:color w:val="auto"/>
        </w:rPr>
      </w:pPr>
    </w:p>
    <w:p>
      <w:pPr>
        <w:ind w:left="40" w:right="320" w:firstLine="4"/>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"License Agreement" </w:t>
      </w:r>
      <w:r>
        <w:rPr>
          <w:rFonts w:ascii="Times New Roman" w:cs="Times New Roman" w:eastAsia="Times New Roman" w:hAnsi="Times New Roman"/>
          <w:sz w:val="18"/>
          <w:szCs w:val="18"/>
          <w:color w:val="040404"/>
        </w:rPr>
        <w:t>means the exclusive license and option agreement entered into between AstraZeneca and Mereo on or around</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the Effective Date;</w:t>
      </w:r>
    </w:p>
    <w:p>
      <w:pPr>
        <w:spacing w:after="0" w:line="155" w:lineRule="exact"/>
        <w:rPr>
          <w:sz w:val="20"/>
          <w:szCs w:val="20"/>
          <w:color w:val="auto"/>
        </w:rPr>
      </w:pPr>
    </w:p>
    <w:p>
      <w:pPr>
        <w:ind w:left="40" w:right="340"/>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"Loan Note 1" </w:t>
      </w:r>
      <w:r>
        <w:rPr>
          <w:rFonts w:ascii="Times New Roman" w:cs="Times New Roman" w:eastAsia="Times New Roman" w:hAnsi="Times New Roman"/>
          <w:sz w:val="18"/>
          <w:szCs w:val="18"/>
          <w:color w:val="040404"/>
        </w:rPr>
        <w:t>means the loan note issued by Mereo to the Company for the principal amount of [***] pursuant to clause 8.2.l(a) of</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the License Agreement;</w:t>
      </w:r>
    </w:p>
    <w:p>
      <w:pPr>
        <w:spacing w:after="0" w:line="168" w:lineRule="exact"/>
        <w:rPr>
          <w:sz w:val="20"/>
          <w:szCs w:val="20"/>
          <w:color w:val="auto"/>
        </w:rPr>
      </w:pPr>
    </w:p>
    <w:p>
      <w:pPr>
        <w:ind w:left="60" w:right="700" w:hanging="3"/>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"Loan Note 2" </w:t>
      </w:r>
      <w:r>
        <w:rPr>
          <w:rFonts w:ascii="Times New Roman" w:cs="Times New Roman" w:eastAsia="Times New Roman" w:hAnsi="Times New Roman"/>
          <w:sz w:val="18"/>
          <w:szCs w:val="18"/>
          <w:color w:val="040404"/>
        </w:rPr>
        <w:t>means the loan note to be issued by Mereo to the Company for the principal amount of [***] pursuant to clause</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8.2.l(b) of the License Agreement;</w:t>
      </w:r>
    </w:p>
    <w:p>
      <w:pPr>
        <w:spacing w:after="0" w:line="168" w:lineRule="exact"/>
        <w:rPr>
          <w:sz w:val="20"/>
          <w:szCs w:val="20"/>
          <w:color w:val="auto"/>
        </w:rPr>
      </w:pPr>
    </w:p>
    <w:p>
      <w:pPr>
        <w:ind w:left="60" w:right="160" w:hanging="3"/>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"Loan Note 3" </w:t>
      </w:r>
      <w:r>
        <w:rPr>
          <w:rFonts w:ascii="Times New Roman" w:cs="Times New Roman" w:eastAsia="Times New Roman" w:hAnsi="Times New Roman"/>
          <w:sz w:val="18"/>
          <w:szCs w:val="18"/>
          <w:color w:val="040404"/>
        </w:rPr>
        <w:t>means the loan note to be issued by Mereo to the Company for the principal amount of [***] pursuant to clause 8 .2 .1.</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(c) of the License Agreement;</w:t>
      </w:r>
    </w:p>
    <w:p>
      <w:pPr>
        <w:spacing w:after="0" w:line="168" w:lineRule="exact"/>
        <w:rPr>
          <w:sz w:val="20"/>
          <w:szCs w:val="20"/>
          <w:color w:val="auto"/>
        </w:rPr>
      </w:pPr>
    </w:p>
    <w:p>
      <w:pPr>
        <w:ind w:left="60" w:right="260" w:hanging="3"/>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"Loan Note 4" </w:t>
      </w:r>
      <w:r>
        <w:rPr>
          <w:rFonts w:ascii="Times New Roman" w:cs="Times New Roman" w:eastAsia="Times New Roman" w:hAnsi="Times New Roman"/>
          <w:sz w:val="18"/>
          <w:szCs w:val="18"/>
          <w:color w:val="040404"/>
        </w:rPr>
        <w:t>means the loan note to be issued by Mereo to the Company for the principal amount of [***] pursuant to clause 8.2.1.</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(d) of the License Agreement;</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"Loan Notes" </w:t>
      </w:r>
      <w:r>
        <w:rPr>
          <w:rFonts w:ascii="Times New Roman" w:cs="Times New Roman" w:eastAsia="Times New Roman" w:hAnsi="Times New Roman"/>
          <w:sz w:val="18"/>
          <w:szCs w:val="18"/>
          <w:color w:val="040404"/>
        </w:rPr>
        <w:t>means Loan Note 1</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Loan Note 2, Loan Note 3 and Loan Note 4;</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"MAR" </w:t>
      </w:r>
      <w:r>
        <w:rPr>
          <w:rFonts w:ascii="Times New Roman" w:cs="Times New Roman" w:eastAsia="Times New Roman" w:hAnsi="Times New Roman"/>
          <w:sz w:val="18"/>
          <w:szCs w:val="18"/>
          <w:color w:val="040404"/>
        </w:rPr>
        <w:t>means the Market Abuse Regulation (Regulation 596/2014);</w:t>
      </w:r>
    </w:p>
    <w:p>
      <w:pPr>
        <w:spacing w:after="0" w:line="239" w:lineRule="exact"/>
        <w:rPr>
          <w:sz w:val="20"/>
          <w:szCs w:val="20"/>
          <w:color w:val="auto"/>
        </w:rPr>
      </w:pPr>
    </w:p>
    <w:p>
      <w:pPr>
        <w:ind w:left="40" w:right="280" w:firstLine="4"/>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"Mereo" </w:t>
      </w:r>
      <w:r>
        <w:rPr>
          <w:rFonts w:ascii="Times New Roman" w:cs="Times New Roman" w:eastAsia="Times New Roman" w:hAnsi="Times New Roman"/>
          <w:sz w:val="18"/>
          <w:szCs w:val="18"/>
          <w:color w:val="040404"/>
        </w:rPr>
        <w:t>means Mereo BioPharma 4 Limited, a company incorporated in England and Wales with the registered number 11029583</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and registered address at 4" Floor, One Cavendish Place, London, England, WIG 0QF;</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"Mereo Group </w:t>
      </w:r>
      <w:r>
        <w:rPr>
          <w:rFonts w:ascii="Times New Roman" w:cs="Times New Roman" w:eastAsia="Times New Roman" w:hAnsi="Times New Roman"/>
          <w:sz w:val="18"/>
          <w:szCs w:val="18"/>
          <w:color w:val="040404"/>
        </w:rPr>
        <w:t>means the Company and its Affiliates from time to time;</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"Mereo Sale Event" </w:t>
      </w:r>
      <w:r>
        <w:rPr>
          <w:rFonts w:ascii="Times New Roman" w:cs="Times New Roman" w:eastAsia="Times New Roman" w:hAnsi="Times New Roman"/>
          <w:sz w:val="18"/>
          <w:szCs w:val="18"/>
          <w:color w:val="040404"/>
        </w:rPr>
        <w:t>means, directly or indirectly:</w:t>
      </w:r>
    </w:p>
    <w:p>
      <w:pPr>
        <w:spacing w:after="0" w:line="256" w:lineRule="exact"/>
        <w:rPr>
          <w:sz w:val="20"/>
          <w:szCs w:val="20"/>
          <w:color w:val="auto"/>
        </w:rPr>
      </w:pPr>
    </w:p>
    <w:p>
      <w:pPr>
        <w:ind w:left="720" w:right="280" w:hanging="663"/>
        <w:spacing w:after="0" w:line="282" w:lineRule="auto"/>
        <w:tabs>
          <w:tab w:leader="none" w:pos="720" w:val="left"/>
        </w:tabs>
        <w:numPr>
          <w:ilvl w:val="0"/>
          <w:numId w:val="81"/>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the effecting of any transaction as a result of which the Company is no longer the ultimate holding company of Mereo (except for a transaction to which clause 8.1 applies); or</w:t>
      </w:r>
    </w:p>
    <w:p>
      <w:pPr>
        <w:spacing w:after="0" w:line="175" w:lineRule="exact"/>
        <w:rPr>
          <w:rFonts w:ascii="Times New Roman" w:cs="Times New Roman" w:eastAsia="Times New Roman" w:hAnsi="Times New Roman"/>
          <w:sz w:val="18"/>
          <w:szCs w:val="18"/>
          <w:color w:val="040404"/>
        </w:rPr>
      </w:pPr>
    </w:p>
    <w:p>
      <w:pPr>
        <w:jc w:val="both"/>
        <w:ind w:left="720" w:right="280" w:hanging="663"/>
        <w:spacing w:after="0" w:line="261" w:lineRule="auto"/>
        <w:tabs>
          <w:tab w:leader="none" w:pos="720" w:val="left"/>
        </w:tabs>
        <w:numPr>
          <w:ilvl w:val="0"/>
          <w:numId w:val="81"/>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the completion of a sale of all, or substantially all, of Mereo's business, assets or undertakings to which the License Agreement relates at the time of such a sale ( including, for clarity, any sale, transfer or assignment of all, or substantially all, of the intellectual property rights owned by Mereo at the relevant time if that constitutes all, or substantially all, of Mereo's business, assets or undertakings to which the License Agreement relates at such time);</w:t>
      </w:r>
    </w:p>
    <w:p>
      <w:pPr>
        <w:spacing w:after="0" w:line="189" w:lineRule="exact"/>
        <w:rPr>
          <w:sz w:val="20"/>
          <w:szCs w:val="20"/>
          <w:color w:val="auto"/>
        </w:rPr>
      </w:pPr>
    </w:p>
    <w:p>
      <w:pPr>
        <w:jc w:val="both"/>
        <w:ind w:left="40" w:right="280"/>
        <w:spacing w:after="0" w:line="268" w:lineRule="auto"/>
        <w:rPr>
          <w:sz w:val="20"/>
          <w:szCs w:val="20"/>
          <w:color w:val="auto"/>
        </w:rPr>
      </w:pPr>
      <w:r>
        <w:rPr>
          <w:rFonts w:ascii="Times New Roman" w:cs="Times New Roman" w:eastAsia="Times New Roman" w:hAnsi="Times New Roman"/>
          <w:sz w:val="18"/>
          <w:szCs w:val="18"/>
          <w:b w:val="1"/>
          <w:bCs w:val="1"/>
          <w:color w:val="040404"/>
        </w:rPr>
        <w:t xml:space="preserve">"Ordinary Shares" </w:t>
      </w:r>
      <w:r>
        <w:rPr>
          <w:rFonts w:ascii="Times New Roman" w:cs="Times New Roman" w:eastAsia="Times New Roman" w:hAnsi="Times New Roman"/>
          <w:sz w:val="18"/>
          <w:szCs w:val="18"/>
          <w:color w:val="040404"/>
        </w:rPr>
        <w:t>means the ordinary shares each with a nominal value of £0.003 in the capital of the Company (and, if there is a</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sub-division, consolidation or reclassification of those shares, the shares resulting from the sub-division, consolidation or reclassification);</w:t>
      </w:r>
    </w:p>
    <w:p>
      <w:pPr>
        <w:spacing w:after="0" w:line="225" w:lineRule="exact"/>
        <w:rPr>
          <w:sz w:val="20"/>
          <w:szCs w:val="20"/>
          <w:color w:val="auto"/>
        </w:rPr>
      </w:pPr>
    </w:p>
    <w:p>
      <w:pPr>
        <w:jc w:val="both"/>
        <w:ind w:left="40" w:right="280" w:firstLine="4"/>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"Prospectus Regulation" </w:t>
      </w:r>
      <w:r>
        <w:rPr>
          <w:rFonts w:ascii="Times New Roman" w:cs="Times New Roman" w:eastAsia="Times New Roman" w:hAnsi="Times New Roman"/>
          <w:sz w:val="18"/>
          <w:szCs w:val="18"/>
          <w:color w:val="040404"/>
        </w:rPr>
        <w:t>means Regulation (EU) 2017/1129 of 14 June 2017 on the prospectus to be published when securities are</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offered to the public or admitted to trading on a regulated market, and repealing Directive 2003/71/EC, as amended;</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"Registrars" </w:t>
      </w:r>
      <w:r>
        <w:rPr>
          <w:rFonts w:ascii="Times New Roman" w:cs="Times New Roman" w:eastAsia="Times New Roman" w:hAnsi="Times New Roman"/>
          <w:sz w:val="18"/>
          <w:szCs w:val="18"/>
          <w:color w:val="040404"/>
        </w:rPr>
        <w:t>means Link Group, I0" Floor, Central Square, 29 Wellington Street, Leeds, LS</w:t>
      </w:r>
      <w:r>
        <w:rPr>
          <w:rFonts w:ascii="Times New Roman" w:cs="Times New Roman" w:eastAsia="Times New Roman" w:hAnsi="Times New Roman"/>
          <w:sz w:val="18"/>
          <w:szCs w:val="18"/>
          <w:b w:val="1"/>
          <w:bCs w:val="1"/>
          <w:color w:val="040404"/>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735965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440" w:right="499" w:bottom="1440" w:gutter="0" w:footer="0" w:header="0"/>
          <w:type w:val="continuous"/>
        </w:sectPr>
      </w:pPr>
    </w:p>
    <w:bookmarkStart w:id="152" w:name="page153"/>
    <w:bookmarkEnd w:id="152"/>
    <w:p>
      <w:pPr>
        <w:ind w:left="40"/>
        <w:spacing w:after="0"/>
        <w:rPr>
          <w:sz w:val="20"/>
          <w:szCs w:val="20"/>
          <w:color w:val="auto"/>
        </w:rPr>
      </w:pPr>
      <w:r>
        <w:rPr>
          <w:rFonts w:ascii="Times New Roman" w:cs="Times New Roman" w:eastAsia="Times New Roman" w:hAnsi="Times New Roman"/>
          <w:sz w:val="18"/>
          <w:szCs w:val="18"/>
          <w:color w:val="040404"/>
        </w:rPr>
        <w:t>4DL;</w:t>
      </w:r>
    </w:p>
    <w:p>
      <w:pPr>
        <w:spacing w:after="0" w:line="248" w:lineRule="exact"/>
        <w:rPr>
          <w:sz w:val="20"/>
          <w:szCs w:val="20"/>
          <w:color w:val="auto"/>
        </w:rPr>
      </w:pPr>
    </w:p>
    <w:p>
      <w:pPr>
        <w:ind w:left="60" w:right="200" w:hanging="3"/>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"Registration Statement" </w:t>
      </w:r>
      <w:r>
        <w:rPr>
          <w:rFonts w:ascii="Times New Roman" w:cs="Times New Roman" w:eastAsia="Times New Roman" w:hAnsi="Times New Roman"/>
          <w:sz w:val="18"/>
          <w:szCs w:val="18"/>
          <w:color w:val="040404"/>
        </w:rPr>
        <w:t>means a registration statement on Form F-3 (or Form S-3, as applicable) or, if the Company is not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eligible to use such form, on Form F-1 (or Form S-1, as applicable), or any successor forms thereto;</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040404"/>
        </w:rPr>
        <w:t xml:space="preserve">"Regulation S" </w:t>
      </w:r>
      <w:r>
        <w:rPr>
          <w:rFonts w:ascii="Times New Roman" w:cs="Times New Roman" w:eastAsia="Times New Roman" w:hAnsi="Times New Roman"/>
          <w:sz w:val="18"/>
          <w:szCs w:val="18"/>
          <w:color w:val="040404"/>
        </w:rPr>
        <w:t>means Regulation Sunder the Securities Act;</w:t>
      </w:r>
    </w:p>
    <w:p>
      <w:pPr>
        <w:spacing w:after="0" w:line="266" w:lineRule="exact"/>
        <w:rPr>
          <w:sz w:val="20"/>
          <w:szCs w:val="20"/>
          <w:color w:val="auto"/>
        </w:rPr>
      </w:pPr>
    </w:p>
    <w:p>
      <w:pPr>
        <w:jc w:val="both"/>
        <w:ind w:left="40" w:firstLine="4"/>
        <w:spacing w:after="0" w:line="262" w:lineRule="auto"/>
        <w:rPr>
          <w:sz w:val="20"/>
          <w:szCs w:val="20"/>
          <w:color w:val="auto"/>
        </w:rPr>
      </w:pPr>
      <w:r>
        <w:rPr>
          <w:rFonts w:ascii="Times New Roman" w:cs="Times New Roman" w:eastAsia="Times New Roman" w:hAnsi="Times New Roman"/>
          <w:sz w:val="18"/>
          <w:szCs w:val="18"/>
          <w:b w:val="1"/>
          <w:bCs w:val="1"/>
          <w:color w:val="040404"/>
        </w:rPr>
        <w:t xml:space="preserve">"Restricted ADSs" </w:t>
      </w:r>
      <w:r>
        <w:rPr>
          <w:rFonts w:ascii="Times New Roman" w:cs="Times New Roman" w:eastAsia="Times New Roman" w:hAnsi="Times New Roman"/>
          <w:sz w:val="18"/>
          <w:szCs w:val="18"/>
          <w:color w:val="040404"/>
        </w:rPr>
        <w:t>shall mean ADSs representing Ordinary Shares which (i) have been acquired directly or indirectly from the</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Company or any of its Affiliates in a transaction or chain of transactions not involving any public offering and are subject to resale limitations under the Securities Act or the rules and regulations issued thereunder, and/or (ii) are subject to other restrictions on sale or deposit under the laws of the United States;</w:t>
      </w:r>
    </w:p>
    <w:p>
      <w:pPr>
        <w:spacing w:after="0" w:line="190" w:lineRule="exact"/>
        <w:rPr>
          <w:sz w:val="20"/>
          <w:szCs w:val="20"/>
          <w:color w:val="auto"/>
        </w:rPr>
      </w:pPr>
    </w:p>
    <w:p>
      <w:pPr>
        <w:jc w:val="center"/>
        <w:ind w:right="2940"/>
        <w:spacing w:after="0"/>
        <w:rPr>
          <w:sz w:val="20"/>
          <w:szCs w:val="20"/>
          <w:color w:val="auto"/>
        </w:rPr>
      </w:pPr>
      <w:r>
        <w:rPr>
          <w:rFonts w:ascii="Times New Roman" w:cs="Times New Roman" w:eastAsia="Times New Roman" w:hAnsi="Times New Roman"/>
          <w:sz w:val="18"/>
          <w:szCs w:val="18"/>
          <w:b w:val="1"/>
          <w:bCs w:val="1"/>
          <w:color w:val="040404"/>
        </w:rPr>
        <w:t xml:space="preserve">"SEC" </w:t>
      </w:r>
      <w:r>
        <w:rPr>
          <w:rFonts w:ascii="Times New Roman" w:cs="Times New Roman" w:eastAsia="Times New Roman" w:hAnsi="Times New Roman"/>
          <w:sz w:val="18"/>
          <w:szCs w:val="18"/>
          <w:color w:val="040404"/>
        </w:rPr>
        <w:t>means the U.S. Securities and Exchange Commission;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"SEC Reports" </w:t>
      </w:r>
      <w:r>
        <w:rPr>
          <w:rFonts w:ascii="Times New Roman" w:cs="Times New Roman" w:eastAsia="Times New Roman" w:hAnsi="Times New Roman"/>
          <w:sz w:val="18"/>
          <w:szCs w:val="18"/>
          <w:color w:val="040404"/>
        </w:rPr>
        <w:t>means (a) the Company's most recently filed Annual Report on Form 10-K and</w:t>
      </w:r>
    </w:p>
    <w:p>
      <w:pPr>
        <w:spacing w:after="0" w:line="31" w:lineRule="exact"/>
        <w:rPr>
          <w:sz w:val="20"/>
          <w:szCs w:val="20"/>
          <w:color w:val="auto"/>
        </w:rPr>
      </w:pPr>
    </w:p>
    <w:p>
      <w:pPr>
        <w:jc w:val="both"/>
        <w:ind w:left="40" w:right="20" w:firstLine="10"/>
        <w:spacing w:after="0" w:line="263" w:lineRule="auto"/>
        <w:tabs>
          <w:tab w:leader="none" w:pos="308" w:val="left"/>
        </w:tabs>
        <w:numPr>
          <w:ilvl w:val="0"/>
          <w:numId w:val="82"/>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all Quarterly Reports on Form 10-Q or Current Reports on Form 8-K filed or furnished (as applicable) by the Company following the end of the most recent fiscal year for which an Annual Report on Form 10-K has been filed and prior to the execution of this Agreement, together in each case with any documents incorporated by reference therein or exhibits thereto;</w:t>
      </w:r>
    </w:p>
    <w:p>
      <w:pPr>
        <w:spacing w:after="0" w:line="175" w:lineRule="exact"/>
        <w:rPr>
          <w:sz w:val="20"/>
          <w:szCs w:val="20"/>
          <w:color w:val="auto"/>
        </w:rPr>
      </w:pPr>
    </w:p>
    <w:p>
      <w:pPr>
        <w:ind w:left="40" w:right="180" w:firstLine="4"/>
        <w:spacing w:after="0" w:line="286" w:lineRule="auto"/>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the date on which the Restricted ADSs representing the Subscription Shares comprised in the [***] are issued to</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 xml:space="preserve">AstraZeneca pursuant to clause 2.2 (the </w:t>
      </w: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w:t>
      </w:r>
    </w:p>
    <w:p>
      <w:pPr>
        <w:spacing w:after="0" w:line="168" w:lineRule="exact"/>
        <w:rPr>
          <w:sz w:val="20"/>
          <w:szCs w:val="20"/>
          <w:color w:val="auto"/>
        </w:rPr>
      </w:pPr>
    </w:p>
    <w:p>
      <w:pPr>
        <w:ind w:left="40" w:right="180" w:firstLine="4"/>
        <w:spacing w:after="0" w:line="286" w:lineRule="auto"/>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such number of ADSs (which, at the time of issue, shall be Restricted ADSs) that represent a number of Ordinary</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Shares (rounded down to the nearest whole Ordinary Share) as results from the following calculation:</w:t>
      </w:r>
    </w:p>
    <w:p>
      <w:pPr>
        <w:sectPr>
          <w:pgSz w:w="11900" w:h="16838" w:orient="portrait"/>
          <w:cols w:equalWidth="0" w:num="1">
            <w:col w:w="9860"/>
          </w:cols>
          <w:pgMar w:left="1440" w:top="1269" w:right="599" w:bottom="1440" w:gutter="0" w:footer="0" w:header="0"/>
        </w:sectPr>
      </w:pPr>
    </w:p>
    <w:p>
      <w:pPr>
        <w:spacing w:after="0" w:line="17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color w:val="040404"/>
        </w:rPr>
        <w:t>No. of Ordinary Shares=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40404"/>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40404"/>
        </w:rPr>
        <w:t>Subscription Price</w:t>
      </w:r>
    </w:p>
    <w:p>
      <w:pPr>
        <w:spacing w:after="0" w:line="200" w:lineRule="exact"/>
        <w:rPr>
          <w:sz w:val="20"/>
          <w:szCs w:val="20"/>
          <w:color w:val="auto"/>
        </w:rPr>
      </w:pPr>
    </w:p>
    <w:p>
      <w:pPr>
        <w:sectPr>
          <w:pgSz w:w="11900" w:h="16838" w:orient="portrait"/>
          <w:cols w:equalWidth="0" w:num="2">
            <w:col w:w="4000" w:space="240"/>
            <w:col w:w="5620"/>
          </w:cols>
          <w:pgMar w:left="1440" w:top="1269" w:right="599" w:bottom="1440" w:gutter="0" w:footer="0" w:header="0"/>
          <w:type w:val="continuous"/>
        </w:sectPr>
      </w:pP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"Securities Act" </w:t>
      </w:r>
      <w:r>
        <w:rPr>
          <w:rFonts w:ascii="Times New Roman" w:cs="Times New Roman" w:eastAsia="Times New Roman" w:hAnsi="Times New Roman"/>
          <w:sz w:val="18"/>
          <w:szCs w:val="18"/>
          <w:color w:val="040404"/>
        </w:rPr>
        <w:t>means the U.S. Securities Act of 1933, as amended;</w:t>
      </w:r>
    </w:p>
    <w:p>
      <w:pPr>
        <w:spacing w:after="0" w:line="252" w:lineRule="exact"/>
        <w:rPr>
          <w:sz w:val="20"/>
          <w:szCs w:val="20"/>
          <w:color w:val="auto"/>
        </w:rPr>
      </w:pPr>
    </w:p>
    <w:p>
      <w:pPr>
        <w:ind w:left="40" w:right="180" w:firstLine="4"/>
        <w:spacing w:after="0" w:line="263" w:lineRule="auto"/>
        <w:rPr>
          <w:sz w:val="20"/>
          <w:szCs w:val="20"/>
          <w:color w:val="auto"/>
        </w:rPr>
      </w:pPr>
      <w:r>
        <w:rPr>
          <w:rFonts w:ascii="Times New Roman" w:cs="Times New Roman" w:eastAsia="Times New Roman" w:hAnsi="Times New Roman"/>
          <w:sz w:val="18"/>
          <w:szCs w:val="18"/>
          <w:b w:val="1"/>
          <w:bCs w:val="1"/>
          <w:color w:val="040404"/>
        </w:rPr>
        <w:t xml:space="preserve">"Subscription Price" </w:t>
      </w:r>
      <w:r>
        <w:rPr>
          <w:rFonts w:ascii="Times New Roman" w:cs="Times New Roman" w:eastAsia="Times New Roman" w:hAnsi="Times New Roman"/>
          <w:sz w:val="18"/>
          <w:szCs w:val="18"/>
          <w:color w:val="040404"/>
        </w:rPr>
        <w:t>means the price per Ordinary Share calculated by dividing: (a) the volume weighted average price</w:t>
      </w:r>
      <w:r>
        <w:rPr>
          <w:rFonts w:ascii="Times New Roman" w:cs="Times New Roman" w:eastAsia="Times New Roman" w:hAnsi="Times New Roman"/>
          <w:sz w:val="18"/>
          <w:szCs w:val="18"/>
          <w:b w:val="1"/>
          <w:bCs w:val="1"/>
          <w:color w:val="040404"/>
        </w:rPr>
        <w:t xml:space="preserve"> (VWAP) </w:t>
      </w:r>
      <w:r>
        <w:rPr>
          <w:rFonts w:ascii="Times New Roman" w:cs="Times New Roman" w:eastAsia="Times New Roman" w:hAnsi="Times New Roman"/>
          <w:sz w:val="18"/>
          <w:szCs w:val="18"/>
          <w:color w:val="040404"/>
        </w:rPr>
        <w:t>per ADS during the [***] Trading Day period immediately preceding the date of the occurrence of the applicable Trigger Event; by</w:t>
      </w:r>
    </w:p>
    <w:p>
      <w:pPr>
        <w:spacing w:after="0" w:line="1" w:lineRule="exact"/>
        <w:rPr>
          <w:sz w:val="20"/>
          <w:szCs w:val="20"/>
          <w:color w:val="auto"/>
        </w:rPr>
      </w:pPr>
    </w:p>
    <w:p>
      <w:pPr>
        <w:jc w:val="both"/>
        <w:ind w:left="40" w:right="180"/>
        <w:spacing w:after="0" w:line="253" w:lineRule="auto"/>
        <w:tabs>
          <w:tab w:leader="none" w:pos="303" w:val="left"/>
        </w:tabs>
        <w:numPr>
          <w:ilvl w:val="0"/>
          <w:numId w:val="83"/>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the number of Ordinary Shares represented by each ADS on the last Trading Day of such period, rounded to the nearest $0.001. For example, if the VWAP per ADS for the [***] Trading Day period prior to the Trigger Event for the [***] was $5.00, then the price per Ordinary Share calculated by reference to that would be $1.00. Therefore, [***] Ordinary Shares would be issued and allotted in respect of the [***], which would be represented by [***] ADSs issued to AstraZeneca (which, at the time of issue, shall be Restricted ADSs);</w:t>
      </w:r>
    </w:p>
    <w:p>
      <w:pPr>
        <w:spacing w:after="0" w:line="196" w:lineRule="exact"/>
        <w:rPr>
          <w:sz w:val="20"/>
          <w:szCs w:val="20"/>
          <w:color w:val="auto"/>
        </w:rPr>
      </w:pPr>
    </w:p>
    <w:p>
      <w:pPr>
        <w:jc w:val="both"/>
        <w:ind w:left="60" w:right="180" w:hanging="3"/>
        <w:spacing w:after="0" w:line="268" w:lineRule="auto"/>
        <w:rPr>
          <w:sz w:val="20"/>
          <w:szCs w:val="20"/>
          <w:color w:val="auto"/>
        </w:rPr>
      </w:pPr>
      <w:r>
        <w:rPr>
          <w:rFonts w:ascii="Times New Roman" w:cs="Times New Roman" w:eastAsia="Times New Roman" w:hAnsi="Times New Roman"/>
          <w:sz w:val="18"/>
          <w:szCs w:val="18"/>
          <w:b w:val="1"/>
          <w:bCs w:val="1"/>
          <w:color w:val="040404"/>
        </w:rPr>
        <w:t xml:space="preserve">"Subscription Shares" </w:t>
      </w:r>
      <w:r>
        <w:rPr>
          <w:rFonts w:ascii="Times New Roman" w:cs="Times New Roman" w:eastAsia="Times New Roman" w:hAnsi="Times New Roman"/>
          <w:sz w:val="18"/>
          <w:szCs w:val="18"/>
          <w:color w:val="040404"/>
        </w:rPr>
        <w:t>means the Ordinary Shares subscribed for by AstraZeneca, and allotted and issued by the Company,</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pursuant to this Agreement, comprised of the [***], together with, to the extent applicable, the Ordinary Shares to be allotted to AstraZeneca by the Company as part of the [***], the [***] and the [***];</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040404"/>
        </w:rPr>
        <w:t xml:space="preserve">"Takeover Code" </w:t>
      </w:r>
      <w:r>
        <w:rPr>
          <w:rFonts w:ascii="Times New Roman" w:cs="Times New Roman" w:eastAsia="Times New Roman" w:hAnsi="Times New Roman"/>
          <w:sz w:val="18"/>
          <w:szCs w:val="18"/>
          <w:color w:val="040404"/>
        </w:rPr>
        <w:t>means The City Code on Takeovers and Mergers;</w:t>
      </w:r>
    </w:p>
    <w:p>
      <w:pPr>
        <w:spacing w:after="0" w:line="239" w:lineRule="exact"/>
        <w:rPr>
          <w:sz w:val="20"/>
          <w:szCs w:val="20"/>
          <w:color w:val="auto"/>
        </w:rPr>
      </w:pPr>
    </w:p>
    <w:p>
      <w:pPr>
        <w:jc w:val="both"/>
        <w:ind w:left="40" w:right="180"/>
        <w:spacing w:after="0" w:line="286" w:lineRule="auto"/>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the date on which the Restricted ADSs representing the Subscription Shares comprised in the [***] are issued to</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 xml:space="preserve">AstraZeneca pursuant to clause 2.3 (the </w:t>
      </w: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w:t>
      </w:r>
    </w:p>
    <w:p>
      <w:pPr>
        <w:spacing w:after="0" w:line="168" w:lineRule="exact"/>
        <w:rPr>
          <w:sz w:val="20"/>
          <w:szCs w:val="20"/>
          <w:color w:val="auto"/>
        </w:rPr>
      </w:pPr>
    </w:p>
    <w:p>
      <w:pPr>
        <w:jc w:val="both"/>
        <w:ind w:left="40" w:right="180" w:firstLine="4"/>
        <w:spacing w:after="0" w:line="286" w:lineRule="auto"/>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means such number of ADSs (which, at the time of issue, shall be Restricted ADSs) that represent a number of Ordinary</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Shares (rounded down to the nearest whole Ordinary Share)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691515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440" w:top="1269" w:right="599" w:bottom="1440" w:gutter="0" w:footer="0" w:header="0"/>
          <w:type w:val="continuous"/>
        </w:sectPr>
      </w:pPr>
    </w:p>
    <w:bookmarkStart w:id="153" w:name="page154"/>
    <w:bookmarkEnd w:id="153"/>
    <w:p>
      <w:pPr>
        <w:ind w:left="700"/>
        <w:spacing w:after="0"/>
        <w:rPr>
          <w:sz w:val="20"/>
          <w:szCs w:val="20"/>
          <w:color w:val="auto"/>
        </w:rPr>
      </w:pPr>
      <w:r>
        <w:rPr>
          <w:rFonts w:ascii="Times New Roman" w:cs="Times New Roman" w:eastAsia="Times New Roman" w:hAnsi="Times New Roman"/>
          <w:sz w:val="17"/>
          <w:szCs w:val="17"/>
          <w:color w:val="040404"/>
        </w:rPr>
        <w:t>results from the following calculation:</w:t>
      </w:r>
    </w:p>
    <w:p>
      <w:pPr>
        <w:sectPr>
          <w:pgSz w:w="11900" w:h="16838" w:orient="portrait"/>
          <w:cols w:equalWidth="0" w:num="1">
            <w:col w:w="10340"/>
          </w:cols>
          <w:pgMar w:left="780" w:top="1269" w:right="779" w:bottom="1440" w:gutter="0" w:footer="0" w:header="0"/>
        </w:sectPr>
      </w:pPr>
    </w:p>
    <w:p>
      <w:pPr>
        <w:spacing w:after="0" w:line="25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040404"/>
        </w:rPr>
        <w:t>No. of Ordinary Shares=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40404"/>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40404"/>
        </w:rPr>
        <w:t>Subscription Price</w:t>
      </w:r>
    </w:p>
    <w:p>
      <w:pPr>
        <w:spacing w:after="0" w:line="200" w:lineRule="exact"/>
        <w:rPr>
          <w:sz w:val="20"/>
          <w:szCs w:val="20"/>
          <w:color w:val="auto"/>
        </w:rPr>
      </w:pPr>
    </w:p>
    <w:p>
      <w:pPr>
        <w:sectPr>
          <w:pgSz w:w="11900" w:h="16838" w:orient="portrait"/>
          <w:cols w:equalWidth="0" w:num="2">
            <w:col w:w="4660" w:space="240"/>
            <w:col w:w="5440"/>
          </w:cols>
          <w:pgMar w:left="780" w:top="1269" w:right="779" w:bottom="1440" w:gutter="0" w:footer="0" w:header="0"/>
          <w:type w:val="continuous"/>
        </w:sectPr>
      </w:pPr>
    </w:p>
    <w:p>
      <w:pPr>
        <w:spacing w:after="0" w:line="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refers to the [***], and to the extent applicable, each of the [***], [***] and [***], as relevant;</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040404"/>
        </w:rPr>
        <w:t xml:space="preserve">"Transaction Documents" </w:t>
      </w:r>
      <w:r>
        <w:rPr>
          <w:rFonts w:ascii="Times New Roman" w:cs="Times New Roman" w:eastAsia="Times New Roman" w:hAnsi="Times New Roman"/>
          <w:sz w:val="18"/>
          <w:szCs w:val="18"/>
          <w:color w:val="040404"/>
        </w:rPr>
        <w:t>means this Agreement, the License Agreement and the Guarantee;</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040404"/>
        </w:rPr>
        <w:t xml:space="preserve">"Trading Day" </w:t>
      </w:r>
      <w:r>
        <w:rPr>
          <w:rFonts w:ascii="Times New Roman" w:cs="Times New Roman" w:eastAsia="Times New Roman" w:hAnsi="Times New Roman"/>
          <w:sz w:val="18"/>
          <w:szCs w:val="18"/>
          <w:color w:val="040404"/>
        </w:rPr>
        <w:t>means a day on which the U.S. Stock Exchange is open for trading;</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040404"/>
        </w:rPr>
        <w:t xml:space="preserve">"Trigger Event" </w:t>
      </w:r>
      <w:r>
        <w:rPr>
          <w:rFonts w:ascii="Times New Roman" w:cs="Times New Roman" w:eastAsia="Times New Roman" w:hAnsi="Times New Roman"/>
          <w:sz w:val="18"/>
          <w:szCs w:val="18"/>
          <w:color w:val="040404"/>
        </w:rPr>
        <w:t>means each of the [***], [***] and the [***], as applicable;</w:t>
      </w: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040404"/>
        </w:rPr>
        <w:t xml:space="preserve">"UK MAR" </w:t>
      </w:r>
      <w:r>
        <w:rPr>
          <w:rFonts w:ascii="Times New Roman" w:cs="Times New Roman" w:eastAsia="Times New Roman" w:hAnsi="Times New Roman"/>
          <w:sz w:val="18"/>
          <w:szCs w:val="18"/>
          <w:color w:val="040404"/>
        </w:rPr>
        <w:t>means MAR as it forms part of domestic law by virtue of the European Union (Withdrawal) Act 2018;</w:t>
      </w:r>
    </w:p>
    <w:p>
      <w:pPr>
        <w:spacing w:after="0" w:line="225" w:lineRule="exact"/>
        <w:rPr>
          <w:sz w:val="20"/>
          <w:szCs w:val="20"/>
          <w:color w:val="auto"/>
        </w:rPr>
      </w:pPr>
    </w:p>
    <w:p>
      <w:pPr>
        <w:ind w:left="700" w:right="260" w:firstLine="4"/>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"UK Prospectus Regulation" </w:t>
      </w:r>
      <w:r>
        <w:rPr>
          <w:rFonts w:ascii="Times New Roman" w:cs="Times New Roman" w:eastAsia="Times New Roman" w:hAnsi="Times New Roman"/>
          <w:sz w:val="18"/>
          <w:szCs w:val="18"/>
          <w:color w:val="040404"/>
        </w:rPr>
        <w:t>means the Prospectus Regulation as it forms part of domestic law by virtue of the European Union</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(Withdrawal) Act 2018; and</w:t>
      </w:r>
    </w:p>
    <w:p>
      <w:pPr>
        <w:spacing w:after="0" w:line="168" w:lineRule="exact"/>
        <w:rPr>
          <w:sz w:val="20"/>
          <w:szCs w:val="20"/>
          <w:color w:val="auto"/>
        </w:rPr>
      </w:pPr>
    </w:p>
    <w:p>
      <w:pPr>
        <w:ind w:left="720" w:right="2640" w:hanging="3"/>
        <w:spacing w:after="0" w:line="286" w:lineRule="auto"/>
        <w:rPr>
          <w:sz w:val="20"/>
          <w:szCs w:val="20"/>
          <w:color w:val="auto"/>
        </w:rPr>
      </w:pPr>
      <w:r>
        <w:rPr>
          <w:rFonts w:ascii="Times New Roman" w:cs="Times New Roman" w:eastAsia="Times New Roman" w:hAnsi="Times New Roman"/>
          <w:sz w:val="18"/>
          <w:szCs w:val="18"/>
          <w:b w:val="1"/>
          <w:bCs w:val="1"/>
          <w:color w:val="040404"/>
        </w:rPr>
        <w:t xml:space="preserve">"U.S. Stock Exchange" </w:t>
      </w:r>
      <w:r>
        <w:rPr>
          <w:rFonts w:ascii="Times New Roman" w:cs="Times New Roman" w:eastAsia="Times New Roman" w:hAnsi="Times New Roman"/>
          <w:sz w:val="18"/>
          <w:szCs w:val="18"/>
          <w:color w:val="040404"/>
        </w:rPr>
        <w:t>means the Nasdaq Global Market, Nasdaq Capital Market or such other</w:t>
      </w:r>
      <w:r>
        <w:rPr>
          <w:rFonts w:ascii="Times New Roman" w:cs="Times New Roman" w:eastAsia="Times New Roman" w:hAnsi="Times New Roman"/>
          <w:sz w:val="18"/>
          <w:szCs w:val="18"/>
          <w:b w:val="1"/>
          <w:bCs w:val="1"/>
          <w:color w:val="040404"/>
        </w:rPr>
        <w:t xml:space="preserve"> </w:t>
      </w:r>
      <w:r>
        <w:rPr>
          <w:rFonts w:ascii="Times New Roman" w:cs="Times New Roman" w:eastAsia="Times New Roman" w:hAnsi="Times New Roman"/>
          <w:sz w:val="18"/>
          <w:szCs w:val="18"/>
          <w:color w:val="040404"/>
        </w:rPr>
        <w:t>U.S. market on which the ADSs are listed.</w:t>
      </w:r>
    </w:p>
    <w:p>
      <w:pPr>
        <w:spacing w:after="0" w:line="199" w:lineRule="exact"/>
        <w:rPr>
          <w:sz w:val="20"/>
          <w:szCs w:val="20"/>
          <w:color w:val="auto"/>
        </w:rPr>
      </w:pPr>
    </w:p>
    <w:p>
      <w:pPr>
        <w:jc w:val="both"/>
        <w:ind w:left="680" w:hanging="646"/>
        <w:spacing w:after="0" w:line="266" w:lineRule="auto"/>
        <w:tabs>
          <w:tab w:leader="none" w:pos="660" w:val="left"/>
        </w:tabs>
        <w:rPr>
          <w:sz w:val="20"/>
          <w:szCs w:val="20"/>
          <w:color w:val="auto"/>
        </w:rPr>
      </w:pPr>
      <w:r>
        <w:rPr>
          <w:rFonts w:ascii="Times New Roman" w:cs="Times New Roman" w:eastAsia="Times New Roman" w:hAnsi="Times New Roman"/>
          <w:sz w:val="18"/>
          <w:szCs w:val="18"/>
          <w:color w:val="040404"/>
        </w:rPr>
        <w:t>1.3</w:t>
      </w:r>
      <w:r>
        <w:rPr>
          <w:sz w:val="20"/>
          <w:szCs w:val="20"/>
          <w:color w:val="auto"/>
        </w:rPr>
        <w:tab/>
      </w:r>
      <w:r>
        <w:rPr>
          <w:rFonts w:ascii="Times New Roman" w:cs="Times New Roman" w:eastAsia="Times New Roman" w:hAnsi="Times New Roman"/>
          <w:sz w:val="18"/>
          <w:szCs w:val="18"/>
          <w:color w:val="040404"/>
        </w:rPr>
        <w:t>References in this Agreement to any act, statute or statutory provision include references to any such provision as amended, re-enacted or replaced from time to time and any former statutory provision replaced (with or without modification) by the provision referred to.</w:t>
      </w:r>
    </w:p>
    <w:p>
      <w:pPr>
        <w:spacing w:after="0" w:line="176" w:lineRule="exact"/>
        <w:rPr>
          <w:sz w:val="20"/>
          <w:szCs w:val="20"/>
          <w:color w:val="auto"/>
        </w:rPr>
      </w:pPr>
    </w:p>
    <w:p>
      <w:pPr>
        <w:jc w:val="both"/>
        <w:ind w:left="680" w:hanging="646"/>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040404"/>
        </w:rPr>
        <w:t>1.4</w:t>
      </w:r>
      <w:r>
        <w:rPr>
          <w:sz w:val="20"/>
          <w:szCs w:val="20"/>
          <w:color w:val="auto"/>
        </w:rPr>
        <w:tab/>
      </w:r>
      <w:r>
        <w:rPr>
          <w:rFonts w:ascii="Times New Roman" w:cs="Times New Roman" w:eastAsia="Times New Roman" w:hAnsi="Times New Roman"/>
          <w:sz w:val="18"/>
          <w:szCs w:val="18"/>
          <w:color w:val="040404"/>
        </w:rPr>
        <w:t>References in this Agreement to the singular include references to the plural and vice versa and references to the masculine gender shall include references to the feminine and neuter gender and vice versa.</w:t>
      </w:r>
    </w:p>
    <w:p>
      <w:pPr>
        <w:spacing w:after="0" w:line="175" w:lineRule="exact"/>
        <w:rPr>
          <w:sz w:val="20"/>
          <w:szCs w:val="20"/>
          <w:color w:val="auto"/>
        </w:rPr>
      </w:pPr>
    </w:p>
    <w:p>
      <w:pPr>
        <w:jc w:val="both"/>
        <w:ind w:left="680" w:right="20" w:hanging="659"/>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040404"/>
        </w:rPr>
        <w:t>1.5</w:t>
      </w:r>
      <w:r>
        <w:rPr>
          <w:sz w:val="20"/>
          <w:szCs w:val="20"/>
          <w:color w:val="auto"/>
        </w:rPr>
        <w:tab/>
      </w:r>
      <w:r>
        <w:rPr>
          <w:rFonts w:ascii="Times New Roman" w:cs="Times New Roman" w:eastAsia="Times New Roman" w:hAnsi="Times New Roman"/>
          <w:sz w:val="18"/>
          <w:szCs w:val="18"/>
          <w:color w:val="040404"/>
        </w:rPr>
        <w:t>Headings in this Agreement are inserted for convenience only and shall not affect the interpretation of this Agreement or any part thereof.</w:t>
      </w:r>
    </w:p>
    <w:p>
      <w:pPr>
        <w:spacing w:after="0" w:line="189"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040404"/>
        </w:rPr>
        <w:t>1.6</w:t>
      </w:r>
      <w:r>
        <w:rPr>
          <w:sz w:val="20"/>
          <w:szCs w:val="20"/>
          <w:color w:val="auto"/>
        </w:rPr>
        <w:tab/>
      </w:r>
      <w:r>
        <w:rPr>
          <w:rFonts w:ascii="Times New Roman" w:cs="Times New Roman" w:eastAsia="Times New Roman" w:hAnsi="Times New Roman"/>
          <w:sz w:val="18"/>
          <w:szCs w:val="18"/>
          <w:color w:val="040404"/>
        </w:rPr>
        <w:t>The ejusdem generis rule shall not apply, and the expression "including" shall be deemed to be followed by "without limitation".</w:t>
      </w:r>
    </w:p>
    <w:p>
      <w:pPr>
        <w:spacing w:after="0" w:line="235" w:lineRule="exact"/>
        <w:rPr>
          <w:sz w:val="20"/>
          <w:szCs w:val="20"/>
          <w:color w:val="auto"/>
        </w:rPr>
      </w:pPr>
    </w:p>
    <w:p>
      <w:pPr>
        <w:ind w:left="680" w:hanging="660"/>
        <w:spacing w:after="0" w:line="286" w:lineRule="auto"/>
        <w:tabs>
          <w:tab w:leader="none" w:pos="660" w:val="left"/>
        </w:tabs>
        <w:rPr>
          <w:sz w:val="20"/>
          <w:szCs w:val="20"/>
          <w:color w:val="auto"/>
        </w:rPr>
      </w:pPr>
      <w:r>
        <w:rPr>
          <w:rFonts w:ascii="Times New Roman" w:cs="Times New Roman" w:eastAsia="Times New Roman" w:hAnsi="Times New Roman"/>
          <w:sz w:val="18"/>
          <w:szCs w:val="18"/>
          <w:color w:val="040404"/>
        </w:rPr>
        <w:t>1.7</w:t>
      </w:r>
      <w:r>
        <w:rPr>
          <w:sz w:val="20"/>
          <w:szCs w:val="20"/>
          <w:color w:val="auto"/>
        </w:rPr>
        <w:tab/>
      </w:r>
      <w:r>
        <w:rPr>
          <w:rFonts w:ascii="Times New Roman" w:cs="Times New Roman" w:eastAsia="Times New Roman" w:hAnsi="Times New Roman"/>
          <w:sz w:val="18"/>
          <w:szCs w:val="18"/>
          <w:color w:val="040404"/>
        </w:rPr>
        <w:t xml:space="preserve">The expressions </w:t>
      </w:r>
      <w:r>
        <w:rPr>
          <w:rFonts w:ascii="Times New Roman" w:cs="Times New Roman" w:eastAsia="Times New Roman" w:hAnsi="Times New Roman"/>
          <w:sz w:val="18"/>
          <w:szCs w:val="18"/>
          <w:b w:val="1"/>
          <w:bCs w:val="1"/>
          <w:color w:val="040404"/>
        </w:rPr>
        <w:t>"subsidiary"</w:t>
      </w:r>
      <w:r>
        <w:rPr>
          <w:rFonts w:ascii="Times New Roman" w:cs="Times New Roman" w:eastAsia="Times New Roman" w:hAnsi="Times New Roman"/>
          <w:sz w:val="18"/>
          <w:szCs w:val="18"/>
          <w:color w:val="040404"/>
        </w:rPr>
        <w:t xml:space="preserve"> and </w:t>
      </w:r>
      <w:r>
        <w:rPr>
          <w:rFonts w:ascii="Times New Roman" w:cs="Times New Roman" w:eastAsia="Times New Roman" w:hAnsi="Times New Roman"/>
          <w:sz w:val="18"/>
          <w:szCs w:val="18"/>
          <w:b w:val="1"/>
          <w:bCs w:val="1"/>
          <w:color w:val="040404"/>
        </w:rPr>
        <w:t>"holding company"</w:t>
      </w:r>
      <w:r>
        <w:rPr>
          <w:rFonts w:ascii="Times New Roman" w:cs="Times New Roman" w:eastAsia="Times New Roman" w:hAnsi="Times New Roman"/>
          <w:sz w:val="18"/>
          <w:szCs w:val="18"/>
          <w:color w:val="040404"/>
        </w:rPr>
        <w:t xml:space="preserve"> shall have the meanings given by the Companies Act and the expression </w:t>
      </w:r>
      <w:r>
        <w:rPr>
          <w:rFonts w:ascii="Times New Roman" w:cs="Times New Roman" w:eastAsia="Times New Roman" w:hAnsi="Times New Roman"/>
          <w:sz w:val="18"/>
          <w:szCs w:val="18"/>
          <w:b w:val="1"/>
          <w:bCs w:val="1"/>
          <w:color w:val="040404"/>
        </w:rPr>
        <w:t xml:space="preserve">"subsidiary" </w:t>
      </w:r>
      <w:r>
        <w:rPr>
          <w:rFonts w:ascii="Times New Roman" w:cs="Times New Roman" w:eastAsia="Times New Roman" w:hAnsi="Times New Roman"/>
          <w:sz w:val="18"/>
          <w:szCs w:val="18"/>
          <w:color w:val="040404"/>
        </w:rPr>
        <w:t>shall be deemed to include</w:t>
      </w:r>
      <w:r>
        <w:rPr>
          <w:rFonts w:ascii="Times New Roman" w:cs="Times New Roman" w:eastAsia="Times New Roman" w:hAnsi="Times New Roman"/>
          <w:sz w:val="18"/>
          <w:szCs w:val="18"/>
          <w:b w:val="1"/>
          <w:bCs w:val="1"/>
          <w:color w:val="040404"/>
        </w:rPr>
        <w:t xml:space="preserve"> "subsidiary undertakings" </w:t>
      </w:r>
      <w:r>
        <w:rPr>
          <w:rFonts w:ascii="Times New Roman" w:cs="Times New Roman" w:eastAsia="Times New Roman" w:hAnsi="Times New Roman"/>
          <w:sz w:val="18"/>
          <w:szCs w:val="18"/>
          <w:color w:val="040404"/>
        </w:rPr>
        <w:t>as defined by the Companies Act.</w:t>
      </w:r>
    </w:p>
    <w:p>
      <w:pPr>
        <w:spacing w:after="0" w:line="17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040404"/>
        </w:rPr>
        <w:t>1.8</w:t>
      </w:r>
      <w:r>
        <w:rPr>
          <w:sz w:val="20"/>
          <w:szCs w:val="20"/>
          <w:color w:val="auto"/>
        </w:rPr>
        <w:tab/>
      </w:r>
      <w:r>
        <w:rPr>
          <w:rFonts w:ascii="Times New Roman" w:cs="Times New Roman" w:eastAsia="Times New Roman" w:hAnsi="Times New Roman"/>
          <w:sz w:val="17"/>
          <w:szCs w:val="17"/>
          <w:color w:val="040404"/>
        </w:rPr>
        <w:t>References to USD or"S" are to the lawful currency of the United States.</w:t>
      </w:r>
    </w:p>
    <w:p>
      <w:pPr>
        <w:spacing w:after="0" w:line="252"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040404"/>
        </w:rPr>
        <w:t>1.9</w:t>
      </w:r>
      <w:r>
        <w:rPr>
          <w:sz w:val="20"/>
          <w:szCs w:val="20"/>
          <w:color w:val="auto"/>
        </w:rPr>
        <w:tab/>
      </w:r>
      <w:r>
        <w:rPr>
          <w:rFonts w:ascii="Times New Roman" w:cs="Times New Roman" w:eastAsia="Times New Roman" w:hAnsi="Times New Roman"/>
          <w:sz w:val="18"/>
          <w:szCs w:val="18"/>
          <w:color w:val="040404"/>
        </w:rPr>
        <w:t>References to GBP or "£" are to the lawful currency of the United Kingdom.</w:t>
      </w:r>
    </w:p>
    <w:p>
      <w:pPr>
        <w:spacing w:after="0" w:line="239"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040404"/>
        </w:rPr>
        <w:t>1.10</w:t>
      </w:r>
      <w:r>
        <w:rPr>
          <w:sz w:val="20"/>
          <w:szCs w:val="20"/>
          <w:color w:val="auto"/>
        </w:rPr>
        <w:tab/>
      </w:r>
      <w:r>
        <w:rPr>
          <w:rFonts w:ascii="Times New Roman" w:cs="Times New Roman" w:eastAsia="Times New Roman" w:hAnsi="Times New Roman"/>
          <w:sz w:val="18"/>
          <w:szCs w:val="18"/>
          <w:color w:val="040404"/>
        </w:rPr>
        <w:t>References to a party or parties mean a party or parties to this Agreement.</w:t>
      </w:r>
    </w:p>
    <w:p>
      <w:pPr>
        <w:spacing w:after="0" w:line="252"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040404"/>
        </w:rPr>
        <w:t>1.11</w:t>
      </w:r>
      <w:r>
        <w:rPr>
          <w:sz w:val="20"/>
          <w:szCs w:val="20"/>
          <w:color w:val="auto"/>
        </w:rPr>
        <w:tab/>
      </w:r>
      <w:r>
        <w:rPr>
          <w:rFonts w:ascii="Times New Roman" w:cs="Times New Roman" w:eastAsia="Times New Roman" w:hAnsi="Times New Roman"/>
          <w:sz w:val="18"/>
          <w:szCs w:val="18"/>
          <w:color w:val="040404"/>
        </w:rPr>
        <w:t>Reference to agreements are to those agreements as amended, varied, novated, restated or supplemented from time to time.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20" w:hanging="708"/>
        <w:spacing w:after="0"/>
        <w:tabs>
          <w:tab w:leader="none" w:pos="720" w:val="left"/>
        </w:tabs>
        <w:numPr>
          <w:ilvl w:val="0"/>
          <w:numId w:val="84"/>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b w:val="1"/>
          <w:bCs w:val="1"/>
          <w:color w:val="040404"/>
        </w:rPr>
        <w:t>SUBSCRIPTION</w:t>
      </w:r>
    </w:p>
    <w:p>
      <w:pPr>
        <w:spacing w:after="0" w:line="25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040404"/>
        </w:rPr>
        <w:t>2.1</w:t>
      </w:r>
      <w:r>
        <w:rPr>
          <w:sz w:val="20"/>
          <w:szCs w:val="20"/>
          <w:color w:val="auto"/>
        </w:rPr>
        <w:tab/>
      </w:r>
      <w:r>
        <w:rPr>
          <w:rFonts w:ascii="Times New Roman" w:cs="Times New Roman" w:eastAsia="Times New Roman" w:hAnsi="Times New Roman"/>
          <w:sz w:val="17"/>
          <w:szCs w:val="17"/>
          <w:color w:val="040404"/>
        </w:rPr>
        <w:t>The Company has allotted and issued to AstraZeneca the Subscription Shares comprised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724535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780" w:top="1269" w:right="779" w:bottom="1440" w:gutter="0" w:footer="0" w:header="0"/>
          <w:type w:val="continuous"/>
        </w:sectPr>
      </w:pPr>
    </w:p>
    <w:bookmarkStart w:id="154" w:name="page155"/>
    <w:bookmarkEnd w:id="154"/>
    <w:p>
      <w:pPr>
        <w:ind w:left="683" w:right="40"/>
        <w:spacing w:after="0" w:line="282" w:lineRule="auto"/>
        <w:rPr>
          <w:sz w:val="20"/>
          <w:szCs w:val="20"/>
          <w:color w:val="auto"/>
        </w:rPr>
      </w:pPr>
      <w:r>
        <w:rPr>
          <w:rFonts w:ascii="Times New Roman" w:cs="Times New Roman" w:eastAsia="Times New Roman" w:hAnsi="Times New Roman"/>
          <w:sz w:val="18"/>
          <w:szCs w:val="18"/>
          <w:color w:val="040404"/>
        </w:rPr>
        <w:t>[***]. The Subscription Shares comprised in the [***] were issued credited as fully paid up in consideration for the issue by Mereo of Loan Note 1 to the Company.</w:t>
      </w:r>
    </w:p>
    <w:p>
      <w:pPr>
        <w:spacing w:after="0" w:line="175" w:lineRule="exact"/>
        <w:rPr>
          <w:sz w:val="20"/>
          <w:szCs w:val="20"/>
          <w:color w:val="auto"/>
        </w:rPr>
      </w:pPr>
    </w:p>
    <w:p>
      <w:pPr>
        <w:jc w:val="both"/>
        <w:ind w:left="683" w:hanging="677"/>
        <w:spacing w:after="0" w:line="255" w:lineRule="auto"/>
        <w:tabs>
          <w:tab w:leader="none" w:pos="663" w:val="left"/>
        </w:tabs>
        <w:rPr>
          <w:sz w:val="20"/>
          <w:szCs w:val="20"/>
          <w:color w:val="auto"/>
        </w:rPr>
      </w:pPr>
      <w:r>
        <w:rPr>
          <w:rFonts w:ascii="Times New Roman" w:cs="Times New Roman" w:eastAsia="Times New Roman" w:hAnsi="Times New Roman"/>
          <w:sz w:val="18"/>
          <w:szCs w:val="18"/>
          <w:color w:val="040404"/>
        </w:rPr>
        <w:t>2.2</w:t>
      </w:r>
      <w:r>
        <w:rPr>
          <w:sz w:val="20"/>
          <w:szCs w:val="20"/>
          <w:color w:val="auto"/>
        </w:rPr>
        <w:tab/>
      </w:r>
      <w:r>
        <w:rPr>
          <w:rFonts w:ascii="Times New Roman" w:cs="Times New Roman" w:eastAsia="Times New Roman" w:hAnsi="Times New Roman"/>
          <w:sz w:val="18"/>
          <w:szCs w:val="18"/>
          <w:color w:val="040404"/>
        </w:rPr>
        <w:t xml:space="preserve">The Company agrees to allot the Subscription Shares and issue ADSs (which, at the time of issue, shall be Restricted ADSs) representing such Subscription Shares to AstraZeneca comprised in the [***] no later than the earlier of: (i) the [***] becoming due and payable pursuant to clause 8.3.1 of the License Agreement; and (ii) any [***] occurring, (the </w:t>
      </w: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 xml:space="preserve"> The Subscription Shares comprised in the [***] shall be allotted and the ADSs (which, at the time of issue, shall be Restricted ADSs) representing such Subscription Shares shall be issued credited as fully paid up in consideration for the issue by Mereo of Loan Note 2 to the Company. The Company's obligations under this clause 2.2 and clause 4.3 shall terminate automatically on any termination of the License Agreement by Mereo becoming effective pursuant to clause 14.2 of the License Agreement.</w:t>
      </w:r>
    </w:p>
    <w:p>
      <w:pPr>
        <w:spacing w:after="0" w:line="216" w:lineRule="exact"/>
        <w:rPr>
          <w:sz w:val="20"/>
          <w:szCs w:val="20"/>
          <w:color w:val="auto"/>
        </w:rPr>
      </w:pPr>
    </w:p>
    <w:p>
      <w:pPr>
        <w:jc w:val="both"/>
        <w:ind w:left="683" w:hanging="677"/>
        <w:spacing w:after="0" w:line="255" w:lineRule="auto"/>
        <w:tabs>
          <w:tab w:leader="none" w:pos="663" w:val="left"/>
        </w:tabs>
        <w:rPr>
          <w:sz w:val="20"/>
          <w:szCs w:val="20"/>
          <w:color w:val="auto"/>
        </w:rPr>
      </w:pPr>
      <w:r>
        <w:rPr>
          <w:rFonts w:ascii="Times New Roman" w:cs="Times New Roman" w:eastAsia="Times New Roman" w:hAnsi="Times New Roman"/>
          <w:sz w:val="18"/>
          <w:szCs w:val="18"/>
          <w:color w:val="040404"/>
        </w:rPr>
        <w:t>2.3</w:t>
      </w:r>
      <w:r>
        <w:rPr>
          <w:sz w:val="20"/>
          <w:szCs w:val="20"/>
          <w:color w:val="auto"/>
        </w:rPr>
        <w:tab/>
      </w:r>
      <w:r>
        <w:rPr>
          <w:rFonts w:ascii="Times New Roman" w:cs="Times New Roman" w:eastAsia="Times New Roman" w:hAnsi="Times New Roman"/>
          <w:sz w:val="18"/>
          <w:szCs w:val="18"/>
          <w:color w:val="040404"/>
        </w:rPr>
        <w:t>The Company agrees to allot the Subscription Shares and issue ADSs (which, at the time of issue, shall be Restricted ADSs) representing such Subscription Shares to AstraZeneca comprised in the [***] no later than the earlier of</w:t>
      </w:r>
      <w:r>
        <w:rPr>
          <w:rFonts w:ascii="Times New Roman" w:cs="Times New Roman" w:eastAsia="Times New Roman" w:hAnsi="Times New Roman"/>
          <w:sz w:val="18"/>
          <w:szCs w:val="18"/>
          <w:color w:val="161616"/>
        </w:rPr>
        <w:t>:</w:t>
      </w:r>
      <w:r>
        <w:rPr>
          <w:rFonts w:ascii="Times New Roman" w:cs="Times New Roman" w:eastAsia="Times New Roman" w:hAnsi="Times New Roman"/>
          <w:sz w:val="18"/>
          <w:szCs w:val="18"/>
          <w:color w:val="040404"/>
        </w:rPr>
        <w:t xml:space="preserve"> (i) the [***] becoming due and payable pursuant to clause 8.3.2 of the License Agreement; and (ii) any [***] occurring, (the </w:t>
      </w: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 xml:space="preserve"> The Subscription Shares comprised in the [***] shall be allotted and the ADSs (which, at the time of issue, shall be Restricted ADSs) representing such Subscription Shares shall be issued credited as fully paid up in consideration for the issue by Mereo of Loan Note 3 to the Company. The Company's obligations under this clause 2.3 and clause 4.3 shall terminate automatically on any termination of the License Agreement by Mereo becoming effective pursuant to clause 14.2 of the License Agreement.</w:t>
      </w:r>
    </w:p>
    <w:p>
      <w:pPr>
        <w:spacing w:after="0" w:line="202" w:lineRule="exact"/>
        <w:rPr>
          <w:sz w:val="20"/>
          <w:szCs w:val="20"/>
          <w:color w:val="auto"/>
        </w:rPr>
      </w:pPr>
    </w:p>
    <w:p>
      <w:pPr>
        <w:jc w:val="both"/>
        <w:ind w:left="683" w:right="20" w:hanging="676"/>
        <w:spacing w:after="0" w:line="255" w:lineRule="auto"/>
        <w:tabs>
          <w:tab w:leader="none" w:pos="663" w:val="left"/>
        </w:tabs>
        <w:rPr>
          <w:sz w:val="20"/>
          <w:szCs w:val="20"/>
          <w:color w:val="auto"/>
        </w:rPr>
      </w:pPr>
      <w:r>
        <w:rPr>
          <w:rFonts w:ascii="Times New Roman" w:cs="Times New Roman" w:eastAsia="Times New Roman" w:hAnsi="Times New Roman"/>
          <w:sz w:val="18"/>
          <w:szCs w:val="18"/>
          <w:color w:val="040404"/>
        </w:rPr>
        <w:t>2.4</w:t>
      </w:r>
      <w:r>
        <w:rPr>
          <w:sz w:val="20"/>
          <w:szCs w:val="20"/>
          <w:color w:val="auto"/>
        </w:rPr>
        <w:tab/>
      </w:r>
      <w:r>
        <w:rPr>
          <w:rFonts w:ascii="Times New Roman" w:cs="Times New Roman" w:eastAsia="Times New Roman" w:hAnsi="Times New Roman"/>
          <w:sz w:val="18"/>
          <w:szCs w:val="18"/>
          <w:color w:val="040404"/>
        </w:rPr>
        <w:t xml:space="preserve">The Company agrees to allot the Subscription Shares and issue ADSs (which, at the time of issue, shall be Restricted ADSs) representing such Subscription Shares to AstraZeneca comprised in the [***] no later than the earlier of: (i) the [***] becoming due and payable pursuant to clause 8.3.3 of the License Agreement; and (ii) any [***] occurring, (the </w:t>
      </w: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w:t>
      </w:r>
      <w:r>
        <w:rPr>
          <w:rFonts w:ascii="Times New Roman" w:cs="Times New Roman" w:eastAsia="Times New Roman" w:hAnsi="Times New Roman"/>
          <w:sz w:val="18"/>
          <w:szCs w:val="18"/>
          <w:b w:val="1"/>
          <w:bCs w:val="1"/>
          <w:color w:val="040404"/>
        </w:rPr>
        <w:t>").</w:t>
      </w:r>
      <w:r>
        <w:rPr>
          <w:rFonts w:ascii="Times New Roman" w:cs="Times New Roman" w:eastAsia="Times New Roman" w:hAnsi="Times New Roman"/>
          <w:sz w:val="18"/>
          <w:szCs w:val="18"/>
          <w:color w:val="040404"/>
        </w:rPr>
        <w:t xml:space="preserve"> The Subscription Shares comprised in the [***] shall be allotted and the ADSs (which, at the time of issue, shall be Restricted ADSs) representing such Subscription Shares shall be issued credited as fully paid up in consideration for the issue by Mereo of Loan Note 4 to the Company. The Company's obligations under this clause 2.4 and clause 4.3 shall terminate automatically on any termination of the License Agreement by Mereo becoming effective pursuant to clause 14.2 of the License Agreement.</w:t>
      </w:r>
    </w:p>
    <w:p>
      <w:pPr>
        <w:spacing w:after="0" w:line="216" w:lineRule="exact"/>
        <w:rPr>
          <w:sz w:val="20"/>
          <w:szCs w:val="20"/>
          <w:color w:val="auto"/>
        </w:rPr>
      </w:pPr>
    </w:p>
    <w:p>
      <w:pPr>
        <w:jc w:val="both"/>
        <w:ind w:left="683" w:hanging="677"/>
        <w:spacing w:after="0" w:line="254" w:lineRule="auto"/>
        <w:tabs>
          <w:tab w:leader="none" w:pos="663" w:val="left"/>
        </w:tabs>
        <w:rPr>
          <w:sz w:val="20"/>
          <w:szCs w:val="20"/>
          <w:color w:val="auto"/>
        </w:rPr>
      </w:pPr>
      <w:r>
        <w:rPr>
          <w:rFonts w:ascii="Times New Roman" w:cs="Times New Roman" w:eastAsia="Times New Roman" w:hAnsi="Times New Roman"/>
          <w:sz w:val="18"/>
          <w:szCs w:val="18"/>
          <w:color w:val="040404"/>
        </w:rPr>
        <w:t>2.5</w:t>
      </w:r>
      <w:r>
        <w:rPr>
          <w:sz w:val="20"/>
          <w:szCs w:val="20"/>
          <w:color w:val="auto"/>
        </w:rPr>
        <w:tab/>
      </w:r>
      <w:r>
        <w:rPr>
          <w:rFonts w:ascii="Times New Roman" w:cs="Times New Roman" w:eastAsia="Times New Roman" w:hAnsi="Times New Roman"/>
          <w:sz w:val="18"/>
          <w:szCs w:val="18"/>
          <w:color w:val="040404"/>
        </w:rPr>
        <w:t xml:space="preserve">Any Subscription Shares that have been issued or will be allotted and any ADSs to be issued to AstraZeneca pursuant to this clause 2 were or shall be, as applicable, allotted or issued free from all Encumbrances and in accordance with (and subject to) the Company's articles of association then in force and, in the case of ADSs, the Deposit Agreement. For the avoidance of doubt, the ADSs shall be issued in accordance with Section 3.5 and shall initially be Restricted ADSs. Any Subscription Shares that have been issued or will be allotted to AstraZeneca pursuant to this clause 2 rank or shall rank, as applicable, </w:t>
      </w:r>
      <w:r>
        <w:rPr>
          <w:rFonts w:ascii="Times New Roman" w:cs="Times New Roman" w:eastAsia="Times New Roman" w:hAnsi="Times New Roman"/>
          <w:sz w:val="18"/>
          <w:szCs w:val="18"/>
          <w:i w:val="1"/>
          <w:iCs w:val="1"/>
          <w:color w:val="040404"/>
        </w:rPr>
        <w:t>pari passu</w:t>
      </w:r>
      <w:r>
        <w:rPr>
          <w:rFonts w:ascii="Times New Roman" w:cs="Times New Roman" w:eastAsia="Times New Roman" w:hAnsi="Times New Roman"/>
          <w:sz w:val="18"/>
          <w:szCs w:val="18"/>
          <w:color w:val="040404"/>
        </w:rPr>
        <w:t xml:space="preserve"> with all other Ordinary Shares then in issue provided that the right to receive dividends and other distributions shall only apply to the extent that the record date therefor falls on or after the relevant [***]. AstraZeneca hereby applies for and consents to the entry of its name in the Company's register of members as the holder of all Subscription Shares issued to it credited as fully paid pursuant to this clause 2.</w:t>
      </w:r>
    </w:p>
    <w:p>
      <w:pPr>
        <w:spacing w:after="0" w:line="178" w:lineRule="exact"/>
        <w:rPr>
          <w:sz w:val="20"/>
          <w:szCs w:val="20"/>
          <w:color w:val="auto"/>
        </w:rPr>
      </w:pPr>
    </w:p>
    <w:p>
      <w:pPr>
        <w:ind w:left="683" w:right="40" w:hanging="675"/>
        <w:spacing w:after="0" w:line="282" w:lineRule="auto"/>
        <w:tabs>
          <w:tab w:leader="none" w:pos="663" w:val="left"/>
        </w:tabs>
        <w:rPr>
          <w:sz w:val="20"/>
          <w:szCs w:val="20"/>
          <w:color w:val="auto"/>
        </w:rPr>
      </w:pPr>
      <w:r>
        <w:rPr>
          <w:rFonts w:ascii="Times New Roman" w:cs="Times New Roman" w:eastAsia="Times New Roman" w:hAnsi="Times New Roman"/>
          <w:sz w:val="18"/>
          <w:szCs w:val="18"/>
          <w:color w:val="040404"/>
        </w:rPr>
        <w:t>2.6</w:t>
      </w:r>
      <w:r>
        <w:rPr>
          <w:sz w:val="20"/>
          <w:szCs w:val="20"/>
          <w:color w:val="auto"/>
        </w:rPr>
        <w:tab/>
      </w:r>
      <w:r>
        <w:rPr>
          <w:rFonts w:ascii="Times New Roman" w:cs="Times New Roman" w:eastAsia="Times New Roman" w:hAnsi="Times New Roman"/>
          <w:sz w:val="18"/>
          <w:szCs w:val="18"/>
          <w:color w:val="040404"/>
        </w:rPr>
        <w:t>For clarity, references in the License Agreement to Subscription Shares issued to AstraZeneca pursuant to clause 2.2, clause 2.3 or clause 2.4 above shall be deemed references to the ADSs</w:t>
      </w:r>
    </w:p>
    <w:p>
      <w:pPr>
        <w:spacing w:after="0" w:line="13" w:lineRule="exact"/>
        <w:rPr>
          <w:sz w:val="20"/>
          <w:szCs w:val="20"/>
          <w:color w:val="auto"/>
        </w:rPr>
      </w:pPr>
    </w:p>
    <w:p>
      <w:pPr>
        <w:ind w:left="723"/>
        <w:spacing w:after="0"/>
        <w:rPr>
          <w:sz w:val="20"/>
          <w:szCs w:val="20"/>
          <w:color w:val="auto"/>
        </w:rPr>
      </w:pPr>
      <w:r>
        <w:rPr>
          <w:rFonts w:ascii="Times New Roman" w:cs="Times New Roman" w:eastAsia="Times New Roman" w:hAnsi="Times New Roman"/>
          <w:sz w:val="18"/>
          <w:szCs w:val="18"/>
          <w:color w:val="040404"/>
        </w:rPr>
        <w:t>(which, at the time of issue, shall be Restricted ADSs) issued to AstraZeneca pursuant to such clause.</w:t>
      </w:r>
    </w:p>
    <w:p>
      <w:pPr>
        <w:spacing w:after="0" w:line="221" w:lineRule="exact"/>
        <w:rPr>
          <w:sz w:val="20"/>
          <w:szCs w:val="20"/>
          <w:color w:val="auto"/>
        </w:rPr>
      </w:pPr>
    </w:p>
    <w:p>
      <w:pPr>
        <w:ind w:left="683" w:right="60" w:hanging="683"/>
        <w:spacing w:after="0" w:line="286" w:lineRule="auto"/>
        <w:tabs>
          <w:tab w:leader="none" w:pos="683" w:val="left"/>
        </w:tabs>
        <w:numPr>
          <w:ilvl w:val="0"/>
          <w:numId w:val="85"/>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b w:val="1"/>
          <w:bCs w:val="1"/>
          <w:color w:val="040404"/>
        </w:rPr>
        <w:t>CERTIFICATES, RESTRICTED ADSs, ADSs AND U.S. SECURITIES AND EXCHANGE COMMISSION REGISTRATION</w:t>
      </w:r>
    </w:p>
    <w:p>
      <w:pPr>
        <w:spacing w:after="0" w:line="172" w:lineRule="exact"/>
        <w:rPr>
          <w:sz w:val="20"/>
          <w:szCs w:val="20"/>
          <w:color w:val="auto"/>
        </w:rPr>
      </w:pPr>
    </w:p>
    <w:p>
      <w:pPr>
        <w:ind w:left="3"/>
        <w:spacing w:after="0"/>
        <w:tabs>
          <w:tab w:leader="none" w:pos="703" w:val="left"/>
        </w:tabs>
        <w:rPr>
          <w:sz w:val="20"/>
          <w:szCs w:val="20"/>
          <w:color w:val="auto"/>
        </w:rPr>
      </w:pPr>
      <w:r>
        <w:rPr>
          <w:rFonts w:ascii="Times New Roman" w:cs="Times New Roman" w:eastAsia="Times New Roman" w:hAnsi="Times New Roman"/>
          <w:sz w:val="18"/>
          <w:szCs w:val="18"/>
          <w:color w:val="040404"/>
        </w:rPr>
        <w:t>3.1</w:t>
      </w:r>
      <w:r>
        <w:rPr>
          <w:sz w:val="20"/>
          <w:szCs w:val="20"/>
          <w:color w:val="auto"/>
        </w:rPr>
        <w:tab/>
      </w:r>
      <w:r>
        <w:rPr>
          <w:rFonts w:ascii="Times New Roman" w:cs="Times New Roman" w:eastAsia="Times New Roman" w:hAnsi="Times New Roman"/>
          <w:sz w:val="17"/>
          <w:szCs w:val="17"/>
          <w:color w:val="040404"/>
        </w:rPr>
        <w:t>[NOT USED]</w:t>
      </w:r>
    </w:p>
    <w:p>
      <w:pPr>
        <w:spacing w:after="0" w:line="252" w:lineRule="exact"/>
        <w:rPr>
          <w:sz w:val="20"/>
          <w:szCs w:val="20"/>
          <w:color w:val="auto"/>
        </w:rPr>
      </w:pPr>
    </w:p>
    <w:p>
      <w:pPr>
        <w:ind w:left="23"/>
        <w:spacing w:after="0"/>
        <w:tabs>
          <w:tab w:leader="none" w:pos="703" w:val="left"/>
        </w:tabs>
        <w:rPr>
          <w:sz w:val="20"/>
          <w:szCs w:val="20"/>
          <w:color w:val="auto"/>
        </w:rPr>
      </w:pPr>
      <w:r>
        <w:rPr>
          <w:rFonts w:ascii="Times New Roman" w:cs="Times New Roman" w:eastAsia="Times New Roman" w:hAnsi="Times New Roman"/>
          <w:sz w:val="18"/>
          <w:szCs w:val="18"/>
          <w:color w:val="040404"/>
        </w:rPr>
        <w:t>3.2</w:t>
      </w:r>
      <w:r>
        <w:rPr>
          <w:sz w:val="20"/>
          <w:szCs w:val="20"/>
          <w:color w:val="auto"/>
        </w:rPr>
        <w:tab/>
      </w:r>
      <w:r>
        <w:rPr>
          <w:rFonts w:ascii="Times New Roman" w:cs="Times New Roman" w:eastAsia="Times New Roman" w:hAnsi="Times New Roman"/>
          <w:sz w:val="17"/>
          <w:szCs w:val="17"/>
          <w:color w:val="040404"/>
        </w:rPr>
        <w:t>Subject to clause 3.3, the Company undertakes to AstraZeneca that it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733425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3"/>
          </w:cols>
          <w:pgMar w:left="777" w:top="1269" w:right="739" w:bottom="1440" w:gutter="0" w:footer="0" w:header="0"/>
        </w:sectPr>
      </w:pPr>
    </w:p>
    <w:bookmarkStart w:id="155" w:name="page156"/>
    <w:bookmarkEnd w:id="155"/>
    <w:p>
      <w:pPr>
        <w:spacing w:after="0" w:line="72" w:lineRule="exact"/>
        <w:rPr>
          <w:sz w:val="20"/>
          <w:szCs w:val="20"/>
          <w:color w:val="auto"/>
        </w:rPr>
      </w:pPr>
    </w:p>
    <w:p>
      <w:pPr>
        <w:ind w:left="720" w:right="60" w:hanging="679"/>
        <w:spacing w:after="0" w:line="282" w:lineRule="auto"/>
        <w:tabs>
          <w:tab w:leader="none" w:pos="720" w:val="left"/>
        </w:tabs>
        <w:numPr>
          <w:ilvl w:val="0"/>
          <w:numId w:val="86"/>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procure that the Registrars register AstraZeneca, or such entity as AstraZeneca has confirmed in writing, as the holder of each [***] of the Subscription Shares; and</w:t>
      </w:r>
    </w:p>
    <w:p>
      <w:pPr>
        <w:spacing w:after="0" w:line="188" w:lineRule="exact"/>
        <w:rPr>
          <w:rFonts w:ascii="Times New Roman" w:cs="Times New Roman" w:eastAsia="Times New Roman" w:hAnsi="Times New Roman"/>
          <w:sz w:val="18"/>
          <w:szCs w:val="18"/>
          <w:color w:val="040404"/>
        </w:rPr>
      </w:pPr>
    </w:p>
    <w:p>
      <w:pPr>
        <w:ind w:left="720" w:right="40" w:hanging="679"/>
        <w:spacing w:after="0" w:line="282" w:lineRule="auto"/>
        <w:tabs>
          <w:tab w:leader="none" w:pos="720" w:val="left"/>
        </w:tabs>
        <w:numPr>
          <w:ilvl w:val="0"/>
          <w:numId w:val="86"/>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issue the Subscription Shares in uncertificated form and deliver to AstraZeneca confirmation of issuance in respect of each [***] of Subscription Shares in accordance with the Company's articles of association,</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40404"/>
        </w:rPr>
        <w:t>in each case, as soon as reasonably practicable following their issuance.</w:t>
      </w:r>
    </w:p>
    <w:p>
      <w:pPr>
        <w:spacing w:after="0" w:line="239" w:lineRule="exact"/>
        <w:rPr>
          <w:sz w:val="20"/>
          <w:szCs w:val="20"/>
          <w:color w:val="auto"/>
        </w:rPr>
      </w:pPr>
    </w:p>
    <w:p>
      <w:pPr>
        <w:jc w:val="both"/>
        <w:ind w:left="20" w:hanging="677"/>
        <w:spacing w:after="0" w:line="255" w:lineRule="auto"/>
        <w:rPr>
          <w:sz w:val="20"/>
          <w:szCs w:val="20"/>
          <w:color w:val="auto"/>
        </w:rPr>
      </w:pPr>
      <w:r>
        <w:rPr>
          <w:rFonts w:ascii="Times New Roman" w:cs="Times New Roman" w:eastAsia="Times New Roman" w:hAnsi="Times New Roman"/>
          <w:sz w:val="18"/>
          <w:szCs w:val="18"/>
          <w:color w:val="040404"/>
        </w:rPr>
        <w:t>3.3</w:t>
      </w:r>
      <w:r>
        <w:rPr>
          <w:sz w:val="20"/>
          <w:szCs w:val="20"/>
          <w:color w:val="auto"/>
        </w:rPr>
        <w:t xml:space="preserve"> </w:t>
      </w:r>
      <w:r>
        <w:rPr>
          <w:rFonts w:ascii="Times New Roman" w:cs="Times New Roman" w:eastAsia="Times New Roman" w:hAnsi="Times New Roman"/>
          <w:sz w:val="18"/>
          <w:szCs w:val="18"/>
          <w:color w:val="040404"/>
        </w:rPr>
        <w:t>The Company shall deliver Restricted ADSs representing the Subscription Shares in lieu of delivering Subscription Shares at the [***], the [***] and the [***], and such Subscription Shares shall be issued to, and deposited with (and otherwise registered in the name of) the custodian (or its nominee) of the Depositary. Following such issuance and deposit, the Company undertakes to AstraZeneca that it shall direct the Depositary to issue an amount of Restricted ADSs to AstraZeneca comprising the [***] (in respect of the [***]), the [***] (in respect of the [***]), or the [***] (in respect of the [***]), in each case, in book-entry form. The Company shall complete, execute and deliver to the Depositary an instruction in the form of Schedule 4 in connection with the [***], the [***] and the [***]. Such Restricted ADSs shall be converted to ADSs in accordance with Section 3.5.</w:t>
      </w:r>
    </w:p>
    <w:p>
      <w:pPr>
        <w:spacing w:after="0" w:line="175" w:lineRule="exact"/>
        <w:rPr>
          <w:sz w:val="20"/>
          <w:szCs w:val="20"/>
          <w:color w:val="auto"/>
        </w:rPr>
      </w:pPr>
    </w:p>
    <w:p>
      <w:pPr>
        <w:jc w:val="both"/>
        <w:ind w:left="20" w:right="40" w:hanging="660"/>
        <w:spacing w:after="0" w:line="258" w:lineRule="auto"/>
        <w:rPr>
          <w:sz w:val="20"/>
          <w:szCs w:val="20"/>
          <w:color w:val="auto"/>
        </w:rPr>
      </w:pPr>
      <w:r>
        <w:rPr>
          <w:rFonts w:ascii="Times New Roman" w:cs="Times New Roman" w:eastAsia="Times New Roman" w:hAnsi="Times New Roman"/>
          <w:sz w:val="18"/>
          <w:szCs w:val="18"/>
          <w:color w:val="040404"/>
        </w:rPr>
        <w:t>3.4</w:t>
      </w:r>
      <w:r>
        <w:rPr>
          <w:sz w:val="20"/>
          <w:szCs w:val="20"/>
          <w:color w:val="auto"/>
        </w:rPr>
        <w:t xml:space="preserve"> </w:t>
      </w:r>
      <w:r>
        <w:rPr>
          <w:rFonts w:ascii="Times New Roman" w:cs="Times New Roman" w:eastAsia="Times New Roman" w:hAnsi="Times New Roman"/>
          <w:sz w:val="18"/>
          <w:szCs w:val="18"/>
          <w:color w:val="040404"/>
        </w:rPr>
        <w:t>AstraZeneca's entitlement to ADSs shall be calculated using the ratio applicable to the exchange of Ordinary Shares for ADSs at the time of such delivery of ADSs, being at the date of this Agreement a ratio of five Ordinary Shares to each ADS. No fractional ADSs or scrip representing fractional ADSs will be issued and any number of balancing Ordinary Shares will be issued to AstraZeneca in uncertificated form. For the avoidance of doubt, such ADSs shall be Restricted ADSs at the time of issue, and shall be converted to unrestricted ADSs in accordance with Section 3 .5.</w:t>
      </w:r>
    </w:p>
    <w:p>
      <w:pPr>
        <w:spacing w:after="0" w:line="210" w:lineRule="exact"/>
        <w:rPr>
          <w:sz w:val="20"/>
          <w:szCs w:val="20"/>
          <w:color w:val="auto"/>
        </w:rPr>
      </w:pPr>
    </w:p>
    <w:p>
      <w:pPr>
        <w:jc w:val="both"/>
        <w:ind w:left="20" w:hanging="662"/>
        <w:spacing w:after="0" w:line="253" w:lineRule="auto"/>
        <w:rPr>
          <w:sz w:val="20"/>
          <w:szCs w:val="20"/>
          <w:color w:val="auto"/>
        </w:rPr>
      </w:pPr>
      <w:r>
        <w:rPr>
          <w:rFonts w:ascii="Times New Roman" w:cs="Times New Roman" w:eastAsia="Times New Roman" w:hAnsi="Times New Roman"/>
          <w:sz w:val="18"/>
          <w:szCs w:val="18"/>
          <w:color w:val="040404"/>
        </w:rPr>
        <w:t>3.5</w:t>
      </w:r>
      <w:r>
        <w:rPr>
          <w:sz w:val="20"/>
          <w:szCs w:val="20"/>
          <w:color w:val="auto"/>
        </w:rPr>
        <w:t xml:space="preserve"> </w:t>
      </w:r>
      <w:r>
        <w:rPr>
          <w:rFonts w:ascii="Times New Roman" w:cs="Times New Roman" w:eastAsia="Times New Roman" w:hAnsi="Times New Roman"/>
          <w:sz w:val="18"/>
          <w:szCs w:val="18"/>
          <w:color w:val="040404"/>
        </w:rPr>
        <w:t>The Company undertakes to AstraZeneca that, in relation to each of the [***], the [***] and the [***], at its own expense it will: (i) on the relevant [***], issue to AstraZeneca Restricted ADSs, with AstraZeneca's entitlement to be calculated in accordance with Section 3.4; and (ii) within [***] days following the relevant [***], prepare and file a Registration Statement with the SEC covering the resale of the [***] of the Subscription Shares allotted and issued by the Company pursuant to the Transaction Documents in the form of ADSs (or any subsequent security of the Company listed on a U</w:t>
      </w:r>
      <w:r>
        <w:rPr>
          <w:rFonts w:ascii="Times New Roman" w:cs="Times New Roman" w:eastAsia="Times New Roman" w:hAnsi="Times New Roman"/>
          <w:sz w:val="18"/>
          <w:szCs w:val="18"/>
          <w:color w:val="181818"/>
        </w:rPr>
        <w:t>.</w:t>
      </w:r>
      <w:r>
        <w:rPr>
          <w:rFonts w:ascii="Times New Roman" w:cs="Times New Roman" w:eastAsia="Times New Roman" w:hAnsi="Times New Roman"/>
          <w:sz w:val="18"/>
          <w:szCs w:val="18"/>
          <w:color w:val="040404"/>
        </w:rPr>
        <w:t xml:space="preserve">S. Stock Exchange), and use reasonable endeavours to have such Registration Statement declared effective by the SEC as promptly as reasonably practicable thereafter, at which point the Company shall use its best efforts to provide the Depositary with all documentation required by the Depositary to convert all of AstraZeneca's Restricted ADSs that are subject to such Registration Statement to unrestricted ADSs. This shall include the provision by the Company to the Depositary of a legal opinion of US securities counsel, at the Company's expense. AstraZeneca shall, in connection with the conversion (in the event that such conversion is not part of a sale by AstraZeneca) complete, execute and deliver a representation letter in the form of Appendix </w:t>
      </w:r>
      <w:r>
        <w:rPr>
          <w:rFonts w:ascii="Times New Roman" w:cs="Times New Roman" w:eastAsia="Times New Roman" w:hAnsi="Times New Roman"/>
          <w:sz w:val="18"/>
          <w:szCs w:val="18"/>
          <w:b w:val="1"/>
          <w:bCs w:val="1"/>
          <w:color w:val="040404"/>
        </w:rPr>
        <w:t>1.</w:t>
      </w:r>
    </w:p>
    <w:p>
      <w:pPr>
        <w:spacing w:after="0" w:line="165" w:lineRule="exact"/>
        <w:rPr>
          <w:sz w:val="20"/>
          <w:szCs w:val="20"/>
          <w:color w:val="auto"/>
        </w:rPr>
      </w:pPr>
    </w:p>
    <w:p>
      <w:pPr>
        <w:ind w:left="20" w:right="40" w:hanging="675"/>
        <w:spacing w:after="0" w:line="282" w:lineRule="auto"/>
        <w:rPr>
          <w:sz w:val="20"/>
          <w:szCs w:val="20"/>
          <w:color w:val="auto"/>
        </w:rPr>
      </w:pPr>
      <w:r>
        <w:rPr>
          <w:rFonts w:ascii="Times New Roman" w:cs="Times New Roman" w:eastAsia="Times New Roman" w:hAnsi="Times New Roman"/>
          <w:sz w:val="18"/>
          <w:szCs w:val="18"/>
          <w:color w:val="040404"/>
        </w:rPr>
        <w:t>3.6</w:t>
      </w:r>
      <w:r>
        <w:rPr>
          <w:sz w:val="20"/>
          <w:szCs w:val="20"/>
          <w:color w:val="auto"/>
        </w:rPr>
        <w:t xml:space="preserve"> </w:t>
      </w:r>
      <w:r>
        <w:rPr>
          <w:rFonts w:ascii="Times New Roman" w:cs="Times New Roman" w:eastAsia="Times New Roman" w:hAnsi="Times New Roman"/>
          <w:sz w:val="18"/>
          <w:szCs w:val="18"/>
          <w:color w:val="040404"/>
        </w:rPr>
        <w:t>The Company shall maintain the continuous effectiveness of the Registration Statement until the earlier of (i) the date on which the Restricted ADSs issued to AstraZeneca hereunder may</w:t>
      </w:r>
    </w:p>
    <w:p>
      <w:pPr>
        <w:spacing w:after="0" w:line="13" w:lineRule="exact"/>
        <w:rPr>
          <w:sz w:val="20"/>
          <w:szCs w:val="20"/>
          <w:color w:val="auto"/>
        </w:rPr>
      </w:pPr>
    </w:p>
    <w:p>
      <w:pPr>
        <w:jc w:val="both"/>
        <w:ind w:left="40" w:right="20" w:hanging="3"/>
        <w:spacing w:after="0" w:line="266" w:lineRule="auto"/>
        <w:rPr>
          <w:sz w:val="20"/>
          <w:szCs w:val="20"/>
          <w:color w:val="auto"/>
        </w:rPr>
      </w:pPr>
      <w:r>
        <w:rPr>
          <w:rFonts w:ascii="Times New Roman" w:cs="Times New Roman" w:eastAsia="Times New Roman" w:hAnsi="Times New Roman"/>
          <w:sz w:val="18"/>
          <w:szCs w:val="18"/>
          <w:color w:val="040404"/>
        </w:rPr>
        <w:t>be resold without volume or manner of sale limitations pursuant to Rule 144 promulgated under the Securities Act and without the requirement for the Company to be in compliance with the current public information required under Rule 144, and (ii) the date on which all the ADSs that are subject to such Registration Statement have actually been sold by AstraZeneca.</w:t>
      </w:r>
    </w:p>
    <w:p>
      <w:pPr>
        <w:spacing w:after="0" w:line="189" w:lineRule="exact"/>
        <w:rPr>
          <w:sz w:val="20"/>
          <w:szCs w:val="20"/>
          <w:color w:val="auto"/>
        </w:rPr>
      </w:pPr>
    </w:p>
    <w:p>
      <w:pPr>
        <w:jc w:val="both"/>
        <w:ind w:left="20" w:hanging="662"/>
        <w:spacing w:after="0" w:line="266" w:lineRule="auto"/>
        <w:rPr>
          <w:sz w:val="20"/>
          <w:szCs w:val="20"/>
          <w:color w:val="auto"/>
        </w:rPr>
      </w:pPr>
      <w:r>
        <w:rPr>
          <w:rFonts w:ascii="Times New Roman" w:cs="Times New Roman" w:eastAsia="Times New Roman" w:hAnsi="Times New Roman"/>
          <w:sz w:val="18"/>
          <w:szCs w:val="18"/>
          <w:color w:val="040404"/>
        </w:rPr>
        <w:t>3.7</w:t>
      </w:r>
      <w:r>
        <w:rPr>
          <w:sz w:val="20"/>
          <w:szCs w:val="20"/>
          <w:color w:val="auto"/>
        </w:rPr>
        <w:t xml:space="preserve"> </w:t>
      </w:r>
      <w:r>
        <w:rPr>
          <w:rFonts w:ascii="Times New Roman" w:cs="Times New Roman" w:eastAsia="Times New Roman" w:hAnsi="Times New Roman"/>
          <w:sz w:val="18"/>
          <w:szCs w:val="18"/>
          <w:color w:val="040404"/>
        </w:rPr>
        <w:t>The Company shall indemnify and hold harmless AstraZeneca, its officers, directors and agents, and each person who controls AstraZeneca (within the meaning of Section 15 of the Securities Act or Section 20 of the Exchange Act) to the fullest extent permitted by applicable law, from and against any and all losses, claims, damages, liabilities, costs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702310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1440" w:top="1440" w:right="739" w:bottom="1440" w:gutter="0" w:footer="0" w:header="0"/>
        </w:sectPr>
      </w:pPr>
    </w:p>
    <w:bookmarkStart w:id="156" w:name="page157"/>
    <w:bookmarkEnd w:id="156"/>
    <w:p>
      <w:pPr>
        <w:jc w:val="both"/>
        <w:ind w:left="683"/>
        <w:spacing w:after="0" w:line="255" w:lineRule="auto"/>
        <w:rPr>
          <w:sz w:val="20"/>
          <w:szCs w:val="20"/>
          <w:color w:val="auto"/>
        </w:rPr>
      </w:pPr>
      <w:r>
        <w:rPr>
          <w:rFonts w:ascii="Times New Roman" w:cs="Times New Roman" w:eastAsia="Times New Roman" w:hAnsi="Times New Roman"/>
          <w:sz w:val="18"/>
          <w:szCs w:val="18"/>
          <w:color w:val="040404"/>
        </w:rPr>
        <w:t xml:space="preserve">reasonable attorneys' fees) and expenses ( collectively, </w:t>
      </w:r>
      <w:r>
        <w:rPr>
          <w:rFonts w:ascii="Times New Roman" w:cs="Times New Roman" w:eastAsia="Times New Roman" w:hAnsi="Times New Roman"/>
          <w:sz w:val="18"/>
          <w:szCs w:val="18"/>
          <w:b w:val="1"/>
          <w:bCs w:val="1"/>
          <w:color w:val="040404"/>
        </w:rPr>
        <w:t>"Losses"),</w:t>
      </w:r>
      <w:r>
        <w:rPr>
          <w:rFonts w:ascii="Times New Roman" w:cs="Times New Roman" w:eastAsia="Times New Roman" w:hAnsi="Times New Roman"/>
          <w:sz w:val="18"/>
          <w:szCs w:val="18"/>
          <w:color w:val="040404"/>
        </w:rPr>
        <w:t xml:space="preserve"> as incurred,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AstraZeneca furnished in writing to the Company by AstraZeneca expressly for use therein.</w:t>
      </w:r>
    </w:p>
    <w:p>
      <w:pPr>
        <w:spacing w:after="0" w:line="216" w:lineRule="exact"/>
        <w:rPr>
          <w:sz w:val="20"/>
          <w:szCs w:val="20"/>
          <w:color w:val="auto"/>
        </w:rPr>
      </w:pPr>
    </w:p>
    <w:p>
      <w:pPr>
        <w:jc w:val="both"/>
        <w:ind w:left="683" w:right="20" w:hanging="661"/>
        <w:spacing w:after="0" w:line="254" w:lineRule="auto"/>
        <w:tabs>
          <w:tab w:leader="none" w:pos="663" w:val="left"/>
        </w:tabs>
        <w:rPr>
          <w:sz w:val="20"/>
          <w:szCs w:val="20"/>
          <w:color w:val="auto"/>
        </w:rPr>
      </w:pPr>
      <w:r>
        <w:rPr>
          <w:rFonts w:ascii="Times New Roman" w:cs="Times New Roman" w:eastAsia="Times New Roman" w:hAnsi="Times New Roman"/>
          <w:sz w:val="18"/>
          <w:szCs w:val="18"/>
          <w:color w:val="040404"/>
        </w:rPr>
        <w:t>3.8</w:t>
      </w:r>
      <w:r>
        <w:rPr>
          <w:sz w:val="20"/>
          <w:szCs w:val="20"/>
          <w:color w:val="auto"/>
        </w:rPr>
        <w:tab/>
      </w:r>
      <w:r>
        <w:rPr>
          <w:rFonts w:ascii="Times New Roman" w:cs="Times New Roman" w:eastAsia="Times New Roman" w:hAnsi="Times New Roman"/>
          <w:sz w:val="18"/>
          <w:szCs w:val="18"/>
          <w:color w:val="040404"/>
        </w:rPr>
        <w:t>AstraZeneca shall indemnify and hold harmless the Company, its officers, directors and agents, and each person who controls the Company (within the meaning of Section 15 of the Securities Act or Section 20 of the Exchange Act) to the fullest extent permitted by applicable law, from and against any and all Losses, as incurred,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but only to the extent that such untrue statements or alleged untrue statements, omissions or alleged omissions are based upon information regarding AstraZeneca furnished in writing to the Company by AstraZeneca expressly for use therein.</w:t>
      </w:r>
    </w:p>
    <w:p>
      <w:pPr>
        <w:spacing w:after="0" w:line="202" w:lineRule="exact"/>
        <w:rPr>
          <w:sz w:val="20"/>
          <w:szCs w:val="20"/>
          <w:color w:val="auto"/>
        </w:rPr>
      </w:pPr>
    </w:p>
    <w:p>
      <w:pPr>
        <w:jc w:val="both"/>
        <w:ind w:left="683" w:hanging="662"/>
        <w:spacing w:after="0" w:line="268" w:lineRule="auto"/>
        <w:tabs>
          <w:tab w:leader="none" w:pos="663" w:val="left"/>
        </w:tabs>
        <w:rPr>
          <w:sz w:val="20"/>
          <w:szCs w:val="20"/>
          <w:color w:val="auto"/>
        </w:rPr>
      </w:pPr>
      <w:r>
        <w:rPr>
          <w:rFonts w:ascii="Times New Roman" w:cs="Times New Roman" w:eastAsia="Times New Roman" w:hAnsi="Times New Roman"/>
          <w:sz w:val="18"/>
          <w:szCs w:val="18"/>
          <w:color w:val="040404"/>
        </w:rPr>
        <w:t>3.9</w:t>
      </w:r>
      <w:r>
        <w:rPr>
          <w:sz w:val="20"/>
          <w:szCs w:val="20"/>
          <w:color w:val="auto"/>
        </w:rPr>
        <w:tab/>
      </w:r>
      <w:r>
        <w:rPr>
          <w:rFonts w:ascii="Times New Roman" w:cs="Times New Roman" w:eastAsia="Times New Roman" w:hAnsi="Times New Roman"/>
          <w:sz w:val="17"/>
          <w:szCs w:val="17"/>
          <w:color w:val="040404"/>
        </w:rPr>
        <w:t>To the extent the indemnification provided for in clause 3.7 or clause 3.8 is unavailable to an indemnified party or insufficient in respect of any Losses referred to therein, then each indemnifying party under such paragraph, in lieu of indemnifying such indemnified party thereunder, shall contribute to the amount paid or payable by such indemnified party as a result of such Losses in such proportion as is appropriate to reflect the relative fault of the indemnifying party or parties on the one hand and of the indemnified party or parties on the other hand in connection with the statements or omissions that resulted in such Losses, as well as any other relevant equitable considerations. The relative fault of the indemnifying party or parties on the one hand and the indemnified party or parties on the other hand shall be determined by reference to, among other things, whether the untrue or alleged untrue statement of a material fact or omission or alleged omission to state a material fact relates to information supplied by the indemnifying party or parties on the one hand or the indemnified party or parties on the other hand, and the parties' relative intent, knowledge, access to information and opportunity to correct or prevent such statement or omission. The amount paid or payable by an indemnified party as a result of the losses, claims, damages and liabilities referred to above in this clause 3.9 shall be deemed to include, subject to the limitations set forth above, any legal or other expenses reasonably incurred by such indemnified party in connection with investigating or defending any such action or claim. Notwithstanding the foregoing provisions of this clause 3.9, AstraZeneca shall not be required to contribute any amount in excess of the aggregate public offering price of the ADSs offered and sold pursuant to the Registration Statement, and no person found guilty of fraudulent misrepresentation (within the meaning of Section 1 l(f) of the Securities Act) will be entitled to contribution from any person who was not guilty of such fraudulent misrepresentation.</w:t>
      </w:r>
    </w:p>
    <w:p>
      <w:pPr>
        <w:spacing w:after="0" w:line="200" w:lineRule="exact"/>
        <w:rPr>
          <w:sz w:val="20"/>
          <w:szCs w:val="20"/>
          <w:color w:val="auto"/>
        </w:rPr>
      </w:pPr>
    </w:p>
    <w:p>
      <w:pPr>
        <w:spacing w:after="0" w:line="248" w:lineRule="exact"/>
        <w:rPr>
          <w:sz w:val="20"/>
          <w:szCs w:val="20"/>
          <w:color w:val="auto"/>
        </w:rPr>
      </w:pPr>
    </w:p>
    <w:p>
      <w:pPr>
        <w:ind w:left="703" w:hanging="703"/>
        <w:spacing w:after="0"/>
        <w:tabs>
          <w:tab w:leader="none" w:pos="703" w:val="left"/>
        </w:tabs>
        <w:numPr>
          <w:ilvl w:val="0"/>
          <w:numId w:val="87"/>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color w:val="040404"/>
        </w:rPr>
        <w:t xml:space="preserve">[***] </w:t>
      </w:r>
      <w:r>
        <w:rPr>
          <w:rFonts w:ascii="Times New Roman" w:cs="Times New Roman" w:eastAsia="Times New Roman" w:hAnsi="Times New Roman"/>
          <w:sz w:val="18"/>
          <w:szCs w:val="18"/>
          <w:b w:val="1"/>
          <w:bCs w:val="1"/>
          <w:color w:val="040404"/>
        </w:rPr>
        <w:t>EVENTS</w:t>
      </w:r>
    </w:p>
    <w:p>
      <w:pPr>
        <w:spacing w:after="0" w:line="256" w:lineRule="exact"/>
        <w:rPr>
          <w:sz w:val="20"/>
          <w:szCs w:val="20"/>
          <w:color w:val="auto"/>
        </w:rPr>
      </w:pPr>
    </w:p>
    <w:p>
      <w:pPr>
        <w:jc w:val="both"/>
        <w:ind w:left="683" w:right="20" w:hanging="677"/>
        <w:spacing w:after="0" w:line="261" w:lineRule="auto"/>
        <w:tabs>
          <w:tab w:leader="none" w:pos="663" w:val="left"/>
        </w:tabs>
        <w:rPr>
          <w:sz w:val="20"/>
          <w:szCs w:val="20"/>
          <w:color w:val="auto"/>
        </w:rPr>
      </w:pPr>
      <w:r>
        <w:rPr>
          <w:rFonts w:ascii="Times New Roman" w:cs="Times New Roman" w:eastAsia="Times New Roman" w:hAnsi="Times New Roman"/>
          <w:sz w:val="18"/>
          <w:szCs w:val="18"/>
          <w:color w:val="040404"/>
        </w:rPr>
        <w:t>4.1</w:t>
      </w:r>
      <w:r>
        <w:rPr>
          <w:sz w:val="20"/>
          <w:szCs w:val="20"/>
          <w:color w:val="auto"/>
        </w:rPr>
        <w:tab/>
      </w:r>
      <w:r>
        <w:rPr>
          <w:rFonts w:ascii="Times New Roman" w:cs="Times New Roman" w:eastAsia="Times New Roman" w:hAnsi="Times New Roman"/>
          <w:sz w:val="18"/>
          <w:szCs w:val="18"/>
          <w:color w:val="040404"/>
        </w:rPr>
        <w:t>Subject to compliance with applicable law (including the Takeover Code, MAR, UK MAR, U.S. securities laws and U.S. Stock Exchange rules, as applicable) and the requirements of the FCA and the Panel on Takeovers and Mergers (as applicable), the Company will give AstraZeneca not fewer than [***] Business Days written notice prior to the date on which any [***] takes effect, and the Company will procure that no [***] takes effect until: (i) [***]; and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850265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3"/>
          </w:cols>
          <w:pgMar w:left="777" w:top="1265" w:right="739" w:bottom="1440" w:gutter="0" w:footer="0" w:header="0"/>
        </w:sectPr>
      </w:pPr>
    </w:p>
    <w:bookmarkStart w:id="157" w:name="page158"/>
    <w:bookmarkEnd w:id="157"/>
    <w:p>
      <w:pPr>
        <w:ind w:left="703" w:hanging="703"/>
        <w:spacing w:after="0"/>
        <w:tabs>
          <w:tab w:leader="none" w:pos="703" w:val="left"/>
        </w:tabs>
        <w:numPr>
          <w:ilvl w:val="0"/>
          <w:numId w:val="88"/>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b w:val="1"/>
          <w:bCs w:val="1"/>
          <w:color w:val="040404"/>
        </w:rPr>
        <w:t>WARRANTIES</w:t>
      </w:r>
    </w:p>
    <w:p>
      <w:pPr>
        <w:spacing w:after="0" w:line="270" w:lineRule="exact"/>
        <w:rPr>
          <w:sz w:val="20"/>
          <w:szCs w:val="20"/>
          <w:color w:val="auto"/>
        </w:rPr>
      </w:pPr>
    </w:p>
    <w:p>
      <w:pPr>
        <w:ind w:left="3"/>
        <w:spacing w:after="0"/>
        <w:tabs>
          <w:tab w:leader="none" w:pos="663" w:val="left"/>
        </w:tabs>
        <w:rPr>
          <w:sz w:val="20"/>
          <w:szCs w:val="20"/>
          <w:color w:val="auto"/>
        </w:rPr>
      </w:pPr>
      <w:r>
        <w:rPr>
          <w:rFonts w:ascii="Times New Roman" w:cs="Times New Roman" w:eastAsia="Times New Roman" w:hAnsi="Times New Roman"/>
          <w:sz w:val="18"/>
          <w:szCs w:val="18"/>
          <w:color w:val="040404"/>
        </w:rPr>
        <w:t>5.1</w:t>
      </w:r>
      <w:r>
        <w:rPr>
          <w:sz w:val="20"/>
          <w:szCs w:val="20"/>
          <w:color w:val="auto"/>
        </w:rPr>
        <w:tab/>
      </w:r>
      <w:r>
        <w:rPr>
          <w:rFonts w:ascii="Times New Roman" w:cs="Times New Roman" w:eastAsia="Times New Roman" w:hAnsi="Times New Roman"/>
          <w:sz w:val="18"/>
          <w:szCs w:val="18"/>
          <w:color w:val="040404"/>
        </w:rPr>
        <w:t>AstraZeneca hereby warrants to the Company on the Effective Date, and on each [***] (provided that the warranty in clause 5.l(e)</w:t>
      </w:r>
    </w:p>
    <w:p>
      <w:pPr>
        <w:spacing w:after="0" w:line="27" w:lineRule="exact"/>
        <w:rPr>
          <w:sz w:val="20"/>
          <w:szCs w:val="20"/>
          <w:color w:val="auto"/>
        </w:rPr>
      </w:pPr>
    </w:p>
    <w:p>
      <w:pPr>
        <w:ind w:left="683"/>
        <w:spacing w:after="0"/>
        <w:rPr>
          <w:sz w:val="20"/>
          <w:szCs w:val="20"/>
          <w:color w:val="auto"/>
        </w:rPr>
      </w:pPr>
      <w:r>
        <w:rPr>
          <w:rFonts w:ascii="Times New Roman" w:cs="Times New Roman" w:eastAsia="Times New Roman" w:hAnsi="Times New Roman"/>
          <w:sz w:val="18"/>
          <w:szCs w:val="18"/>
          <w:color w:val="040404"/>
        </w:rPr>
        <w:t>below shall not be given on the [***], the [***] or the [***]), that:</w:t>
      </w:r>
    </w:p>
    <w:p>
      <w:pPr>
        <w:spacing w:after="0" w:line="220" w:lineRule="exact"/>
        <w:rPr>
          <w:sz w:val="20"/>
          <w:szCs w:val="20"/>
          <w:color w:val="auto"/>
        </w:rPr>
      </w:pPr>
    </w:p>
    <w:p>
      <w:pPr>
        <w:jc w:val="both"/>
        <w:ind w:left="1383" w:right="20" w:hanging="663"/>
        <w:spacing w:after="0" w:line="266" w:lineRule="auto"/>
        <w:tabs>
          <w:tab w:leader="none" w:pos="1383" w:val="left"/>
        </w:tabs>
        <w:numPr>
          <w:ilvl w:val="1"/>
          <w:numId w:val="89"/>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this Agreement has been duly authorised, executed and delivered by AstraZeneca and constitutes a valid and legally binding agreement of AstraZeneca enforceable against AstraZeneca in accordance with its terms, subject to mandatory rules of law relating to insolvency, and general equitable principles;</w:t>
      </w:r>
    </w:p>
    <w:p>
      <w:pPr>
        <w:spacing w:after="0" w:line="229" w:lineRule="exact"/>
        <w:rPr>
          <w:rFonts w:ascii="Times New Roman" w:cs="Times New Roman" w:eastAsia="Times New Roman" w:hAnsi="Times New Roman"/>
          <w:sz w:val="18"/>
          <w:szCs w:val="18"/>
          <w:color w:val="040404"/>
        </w:rPr>
      </w:pPr>
    </w:p>
    <w:p>
      <w:pPr>
        <w:jc w:val="both"/>
        <w:ind w:left="1383" w:right="20" w:hanging="663"/>
        <w:spacing w:after="0" w:line="266" w:lineRule="auto"/>
        <w:tabs>
          <w:tab w:leader="none" w:pos="1383" w:val="left"/>
        </w:tabs>
        <w:numPr>
          <w:ilvl w:val="1"/>
          <w:numId w:val="89"/>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by reason of its, or of its management's, business and financial experience, AstraZeneca has the capacity to evaluate the merits and risks of its investment in the Subscription Shares (and any Restricted ADSs or ADSs representing the Subscription Shares) and to protect its own interests in connection with the transaction contemplated in this Agreement;</w:t>
      </w:r>
    </w:p>
    <w:p>
      <w:pPr>
        <w:spacing w:after="0" w:line="189" w:lineRule="exact"/>
        <w:rPr>
          <w:rFonts w:ascii="Times New Roman" w:cs="Times New Roman" w:eastAsia="Times New Roman" w:hAnsi="Times New Roman"/>
          <w:sz w:val="18"/>
          <w:szCs w:val="18"/>
          <w:color w:val="040404"/>
        </w:rPr>
      </w:pPr>
    </w:p>
    <w:p>
      <w:pPr>
        <w:jc w:val="both"/>
        <w:ind w:left="1383" w:right="20" w:hanging="679"/>
        <w:spacing w:after="0" w:line="266" w:lineRule="auto"/>
        <w:tabs>
          <w:tab w:leader="none" w:pos="1383" w:val="left"/>
        </w:tabs>
        <w:numPr>
          <w:ilvl w:val="0"/>
          <w:numId w:val="90"/>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it is a qualified investor within the meaning of the Prospectus Regulation and the UK Prospectus Regulation and any relevant implementing measures and falls within Article 49(2) ("High Net Worth Companies, Unincorporated Association, etc.") of the Financial Services and Markets Act 2000 (Financial Promotion) Order 2005;</w:t>
      </w:r>
    </w:p>
    <w:p>
      <w:pPr>
        <w:spacing w:after="0" w:line="189" w:lineRule="exact"/>
        <w:rPr>
          <w:rFonts w:ascii="Times New Roman" w:cs="Times New Roman" w:eastAsia="Times New Roman" w:hAnsi="Times New Roman"/>
          <w:sz w:val="18"/>
          <w:szCs w:val="18"/>
          <w:color w:val="040404"/>
        </w:rPr>
      </w:pPr>
    </w:p>
    <w:p>
      <w:pPr>
        <w:jc w:val="both"/>
        <w:ind w:left="1363" w:hanging="644"/>
        <w:spacing w:after="0" w:line="255" w:lineRule="auto"/>
        <w:tabs>
          <w:tab w:leader="none" w:pos="1363" w:val="left"/>
        </w:tabs>
        <w:numPr>
          <w:ilvl w:val="1"/>
          <w:numId w:val="90"/>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it is authorised and entitled to subscribe for the Subscription Shares ( and any Restricted ADSs or ADSs representing the Subscription Shares) under the laws of all relevant jurisdictions that apply to it, has complied with all such laws relating to the subscription of the Subscription Shares (and any Restricted ADSs or ADSs representing the Subscription Shares) (including, where applicable, the Criminal Justice Act 1993, MAR, UK MAR, the Proceeds of Crime Act 2002, U.S. securities laws and U.S. Stock Exchange rules, as applicable) and has obtained all applicable consents required to be obtained by it in relation to the subscription of the Subscription Shares (and any Restricted ADSs or ADSs representing the Subscription Shares);</w:t>
      </w:r>
    </w:p>
    <w:p>
      <w:pPr>
        <w:spacing w:after="0" w:line="202" w:lineRule="exact"/>
        <w:rPr>
          <w:sz w:val="20"/>
          <w:szCs w:val="20"/>
          <w:color w:val="auto"/>
        </w:rPr>
      </w:pPr>
    </w:p>
    <w:p>
      <w:pPr>
        <w:ind w:left="1403" w:hanging="699"/>
        <w:spacing w:after="0"/>
        <w:tabs>
          <w:tab w:leader="none" w:pos="1403" w:val="left"/>
        </w:tabs>
        <w:numPr>
          <w:ilvl w:val="0"/>
          <w:numId w:val="91"/>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it is incorporated and located outside the United States; and</w:t>
      </w:r>
    </w:p>
    <w:p>
      <w:pPr>
        <w:spacing w:after="0" w:line="252" w:lineRule="exact"/>
        <w:rPr>
          <w:rFonts w:ascii="Times New Roman" w:cs="Times New Roman" w:eastAsia="Times New Roman" w:hAnsi="Times New Roman"/>
          <w:sz w:val="18"/>
          <w:szCs w:val="18"/>
          <w:color w:val="040404"/>
        </w:rPr>
      </w:pPr>
    </w:p>
    <w:p>
      <w:pPr>
        <w:jc w:val="both"/>
        <w:ind w:left="1383" w:right="20" w:hanging="663"/>
        <w:spacing w:after="0" w:line="261" w:lineRule="auto"/>
        <w:tabs>
          <w:tab w:leader="none" w:pos="1383" w:val="left"/>
        </w:tabs>
        <w:numPr>
          <w:ilvl w:val="0"/>
          <w:numId w:val="91"/>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it has not subscribed for the Subscription Shares (or any Restricted ADSs or ADSs representing the Subscription Shares) for the account or benefit of any person in the United States or entered into any arrangement for the transfer of the Subscription Shares (or any Restricted ADSs or ADSs representing the Subscription Shares) or any economic interest therein to any person in the United States.</w:t>
      </w:r>
    </w:p>
    <w:p>
      <w:pPr>
        <w:spacing w:after="0" w:line="193" w:lineRule="exact"/>
        <w:rPr>
          <w:sz w:val="20"/>
          <w:szCs w:val="20"/>
          <w:color w:val="auto"/>
        </w:rPr>
      </w:pPr>
    </w:p>
    <w:p>
      <w:pPr>
        <w:ind w:left="3"/>
        <w:spacing w:after="0"/>
        <w:tabs>
          <w:tab w:leader="none" w:pos="683" w:val="left"/>
        </w:tabs>
        <w:rPr>
          <w:sz w:val="20"/>
          <w:szCs w:val="20"/>
          <w:color w:val="auto"/>
        </w:rPr>
      </w:pPr>
      <w:r>
        <w:rPr>
          <w:rFonts w:ascii="Times New Roman" w:cs="Times New Roman" w:eastAsia="Times New Roman" w:hAnsi="Times New Roman"/>
          <w:sz w:val="18"/>
          <w:szCs w:val="18"/>
          <w:color w:val="040404"/>
        </w:rPr>
        <w:t>5.2</w:t>
      </w:r>
      <w:r>
        <w:rPr>
          <w:sz w:val="20"/>
          <w:szCs w:val="20"/>
          <w:color w:val="auto"/>
        </w:rPr>
        <w:tab/>
      </w:r>
      <w:r>
        <w:rPr>
          <w:rFonts w:ascii="Times New Roman" w:cs="Times New Roman" w:eastAsia="Times New Roman" w:hAnsi="Times New Roman"/>
          <w:sz w:val="18"/>
          <w:szCs w:val="18"/>
          <w:color w:val="040404"/>
        </w:rPr>
        <w:t>The Company hereby warrants to AstraZeneca on the Effective Date, that:</w:t>
      </w:r>
    </w:p>
    <w:p>
      <w:pPr>
        <w:spacing w:after="0" w:line="77" w:lineRule="exact"/>
        <w:rPr>
          <w:sz w:val="20"/>
          <w:szCs w:val="20"/>
          <w:color w:val="auto"/>
        </w:rPr>
      </w:pPr>
    </w:p>
    <w:p>
      <w:pPr>
        <w:ind w:left="1383" w:hanging="663"/>
        <w:spacing w:after="0" w:line="282" w:lineRule="auto"/>
        <w:tabs>
          <w:tab w:leader="none" w:pos="1383" w:val="left"/>
        </w:tabs>
        <w:numPr>
          <w:ilvl w:val="0"/>
          <w:numId w:val="92"/>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the information given in Part 1 of Schedule 2 in relation to the issued share capital of the Company is true and accurate in all respects and is not misleading in any respect because of any omission;</w:t>
      </w:r>
    </w:p>
    <w:p>
      <w:pPr>
        <w:spacing w:after="0" w:line="175" w:lineRule="exact"/>
        <w:rPr>
          <w:rFonts w:ascii="Times New Roman" w:cs="Times New Roman" w:eastAsia="Times New Roman" w:hAnsi="Times New Roman"/>
          <w:sz w:val="18"/>
          <w:szCs w:val="18"/>
          <w:color w:val="040404"/>
        </w:rPr>
      </w:pPr>
    </w:p>
    <w:p>
      <w:pPr>
        <w:jc w:val="both"/>
        <w:ind w:left="1383" w:right="20" w:hanging="679"/>
        <w:spacing w:after="0" w:line="266" w:lineRule="auto"/>
        <w:tabs>
          <w:tab w:leader="none" w:pos="1383" w:val="left"/>
        </w:tabs>
        <w:numPr>
          <w:ilvl w:val="0"/>
          <w:numId w:val="92"/>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all sums due in respect of the issued share capital of the Company have been paid up in full and received by the Company and, save as disclosed in Part 2 of Schedule 2, there are no outstanding options or other rights to subscribe for or call for the allotment of any share or loan capital of the Company; and</w:t>
      </w:r>
    </w:p>
    <w:p>
      <w:pPr>
        <w:spacing w:after="0" w:line="175" w:lineRule="exact"/>
        <w:rPr>
          <w:rFonts w:ascii="Times New Roman" w:cs="Times New Roman" w:eastAsia="Times New Roman" w:hAnsi="Times New Roman"/>
          <w:sz w:val="18"/>
          <w:szCs w:val="18"/>
          <w:color w:val="040404"/>
        </w:rPr>
      </w:pPr>
    </w:p>
    <w:p>
      <w:pPr>
        <w:jc w:val="both"/>
        <w:ind w:left="1383" w:right="20" w:hanging="663"/>
        <w:spacing w:after="0" w:line="261" w:lineRule="auto"/>
        <w:tabs>
          <w:tab w:leader="none" w:pos="1383" w:val="left"/>
        </w:tabs>
        <w:numPr>
          <w:ilvl w:val="0"/>
          <w:numId w:val="92"/>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none of the owners or holders of shares in the Company will, following issue of such shares, have any rights, in their capacity as such, in relation to the Company granted by the Company other than as set out in the articles of association of the Company or as has been publicly disclosed by the Company including in an admission document, in the Company's statutory annual report or via an RNS announcement.</w:t>
      </w:r>
    </w:p>
    <w:p>
      <w:pPr>
        <w:spacing w:after="0" w:line="193" w:lineRule="exact"/>
        <w:rPr>
          <w:sz w:val="20"/>
          <w:szCs w:val="20"/>
          <w:color w:val="auto"/>
        </w:rPr>
      </w:pPr>
    </w:p>
    <w:p>
      <w:pPr>
        <w:ind w:left="23"/>
        <w:spacing w:after="0"/>
        <w:tabs>
          <w:tab w:leader="none" w:pos="663" w:val="left"/>
        </w:tabs>
        <w:rPr>
          <w:sz w:val="20"/>
          <w:szCs w:val="20"/>
          <w:color w:val="auto"/>
        </w:rPr>
      </w:pPr>
      <w:r>
        <w:rPr>
          <w:rFonts w:ascii="Times New Roman" w:cs="Times New Roman" w:eastAsia="Times New Roman" w:hAnsi="Times New Roman"/>
          <w:sz w:val="18"/>
          <w:szCs w:val="18"/>
          <w:color w:val="040404"/>
        </w:rPr>
        <w:t>5.3</w:t>
      </w:r>
      <w:r>
        <w:rPr>
          <w:sz w:val="20"/>
          <w:szCs w:val="20"/>
          <w:color w:val="auto"/>
        </w:rPr>
        <w:tab/>
      </w:r>
      <w:r>
        <w:rPr>
          <w:rFonts w:ascii="Times New Roman" w:cs="Times New Roman" w:eastAsia="Times New Roman" w:hAnsi="Times New Roman"/>
          <w:sz w:val="17"/>
          <w:szCs w:val="17"/>
          <w:color w:val="040404"/>
        </w:rPr>
        <w:t>The Company hereby warrants to AstraZeneca on the Effective Date, and on each [***]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733425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3"/>
          </w:cols>
          <w:pgMar w:left="777" w:top="1265" w:right="759" w:bottom="1440" w:gutter="0" w:footer="0" w:header="0"/>
        </w:sectPr>
      </w:pPr>
    </w:p>
    <w:bookmarkStart w:id="158" w:name="page159"/>
    <w:bookmarkEnd w:id="158"/>
    <w:p>
      <w:pPr>
        <w:ind w:left="20" w:right="40"/>
        <w:spacing w:after="0" w:line="282" w:lineRule="auto"/>
        <w:rPr>
          <w:sz w:val="20"/>
          <w:szCs w:val="20"/>
          <w:color w:val="auto"/>
        </w:rPr>
      </w:pPr>
      <w:r>
        <w:rPr>
          <w:rFonts w:ascii="Times New Roman" w:cs="Times New Roman" w:eastAsia="Times New Roman" w:hAnsi="Times New Roman"/>
          <w:sz w:val="18"/>
          <w:szCs w:val="18"/>
          <w:color w:val="040404"/>
        </w:rPr>
        <w:t>that (i) the warranty in clause 5.3(e) below shall not be given on any [***]; and (ii) the warranty in clause 5.3(h) below shall be given on each [***] subject to the proviso referenced therein), that:</w:t>
      </w:r>
    </w:p>
    <w:p>
      <w:pPr>
        <w:spacing w:after="0" w:line="189" w:lineRule="exact"/>
        <w:rPr>
          <w:sz w:val="20"/>
          <w:szCs w:val="20"/>
          <w:color w:val="auto"/>
        </w:rPr>
      </w:pPr>
    </w:p>
    <w:p>
      <w:pPr>
        <w:ind w:left="720" w:hanging="679"/>
        <w:spacing w:after="0"/>
        <w:tabs>
          <w:tab w:leader="none" w:pos="720" w:val="left"/>
        </w:tabs>
        <w:numPr>
          <w:ilvl w:val="0"/>
          <w:numId w:val="93"/>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the Company is duly incorporated and validly existing under the laws of England and Wales;</w:t>
      </w:r>
    </w:p>
    <w:p>
      <w:pPr>
        <w:spacing w:after="0" w:line="279" w:lineRule="exact"/>
        <w:rPr>
          <w:rFonts w:ascii="Times New Roman" w:cs="Times New Roman" w:eastAsia="Times New Roman" w:hAnsi="Times New Roman"/>
          <w:sz w:val="18"/>
          <w:szCs w:val="18"/>
          <w:color w:val="040404"/>
        </w:rPr>
      </w:pPr>
    </w:p>
    <w:p>
      <w:pPr>
        <w:jc w:val="both"/>
        <w:ind w:left="720" w:right="20" w:hanging="663"/>
        <w:spacing w:after="0" w:line="254" w:lineRule="auto"/>
        <w:tabs>
          <w:tab w:leader="none" w:pos="720" w:val="left"/>
        </w:tabs>
        <w:numPr>
          <w:ilvl w:val="1"/>
          <w:numId w:val="93"/>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the Company has power under its articles of association and has obtained all necessary corporate authorities (including without limitation relevant members' resolutions) to create, allot and issue the Subscription Shares (which shall be issued to AstraZeneca initially in the form of Restricted ADSs representing the Subscription Shares), to effect the subscription in the manner proposed and to enter into and perform this Agreement without any further sanction or consent by members of the Company or any class of them and there are no consents or third party approvals, authorisations or orders of a government or regulatory nature or otherwise required under the laws of England and Wales for the creation, allotment and issue of the Subscription Shares ( or any Restricted ADSs or ADSs representing the Subscription Shares), to effect the subscription or to enter into and perform this Agreement, in each case which have not been obtained;</w:t>
      </w:r>
    </w:p>
    <w:p>
      <w:pPr>
        <w:spacing w:after="0" w:line="205" w:lineRule="exact"/>
        <w:rPr>
          <w:rFonts w:ascii="Times New Roman" w:cs="Times New Roman" w:eastAsia="Times New Roman" w:hAnsi="Times New Roman"/>
          <w:sz w:val="18"/>
          <w:szCs w:val="18"/>
          <w:color w:val="040404"/>
        </w:rPr>
      </w:pPr>
    </w:p>
    <w:p>
      <w:pPr>
        <w:jc w:val="both"/>
        <w:ind w:left="720" w:hanging="663"/>
        <w:spacing w:after="0" w:line="261" w:lineRule="auto"/>
        <w:tabs>
          <w:tab w:leader="none" w:pos="720" w:val="left"/>
        </w:tabs>
        <w:numPr>
          <w:ilvl w:val="1"/>
          <w:numId w:val="93"/>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neither the entering into and performance of this Agreement nor the issue of the Subscription Shares ( or any Restricted ADSs or ADSs representing the Subscription Shares) will: (i) result in a breach of any material agreements to which any member of the Mereo Group is a party or by which any such member or any of their respective properties or assets is bound; or (ii) violate any requirement of any applicable laws, regulations or rules;</w:t>
      </w:r>
    </w:p>
    <w:p>
      <w:pPr>
        <w:spacing w:after="0" w:line="180" w:lineRule="exact"/>
        <w:rPr>
          <w:sz w:val="20"/>
          <w:szCs w:val="20"/>
          <w:color w:val="auto"/>
        </w:rPr>
      </w:pPr>
    </w:p>
    <w:p>
      <w:pPr>
        <w:jc w:val="both"/>
        <w:ind w:left="720" w:right="40" w:hanging="679"/>
        <w:spacing w:after="0" w:line="266" w:lineRule="auto"/>
        <w:tabs>
          <w:tab w:leader="none" w:pos="720" w:val="left"/>
        </w:tabs>
        <w:numPr>
          <w:ilvl w:val="1"/>
          <w:numId w:val="94"/>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this Agreement has been duly authorised, executed and delivered by the Company and constitutes a valid and legally binding agreement of the Company enforceable against the Company in accordance with its terms, subject to mandatory rules of law relating to insolvency, and to general equitable principles;</w:t>
      </w:r>
    </w:p>
    <w:p>
      <w:pPr>
        <w:spacing w:after="0" w:line="189" w:lineRule="exact"/>
        <w:rPr>
          <w:rFonts w:ascii="Times New Roman" w:cs="Times New Roman" w:eastAsia="Times New Roman" w:hAnsi="Times New Roman"/>
          <w:sz w:val="18"/>
          <w:szCs w:val="18"/>
          <w:color w:val="040404"/>
        </w:rPr>
      </w:pPr>
    </w:p>
    <w:p>
      <w:pPr>
        <w:jc w:val="both"/>
        <w:ind w:left="720" w:right="40" w:hanging="663"/>
        <w:spacing w:after="0" w:line="266" w:lineRule="auto"/>
        <w:tabs>
          <w:tab w:leader="none" w:pos="720" w:val="left"/>
        </w:tabs>
        <w:numPr>
          <w:ilvl w:val="1"/>
          <w:numId w:val="94"/>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the Company is a "foreign private issuer" as defined in Regulation S and the Company reasonably believes that there is no "substantial U.S</w:t>
      </w:r>
      <w:r>
        <w:rPr>
          <w:rFonts w:ascii="Times New Roman" w:cs="Times New Roman" w:eastAsia="Times New Roman" w:hAnsi="Times New Roman"/>
          <w:sz w:val="18"/>
          <w:szCs w:val="18"/>
          <w:color w:val="181818"/>
        </w:rPr>
        <w:t>.</w:t>
      </w:r>
      <w:r>
        <w:rPr>
          <w:rFonts w:ascii="Times New Roman" w:cs="Times New Roman" w:eastAsia="Times New Roman" w:hAnsi="Times New Roman"/>
          <w:sz w:val="18"/>
          <w:szCs w:val="18"/>
          <w:color w:val="040404"/>
        </w:rPr>
        <w:t xml:space="preserve"> market interest" (as defined in Regulation S) in the Subscription Shares or any other securities of the Company of the same class as the Subscription Shares;</w:t>
      </w:r>
    </w:p>
    <w:p>
      <w:pPr>
        <w:spacing w:after="0" w:line="189" w:lineRule="exact"/>
        <w:rPr>
          <w:rFonts w:ascii="Times New Roman" w:cs="Times New Roman" w:eastAsia="Times New Roman" w:hAnsi="Times New Roman"/>
          <w:sz w:val="18"/>
          <w:szCs w:val="18"/>
          <w:color w:val="040404"/>
        </w:rPr>
      </w:pPr>
    </w:p>
    <w:p>
      <w:pPr>
        <w:jc w:val="both"/>
        <w:ind w:left="720" w:right="20" w:hanging="663"/>
        <w:spacing w:after="0" w:line="261" w:lineRule="auto"/>
        <w:tabs>
          <w:tab w:leader="none" w:pos="720" w:val="left"/>
        </w:tabs>
        <w:numPr>
          <w:ilvl w:val="0"/>
          <w:numId w:val="95"/>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neither the Company nor any of its Affiliates, nor any person acting on its or their behalf, has, directly or indirectly, made or will make offers or sales of any security, or has solicited offers to buy, or has otherwise negotiated in respect of any security, under circumstances that would require registration of the Subscription Shares (or any ADSs representing the Subscription Shares) under the Securities Act except as set forth in clause 3 of this Agreement;</w:t>
      </w:r>
    </w:p>
    <w:p>
      <w:pPr>
        <w:spacing w:after="0" w:line="31" w:lineRule="exact"/>
        <w:rPr>
          <w:rFonts w:ascii="Times New Roman" w:cs="Times New Roman" w:eastAsia="Times New Roman" w:hAnsi="Times New Roman"/>
          <w:sz w:val="18"/>
          <w:szCs w:val="18"/>
          <w:color w:val="040404"/>
        </w:rPr>
      </w:pPr>
    </w:p>
    <w:p>
      <w:pPr>
        <w:jc w:val="both"/>
        <w:ind w:left="720" w:right="20" w:hanging="663"/>
        <w:spacing w:after="0" w:line="266" w:lineRule="auto"/>
        <w:tabs>
          <w:tab w:leader="none" w:pos="720" w:val="left"/>
        </w:tabs>
        <w:numPr>
          <w:ilvl w:val="0"/>
          <w:numId w:val="95"/>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neither the Company nor any of its Affiliates, nor any person acting on its or their behalf, has engaged or will engage in any directed selling efforts ( as defined in Regulation S) with respect to the Subscription Shares ( or any ADSs representing the Subscription Shares);</w:t>
      </w:r>
    </w:p>
    <w:p>
      <w:pPr>
        <w:spacing w:after="0" w:line="175" w:lineRule="exact"/>
        <w:rPr>
          <w:rFonts w:ascii="Times New Roman" w:cs="Times New Roman" w:eastAsia="Times New Roman" w:hAnsi="Times New Roman"/>
          <w:sz w:val="18"/>
          <w:szCs w:val="18"/>
          <w:color w:val="040404"/>
        </w:rPr>
      </w:pPr>
    </w:p>
    <w:p>
      <w:pPr>
        <w:jc w:val="both"/>
        <w:ind w:left="720" w:hanging="663"/>
        <w:spacing w:after="0" w:line="255" w:lineRule="auto"/>
        <w:tabs>
          <w:tab w:leader="none" w:pos="720" w:val="left"/>
        </w:tabs>
        <w:numPr>
          <w:ilvl w:val="0"/>
          <w:numId w:val="95"/>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the Company has, as of each [***], filed all forms, statements, certifications, reports and documents required to be filed by it with the SEC under Section 13, 14(a) and 15(d) of the Exchange Act and is in compliance with General Instruction I.A.3 of Form S-3. As of the time they were filed, none of the filed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SEC Reports. To the Company's knowledge, none of the SEC Reports are the subject of an ongoing SEC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709930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1440" w:top="1269" w:right="739" w:bottom="1440" w:gutter="0" w:footer="0" w:header="0"/>
        </w:sectPr>
      </w:pPr>
    </w:p>
    <w:bookmarkStart w:id="159" w:name="page160"/>
    <w:bookmarkEnd w:id="159"/>
    <w:p>
      <w:pPr>
        <w:spacing w:after="0" w:line="72" w:lineRule="exact"/>
        <w:rPr>
          <w:sz w:val="20"/>
          <w:szCs w:val="20"/>
          <w:color w:val="auto"/>
        </w:rPr>
      </w:pPr>
    </w:p>
    <w:p>
      <w:pPr>
        <w:ind w:left="1367" w:right="440" w:hanging="663"/>
        <w:spacing w:after="0" w:line="282" w:lineRule="auto"/>
        <w:tabs>
          <w:tab w:leader="none" w:pos="1367" w:val="left"/>
        </w:tabs>
        <w:numPr>
          <w:ilvl w:val="1"/>
          <w:numId w:val="96"/>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no order has been made, no petition has been presented (so far as the Company is aware) and no meeting has been convened to consider a resolution and no resolution has been passed for the winding up of any member of the Mereo Group;</w:t>
      </w:r>
    </w:p>
    <w:p>
      <w:pPr>
        <w:spacing w:after="0" w:line="175" w:lineRule="exact"/>
        <w:rPr>
          <w:rFonts w:ascii="Times New Roman" w:cs="Times New Roman" w:eastAsia="Times New Roman" w:hAnsi="Times New Roman"/>
          <w:sz w:val="18"/>
          <w:szCs w:val="18"/>
          <w:color w:val="040404"/>
        </w:rPr>
      </w:pPr>
    </w:p>
    <w:p>
      <w:pPr>
        <w:jc w:val="both"/>
        <w:ind w:left="1367" w:right="440" w:hanging="663"/>
        <w:spacing w:after="0" w:line="266" w:lineRule="auto"/>
        <w:tabs>
          <w:tab w:leader="none" w:pos="1367" w:val="left"/>
        </w:tabs>
        <w:numPr>
          <w:ilvl w:val="1"/>
          <w:numId w:val="96"/>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no administration order has been made, no petition has been presented or application made (in each case, so far as the Company is aware) for such an order, and no administrator has been appointed in respect of any member of the Mereo Group;</w:t>
      </w:r>
    </w:p>
    <w:p>
      <w:pPr>
        <w:spacing w:after="0" w:line="189" w:lineRule="exact"/>
        <w:rPr>
          <w:rFonts w:ascii="Times New Roman" w:cs="Times New Roman" w:eastAsia="Times New Roman" w:hAnsi="Times New Roman"/>
          <w:sz w:val="18"/>
          <w:szCs w:val="18"/>
          <w:color w:val="040404"/>
        </w:rPr>
      </w:pPr>
    </w:p>
    <w:p>
      <w:pPr>
        <w:ind w:left="1367" w:right="440" w:hanging="663"/>
        <w:spacing w:after="0" w:line="282" w:lineRule="auto"/>
        <w:tabs>
          <w:tab w:leader="none" w:pos="1367" w:val="left"/>
        </w:tabs>
        <w:numPr>
          <w:ilvl w:val="1"/>
          <w:numId w:val="96"/>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no receiver (which expression shall include an administrative receiver) or liquidator has been appointed in respect of any member of the Mereo Group or all or any of its assets;</w:t>
      </w:r>
    </w:p>
    <w:p>
      <w:pPr>
        <w:spacing w:after="0" w:line="175" w:lineRule="exact"/>
        <w:rPr>
          <w:rFonts w:ascii="Times New Roman" w:cs="Times New Roman" w:eastAsia="Times New Roman" w:hAnsi="Times New Roman"/>
          <w:sz w:val="18"/>
          <w:szCs w:val="18"/>
          <w:color w:val="040404"/>
        </w:rPr>
      </w:pPr>
    </w:p>
    <w:p>
      <w:pPr>
        <w:ind w:left="1387" w:right="400" w:hanging="684"/>
        <w:spacing w:after="0" w:line="282" w:lineRule="auto"/>
        <w:tabs>
          <w:tab w:leader="none" w:pos="1387" w:val="left"/>
        </w:tabs>
        <w:numPr>
          <w:ilvl w:val="1"/>
          <w:numId w:val="96"/>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no composition or similar arrangement with creditors (including a voluntary arrangement under Part 1 Insolvency Act 1986) has been proposed by or in respect of any member of the Mereo Group; and</w:t>
      </w:r>
    </w:p>
    <w:p>
      <w:pPr>
        <w:spacing w:after="0" w:line="175" w:lineRule="exact"/>
        <w:rPr>
          <w:rFonts w:ascii="Times New Roman" w:cs="Times New Roman" w:eastAsia="Times New Roman" w:hAnsi="Times New Roman"/>
          <w:sz w:val="18"/>
          <w:szCs w:val="18"/>
          <w:color w:val="040404"/>
        </w:rPr>
      </w:pPr>
    </w:p>
    <w:p>
      <w:pPr>
        <w:jc w:val="both"/>
        <w:ind w:left="1367" w:right="420" w:hanging="679"/>
        <w:spacing w:after="0" w:line="256" w:lineRule="auto"/>
        <w:tabs>
          <w:tab w:leader="none" w:pos="1367" w:val="left"/>
        </w:tabs>
        <w:numPr>
          <w:ilvl w:val="0"/>
          <w:numId w:val="97"/>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the Deposit Agreement is a legal, valid and binding obligation of the Company, enforceable against it in accordance with its terms, except as rights to indemnification thereunder may be limited by applicable law and public policy considerations, and subject, as to enforceability, to bankruptcy, insolvency, reorganization, moratorium and similar laws of general applicability relating to or affecting creditors' rights and to general equity principles. Neither the Company nor, to the Company's knowledge, the Depositary is in default under the Deposit Agreement and the Company has not given or received any written notice purporting to terminate the Deposit Agreement.</w:t>
      </w:r>
    </w:p>
    <w:p>
      <w:pPr>
        <w:spacing w:after="0" w:line="197" w:lineRule="exact"/>
        <w:rPr>
          <w:sz w:val="20"/>
          <w:szCs w:val="20"/>
          <w:color w:val="auto"/>
        </w:rPr>
      </w:pPr>
    </w:p>
    <w:p>
      <w:pPr>
        <w:ind w:left="687" w:hanging="687"/>
        <w:spacing w:after="0"/>
        <w:tabs>
          <w:tab w:leader="none" w:pos="687" w:val="left"/>
        </w:tabs>
        <w:numPr>
          <w:ilvl w:val="0"/>
          <w:numId w:val="98"/>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b w:val="1"/>
          <w:bCs w:val="1"/>
          <w:color w:val="040404"/>
        </w:rPr>
        <w:t>ACKNOWLEDGEMENTS</w:t>
      </w:r>
    </w:p>
    <w:p>
      <w:pPr>
        <w:spacing w:after="0" w:line="256" w:lineRule="exact"/>
        <w:rPr>
          <w:sz w:val="20"/>
          <w:szCs w:val="20"/>
          <w:color w:val="auto"/>
        </w:rPr>
      </w:pPr>
    </w:p>
    <w:p>
      <w:pPr>
        <w:ind w:left="7"/>
        <w:spacing w:after="0"/>
        <w:tabs>
          <w:tab w:leader="none" w:pos="667" w:val="left"/>
        </w:tabs>
        <w:rPr>
          <w:sz w:val="20"/>
          <w:szCs w:val="20"/>
          <w:color w:val="auto"/>
        </w:rPr>
      </w:pPr>
      <w:r>
        <w:rPr>
          <w:rFonts w:ascii="Times New Roman" w:cs="Times New Roman" w:eastAsia="Times New Roman" w:hAnsi="Times New Roman"/>
          <w:sz w:val="18"/>
          <w:szCs w:val="18"/>
          <w:color w:val="040404"/>
        </w:rPr>
        <w:t>6.1</w:t>
      </w:r>
      <w:r>
        <w:rPr>
          <w:sz w:val="20"/>
          <w:szCs w:val="20"/>
          <w:color w:val="auto"/>
        </w:rPr>
        <w:tab/>
      </w:r>
      <w:r>
        <w:rPr>
          <w:rFonts w:ascii="Times New Roman" w:cs="Times New Roman" w:eastAsia="Times New Roman" w:hAnsi="Times New Roman"/>
          <w:sz w:val="18"/>
          <w:szCs w:val="18"/>
          <w:color w:val="040404"/>
        </w:rPr>
        <w:t>AstraZeneca hereby acknowledges that:</w:t>
      </w:r>
    </w:p>
    <w:p>
      <w:pPr>
        <w:spacing w:after="0" w:line="252" w:lineRule="exact"/>
        <w:rPr>
          <w:sz w:val="20"/>
          <w:szCs w:val="20"/>
          <w:color w:val="auto"/>
        </w:rPr>
      </w:pPr>
    </w:p>
    <w:p>
      <w:pPr>
        <w:jc w:val="both"/>
        <w:ind w:left="1367" w:right="440" w:hanging="679"/>
        <w:spacing w:after="0" w:line="261" w:lineRule="auto"/>
        <w:tabs>
          <w:tab w:leader="none" w:pos="1367" w:val="left"/>
        </w:tabs>
        <w:numPr>
          <w:ilvl w:val="0"/>
          <w:numId w:val="99"/>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in connection with the execution of this Agreement, it is not relying on any information or representation or warranty in relation to the Company, its subsidiaries or the Subscription Shares ( or any Restricted ADSs or ADSs representing the Subscription Shares) other than: (i) currently publicly available information in relation to the Company; and (ii) warranties of the Company set forth in clauses 5.2 and 5.3 above and the representations of Mereo set forth in the License Agreement;</w:t>
      </w:r>
    </w:p>
    <w:p>
      <w:pPr>
        <w:spacing w:after="0" w:line="193" w:lineRule="exact"/>
        <w:rPr>
          <w:rFonts w:ascii="Times New Roman" w:cs="Times New Roman" w:eastAsia="Times New Roman" w:hAnsi="Times New Roman"/>
          <w:sz w:val="18"/>
          <w:szCs w:val="18"/>
          <w:color w:val="040404"/>
        </w:rPr>
      </w:pPr>
    </w:p>
    <w:p>
      <w:pPr>
        <w:ind w:left="1367" w:right="440" w:hanging="663"/>
        <w:spacing w:after="0" w:line="282" w:lineRule="auto"/>
        <w:tabs>
          <w:tab w:leader="none" w:pos="1367" w:val="left"/>
        </w:tabs>
        <w:numPr>
          <w:ilvl w:val="1"/>
          <w:numId w:val="99"/>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none of the Company or its Affiliates has made any representation or warranty to it, express or implied, with respect to the completeness, accuracy or adequacy of any publicly available information in respect of the Mereo Group;</w:t>
      </w:r>
    </w:p>
    <w:p>
      <w:pPr>
        <w:spacing w:after="0" w:line="162" w:lineRule="exact"/>
        <w:rPr>
          <w:sz w:val="20"/>
          <w:szCs w:val="20"/>
          <w:color w:val="auto"/>
        </w:rPr>
      </w:pPr>
    </w:p>
    <w:p>
      <w:pPr>
        <w:jc w:val="both"/>
        <w:ind w:left="1387" w:hanging="699"/>
        <w:spacing w:after="0" w:line="266" w:lineRule="auto"/>
        <w:tabs>
          <w:tab w:leader="none" w:pos="1387" w:val="left"/>
        </w:tabs>
        <w:numPr>
          <w:ilvl w:val="0"/>
          <w:numId w:val="100"/>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its subscription of the Subscription Shares (and any Restricted ADSs or ADSs representing the Subscription Shares) shall be on the terms and subject to the conditions of this Agreement, the License Agreement and the articles of association of the Company in force at each [***] and that it shall be bound by such articles of association; and</w:t>
      </w:r>
    </w:p>
    <w:p>
      <w:pPr>
        <w:spacing w:after="0" w:line="189" w:lineRule="exact"/>
        <w:rPr>
          <w:rFonts w:ascii="Times New Roman" w:cs="Times New Roman" w:eastAsia="Times New Roman" w:hAnsi="Times New Roman"/>
          <w:sz w:val="18"/>
          <w:szCs w:val="18"/>
          <w:color w:val="040404"/>
        </w:rPr>
      </w:pPr>
    </w:p>
    <w:p>
      <w:pPr>
        <w:jc w:val="both"/>
        <w:ind w:left="1367" w:right="440" w:hanging="663"/>
        <w:spacing w:after="0" w:line="256" w:lineRule="auto"/>
        <w:tabs>
          <w:tab w:leader="none" w:pos="1367" w:val="left"/>
        </w:tabs>
        <w:numPr>
          <w:ilvl w:val="1"/>
          <w:numId w:val="100"/>
        </w:numPr>
        <w:rPr>
          <w:rFonts w:ascii="Times New Roman" w:cs="Times New Roman" w:eastAsia="Times New Roman" w:hAnsi="Times New Roman"/>
          <w:sz w:val="18"/>
          <w:szCs w:val="18"/>
          <w:color w:val="040404"/>
        </w:rPr>
      </w:pPr>
      <w:r>
        <w:rPr>
          <w:rFonts w:ascii="Times New Roman" w:cs="Times New Roman" w:eastAsia="Times New Roman" w:hAnsi="Times New Roman"/>
          <w:sz w:val="18"/>
          <w:szCs w:val="18"/>
          <w:color w:val="040404"/>
        </w:rPr>
        <w:t>in respect of the [***] only, (i) the Subscription Shares (and any ADSs representing the Subscription Shares) have not been and will not be registered under the Securities Act, or with any securities regulatory authority of any state of the United States, and will be issued, offered, sold and allotted only outside the United States in offshore transactions in compliance with Regulation S; (ii) it is not an affiliate of the Company or a person acting on behalf of such affiliate; and (iii) the Subscription Shares ( and any Restricted ADSs or ADSs representing the Subscription Shares) have not been offered to it by means of any directed selling efforts (as defined in Regulation S).</w:t>
      </w:r>
    </w:p>
    <w:p>
      <w:pPr>
        <w:spacing w:after="0" w:line="251" w:lineRule="exact"/>
        <w:rPr>
          <w:sz w:val="20"/>
          <w:szCs w:val="20"/>
          <w:color w:val="auto"/>
        </w:rPr>
      </w:pPr>
    </w:p>
    <w:p>
      <w:pPr>
        <w:ind w:left="727" w:hanging="727"/>
        <w:spacing w:after="0"/>
        <w:tabs>
          <w:tab w:leader="none" w:pos="727" w:val="left"/>
        </w:tabs>
        <w:numPr>
          <w:ilvl w:val="0"/>
          <w:numId w:val="101"/>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b w:val="1"/>
          <w:bCs w:val="1"/>
          <w:color w:val="040404"/>
        </w:rPr>
        <w:t>[NOT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881380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7"/>
          </w:cols>
          <w:pgMar w:left="793" w:top="1440" w:right="339" w:bottom="1440" w:gutter="0" w:footer="0" w:header="0"/>
        </w:sectPr>
      </w:pPr>
    </w:p>
    <w:bookmarkStart w:id="160" w:name="page161"/>
    <w:bookmarkEnd w:id="160"/>
    <w:p>
      <w:pPr>
        <w:ind w:left="703" w:hanging="703"/>
        <w:spacing w:after="0"/>
        <w:tabs>
          <w:tab w:leader="none" w:pos="703" w:val="left"/>
        </w:tabs>
        <w:numPr>
          <w:ilvl w:val="0"/>
          <w:numId w:val="102"/>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b w:val="1"/>
          <w:bCs w:val="1"/>
          <w:color w:val="040404"/>
        </w:rPr>
        <w:t>REORGANISATION OF THE MEREO GROUP</w:t>
      </w:r>
    </w:p>
    <w:p>
      <w:pPr>
        <w:spacing w:after="0" w:line="243" w:lineRule="exact"/>
        <w:rPr>
          <w:sz w:val="20"/>
          <w:szCs w:val="20"/>
          <w:color w:val="auto"/>
        </w:rPr>
      </w:pPr>
    </w:p>
    <w:p>
      <w:pPr>
        <w:jc w:val="both"/>
        <w:ind w:left="683" w:hanging="662"/>
        <w:spacing w:after="0" w:line="253" w:lineRule="auto"/>
        <w:tabs>
          <w:tab w:leader="none" w:pos="663" w:val="left"/>
        </w:tabs>
        <w:rPr>
          <w:sz w:val="20"/>
          <w:szCs w:val="20"/>
          <w:color w:val="auto"/>
        </w:rPr>
      </w:pPr>
      <w:r>
        <w:rPr>
          <w:rFonts w:ascii="Times New Roman" w:cs="Times New Roman" w:eastAsia="Times New Roman" w:hAnsi="Times New Roman"/>
          <w:sz w:val="18"/>
          <w:szCs w:val="18"/>
          <w:color w:val="040404"/>
        </w:rPr>
        <w:t>8.1</w:t>
      </w:r>
      <w:r>
        <w:rPr>
          <w:sz w:val="20"/>
          <w:szCs w:val="20"/>
          <w:color w:val="auto"/>
        </w:rPr>
        <w:tab/>
      </w:r>
      <w:r>
        <w:rPr>
          <w:rFonts w:ascii="Times New Roman" w:cs="Times New Roman" w:eastAsia="Times New Roman" w:hAnsi="Times New Roman"/>
          <w:sz w:val="18"/>
          <w:szCs w:val="18"/>
          <w:color w:val="040404"/>
        </w:rPr>
        <w:t xml:space="preserve">If there is any transaction (not being a Change of Control) as a result of which holders of Ordinary Shares ( as a class) receive shares or securities in another entity </w:t>
      </w:r>
      <w:r>
        <w:rPr>
          <w:rFonts w:ascii="Times New Roman" w:cs="Times New Roman" w:eastAsia="Times New Roman" w:hAnsi="Times New Roman"/>
          <w:sz w:val="18"/>
          <w:szCs w:val="18"/>
          <w:b w:val="1"/>
          <w:bCs w:val="1"/>
          <w:color w:val="040404"/>
        </w:rPr>
        <w:t>(New Shares")</w:t>
      </w:r>
      <w:r>
        <w:rPr>
          <w:rFonts w:ascii="Times New Roman" w:cs="Times New Roman" w:eastAsia="Times New Roman" w:hAnsi="Times New Roman"/>
          <w:sz w:val="18"/>
          <w:szCs w:val="18"/>
          <w:color w:val="040404"/>
        </w:rPr>
        <w:t xml:space="preserve"> in exchange for ( or in consideration for the cancellation or transfer of) their Ordinary Shares, whereby the New Shares are to be held in the same proportion as the existing Ordinary Shares, then the Company will procure that such entity executes an agreement supplemental to this Agreement, providing AstraZeneca with subscription rights over New Shares (that when issued, will be credited as fully paid) in exchange for ( or in consideration for the cancellation or transfer of) its outstanding subscription rights over Subscription Shares (and any Restricted ADSs or ADSs representing the Subscription Shares) under this Agreement at the time of such transaction. The number of New Shares over which AstraZeneca shall have subscription rights shall represent the same proportion of the total number of issued New Shares (calculated inclusive of any New Shares to be issued on the exercise of any outstanding options, warrants or other rights to subscribe for or call for the allotment of New Shares) as the Subscription Shares that are yet to be allotted under this Agreement at the time of such transaction represent of the total number of Ordinary Shares ( calculated on the same basis), as determined immediately prior to the completion of the transaction.</w:t>
      </w:r>
    </w:p>
    <w:p>
      <w:pPr>
        <w:spacing w:after="0" w:line="178" w:lineRule="exact"/>
        <w:rPr>
          <w:sz w:val="20"/>
          <w:szCs w:val="20"/>
          <w:color w:val="auto"/>
        </w:rPr>
      </w:pPr>
    </w:p>
    <w:p>
      <w:pPr>
        <w:jc w:val="both"/>
        <w:ind w:left="683" w:right="40" w:hanging="660"/>
        <w:spacing w:after="0" w:line="289" w:lineRule="auto"/>
        <w:tabs>
          <w:tab w:leader="none" w:pos="663" w:val="left"/>
        </w:tabs>
        <w:rPr>
          <w:sz w:val="20"/>
          <w:szCs w:val="20"/>
          <w:color w:val="auto"/>
        </w:rPr>
      </w:pPr>
      <w:r>
        <w:rPr>
          <w:rFonts w:ascii="Times New Roman" w:cs="Times New Roman" w:eastAsia="Times New Roman" w:hAnsi="Times New Roman"/>
          <w:sz w:val="18"/>
          <w:szCs w:val="18"/>
          <w:color w:val="040404"/>
        </w:rPr>
        <w:t>8.2</w:t>
      </w:r>
      <w:r>
        <w:rPr>
          <w:sz w:val="20"/>
          <w:szCs w:val="20"/>
          <w:color w:val="auto"/>
        </w:rPr>
        <w:tab/>
      </w:r>
      <w:r>
        <w:rPr>
          <w:rFonts w:ascii="Times New Roman" w:cs="Times New Roman" w:eastAsia="Times New Roman" w:hAnsi="Times New Roman"/>
          <w:sz w:val="17"/>
          <w:szCs w:val="17"/>
          <w:color w:val="040404"/>
        </w:rPr>
        <w:t xml:space="preserve">Subject to clause 8.1, the subscription rights for the allotment and issue of any New Shares to AstraZeneca will be subject to the terms and conditions of this Agreement and the License Agreement, </w:t>
      </w:r>
      <w:r>
        <w:rPr>
          <w:rFonts w:ascii="Times New Roman" w:cs="Times New Roman" w:eastAsia="Times New Roman" w:hAnsi="Times New Roman"/>
          <w:sz w:val="17"/>
          <w:szCs w:val="17"/>
          <w:i w:val="1"/>
          <w:iCs w:val="1"/>
          <w:color w:val="040404"/>
        </w:rPr>
        <w:t>mutatis mutandis,</w:t>
      </w:r>
      <w:r>
        <w:rPr>
          <w:rFonts w:ascii="Times New Roman" w:cs="Times New Roman" w:eastAsia="Times New Roman" w:hAnsi="Times New Roman"/>
          <w:sz w:val="17"/>
          <w:szCs w:val="17"/>
          <w:color w:val="040404"/>
        </w:rPr>
        <w:t xml:space="preserve"> as if Ordinary Shares, when used in this Agreement and the License Agreement, were references to New Shares (in particular and without limitation, in clause 2 of this Agreement).</w:t>
      </w:r>
    </w:p>
    <w:p>
      <w:pPr>
        <w:spacing w:after="0" w:line="158" w:lineRule="exact"/>
        <w:rPr>
          <w:sz w:val="20"/>
          <w:szCs w:val="20"/>
          <w:color w:val="auto"/>
        </w:rPr>
      </w:pPr>
    </w:p>
    <w:p>
      <w:pPr>
        <w:jc w:val="both"/>
        <w:ind w:left="683" w:right="40" w:hanging="660"/>
        <w:spacing w:after="0" w:line="261" w:lineRule="auto"/>
        <w:tabs>
          <w:tab w:leader="none" w:pos="663" w:val="left"/>
        </w:tabs>
        <w:rPr>
          <w:sz w:val="20"/>
          <w:szCs w:val="20"/>
          <w:color w:val="auto"/>
        </w:rPr>
      </w:pPr>
      <w:r>
        <w:rPr>
          <w:rFonts w:ascii="Times New Roman" w:cs="Times New Roman" w:eastAsia="Times New Roman" w:hAnsi="Times New Roman"/>
          <w:sz w:val="18"/>
          <w:szCs w:val="18"/>
          <w:color w:val="040404"/>
        </w:rPr>
        <w:t>8.3</w:t>
      </w:r>
      <w:r>
        <w:rPr>
          <w:sz w:val="20"/>
          <w:szCs w:val="20"/>
          <w:color w:val="auto"/>
        </w:rPr>
        <w:tab/>
      </w:r>
      <w:r>
        <w:rPr>
          <w:rFonts w:ascii="Times New Roman" w:cs="Times New Roman" w:eastAsia="Times New Roman" w:hAnsi="Times New Roman"/>
          <w:sz w:val="18"/>
          <w:szCs w:val="18"/>
          <w:color w:val="040404"/>
        </w:rPr>
        <w:t>It is agreed that where the Company's shares (or instruments or securities representing such shares, including ADSs) are listed or admitted to trading on any stock exchange (including a U.S. Stock Exchange), the Subscription Shares (as and when issued) shall receive no less favourable treatment than the Ordinary Shares held by any other shareholder in connection with such listing or admission to trading on a stock exchange, including as regards registration rights and any associated expenses.</w:t>
      </w:r>
    </w:p>
    <w:p>
      <w:pPr>
        <w:spacing w:after="0" w:line="189" w:lineRule="exact"/>
        <w:rPr>
          <w:sz w:val="20"/>
          <w:szCs w:val="20"/>
          <w:color w:val="auto"/>
        </w:rPr>
      </w:pPr>
    </w:p>
    <w:p>
      <w:pPr>
        <w:ind w:left="723" w:hanging="708"/>
        <w:spacing w:after="0"/>
        <w:tabs>
          <w:tab w:leader="none" w:pos="723" w:val="left"/>
        </w:tabs>
        <w:numPr>
          <w:ilvl w:val="0"/>
          <w:numId w:val="103"/>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b w:val="1"/>
          <w:bCs w:val="1"/>
          <w:color w:val="040404"/>
        </w:rPr>
        <w:t>THIRD PARTY RIGHTS</w:t>
      </w:r>
    </w:p>
    <w:p>
      <w:pPr>
        <w:spacing w:after="0" w:line="256" w:lineRule="exact"/>
        <w:rPr>
          <w:sz w:val="20"/>
          <w:szCs w:val="20"/>
          <w:color w:val="auto"/>
        </w:rPr>
      </w:pPr>
    </w:p>
    <w:p>
      <w:pPr>
        <w:jc w:val="both"/>
        <w:ind w:left="703" w:right="40"/>
        <w:spacing w:after="0" w:line="266" w:lineRule="auto"/>
        <w:rPr>
          <w:sz w:val="20"/>
          <w:szCs w:val="20"/>
          <w:color w:val="auto"/>
        </w:rPr>
      </w:pPr>
      <w:r>
        <w:rPr>
          <w:rFonts w:ascii="Times New Roman" w:cs="Times New Roman" w:eastAsia="Times New Roman" w:hAnsi="Times New Roman"/>
          <w:sz w:val="18"/>
          <w:szCs w:val="18"/>
          <w:color w:val="040404"/>
        </w:rPr>
        <w:t>No person who is not a party to this Agreement may enforce any term of this Agreement. The parties agree that the Contracts (Rights of Third Parties) Act 1999 shall not apply to this agreement or to any agreement or document entered into pursuant to this Agreement.</w:t>
      </w:r>
    </w:p>
    <w:p>
      <w:pPr>
        <w:spacing w:after="0" w:line="185" w:lineRule="exact"/>
        <w:rPr>
          <w:sz w:val="20"/>
          <w:szCs w:val="20"/>
          <w:color w:val="auto"/>
        </w:rPr>
      </w:pPr>
    </w:p>
    <w:p>
      <w:pPr>
        <w:ind w:left="23"/>
        <w:spacing w:after="0"/>
        <w:tabs>
          <w:tab w:leader="none" w:pos="683" w:val="left"/>
        </w:tabs>
        <w:rPr>
          <w:sz w:val="20"/>
          <w:szCs w:val="20"/>
          <w:color w:val="auto"/>
        </w:rPr>
      </w:pPr>
      <w:r>
        <w:rPr>
          <w:rFonts w:ascii="Times New Roman" w:cs="Times New Roman" w:eastAsia="Times New Roman" w:hAnsi="Times New Roman"/>
          <w:sz w:val="18"/>
          <w:szCs w:val="18"/>
          <w:b w:val="1"/>
          <w:bCs w:val="1"/>
          <w:color w:val="040404"/>
        </w:rPr>
        <w:t>10</w:t>
      </w:r>
      <w:r>
        <w:rPr>
          <w:sz w:val="20"/>
          <w:szCs w:val="20"/>
          <w:color w:val="auto"/>
        </w:rPr>
        <w:tab/>
      </w:r>
      <w:r>
        <w:rPr>
          <w:rFonts w:ascii="Times New Roman" w:cs="Times New Roman" w:eastAsia="Times New Roman" w:hAnsi="Times New Roman"/>
          <w:sz w:val="18"/>
          <w:szCs w:val="18"/>
          <w:b w:val="1"/>
          <w:bCs w:val="1"/>
          <w:color w:val="040404"/>
        </w:rPr>
        <w:t>NOTICES</w:t>
      </w:r>
    </w:p>
    <w:p>
      <w:pPr>
        <w:spacing w:after="0" w:line="256" w:lineRule="exact"/>
        <w:rPr>
          <w:sz w:val="20"/>
          <w:szCs w:val="20"/>
          <w:color w:val="auto"/>
        </w:rPr>
      </w:pPr>
    </w:p>
    <w:p>
      <w:pPr>
        <w:ind w:left="683" w:right="40" w:hanging="647"/>
        <w:spacing w:after="0" w:line="282" w:lineRule="auto"/>
        <w:tabs>
          <w:tab w:leader="none" w:pos="663" w:val="left"/>
        </w:tabs>
        <w:rPr>
          <w:sz w:val="20"/>
          <w:szCs w:val="20"/>
          <w:color w:val="auto"/>
        </w:rPr>
      </w:pPr>
      <w:r>
        <w:rPr>
          <w:rFonts w:ascii="Times New Roman" w:cs="Times New Roman" w:eastAsia="Times New Roman" w:hAnsi="Times New Roman"/>
          <w:sz w:val="18"/>
          <w:szCs w:val="18"/>
          <w:color w:val="040404"/>
        </w:rPr>
        <w:t>10.1</w:t>
      </w:r>
      <w:r>
        <w:rPr>
          <w:sz w:val="20"/>
          <w:szCs w:val="20"/>
          <w:color w:val="auto"/>
        </w:rPr>
        <w:tab/>
      </w:r>
      <w:r>
        <w:rPr>
          <w:rFonts w:ascii="Times New Roman" w:cs="Times New Roman" w:eastAsia="Times New Roman" w:hAnsi="Times New Roman"/>
          <w:sz w:val="18"/>
          <w:szCs w:val="18"/>
          <w:color w:val="040404"/>
        </w:rPr>
        <w:t>Any notice, request, demand, waiver, consent, approval or other communication permitted or required under this Agreement shall be in writing, shall refer specifically to this Agreement and</w:t>
      </w:r>
    </w:p>
    <w:p>
      <w:pPr>
        <w:spacing w:after="0" w:line="13" w:lineRule="exact"/>
        <w:rPr>
          <w:sz w:val="20"/>
          <w:szCs w:val="20"/>
          <w:color w:val="auto"/>
        </w:rPr>
      </w:pPr>
    </w:p>
    <w:p>
      <w:pPr>
        <w:jc w:val="both"/>
        <w:ind w:left="703" w:right="40" w:firstLine="9"/>
        <w:spacing w:after="0" w:line="255" w:lineRule="auto"/>
        <w:rPr>
          <w:sz w:val="20"/>
          <w:szCs w:val="20"/>
          <w:color w:val="auto"/>
        </w:rPr>
      </w:pPr>
      <w:r>
        <w:rPr>
          <w:rFonts w:ascii="Times New Roman" w:cs="Times New Roman" w:eastAsia="Times New Roman" w:hAnsi="Times New Roman"/>
          <w:sz w:val="18"/>
          <w:szCs w:val="18"/>
          <w:color w:val="040404"/>
        </w:rPr>
        <w:t>shall be deemed given only if delivered by hand or sent by email transmission (with transmission confirmed) or by internationally recognised overnight delivery service that maintains records of delivery, addressed to the parties at their respective addresses specified in clause 10.2 or to such other address as the party to whom notice is to be given may have provided to the other party in accordance with this clause 10.1. Such notice shall be deemed to have been given as of the date delivered by hand or transmitted by email (with transmission confirmed) or on the second Business Day (at the place of delivery) after deposit with an internationally recognized overnight delivery service. Any notice delivered by email shall be confirmed by a hard copy delivered as soon as practicable thereafter.</w:t>
      </w:r>
    </w:p>
    <w:p>
      <w:pPr>
        <w:spacing w:after="0" w:line="202" w:lineRule="exact"/>
        <w:rPr>
          <w:sz w:val="20"/>
          <w:szCs w:val="20"/>
          <w:color w:val="auto"/>
        </w:rPr>
      </w:pPr>
    </w:p>
    <w:p>
      <w:pPr>
        <w:ind w:left="23"/>
        <w:spacing w:after="0"/>
        <w:tabs>
          <w:tab w:leader="none" w:pos="663" w:val="left"/>
        </w:tabs>
        <w:rPr>
          <w:sz w:val="20"/>
          <w:szCs w:val="20"/>
          <w:color w:val="auto"/>
        </w:rPr>
      </w:pPr>
      <w:r>
        <w:rPr>
          <w:rFonts w:ascii="Times New Roman" w:cs="Times New Roman" w:eastAsia="Times New Roman" w:hAnsi="Times New Roman"/>
          <w:sz w:val="18"/>
          <w:szCs w:val="18"/>
          <w:color w:val="040404"/>
        </w:rPr>
        <w:t>10.2</w:t>
      </w:r>
      <w:r>
        <w:rPr>
          <w:sz w:val="20"/>
          <w:szCs w:val="20"/>
          <w:color w:val="auto"/>
        </w:rPr>
        <w:tab/>
      </w:r>
      <w:r>
        <w:rPr>
          <w:rFonts w:ascii="Times New Roman" w:cs="Times New Roman" w:eastAsia="Times New Roman" w:hAnsi="Times New Roman"/>
          <w:sz w:val="17"/>
          <w:szCs w:val="17"/>
          <w:color w:val="040404"/>
        </w:rPr>
        <w:t>The addresses referred to in clause 10 .1 are: in respect of the Company:</w:t>
      </w:r>
    </w:p>
    <w:p>
      <w:pPr>
        <w:spacing w:after="0" w:line="225" w:lineRule="exact"/>
        <w:rPr>
          <w:sz w:val="20"/>
          <w:szCs w:val="20"/>
          <w:color w:val="auto"/>
        </w:rPr>
      </w:pPr>
    </w:p>
    <w:p>
      <w:pPr>
        <w:ind w:left="703"/>
        <w:spacing w:after="0"/>
        <w:rPr>
          <w:sz w:val="20"/>
          <w:szCs w:val="20"/>
          <w:color w:val="auto"/>
        </w:rPr>
      </w:pPr>
      <w:r>
        <w:rPr>
          <w:rFonts w:ascii="Times New Roman" w:cs="Times New Roman" w:eastAsia="Times New Roman" w:hAnsi="Times New Roman"/>
          <w:sz w:val="18"/>
          <w:szCs w:val="18"/>
          <w:color w:val="040404"/>
        </w:rPr>
        <w:t>[***]</w:t>
      </w:r>
    </w:p>
    <w:p>
      <w:pPr>
        <w:spacing w:after="0" w:line="252" w:lineRule="exact"/>
        <w:rPr>
          <w:sz w:val="20"/>
          <w:szCs w:val="20"/>
          <w:color w:val="auto"/>
        </w:rPr>
      </w:pPr>
    </w:p>
    <w:p>
      <w:pPr>
        <w:ind w:left="703"/>
        <w:spacing w:after="0"/>
        <w:rPr>
          <w:sz w:val="20"/>
          <w:szCs w:val="20"/>
          <w:color w:val="auto"/>
        </w:rPr>
      </w:pPr>
      <w:r>
        <w:rPr>
          <w:rFonts w:ascii="Times New Roman" w:cs="Times New Roman" w:eastAsia="Times New Roman" w:hAnsi="Times New Roman"/>
          <w:sz w:val="18"/>
          <w:szCs w:val="18"/>
          <w:color w:val="040404"/>
        </w:rPr>
        <w:t>with copies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724535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3"/>
          </w:cols>
          <w:pgMar w:left="777" w:top="1278" w:right="739" w:bottom="1440" w:gutter="0" w:footer="0" w:header="0"/>
        </w:sectPr>
      </w:pPr>
    </w:p>
    <w:bookmarkStart w:id="161" w:name="page162"/>
    <w:bookmarkEnd w:id="161"/>
    <w:p>
      <w:pPr>
        <w:spacing w:after="0" w:line="86" w:lineRule="exact"/>
        <w:rPr>
          <w:sz w:val="20"/>
          <w:szCs w:val="20"/>
          <w:color w:val="auto"/>
        </w:rPr>
      </w:pPr>
    </w:p>
    <w:p>
      <w:pPr>
        <w:ind w:left="707"/>
        <w:spacing w:after="0"/>
        <w:rPr>
          <w:sz w:val="20"/>
          <w:szCs w:val="20"/>
          <w:color w:val="auto"/>
        </w:rPr>
      </w:pPr>
      <w:r>
        <w:rPr>
          <w:rFonts w:ascii="Times New Roman" w:cs="Times New Roman" w:eastAsia="Times New Roman" w:hAnsi="Times New Roman"/>
          <w:sz w:val="18"/>
          <w:szCs w:val="18"/>
          <w:color w:val="040404"/>
        </w:rPr>
        <w:t>[***]</w:t>
      </w:r>
    </w:p>
    <w:p>
      <w:pPr>
        <w:spacing w:after="0" w:line="225"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18"/>
          <w:szCs w:val="18"/>
          <w:color w:val="040404"/>
        </w:rPr>
        <w:t>in respect of AstraZeneca</w:t>
      </w:r>
      <w:r>
        <w:rPr>
          <w:rFonts w:ascii="Times New Roman" w:cs="Times New Roman" w:eastAsia="Times New Roman" w:hAnsi="Times New Roman"/>
          <w:sz w:val="18"/>
          <w:szCs w:val="18"/>
          <w:color w:val="181818"/>
        </w:rPr>
        <w:t>:</w:t>
      </w:r>
    </w:p>
    <w:p>
      <w:pPr>
        <w:spacing w:after="0" w:line="239" w:lineRule="exact"/>
        <w:rPr>
          <w:sz w:val="20"/>
          <w:szCs w:val="20"/>
          <w:color w:val="auto"/>
        </w:rPr>
      </w:pPr>
    </w:p>
    <w:p>
      <w:pPr>
        <w:ind w:left="687"/>
        <w:spacing w:after="0"/>
        <w:rPr>
          <w:sz w:val="20"/>
          <w:szCs w:val="20"/>
          <w:color w:val="auto"/>
        </w:rPr>
      </w:pPr>
      <w:r>
        <w:rPr>
          <w:rFonts w:ascii="Times New Roman" w:cs="Times New Roman" w:eastAsia="Times New Roman" w:hAnsi="Times New Roman"/>
          <w:sz w:val="18"/>
          <w:szCs w:val="18"/>
          <w:color w:val="040404"/>
        </w:rPr>
        <w:t>[***]</w:t>
      </w:r>
    </w:p>
    <w:p>
      <w:pPr>
        <w:spacing w:after="0" w:line="225" w:lineRule="exact"/>
        <w:rPr>
          <w:sz w:val="20"/>
          <w:szCs w:val="20"/>
          <w:color w:val="auto"/>
        </w:rPr>
      </w:pPr>
    </w:p>
    <w:p>
      <w:pPr>
        <w:ind w:left="687"/>
        <w:spacing w:after="0"/>
        <w:rPr>
          <w:sz w:val="20"/>
          <w:szCs w:val="20"/>
          <w:color w:val="auto"/>
        </w:rPr>
      </w:pPr>
      <w:r>
        <w:rPr>
          <w:rFonts w:ascii="Times New Roman" w:cs="Times New Roman" w:eastAsia="Times New Roman" w:hAnsi="Times New Roman"/>
          <w:sz w:val="18"/>
          <w:szCs w:val="18"/>
          <w:color w:val="040404"/>
        </w:rPr>
        <w:t>with a copy (which shall not constitute notice) to:</w:t>
      </w:r>
    </w:p>
    <w:p>
      <w:pPr>
        <w:spacing w:after="0" w:line="252" w:lineRule="exact"/>
        <w:rPr>
          <w:sz w:val="20"/>
          <w:szCs w:val="20"/>
          <w:color w:val="auto"/>
        </w:rPr>
      </w:pPr>
    </w:p>
    <w:p>
      <w:pPr>
        <w:ind w:left="707"/>
        <w:spacing w:after="0"/>
        <w:rPr>
          <w:sz w:val="20"/>
          <w:szCs w:val="20"/>
          <w:color w:val="auto"/>
        </w:rPr>
      </w:pPr>
      <w:r>
        <w:rPr>
          <w:rFonts w:ascii="Times New Roman" w:cs="Times New Roman" w:eastAsia="Times New Roman" w:hAnsi="Times New Roman"/>
          <w:sz w:val="18"/>
          <w:szCs w:val="18"/>
          <w:color w:val="040404"/>
        </w:rPr>
        <w:t>[***]</w:t>
      </w:r>
    </w:p>
    <w:p>
      <w:pPr>
        <w:spacing w:after="0" w:line="225" w:lineRule="exact"/>
        <w:rPr>
          <w:sz w:val="20"/>
          <w:szCs w:val="20"/>
          <w:color w:val="auto"/>
        </w:rPr>
      </w:pPr>
    </w:p>
    <w:p>
      <w:pPr>
        <w:jc w:val="both"/>
        <w:ind w:left="667" w:hanging="647"/>
        <w:spacing w:after="0" w:line="261" w:lineRule="auto"/>
        <w:tabs>
          <w:tab w:leader="none" w:pos="647" w:val="left"/>
        </w:tabs>
        <w:rPr>
          <w:sz w:val="20"/>
          <w:szCs w:val="20"/>
          <w:color w:val="auto"/>
        </w:rPr>
      </w:pPr>
      <w:r>
        <w:rPr>
          <w:rFonts w:ascii="Times New Roman" w:cs="Times New Roman" w:eastAsia="Times New Roman" w:hAnsi="Times New Roman"/>
          <w:sz w:val="18"/>
          <w:szCs w:val="18"/>
          <w:color w:val="040404"/>
        </w:rPr>
        <w:t>10.3</w:t>
      </w:r>
      <w:r>
        <w:rPr>
          <w:sz w:val="20"/>
          <w:szCs w:val="20"/>
          <w:color w:val="auto"/>
        </w:rPr>
        <w:tab/>
      </w:r>
      <w:r>
        <w:rPr>
          <w:rFonts w:ascii="Times New Roman" w:cs="Times New Roman" w:eastAsia="Times New Roman" w:hAnsi="Times New Roman"/>
          <w:sz w:val="18"/>
          <w:szCs w:val="18"/>
          <w:color w:val="040404"/>
        </w:rPr>
        <w:t>AstraZeneca shall at all times maintain an agent for the service of process and any other documents and proceedings in England or any other proceedings in connection with this Agreement. Such agent shall be AstraZeneca UK Limited, and any writ, judgment or other notice of legal process shall be sufficiently served on AstraZeneca if delivered to such agent at its registered address for the time being marked for the attention of the Deputy General Counsel.</w:t>
      </w:r>
    </w:p>
    <w:p>
      <w:pPr>
        <w:spacing w:after="0" w:line="31" w:lineRule="exact"/>
        <w:rPr>
          <w:sz w:val="20"/>
          <w:szCs w:val="20"/>
          <w:color w:val="auto"/>
        </w:rPr>
      </w:pPr>
    </w:p>
    <w:p>
      <w:pPr>
        <w:jc w:val="both"/>
        <w:ind w:left="667" w:right="20" w:hanging="660"/>
        <w:spacing w:after="0" w:line="304" w:lineRule="auto"/>
        <w:tabs>
          <w:tab w:leader="none" w:pos="647" w:val="left"/>
        </w:tabs>
        <w:rPr>
          <w:sz w:val="20"/>
          <w:szCs w:val="20"/>
          <w:color w:val="auto"/>
        </w:rPr>
      </w:pPr>
      <w:r>
        <w:rPr>
          <w:rFonts w:ascii="Times New Roman" w:cs="Times New Roman" w:eastAsia="Times New Roman" w:hAnsi="Times New Roman"/>
          <w:sz w:val="18"/>
          <w:szCs w:val="18"/>
          <w:color w:val="040404"/>
        </w:rPr>
        <w:t>10.4</w:t>
      </w:r>
      <w:r>
        <w:rPr>
          <w:sz w:val="20"/>
          <w:szCs w:val="20"/>
          <w:color w:val="auto"/>
        </w:rPr>
        <w:tab/>
      </w:r>
      <w:r>
        <w:rPr>
          <w:rFonts w:ascii="Arial" w:cs="Arial" w:eastAsia="Arial" w:hAnsi="Arial"/>
          <w:sz w:val="17"/>
          <w:szCs w:val="17"/>
          <w:color w:val="040404"/>
        </w:rPr>
        <w:t xml:space="preserve">If </w:t>
      </w:r>
      <w:r>
        <w:rPr>
          <w:rFonts w:ascii="Times New Roman" w:cs="Times New Roman" w:eastAsia="Times New Roman" w:hAnsi="Times New Roman"/>
          <w:sz w:val="17"/>
          <w:szCs w:val="17"/>
          <w:color w:val="040404"/>
        </w:rPr>
        <w:t>for any reason, AstraZeneca UK Limited ceases to act as agent for service, AstraZeneca shall immediately appoint a new agent for</w:t>
      </w:r>
      <w:r>
        <w:rPr>
          <w:rFonts w:ascii="Arial" w:cs="Arial" w:eastAsia="Arial" w:hAnsi="Arial"/>
          <w:sz w:val="17"/>
          <w:szCs w:val="17"/>
          <w:color w:val="040404"/>
        </w:rPr>
        <w:t xml:space="preserve"> </w:t>
      </w:r>
      <w:r>
        <w:rPr>
          <w:rFonts w:ascii="Times New Roman" w:cs="Times New Roman" w:eastAsia="Times New Roman" w:hAnsi="Times New Roman"/>
          <w:sz w:val="17"/>
          <w:szCs w:val="17"/>
          <w:color w:val="040404"/>
        </w:rPr>
        <w:t>service of process in England and shall immediately notify the Company in writing of such appointment and the name and address of the new agent.</w:t>
      </w:r>
    </w:p>
    <w:p>
      <w:pPr>
        <w:spacing w:after="0" w:line="377" w:lineRule="exact"/>
        <w:rPr>
          <w:sz w:val="20"/>
          <w:szCs w:val="20"/>
          <w:color w:val="auto"/>
        </w:rPr>
      </w:pPr>
    </w:p>
    <w:p>
      <w:pPr>
        <w:ind w:left="687" w:hanging="687"/>
        <w:spacing w:after="0"/>
        <w:tabs>
          <w:tab w:leader="none" w:pos="687" w:val="left"/>
        </w:tabs>
        <w:numPr>
          <w:ilvl w:val="0"/>
          <w:numId w:val="104"/>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b w:val="1"/>
          <w:bCs w:val="1"/>
          <w:color w:val="040404"/>
        </w:rPr>
        <w:t>FURTHER ASSURANCE</w:t>
      </w:r>
    </w:p>
    <w:p>
      <w:pPr>
        <w:spacing w:after="0" w:line="256" w:lineRule="exact"/>
        <w:rPr>
          <w:rFonts w:ascii="Times New Roman" w:cs="Times New Roman" w:eastAsia="Times New Roman" w:hAnsi="Times New Roman"/>
          <w:sz w:val="18"/>
          <w:szCs w:val="18"/>
          <w:b w:val="1"/>
          <w:bCs w:val="1"/>
          <w:color w:val="040404"/>
        </w:rPr>
      </w:pPr>
    </w:p>
    <w:p>
      <w:pPr>
        <w:ind w:left="687" w:right="780" w:firstLine="4"/>
        <w:spacing w:after="0" w:line="282" w:lineRule="auto"/>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color w:val="040404"/>
        </w:rPr>
        <w:t>Each party shall promptly execute and deliver such documents and perform such acts as may be reasonably required for the purpose of giving full effect to this Agreement.</w:t>
      </w:r>
    </w:p>
    <w:p>
      <w:pPr>
        <w:spacing w:after="0" w:line="171" w:lineRule="exact"/>
        <w:rPr>
          <w:rFonts w:ascii="Times New Roman" w:cs="Times New Roman" w:eastAsia="Times New Roman" w:hAnsi="Times New Roman"/>
          <w:sz w:val="18"/>
          <w:szCs w:val="18"/>
          <w:b w:val="1"/>
          <w:bCs w:val="1"/>
          <w:color w:val="040404"/>
        </w:rPr>
      </w:pPr>
    </w:p>
    <w:p>
      <w:pPr>
        <w:ind w:left="687" w:hanging="687"/>
        <w:spacing w:after="0"/>
        <w:tabs>
          <w:tab w:leader="none" w:pos="687" w:val="left"/>
        </w:tabs>
        <w:numPr>
          <w:ilvl w:val="0"/>
          <w:numId w:val="104"/>
        </w:numPr>
        <w:rPr>
          <w:rFonts w:ascii="Times New Roman" w:cs="Times New Roman" w:eastAsia="Times New Roman" w:hAnsi="Times New Roman"/>
          <w:sz w:val="18"/>
          <w:szCs w:val="18"/>
          <w:b w:val="1"/>
          <w:bCs w:val="1"/>
          <w:color w:val="040404"/>
        </w:rPr>
      </w:pPr>
      <w:r>
        <w:rPr>
          <w:rFonts w:ascii="Times New Roman" w:cs="Times New Roman" w:eastAsia="Times New Roman" w:hAnsi="Times New Roman"/>
          <w:sz w:val="18"/>
          <w:szCs w:val="18"/>
          <w:b w:val="1"/>
          <w:bCs w:val="1"/>
          <w:color w:val="040404"/>
        </w:rPr>
        <w:t>ENTIRE AGREEMENT</w:t>
      </w:r>
    </w:p>
    <w:p>
      <w:pPr>
        <w:spacing w:after="0" w:line="256" w:lineRule="exact"/>
        <w:rPr>
          <w:sz w:val="20"/>
          <w:szCs w:val="20"/>
          <w:color w:val="auto"/>
        </w:rPr>
      </w:pPr>
    </w:p>
    <w:p>
      <w:pPr>
        <w:jc w:val="both"/>
        <w:ind w:left="667" w:right="20" w:hanging="646"/>
        <w:spacing w:after="0" w:line="282" w:lineRule="auto"/>
        <w:tabs>
          <w:tab w:leader="none" w:pos="647" w:val="left"/>
        </w:tabs>
        <w:rPr>
          <w:sz w:val="20"/>
          <w:szCs w:val="20"/>
          <w:color w:val="auto"/>
        </w:rPr>
      </w:pPr>
      <w:r>
        <w:rPr>
          <w:rFonts w:ascii="Times New Roman" w:cs="Times New Roman" w:eastAsia="Times New Roman" w:hAnsi="Times New Roman"/>
          <w:sz w:val="18"/>
          <w:szCs w:val="18"/>
          <w:color w:val="040404"/>
        </w:rPr>
        <w:t>12.1</w:t>
      </w:r>
      <w:r>
        <w:rPr>
          <w:sz w:val="20"/>
          <w:szCs w:val="20"/>
          <w:color w:val="auto"/>
        </w:rPr>
        <w:tab/>
      </w:r>
      <w:r>
        <w:rPr>
          <w:rFonts w:ascii="Times New Roman" w:cs="Times New Roman" w:eastAsia="Times New Roman" w:hAnsi="Times New Roman"/>
          <w:sz w:val="18"/>
          <w:szCs w:val="18"/>
          <w:color w:val="040404"/>
        </w:rPr>
        <w:t>This Agreement, the License Agreement, the Guarantee and any other agreement entered into in connection with this Agreement constitute the entire and only agreements between the parties relating to the subject matter of this Agreement.</w:t>
      </w:r>
    </w:p>
    <w:p>
      <w:pPr>
        <w:spacing w:after="0" w:line="175" w:lineRule="exact"/>
        <w:rPr>
          <w:sz w:val="20"/>
          <w:szCs w:val="20"/>
          <w:color w:val="auto"/>
        </w:rPr>
      </w:pPr>
    </w:p>
    <w:p>
      <w:pPr>
        <w:jc w:val="both"/>
        <w:ind w:left="667" w:right="20" w:hanging="646"/>
        <w:spacing w:after="0" w:line="288" w:lineRule="auto"/>
        <w:tabs>
          <w:tab w:leader="none" w:pos="647" w:val="left"/>
        </w:tabs>
        <w:rPr>
          <w:sz w:val="20"/>
          <w:szCs w:val="20"/>
          <w:color w:val="auto"/>
        </w:rPr>
      </w:pPr>
      <w:r>
        <w:rPr>
          <w:rFonts w:ascii="Times New Roman" w:cs="Times New Roman" w:eastAsia="Times New Roman" w:hAnsi="Times New Roman"/>
          <w:sz w:val="18"/>
          <w:szCs w:val="18"/>
          <w:color w:val="040404"/>
        </w:rPr>
        <w:t>12.2</w:t>
      </w:r>
      <w:r>
        <w:rPr>
          <w:sz w:val="20"/>
          <w:szCs w:val="20"/>
          <w:color w:val="auto"/>
        </w:rPr>
        <w:tab/>
      </w:r>
      <w:r>
        <w:rPr>
          <w:rFonts w:ascii="Arial" w:cs="Arial" w:eastAsia="Arial" w:hAnsi="Arial"/>
          <w:sz w:val="17"/>
          <w:szCs w:val="17"/>
          <w:color w:val="040404"/>
        </w:rPr>
        <w:t xml:space="preserve">If </w:t>
      </w:r>
      <w:r>
        <w:rPr>
          <w:rFonts w:ascii="Times New Roman" w:cs="Times New Roman" w:eastAsia="Times New Roman" w:hAnsi="Times New Roman"/>
          <w:sz w:val="17"/>
          <w:szCs w:val="17"/>
          <w:color w:val="040404"/>
        </w:rPr>
        <w:t>any provision of this Agreement shall be held to be illegal, invalid or unenforceable, in whole or in part, such provision or relevant</w:t>
      </w:r>
      <w:r>
        <w:rPr>
          <w:rFonts w:ascii="Arial" w:cs="Arial" w:eastAsia="Arial" w:hAnsi="Arial"/>
          <w:sz w:val="17"/>
          <w:szCs w:val="17"/>
          <w:color w:val="040404"/>
        </w:rPr>
        <w:t xml:space="preserve"> </w:t>
      </w:r>
      <w:r>
        <w:rPr>
          <w:rFonts w:ascii="Times New Roman" w:cs="Times New Roman" w:eastAsia="Times New Roman" w:hAnsi="Times New Roman"/>
          <w:sz w:val="17"/>
          <w:szCs w:val="17"/>
          <w:color w:val="040404"/>
        </w:rPr>
        <w:t>part shall be deemed not to form part of this Agreement but the legality, validity and enforceability of the remainder of this Agreement shall not be affected.</w:t>
      </w:r>
    </w:p>
    <w:p>
      <w:pPr>
        <w:spacing w:after="0" w:line="169" w:lineRule="exact"/>
        <w:rPr>
          <w:sz w:val="20"/>
          <w:szCs w:val="20"/>
          <w:color w:val="auto"/>
        </w:rPr>
      </w:pPr>
    </w:p>
    <w:p>
      <w:pPr>
        <w:ind w:left="7"/>
        <w:spacing w:after="0"/>
        <w:tabs>
          <w:tab w:leader="none" w:pos="667" w:val="left"/>
        </w:tabs>
        <w:rPr>
          <w:sz w:val="20"/>
          <w:szCs w:val="20"/>
          <w:color w:val="auto"/>
        </w:rPr>
      </w:pPr>
      <w:r>
        <w:rPr>
          <w:rFonts w:ascii="Times New Roman" w:cs="Times New Roman" w:eastAsia="Times New Roman" w:hAnsi="Times New Roman"/>
          <w:sz w:val="18"/>
          <w:szCs w:val="18"/>
          <w:b w:val="1"/>
          <w:bCs w:val="1"/>
          <w:color w:val="040404"/>
        </w:rPr>
        <w:t>13</w:t>
      </w:r>
      <w:r>
        <w:rPr>
          <w:sz w:val="20"/>
          <w:szCs w:val="20"/>
          <w:color w:val="auto"/>
        </w:rPr>
        <w:tab/>
      </w:r>
      <w:r>
        <w:rPr>
          <w:rFonts w:ascii="Times New Roman" w:cs="Times New Roman" w:eastAsia="Times New Roman" w:hAnsi="Times New Roman"/>
          <w:sz w:val="18"/>
          <w:szCs w:val="18"/>
          <w:b w:val="1"/>
          <w:bCs w:val="1"/>
          <w:color w:val="040404"/>
        </w:rPr>
        <w:t>APPLICABLE LAW</w:t>
      </w:r>
    </w:p>
    <w:p>
      <w:pPr>
        <w:spacing w:after="0" w:line="256" w:lineRule="exact"/>
        <w:rPr>
          <w:sz w:val="20"/>
          <w:szCs w:val="20"/>
          <w:color w:val="auto"/>
        </w:rPr>
      </w:pPr>
    </w:p>
    <w:p>
      <w:pPr>
        <w:jc w:val="both"/>
        <w:ind w:left="667" w:right="20" w:hanging="660"/>
        <w:spacing w:after="0" w:line="282" w:lineRule="auto"/>
        <w:tabs>
          <w:tab w:leader="none" w:pos="647" w:val="left"/>
        </w:tabs>
        <w:rPr>
          <w:sz w:val="20"/>
          <w:szCs w:val="20"/>
          <w:color w:val="auto"/>
        </w:rPr>
      </w:pPr>
      <w:r>
        <w:rPr>
          <w:rFonts w:ascii="Times New Roman" w:cs="Times New Roman" w:eastAsia="Times New Roman" w:hAnsi="Times New Roman"/>
          <w:sz w:val="18"/>
          <w:szCs w:val="18"/>
          <w:color w:val="040404"/>
        </w:rPr>
        <w:t>13.1</w:t>
      </w:r>
      <w:r>
        <w:rPr>
          <w:sz w:val="20"/>
          <w:szCs w:val="20"/>
          <w:color w:val="auto"/>
        </w:rPr>
        <w:tab/>
      </w:r>
      <w:r>
        <w:rPr>
          <w:rFonts w:ascii="Times New Roman" w:cs="Times New Roman" w:eastAsia="Times New Roman" w:hAnsi="Times New Roman"/>
          <w:sz w:val="18"/>
          <w:szCs w:val="18"/>
          <w:color w:val="040404"/>
        </w:rPr>
        <w:t>This Agreement (and any dispute or claim relating to it or its subject matter, including contractual and non-contractual claims) shall be governed by and construed in accordance with the laws of England.</w:t>
      </w:r>
    </w:p>
    <w:p>
      <w:pPr>
        <w:spacing w:after="0" w:line="175" w:lineRule="exact"/>
        <w:rPr>
          <w:sz w:val="20"/>
          <w:szCs w:val="20"/>
          <w:color w:val="auto"/>
        </w:rPr>
      </w:pPr>
    </w:p>
    <w:p>
      <w:pPr>
        <w:jc w:val="both"/>
        <w:ind w:left="647" w:hanging="632"/>
        <w:spacing w:after="0" w:line="266" w:lineRule="auto"/>
        <w:tabs>
          <w:tab w:leader="none" w:pos="627" w:val="left"/>
        </w:tabs>
        <w:rPr>
          <w:sz w:val="20"/>
          <w:szCs w:val="20"/>
          <w:color w:val="auto"/>
        </w:rPr>
      </w:pPr>
      <w:r>
        <w:rPr>
          <w:rFonts w:ascii="Times New Roman" w:cs="Times New Roman" w:eastAsia="Times New Roman" w:hAnsi="Times New Roman"/>
          <w:sz w:val="18"/>
          <w:szCs w:val="18"/>
          <w:color w:val="040404"/>
        </w:rPr>
        <w:t>13.2</w:t>
      </w:r>
      <w:r>
        <w:rPr>
          <w:sz w:val="20"/>
          <w:szCs w:val="20"/>
          <w:color w:val="auto"/>
        </w:rPr>
        <w:tab/>
      </w:r>
      <w:r>
        <w:rPr>
          <w:rFonts w:ascii="Times New Roman" w:cs="Times New Roman" w:eastAsia="Times New Roman" w:hAnsi="Times New Roman"/>
          <w:sz w:val="18"/>
          <w:szCs w:val="18"/>
          <w:color w:val="040404"/>
        </w:rPr>
        <w:t>Each of the parties hereby submits to the non-exclusive jurisdiction of the courts of England in relation to any matters (including non-contractual claims) arising out of this Agreement. This clause shall be without prejudice to the right of any party to bring proceedings in any other jurisdiction for the purpose of enforcement or execution of any judgment or other settlement in any other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702310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7"/>
          </w:cols>
          <w:pgMar w:left="793" w:top="1440" w:right="759" w:bottom="1440" w:gutter="0" w:footer="0" w:header="0"/>
        </w:sectPr>
      </w:pPr>
    </w:p>
    <w:bookmarkStart w:id="162" w:name="page163"/>
    <w:bookmarkEnd w:id="162"/>
    <w:p>
      <w:pPr>
        <w:jc w:val="center"/>
        <w:ind w:right="-20"/>
        <w:spacing w:after="0"/>
        <w:rPr>
          <w:sz w:val="20"/>
          <w:szCs w:val="20"/>
          <w:color w:val="auto"/>
        </w:rPr>
      </w:pPr>
      <w:r>
        <w:rPr>
          <w:rFonts w:ascii="Times New Roman" w:cs="Times New Roman" w:eastAsia="Times New Roman" w:hAnsi="Times New Roman"/>
          <w:sz w:val="17"/>
          <w:szCs w:val="17"/>
          <w:b w:val="1"/>
          <w:bCs w:val="1"/>
          <w:color w:val="121212"/>
        </w:rPr>
        <w:t>SCHED</w:t>
      </w:r>
      <w:r>
        <w:rPr>
          <w:rFonts w:ascii="Times New Roman" w:cs="Times New Roman" w:eastAsia="Times New Roman" w:hAnsi="Times New Roman"/>
          <w:sz w:val="17"/>
          <w:szCs w:val="17"/>
          <w:b w:val="1"/>
          <w:bCs w:val="1"/>
          <w:color w:val="232323"/>
        </w:rPr>
        <w:t>U</w:t>
      </w:r>
      <w:r>
        <w:rPr>
          <w:rFonts w:ascii="Times New Roman" w:cs="Times New Roman" w:eastAsia="Times New Roman" w:hAnsi="Times New Roman"/>
          <w:sz w:val="17"/>
          <w:szCs w:val="17"/>
          <w:b w:val="1"/>
          <w:bCs w:val="1"/>
          <w:color w:val="121212"/>
        </w:rPr>
        <w:t>LE l [</w:t>
      </w:r>
      <w:r>
        <w:rPr>
          <w:rFonts w:ascii="Times New Roman" w:cs="Times New Roman" w:eastAsia="Times New Roman" w:hAnsi="Times New Roman"/>
          <w:sz w:val="17"/>
          <w:szCs w:val="17"/>
          <w:b w:val="1"/>
          <w:bCs w:val="1"/>
          <w:color w:val="232323"/>
        </w:rPr>
        <w:t>N</w:t>
      </w:r>
      <w:r>
        <w:rPr>
          <w:rFonts w:ascii="Times New Roman" w:cs="Times New Roman" w:eastAsia="Times New Roman" w:hAnsi="Times New Roman"/>
          <w:sz w:val="17"/>
          <w:szCs w:val="17"/>
          <w:b w:val="1"/>
          <w:bCs w:val="1"/>
          <w:color w:val="121212"/>
        </w:rPr>
        <w:t xml:space="preserve">OT </w:t>
      </w:r>
      <w:r>
        <w:rPr>
          <w:rFonts w:ascii="Times New Roman" w:cs="Times New Roman" w:eastAsia="Times New Roman" w:hAnsi="Times New Roman"/>
          <w:sz w:val="17"/>
          <w:szCs w:val="17"/>
          <w:b w:val="1"/>
          <w:bCs w:val="1"/>
          <w:color w:val="232323"/>
        </w:rPr>
        <w:t>US</w:t>
      </w:r>
      <w:r>
        <w:rPr>
          <w:rFonts w:ascii="Times New Roman" w:cs="Times New Roman" w:eastAsia="Times New Roman" w:hAnsi="Times New Roman"/>
          <w:sz w:val="17"/>
          <w:szCs w:val="17"/>
          <w:b w:val="1"/>
          <w:bCs w:val="1"/>
          <w:color w:val="121212"/>
        </w:rPr>
        <w: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880110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46" w:right="1440" w:bottom="1440" w:gutter="0" w:footer="0" w:header="0"/>
        </w:sectPr>
      </w:pPr>
    </w:p>
    <w:bookmarkStart w:id="163" w:name="page164"/>
    <w:bookmarkEnd w:id="163"/>
    <w:p>
      <w:pPr>
        <w:jc w:val="center"/>
        <w:ind w:right="-459"/>
        <w:spacing w:after="0"/>
        <w:rPr>
          <w:sz w:val="20"/>
          <w:szCs w:val="20"/>
          <w:color w:val="auto"/>
        </w:rPr>
      </w:pPr>
      <w:r>
        <w:rPr>
          <w:rFonts w:ascii="Times New Roman" w:cs="Times New Roman" w:eastAsia="Times New Roman" w:hAnsi="Times New Roman"/>
          <w:sz w:val="18"/>
          <w:szCs w:val="18"/>
          <w:b w:val="1"/>
          <w:bCs w:val="1"/>
          <w:color w:val="040404"/>
        </w:rPr>
        <w:t>SCHEDULE 2 SHARE CAPITAL</w:t>
      </w:r>
    </w:p>
    <w:p>
      <w:pPr>
        <w:spacing w:after="0" w:line="2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040404"/>
        </w:rPr>
        <w:t>PART 1-ISSUED SHARE CAPITAL AT THE EFFECTIVE DATE</w:t>
      </w:r>
    </w:p>
    <w:p>
      <w:pPr>
        <w:spacing w:after="0" w:line="2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040404"/>
        </w:rPr>
        <w:t>Ordinary Shares: [***]</w:t>
      </w:r>
    </w:p>
    <w:p>
      <w:pPr>
        <w:spacing w:after="0" w:line="2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040404"/>
        </w:rPr>
        <w:t>PART 2-OUTSTANDING WARRANTS, OPTIONS, BONUS SHARES AND CONVERTIBLE DEBT AT THE EFFECTIVE DATE</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040404"/>
        </w:rPr>
        <w:t>Warrants: [***] Ordinary Shares</w:t>
      </w: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040404"/>
        </w:rPr>
        <w:t>Share options: [***] Ordinary Shares</w:t>
      </w: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040404"/>
        </w:rPr>
        <w:t>Convertible debt: [***] Ordinary Shares</w:t>
      </w:r>
    </w:p>
    <w:p>
      <w:pPr>
        <w:spacing w:after="0" w:line="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040404"/>
        </w:rPr>
        <w:t>Bonus shares: [***] Ordinary Shares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40404"/>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599440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400" w:top="1332" w:right="859" w:bottom="1440" w:gutter="0" w:footer="0" w:header="0"/>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17"/>
          <w:szCs w:val="17"/>
          <w:b w:val="1"/>
          <w:bCs w:val="1"/>
          <w:color w:val="121212"/>
        </w:rPr>
        <w:t>SCHEDULE 3 [</w:t>
      </w:r>
      <w:r>
        <w:rPr>
          <w:rFonts w:ascii="Times New Roman" w:cs="Times New Roman" w:eastAsia="Times New Roman" w:hAnsi="Times New Roman"/>
          <w:sz w:val="17"/>
          <w:szCs w:val="17"/>
          <w:b w:val="1"/>
          <w:bCs w:val="1"/>
          <w:color w:val="252525"/>
        </w:rPr>
        <w:t>N</w:t>
      </w:r>
      <w:r>
        <w:rPr>
          <w:rFonts w:ascii="Times New Roman" w:cs="Times New Roman" w:eastAsia="Times New Roman" w:hAnsi="Times New Roman"/>
          <w:sz w:val="17"/>
          <w:szCs w:val="17"/>
          <w:b w:val="1"/>
          <w:bCs w:val="1"/>
          <w:color w:val="121212"/>
        </w:rPr>
        <w:t xml:space="preserve">OT </w:t>
      </w:r>
      <w:r>
        <w:rPr>
          <w:rFonts w:ascii="Times New Roman" w:cs="Times New Roman" w:eastAsia="Times New Roman" w:hAnsi="Times New Roman"/>
          <w:sz w:val="17"/>
          <w:szCs w:val="17"/>
          <w:b w:val="1"/>
          <w:bCs w:val="1"/>
          <w:color w:val="252525"/>
        </w:rPr>
        <w:t>U</w:t>
      </w:r>
      <w:r>
        <w:rPr>
          <w:rFonts w:ascii="Times New Roman" w:cs="Times New Roman" w:eastAsia="Times New Roman" w:hAnsi="Times New Roman"/>
          <w:sz w:val="17"/>
          <w:szCs w:val="17"/>
          <w:b w:val="1"/>
          <w:bCs w:val="1"/>
          <w:color w:val="121212"/>
        </w:rPr>
        <w:t>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889000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46" w:right="1440" w:bottom="1440" w:gutter="0" w:footer="0" w:header="0"/>
        </w:sectPr>
      </w:pPr>
    </w:p>
    <w:bookmarkStart w:id="165" w:name="page166"/>
    <w:bookmarkEnd w:id="165"/>
    <w:p>
      <w:pPr>
        <w:jc w:val="center"/>
        <w:ind w:right="-1120"/>
        <w:spacing w:after="0"/>
        <w:rPr>
          <w:sz w:val="20"/>
          <w:szCs w:val="20"/>
          <w:color w:val="auto"/>
        </w:rPr>
      </w:pPr>
      <w:r>
        <w:rPr>
          <w:rFonts w:ascii="Times New Roman" w:cs="Times New Roman" w:eastAsia="Times New Roman" w:hAnsi="Times New Roman"/>
          <w:sz w:val="18"/>
          <w:szCs w:val="18"/>
          <w:b w:val="1"/>
          <w:bCs w:val="1"/>
          <w:color w:val="040404"/>
        </w:rPr>
        <w:t>SCHEDULE4</w:t>
      </w:r>
    </w:p>
    <w:p>
      <w:pPr>
        <w:spacing w:after="0" w:line="252"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18"/>
          <w:szCs w:val="18"/>
          <w:b w:val="1"/>
          <w:bCs w:val="1"/>
          <w:color w:val="040404"/>
        </w:rPr>
        <w:t>RESTRICTED ADS ISSUANCE AND DELIVERY INSTRUCTION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66" w:name="page167"/>
    <w:bookmarkEnd w:id="166"/>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10.32</w:t>
      </w:r>
    </w:p>
    <w:p>
      <w:pPr>
        <w:spacing w:after="0" w:line="200" w:lineRule="exact"/>
        <w:rPr>
          <w:sz w:val="20"/>
          <w:szCs w:val="20"/>
          <w:color w:val="auto"/>
        </w:rPr>
      </w:pPr>
    </w:p>
    <w:p>
      <w:pPr>
        <w:spacing w:after="0" w:line="273" w:lineRule="exact"/>
        <w:rPr>
          <w:sz w:val="20"/>
          <w:szCs w:val="20"/>
          <w:color w:val="auto"/>
        </w:rPr>
      </w:pPr>
    </w:p>
    <w:p>
      <w:pPr>
        <w:jc w:val="center"/>
        <w:ind w:right="240"/>
        <w:spacing w:after="0" w:line="282" w:lineRule="auto"/>
        <w:rPr>
          <w:sz w:val="20"/>
          <w:szCs w:val="20"/>
          <w:color w:val="auto"/>
        </w:rPr>
      </w:pPr>
      <w:r>
        <w:rPr>
          <w:rFonts w:ascii="Arial" w:cs="Arial" w:eastAsia="Arial" w:hAnsi="Arial"/>
          <w:sz w:val="16"/>
          <w:szCs w:val="16"/>
          <w:b w:val="1"/>
          <w:bCs w:val="1"/>
          <w:color w:val="auto"/>
        </w:rPr>
        <w:t>CERTAIN CONFIDENTIAL INFORMATION CONTAINED IN THIS DOCUMENT, MARKED BY [***], HAS BEEN OMITTED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DATED</w:t>
      </w:r>
    </w:p>
    <w:p>
      <w:pPr>
        <w:spacing w:after="0" w:line="200" w:lineRule="exact"/>
        <w:rPr>
          <w:sz w:val="20"/>
          <w:szCs w:val="20"/>
          <w:color w:val="auto"/>
        </w:rPr>
      </w:pPr>
    </w:p>
    <w:p>
      <w:pPr>
        <w:spacing w:after="0" w:line="257"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8 November 2024</w:t>
      </w:r>
    </w:p>
    <w:p>
      <w:pPr>
        <w:spacing w:after="0" w:line="200" w:lineRule="exact"/>
        <w:rPr>
          <w:sz w:val="20"/>
          <w:szCs w:val="20"/>
          <w:color w:val="auto"/>
        </w:rPr>
      </w:pPr>
    </w:p>
    <w:p>
      <w:pPr>
        <w:spacing w:after="0" w:line="27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AMENDMENT AND RESTATEMENT AGREEMENT</w:t>
      </w:r>
    </w:p>
    <w:p>
      <w:pPr>
        <w:spacing w:after="0" w:line="200" w:lineRule="exact"/>
        <w:rPr>
          <w:sz w:val="20"/>
          <w:szCs w:val="20"/>
          <w:color w:val="auto"/>
        </w:rPr>
      </w:pPr>
    </w:p>
    <w:p>
      <w:pPr>
        <w:spacing w:after="0" w:line="270"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relating to an Exclusive License and Option Agreement</w:t>
      </w:r>
    </w:p>
    <w:p>
      <w:pPr>
        <w:spacing w:after="0" w:line="200" w:lineRule="exact"/>
        <w:rPr>
          <w:sz w:val="20"/>
          <w:szCs w:val="20"/>
          <w:color w:val="auto"/>
        </w:rPr>
      </w:pPr>
    </w:p>
    <w:p>
      <w:pPr>
        <w:spacing w:after="0" w:line="257"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between</w:t>
      </w:r>
    </w:p>
    <w:p>
      <w:pPr>
        <w:spacing w:after="0" w:line="200" w:lineRule="exact"/>
        <w:rPr>
          <w:sz w:val="20"/>
          <w:szCs w:val="20"/>
          <w:color w:val="auto"/>
        </w:rPr>
      </w:pPr>
    </w:p>
    <w:p>
      <w:pPr>
        <w:spacing w:after="0" w:line="270"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ASTRAZENECA AB</w:t>
      </w:r>
    </w:p>
    <w:p>
      <w:pPr>
        <w:spacing w:after="0" w:line="200" w:lineRule="exact"/>
        <w:rPr>
          <w:sz w:val="20"/>
          <w:szCs w:val="20"/>
          <w:color w:val="auto"/>
        </w:rPr>
      </w:pPr>
    </w:p>
    <w:p>
      <w:pPr>
        <w:spacing w:after="0" w:line="257"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and</w:t>
      </w:r>
    </w:p>
    <w:p>
      <w:pPr>
        <w:spacing w:after="0" w:line="200" w:lineRule="exact"/>
        <w:rPr>
          <w:sz w:val="20"/>
          <w:szCs w:val="20"/>
          <w:color w:val="auto"/>
        </w:rPr>
      </w:pPr>
    </w:p>
    <w:p>
      <w:pPr>
        <w:spacing w:after="0" w:line="257"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MEREO BIOPHARMA 4 LIMITED</w:t>
      </w:r>
    </w:p>
    <w:p>
      <w:pPr>
        <w:spacing w:after="0" w:line="200" w:lineRule="exact"/>
        <w:rPr>
          <w:sz w:val="20"/>
          <w:szCs w:val="20"/>
          <w:color w:val="auto"/>
        </w:rPr>
      </w:pPr>
    </w:p>
    <w:p>
      <w:pPr>
        <w:spacing w:after="0" w:line="270"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and</w:t>
      </w:r>
    </w:p>
    <w:p>
      <w:pPr>
        <w:spacing w:after="0" w:line="200" w:lineRule="exact"/>
        <w:rPr>
          <w:sz w:val="20"/>
          <w:szCs w:val="20"/>
          <w:color w:val="auto"/>
        </w:rPr>
      </w:pPr>
    </w:p>
    <w:p>
      <w:pPr>
        <w:spacing w:after="0" w:line="257" w:lineRule="exact"/>
        <w:rPr>
          <w:sz w:val="20"/>
          <w:szCs w:val="20"/>
          <w:color w:val="auto"/>
        </w:rPr>
      </w:pPr>
    </w:p>
    <w:p>
      <w:pPr>
        <w:jc w:val="center"/>
        <w:ind w:right="200"/>
        <w:spacing w:after="0"/>
        <w:rPr>
          <w:sz w:val="20"/>
          <w:szCs w:val="20"/>
          <w:color w:val="auto"/>
        </w:rPr>
      </w:pPr>
      <w:r>
        <w:rPr>
          <w:rFonts w:ascii="Arial" w:cs="Arial" w:eastAsia="Arial" w:hAnsi="Arial"/>
          <w:sz w:val="19"/>
          <w:szCs w:val="19"/>
          <w:b w:val="1"/>
          <w:bCs w:val="1"/>
          <w:color w:val="auto"/>
        </w:rPr>
        <w:t>MEREO BIOPHARMA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217170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This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dated 8 November 2024, between:</w:t>
      </w:r>
    </w:p>
    <w:p>
      <w:pPr>
        <w:spacing w:after="0" w:line="160" w:lineRule="exact"/>
        <w:rPr>
          <w:sz w:val="20"/>
          <w:szCs w:val="20"/>
          <w:color w:val="auto"/>
        </w:rPr>
      </w:pPr>
    </w:p>
    <w:p>
      <w:pPr>
        <w:ind w:left="740" w:right="20" w:hanging="717"/>
        <w:spacing w:after="0" w:line="281" w:lineRule="auto"/>
        <w:tabs>
          <w:tab w:leader="none" w:pos="740"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ASTRAZENECA AB</w:t>
      </w:r>
      <w:r>
        <w:rPr>
          <w:rFonts w:ascii="Arial" w:cs="Arial" w:eastAsia="Arial" w:hAnsi="Arial"/>
          <w:sz w:val="19"/>
          <w:szCs w:val="19"/>
          <w:color w:val="auto"/>
        </w:rPr>
        <w:t>, a company incorporated in Sweden under number 566011-7482 with its registered office at SE-151</w:t>
      </w:r>
      <w:r>
        <w:rPr>
          <w:rFonts w:ascii="Arial" w:cs="Arial" w:eastAsia="Arial" w:hAnsi="Arial"/>
          <w:sz w:val="19"/>
          <w:szCs w:val="19"/>
          <w:b w:val="1"/>
          <w:bCs w:val="1"/>
          <w:color w:val="auto"/>
        </w:rPr>
        <w:t xml:space="preserve"> </w:t>
      </w:r>
      <w:r>
        <w:rPr>
          <w:rFonts w:ascii="Arial" w:cs="Arial" w:eastAsia="Arial" w:hAnsi="Arial"/>
          <w:sz w:val="19"/>
          <w:szCs w:val="19"/>
          <w:color w:val="auto"/>
        </w:rPr>
        <w:t>85 Sodertalje, Sweden (“</w:t>
      </w:r>
      <w:r>
        <w:rPr>
          <w:rFonts w:ascii="Arial" w:cs="Arial" w:eastAsia="Arial" w:hAnsi="Arial"/>
          <w:sz w:val="19"/>
          <w:szCs w:val="19"/>
          <w:b w:val="1"/>
          <w:bCs w:val="1"/>
          <w:color w:val="auto"/>
        </w:rPr>
        <w:t>AstraZeneca</w:t>
      </w:r>
      <w:r>
        <w:rPr>
          <w:rFonts w:ascii="Arial" w:cs="Arial" w:eastAsia="Arial" w:hAnsi="Arial"/>
          <w:sz w:val="19"/>
          <w:szCs w:val="19"/>
          <w:color w:val="auto"/>
        </w:rPr>
        <w:t>”);</w:t>
      </w:r>
    </w:p>
    <w:p>
      <w:pPr>
        <w:spacing w:after="0" w:line="109" w:lineRule="exact"/>
        <w:rPr>
          <w:rFonts w:ascii="Arial" w:cs="Arial" w:eastAsia="Arial" w:hAnsi="Arial"/>
          <w:sz w:val="19"/>
          <w:szCs w:val="19"/>
          <w:b w:val="1"/>
          <w:bCs w:val="1"/>
          <w:color w:val="auto"/>
        </w:rPr>
      </w:pPr>
    </w:p>
    <w:p>
      <w:pPr>
        <w:ind w:left="740" w:hanging="717"/>
        <w:spacing w:after="0" w:line="281" w:lineRule="auto"/>
        <w:tabs>
          <w:tab w:leader="none" w:pos="740"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MEREO BIOPHARMA 4 LIMITED</w:t>
      </w:r>
      <w:r>
        <w:rPr>
          <w:rFonts w:ascii="Arial" w:cs="Arial" w:eastAsia="Arial" w:hAnsi="Arial"/>
          <w:sz w:val="19"/>
          <w:szCs w:val="19"/>
          <w:color w:val="auto"/>
        </w:rPr>
        <w:t>, a company incorporated in England and Wales under no. 11029583 with its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office at 4th Floor, One, Cavendish Place, London, W1G 0QF (“</w:t>
      </w:r>
      <w:r>
        <w:rPr>
          <w:rFonts w:ascii="Arial" w:cs="Arial" w:eastAsia="Arial" w:hAnsi="Arial"/>
          <w:sz w:val="19"/>
          <w:szCs w:val="19"/>
          <w:b w:val="1"/>
          <w:bCs w:val="1"/>
          <w:color w:val="auto"/>
        </w:rPr>
        <w:t>Mereo</w:t>
      </w:r>
      <w:r>
        <w:rPr>
          <w:rFonts w:ascii="Arial" w:cs="Arial" w:eastAsia="Arial" w:hAnsi="Arial"/>
          <w:sz w:val="19"/>
          <w:szCs w:val="19"/>
          <w:color w:val="auto"/>
        </w:rPr>
        <w:t>”); and</w:t>
      </w:r>
    </w:p>
    <w:p>
      <w:pPr>
        <w:spacing w:after="0" w:line="109" w:lineRule="exact"/>
        <w:rPr>
          <w:rFonts w:ascii="Arial" w:cs="Arial" w:eastAsia="Arial" w:hAnsi="Arial"/>
          <w:sz w:val="19"/>
          <w:szCs w:val="19"/>
          <w:b w:val="1"/>
          <w:bCs w:val="1"/>
          <w:color w:val="auto"/>
        </w:rPr>
      </w:pPr>
    </w:p>
    <w:p>
      <w:pPr>
        <w:ind w:left="740" w:right="20" w:hanging="717"/>
        <w:spacing w:after="0" w:line="281" w:lineRule="auto"/>
        <w:tabs>
          <w:tab w:leader="none" w:pos="740"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MEREO BIOPHARMA GROUP PLC</w:t>
      </w:r>
      <w:r>
        <w:rPr>
          <w:rFonts w:ascii="Arial" w:cs="Arial" w:eastAsia="Arial" w:hAnsi="Arial"/>
          <w:sz w:val="19"/>
          <w:szCs w:val="19"/>
          <w:color w:val="auto"/>
        </w:rPr>
        <w:t>, a company incorporated in England and Wales with the registered number</w:t>
      </w:r>
      <w:r>
        <w:rPr>
          <w:rFonts w:ascii="Arial" w:cs="Arial" w:eastAsia="Arial" w:hAnsi="Arial"/>
          <w:sz w:val="19"/>
          <w:szCs w:val="19"/>
          <w:b w:val="1"/>
          <w:bCs w:val="1"/>
          <w:color w:val="auto"/>
        </w:rPr>
        <w:t xml:space="preserve"> </w:t>
      </w:r>
      <w:r>
        <w:rPr>
          <w:rFonts w:ascii="Arial" w:cs="Arial" w:eastAsia="Arial" w:hAnsi="Arial"/>
          <w:sz w:val="19"/>
          <w:szCs w:val="19"/>
          <w:color w:val="auto"/>
        </w:rPr>
        <w:t>09481161 and registered address at 4th Floor, One Cavendish Place, London, England, W1G 0QF (the “</w:t>
      </w:r>
      <w:r>
        <w:rPr>
          <w:rFonts w:ascii="Arial" w:cs="Arial" w:eastAsia="Arial" w:hAnsi="Arial"/>
          <w:sz w:val="19"/>
          <w:szCs w:val="19"/>
          <w:b w:val="1"/>
          <w:bCs w:val="1"/>
          <w:color w:val="auto"/>
        </w:rPr>
        <w:t>Guarantor</w:t>
      </w:r>
      <w:r>
        <w:rPr>
          <w:rFonts w:ascii="Arial" w:cs="Arial" w:eastAsia="Arial" w:hAnsi="Arial"/>
          <w:sz w:val="19"/>
          <w:szCs w:val="19"/>
          <w:color w:val="auto"/>
        </w:rPr>
        <w: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BACKGROUND</w:t>
      </w:r>
    </w:p>
    <w:p>
      <w:pPr>
        <w:spacing w:after="0" w:line="362" w:lineRule="exact"/>
        <w:rPr>
          <w:sz w:val="20"/>
          <w:szCs w:val="20"/>
          <w:color w:val="auto"/>
        </w:rPr>
      </w:pPr>
    </w:p>
    <w:p>
      <w:pPr>
        <w:ind w:left="740" w:hanging="732"/>
        <w:spacing w:after="0"/>
        <w:tabs>
          <w:tab w:leader="none" w:pos="740" w:val="left"/>
        </w:tabs>
        <w:numPr>
          <w:ilvl w:val="0"/>
          <w:numId w:val="106"/>
        </w:numPr>
        <w:rPr>
          <w:rFonts w:ascii="Arial" w:cs="Arial" w:eastAsia="Arial" w:hAnsi="Arial"/>
          <w:sz w:val="17"/>
          <w:szCs w:val="17"/>
          <w:color w:val="auto"/>
        </w:rPr>
      </w:pPr>
      <w:r>
        <w:rPr>
          <w:rFonts w:ascii="Arial" w:cs="Arial" w:eastAsia="Arial" w:hAnsi="Arial"/>
          <w:sz w:val="19"/>
          <w:szCs w:val="19"/>
          <w:color w:val="auto"/>
        </w:rPr>
        <w:t>AstraZeneca and Mereo are party to the Original License and Option Agreement.</w:t>
      </w:r>
    </w:p>
    <w:p>
      <w:pPr>
        <w:spacing w:after="0" w:line="146" w:lineRule="exact"/>
        <w:rPr>
          <w:rFonts w:ascii="Arial" w:cs="Arial" w:eastAsia="Arial" w:hAnsi="Arial"/>
          <w:sz w:val="17"/>
          <w:szCs w:val="17"/>
          <w:color w:val="auto"/>
        </w:rPr>
      </w:pPr>
    </w:p>
    <w:p>
      <w:pPr>
        <w:ind w:left="740" w:right="20" w:hanging="732"/>
        <w:spacing w:after="0" w:line="270" w:lineRule="auto"/>
        <w:tabs>
          <w:tab w:leader="none" w:pos="740" w:val="left"/>
        </w:tabs>
        <w:numPr>
          <w:ilvl w:val="0"/>
          <w:numId w:val="106"/>
        </w:numPr>
        <w:rPr>
          <w:rFonts w:ascii="Arial" w:cs="Arial" w:eastAsia="Arial" w:hAnsi="Arial"/>
          <w:sz w:val="17"/>
          <w:szCs w:val="17"/>
          <w:color w:val="auto"/>
        </w:rPr>
      </w:pPr>
      <w:r>
        <w:rPr>
          <w:rFonts w:ascii="Arial" w:cs="Arial" w:eastAsia="Arial" w:hAnsi="Arial"/>
          <w:sz w:val="19"/>
          <w:szCs w:val="19"/>
          <w:color w:val="auto"/>
        </w:rPr>
        <w:t>The Parties have agreed to amend and restate the Original License and Option Agreement in the form of the Amended and Restated License and Option Agreement with effect from the Variation Date.</w:t>
      </w:r>
    </w:p>
    <w:p>
      <w:pPr>
        <w:spacing w:after="0" w:line="48" w:lineRule="exact"/>
        <w:rPr>
          <w:rFonts w:ascii="Arial" w:cs="Arial" w:eastAsia="Arial" w:hAnsi="Arial"/>
          <w:sz w:val="17"/>
          <w:szCs w:val="17"/>
          <w:color w:val="auto"/>
        </w:rPr>
      </w:pPr>
    </w:p>
    <w:p>
      <w:pPr>
        <w:ind w:left="740" w:hanging="732"/>
        <w:spacing w:after="0" w:line="270" w:lineRule="auto"/>
        <w:tabs>
          <w:tab w:leader="none" w:pos="740" w:val="left"/>
        </w:tabs>
        <w:numPr>
          <w:ilvl w:val="0"/>
          <w:numId w:val="106"/>
        </w:numPr>
        <w:rPr>
          <w:rFonts w:ascii="Arial" w:cs="Arial" w:eastAsia="Arial" w:hAnsi="Arial"/>
          <w:sz w:val="17"/>
          <w:szCs w:val="17"/>
          <w:color w:val="auto"/>
        </w:rPr>
      </w:pPr>
      <w:r>
        <w:rPr>
          <w:rFonts w:ascii="Arial" w:cs="Arial" w:eastAsia="Arial" w:hAnsi="Arial"/>
          <w:sz w:val="19"/>
          <w:szCs w:val="19"/>
          <w:color w:val="auto"/>
        </w:rPr>
        <w:t>Pursuant to the Guarantee, the Guarantor guaranteed the obligations and performance of Mereo under the Original License and Option Agreement.</w:t>
      </w:r>
    </w:p>
    <w:p>
      <w:pPr>
        <w:spacing w:after="0" w:line="34" w:lineRule="exact"/>
        <w:rPr>
          <w:rFonts w:ascii="Arial" w:cs="Arial" w:eastAsia="Arial" w:hAnsi="Arial"/>
          <w:sz w:val="17"/>
          <w:szCs w:val="17"/>
          <w:color w:val="auto"/>
        </w:rPr>
      </w:pPr>
    </w:p>
    <w:p>
      <w:pPr>
        <w:ind w:left="740" w:right="20" w:hanging="732"/>
        <w:spacing w:after="0" w:line="270" w:lineRule="auto"/>
        <w:tabs>
          <w:tab w:leader="none" w:pos="740" w:val="left"/>
        </w:tabs>
        <w:numPr>
          <w:ilvl w:val="0"/>
          <w:numId w:val="106"/>
        </w:numPr>
        <w:rPr>
          <w:rFonts w:ascii="Arial" w:cs="Arial" w:eastAsia="Arial" w:hAnsi="Arial"/>
          <w:sz w:val="17"/>
          <w:szCs w:val="17"/>
          <w:color w:val="auto"/>
        </w:rPr>
      </w:pPr>
      <w:r>
        <w:rPr>
          <w:rFonts w:ascii="Arial" w:cs="Arial" w:eastAsia="Arial" w:hAnsi="Arial"/>
          <w:sz w:val="19"/>
          <w:szCs w:val="19"/>
          <w:color w:val="auto"/>
        </w:rPr>
        <w:t>The Guarantor has agreed to join this Agreement to record its consent to the variations to the Original License and Option Agreement.</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Agreed terms</w:t>
      </w:r>
    </w:p>
    <w:p>
      <w:pPr>
        <w:spacing w:after="0" w:line="349" w:lineRule="exact"/>
        <w:rPr>
          <w:sz w:val="20"/>
          <w:szCs w:val="20"/>
          <w:color w:val="auto"/>
        </w:rPr>
      </w:pPr>
    </w:p>
    <w:p>
      <w:pPr>
        <w:ind w:left="740" w:hanging="732"/>
        <w:spacing w:after="0"/>
        <w:tabs>
          <w:tab w:leader="none" w:pos="740"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 and Interpretation</w:t>
      </w:r>
    </w:p>
    <w:p>
      <w:pPr>
        <w:spacing w:after="0" w:line="295" w:lineRule="exact"/>
        <w:rPr>
          <w:sz w:val="20"/>
          <w:szCs w:val="20"/>
          <w:color w:val="auto"/>
        </w:rPr>
      </w:pPr>
    </w:p>
    <w:p>
      <w:pPr>
        <w:spacing w:after="0"/>
        <w:tabs>
          <w:tab w:leader="none" w:pos="72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color w:val="auto"/>
        </w:rPr>
        <w:t>In this Agreement, expressions defined in the Original License and Option Agreement shall have the same meaning in this</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19"/>
          <w:szCs w:val="19"/>
          <w:color w:val="auto"/>
        </w:rPr>
        <w:t>Agreement, unless otherwise defined. In addition, the definitions below apply in this Agreement:</w:t>
      </w:r>
    </w:p>
    <w:p>
      <w:pPr>
        <w:spacing w:after="0" w:line="223" w:lineRule="exact"/>
        <w:rPr>
          <w:sz w:val="20"/>
          <w:szCs w:val="20"/>
          <w:color w:val="auto"/>
        </w:rPr>
      </w:pPr>
    </w:p>
    <w:p>
      <w:pPr>
        <w:spacing w:after="0"/>
        <w:tabs>
          <w:tab w:leader="none" w:pos="72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8"/>
          <w:szCs w:val="18"/>
          <w:color w:val="auto"/>
        </w:rPr>
        <w:t>Definitions</w:t>
      </w:r>
    </w:p>
    <w:p>
      <w:pPr>
        <w:spacing w:after="0" w:line="281" w:lineRule="exact"/>
        <w:rPr>
          <w:sz w:val="20"/>
          <w:szCs w:val="20"/>
          <w:color w:val="auto"/>
        </w:rPr>
      </w:pPr>
    </w:p>
    <w:p>
      <w:pPr>
        <w:ind w:left="74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Amended and Restated License and Option Agreement</w:t>
      </w:r>
      <w:r>
        <w:rPr>
          <w:rFonts w:ascii="Arial" w:cs="Arial" w:eastAsia="Arial" w:hAnsi="Arial"/>
          <w:sz w:val="19"/>
          <w:szCs w:val="19"/>
          <w:color w:val="auto"/>
        </w:rPr>
        <w:t>” means the Original License and Option Agreement, as amended and restated in the form set out in the Schedule to this Agreement;</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w:t>
      </w:r>
      <w:r>
        <w:rPr>
          <w:rFonts w:ascii="Arial" w:cs="Arial" w:eastAsia="Arial" w:hAnsi="Arial"/>
          <w:sz w:val="19"/>
          <w:szCs w:val="19"/>
          <w:color w:val="auto"/>
        </w:rPr>
        <w:t>” means the parent company guarantee between the Guarantor and AstraZeneca dated 28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997585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40" w:right="28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License and Option Agreement</w:t>
      </w:r>
      <w:r>
        <w:rPr>
          <w:rFonts w:ascii="Arial" w:cs="Arial" w:eastAsia="Arial" w:hAnsi="Arial"/>
          <w:sz w:val="19"/>
          <w:szCs w:val="19"/>
          <w:color w:val="auto"/>
        </w:rPr>
        <w:t>” means the exclusive license and option agreement dated 28 October 2017 between AstraZeneca and Mereo;</w:t>
      </w:r>
    </w:p>
    <w:p>
      <w:pPr>
        <w:spacing w:after="0" w:line="183" w:lineRule="exact"/>
        <w:rPr>
          <w:sz w:val="20"/>
          <w:szCs w:val="20"/>
          <w:color w:val="auto"/>
        </w:rPr>
      </w:pPr>
    </w:p>
    <w:p>
      <w:pPr>
        <w:ind w:left="740" w:right="3440"/>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means a party to this Agreement; and “</w:t>
      </w:r>
      <w:r>
        <w:rPr>
          <w:rFonts w:ascii="Arial" w:cs="Arial" w:eastAsia="Arial" w:hAnsi="Arial"/>
          <w:sz w:val="19"/>
          <w:szCs w:val="19"/>
          <w:b w:val="1"/>
          <w:bCs w:val="1"/>
          <w:color w:val="auto"/>
        </w:rPr>
        <w:t>Variation Date</w:t>
      </w:r>
      <w:r>
        <w:rPr>
          <w:rFonts w:ascii="Arial" w:cs="Arial" w:eastAsia="Arial" w:hAnsi="Arial"/>
          <w:sz w:val="19"/>
          <w:szCs w:val="19"/>
          <w:color w:val="auto"/>
        </w:rPr>
        <w:t>” means the date of this Agreement.</w:t>
      </w:r>
    </w:p>
    <w:p>
      <w:pPr>
        <w:jc w:val="both"/>
        <w:ind w:left="740" w:hanging="725"/>
        <w:spacing w:after="0" w:line="244" w:lineRule="auto"/>
        <w:tabs>
          <w:tab w:leader="none" w:pos="72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color w:val="auto"/>
        </w:rPr>
        <w:t>The rules of interpretation set out in the Original License and Option Agreement shall apply to this Agreement as if set out in this Agreement, save that references in the Original License and Option Agreement to "this Agreement" shall be construed as references to this Agreement.</w:t>
      </w:r>
    </w:p>
    <w:p>
      <w:pPr>
        <w:spacing w:after="0" w:line="207" w:lineRule="exact"/>
        <w:rPr>
          <w:sz w:val="20"/>
          <w:szCs w:val="20"/>
          <w:color w:val="auto"/>
        </w:rPr>
      </w:pPr>
    </w:p>
    <w:p>
      <w:pPr>
        <w:spacing w:after="0"/>
        <w:tabs>
          <w:tab w:leader="none" w:pos="72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8"/>
          <w:szCs w:val="18"/>
          <w:color w:val="auto"/>
        </w:rPr>
        <w:t>References to this Agreement include its Schedule.</w:t>
      </w:r>
    </w:p>
    <w:p>
      <w:pPr>
        <w:spacing w:after="0" w:line="241" w:lineRule="exact"/>
        <w:rPr>
          <w:sz w:val="20"/>
          <w:szCs w:val="20"/>
          <w:color w:val="auto"/>
        </w:rPr>
      </w:pPr>
    </w:p>
    <w:p>
      <w:pPr>
        <w:ind w:left="740" w:hanging="732"/>
        <w:spacing w:after="0"/>
        <w:tabs>
          <w:tab w:leader="none" w:pos="740"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Amendment</w:t>
      </w:r>
    </w:p>
    <w:p>
      <w:pPr>
        <w:spacing w:after="0" w:line="295" w:lineRule="exact"/>
        <w:rPr>
          <w:sz w:val="20"/>
          <w:szCs w:val="20"/>
          <w:color w:val="auto"/>
        </w:rPr>
      </w:pPr>
    </w:p>
    <w:p>
      <w:pPr>
        <w:ind w:left="740" w:hanging="725"/>
        <w:spacing w:after="0" w:line="270" w:lineRule="auto"/>
        <w:tabs>
          <w:tab w:leader="none" w:pos="72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With effect on and from the Variation Date, the Original License and Option Agreement shall be amended and restated in the form set out in the Schedule to this Agreement.</w:t>
      </w:r>
    </w:p>
    <w:p>
      <w:pPr>
        <w:spacing w:after="0" w:line="183" w:lineRule="exact"/>
        <w:rPr>
          <w:sz w:val="20"/>
          <w:szCs w:val="20"/>
          <w:color w:val="auto"/>
        </w:rPr>
      </w:pPr>
    </w:p>
    <w:p>
      <w:pPr>
        <w:ind w:left="740" w:hanging="725"/>
        <w:spacing w:after="0" w:line="270" w:lineRule="auto"/>
        <w:tabs>
          <w:tab w:leader="none" w:pos="72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Upon this Agreement being entered into, the Amended and Restated License and Option Agreement shall supersede the Original License and Option Agreement in its entirety.</w:t>
      </w:r>
    </w:p>
    <w:p>
      <w:pPr>
        <w:spacing w:after="0" w:line="143" w:lineRule="exact"/>
        <w:rPr>
          <w:sz w:val="20"/>
          <w:szCs w:val="20"/>
          <w:color w:val="auto"/>
        </w:rPr>
      </w:pPr>
    </w:p>
    <w:p>
      <w:pPr>
        <w:ind w:left="740" w:hanging="732"/>
        <w:spacing w:after="0"/>
        <w:tabs>
          <w:tab w:leader="none" w:pos="740"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Guarantor's consent to variation</w:t>
      </w:r>
    </w:p>
    <w:p>
      <w:pPr>
        <w:spacing w:after="0" w:line="294" w:lineRule="exact"/>
        <w:rPr>
          <w:rFonts w:ascii="Arial" w:cs="Arial" w:eastAsia="Arial" w:hAnsi="Arial"/>
          <w:sz w:val="19"/>
          <w:szCs w:val="19"/>
          <w:b w:val="1"/>
          <w:bCs w:val="1"/>
          <w:color w:val="auto"/>
        </w:rPr>
      </w:pPr>
    </w:p>
    <w:p>
      <w:pPr>
        <w:ind w:left="740" w:right="680"/>
        <w:spacing w:after="0" w:line="270" w:lineRule="auto"/>
        <w:rPr>
          <w:rFonts w:ascii="Arial" w:cs="Arial" w:eastAsia="Arial" w:hAnsi="Arial"/>
          <w:sz w:val="19"/>
          <w:szCs w:val="19"/>
          <w:b w:val="1"/>
          <w:bCs w:val="1"/>
          <w:color w:val="auto"/>
        </w:rPr>
      </w:pPr>
      <w:r>
        <w:rPr>
          <w:rFonts w:ascii="Arial" w:cs="Arial" w:eastAsia="Arial" w:hAnsi="Arial"/>
          <w:sz w:val="19"/>
          <w:szCs w:val="19"/>
          <w:color w:val="auto"/>
        </w:rPr>
        <w:t>The Guarantor consents to Mereo entering into this Agreement. The Guarantor agrees that its guarantee and other obligations under the Guarantee remain fully effective and:</w:t>
      </w:r>
    </w:p>
    <w:p>
      <w:pPr>
        <w:spacing w:after="0" w:line="48" w:lineRule="exact"/>
        <w:rPr>
          <w:rFonts w:ascii="Arial" w:cs="Arial" w:eastAsia="Arial" w:hAnsi="Arial"/>
          <w:sz w:val="19"/>
          <w:szCs w:val="19"/>
          <w:b w:val="1"/>
          <w:bCs w:val="1"/>
          <w:color w:val="auto"/>
        </w:rPr>
      </w:pPr>
    </w:p>
    <w:p>
      <w:pPr>
        <w:ind w:left="1580" w:hanging="553"/>
        <w:spacing w:after="0"/>
        <w:tabs>
          <w:tab w:leader="none" w:pos="158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apply to the Amended and Restated License and Option Agreement as varied by this Agreement; and</w:t>
      </w:r>
    </w:p>
    <w:p>
      <w:pPr>
        <w:spacing w:after="0" w:line="105" w:lineRule="exact"/>
        <w:rPr>
          <w:rFonts w:ascii="Arial" w:cs="Arial" w:eastAsia="Arial" w:hAnsi="Arial"/>
          <w:sz w:val="19"/>
          <w:szCs w:val="19"/>
          <w:color w:val="auto"/>
        </w:rPr>
      </w:pPr>
    </w:p>
    <w:p>
      <w:pPr>
        <w:ind w:left="1580" w:right="720" w:hanging="553"/>
        <w:spacing w:after="0" w:line="270" w:lineRule="auto"/>
        <w:tabs>
          <w:tab w:leader="none" w:pos="158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subject to clause 3(a), are not released, reduced or otherwise adversely affected by any provision of this Agreement.</w:t>
      </w:r>
    </w:p>
    <w:p>
      <w:pPr>
        <w:spacing w:after="0" w:line="142" w:lineRule="exact"/>
        <w:rPr>
          <w:rFonts w:ascii="Arial" w:cs="Arial" w:eastAsia="Arial" w:hAnsi="Arial"/>
          <w:sz w:val="19"/>
          <w:szCs w:val="19"/>
          <w:color w:val="auto"/>
        </w:rPr>
      </w:pPr>
    </w:p>
    <w:p>
      <w:pPr>
        <w:ind w:left="740" w:hanging="732"/>
        <w:spacing w:after="0"/>
        <w:tabs>
          <w:tab w:leader="none" w:pos="740"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Incorporation of terms</w:t>
      </w:r>
    </w:p>
    <w:p>
      <w:pPr>
        <w:spacing w:after="0" w:line="254" w:lineRule="exact"/>
        <w:rPr>
          <w:sz w:val="20"/>
          <w:szCs w:val="20"/>
          <w:color w:val="auto"/>
        </w:rPr>
      </w:pPr>
    </w:p>
    <w:p>
      <w:pPr>
        <w:jc w:val="both"/>
        <w:ind w:left="20"/>
        <w:spacing w:after="0" w:line="254" w:lineRule="auto"/>
        <w:rPr>
          <w:sz w:val="20"/>
          <w:szCs w:val="20"/>
          <w:color w:val="auto"/>
        </w:rPr>
      </w:pPr>
      <w:r>
        <w:rPr>
          <w:rFonts w:ascii="Arial" w:cs="Arial" w:eastAsia="Arial" w:hAnsi="Arial"/>
          <w:sz w:val="19"/>
          <w:szCs w:val="19"/>
          <w:color w:val="auto"/>
        </w:rPr>
        <w:t>The provisions of clauses 16.6, 16.7, 16.8, 16.9, 16.10, 16.11, 16.12, 16.13 and 16.18 of the Amended and Restated License and Option Agreement shall apply to this Agreement as if set out in full in this Agreement and as if references in those clauses to “this Agreement” are references to this Agreement and references to “party” or “parties” are references to the Parties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969645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69" w:name="page170"/>
    <w:bookmarkEnd w:id="169"/>
    <w:p>
      <w:pPr>
        <w:spacing w:after="0" w:line="200" w:lineRule="exact"/>
        <w:rPr>
          <w:sz w:val="20"/>
          <w:szCs w:val="20"/>
          <w:color w:val="auto"/>
        </w:rPr>
      </w:pPr>
    </w:p>
    <w:p>
      <w:pPr>
        <w:spacing w:after="0" w:line="336" w:lineRule="exact"/>
        <w:rPr>
          <w:sz w:val="20"/>
          <w:szCs w:val="20"/>
          <w:color w:val="auto"/>
        </w:rPr>
      </w:pPr>
    </w:p>
    <w:p>
      <w:pPr>
        <w:spacing w:after="0" w:line="270" w:lineRule="auto"/>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this Agreement is duly executed by the authorized representations of the Parties as of the date first</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above.</w:t>
      </w:r>
    </w:p>
    <w:p>
      <w:pPr>
        <w:spacing w:after="0" w:line="256" w:lineRule="exact"/>
        <w:rPr>
          <w:sz w:val="20"/>
          <w:szCs w:val="20"/>
          <w:color w:val="auto"/>
        </w:rPr>
      </w:pPr>
    </w:p>
    <w:tbl>
      <w:tblPr>
        <w:tblLayout w:type="fixed"/>
        <w:tblInd w:w="680" w:type="dxa"/>
        <w:tblCellMar>
          <w:top w:w="0" w:type="dxa"/>
          <w:left w:w="0" w:type="dxa"/>
          <w:bottom w:w="0" w:type="dxa"/>
          <w:right w:w="0" w:type="dxa"/>
        </w:tblCellMar>
      </w:tblPr>
      <w:tr>
        <w:trPr>
          <w:trHeight w:val="235"/>
        </w:trPr>
        <w:tc>
          <w:tcPr>
            <w:tcW w:w="5500" w:type="dxa"/>
            <w:vAlign w:val="bottom"/>
            <w:gridSpan w:val="2"/>
          </w:tcPr>
          <w:p>
            <w:pPr>
              <w:spacing w:after="0"/>
              <w:rPr>
                <w:sz w:val="20"/>
                <w:szCs w:val="20"/>
                <w:color w:val="auto"/>
              </w:rPr>
            </w:pPr>
            <w:r>
              <w:rPr>
                <w:rFonts w:ascii="Arial" w:cs="Arial" w:eastAsia="Arial" w:hAnsi="Arial"/>
                <w:sz w:val="17"/>
                <w:szCs w:val="17"/>
                <w:b w:val="1"/>
                <w:bCs w:val="1"/>
                <w:color w:val="auto"/>
              </w:rPr>
              <w:t>ASTRAZENECA AB (publ)</w:t>
            </w:r>
          </w:p>
        </w:tc>
        <w:tc>
          <w:tcPr>
            <w:tcW w:w="2800" w:type="dxa"/>
            <w:vAlign w:val="bottom"/>
            <w:gridSpan w:val="3"/>
          </w:tcPr>
          <w:p>
            <w:pPr>
              <w:spacing w:after="0"/>
              <w:rPr>
                <w:sz w:val="20"/>
                <w:szCs w:val="20"/>
                <w:color w:val="auto"/>
              </w:rPr>
            </w:pPr>
            <w:r>
              <w:rPr>
                <w:rFonts w:ascii="Arial" w:cs="Arial" w:eastAsia="Arial" w:hAnsi="Arial"/>
                <w:sz w:val="17"/>
                <w:szCs w:val="17"/>
                <w:b w:val="1"/>
                <w:bCs w:val="1"/>
                <w:color w:val="auto"/>
              </w:rPr>
              <w:t>MEREO BIOPHARMA 4 LIMITED</w:t>
            </w:r>
          </w:p>
        </w:tc>
      </w:tr>
      <w:tr>
        <w:trPr>
          <w:trHeight w:val="543"/>
        </w:trPr>
        <w:tc>
          <w:tcPr>
            <w:tcW w:w="5500" w:type="dxa"/>
            <w:vAlign w:val="bottom"/>
            <w:gridSpan w:val="2"/>
          </w:tcPr>
          <w:p>
            <w:pPr>
              <w:spacing w:after="0"/>
              <w:rPr>
                <w:sz w:val="20"/>
                <w:szCs w:val="20"/>
                <w:color w:val="auto"/>
              </w:rPr>
            </w:pPr>
            <w:r>
              <w:rPr>
                <w:rFonts w:ascii="Arial" w:cs="Arial" w:eastAsia="Arial" w:hAnsi="Arial"/>
                <w:sz w:val="17"/>
                <w:szCs w:val="17"/>
                <w:color w:val="auto"/>
              </w:rPr>
              <w:t>/s/ Ulrika Lilja</w:t>
            </w:r>
          </w:p>
        </w:tc>
        <w:tc>
          <w:tcPr>
            <w:tcW w:w="2800" w:type="dxa"/>
            <w:vAlign w:val="bottom"/>
            <w:gridSpan w:val="3"/>
          </w:tcPr>
          <w:p>
            <w:pPr>
              <w:spacing w:after="0"/>
              <w:rPr>
                <w:sz w:val="20"/>
                <w:szCs w:val="20"/>
                <w:color w:val="auto"/>
              </w:rPr>
            </w:pPr>
            <w:r>
              <w:rPr>
                <w:rFonts w:ascii="Arial" w:cs="Arial" w:eastAsia="Arial" w:hAnsi="Arial"/>
                <w:sz w:val="17"/>
                <w:szCs w:val="17"/>
                <w:color w:val="auto"/>
              </w:rPr>
              <w:t>/s/ Charles Sermon</w:t>
            </w:r>
          </w:p>
        </w:tc>
      </w:tr>
      <w:tr>
        <w:trPr>
          <w:trHeight w:val="20"/>
        </w:trPr>
        <w:tc>
          <w:tcPr>
            <w:tcW w:w="10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8"/>
        </w:trPr>
        <w:tc>
          <w:tcPr>
            <w:tcW w:w="5500" w:type="dxa"/>
            <w:vAlign w:val="bottom"/>
            <w:gridSpan w:val="2"/>
          </w:tcPr>
          <w:p>
            <w:pPr>
              <w:spacing w:after="0"/>
              <w:rPr>
                <w:sz w:val="20"/>
                <w:szCs w:val="20"/>
                <w:color w:val="auto"/>
              </w:rPr>
            </w:pPr>
            <w:r>
              <w:rPr>
                <w:rFonts w:ascii="Arial" w:cs="Arial" w:eastAsia="Arial" w:hAnsi="Arial"/>
                <w:sz w:val="17"/>
                <w:szCs w:val="17"/>
                <w:color w:val="auto"/>
              </w:rPr>
              <w:t>Name: Ulrika Lilja</w:t>
            </w:r>
          </w:p>
        </w:tc>
        <w:tc>
          <w:tcPr>
            <w:tcW w:w="2800" w:type="dxa"/>
            <w:vAlign w:val="bottom"/>
            <w:gridSpan w:val="3"/>
          </w:tcPr>
          <w:p>
            <w:pPr>
              <w:spacing w:after="0"/>
              <w:rPr>
                <w:sz w:val="20"/>
                <w:szCs w:val="20"/>
                <w:color w:val="auto"/>
              </w:rPr>
            </w:pPr>
            <w:r>
              <w:rPr>
                <w:rFonts w:ascii="Arial" w:cs="Arial" w:eastAsia="Arial" w:hAnsi="Arial"/>
                <w:sz w:val="17"/>
                <w:szCs w:val="17"/>
                <w:color w:val="auto"/>
              </w:rPr>
              <w:t>Name: Charles Sermon</w:t>
            </w:r>
          </w:p>
        </w:tc>
      </w:tr>
      <w:tr>
        <w:trPr>
          <w:trHeight w:val="225"/>
        </w:trPr>
        <w:tc>
          <w:tcPr>
            <w:tcW w:w="5500" w:type="dxa"/>
            <w:vAlign w:val="bottom"/>
            <w:gridSpan w:val="2"/>
          </w:tcPr>
          <w:p>
            <w:pPr>
              <w:spacing w:after="0"/>
              <w:rPr>
                <w:sz w:val="20"/>
                <w:szCs w:val="20"/>
                <w:color w:val="auto"/>
              </w:rPr>
            </w:pPr>
            <w:r>
              <w:rPr>
                <w:rFonts w:ascii="Arial" w:cs="Arial" w:eastAsia="Arial" w:hAnsi="Arial"/>
                <w:sz w:val="17"/>
                <w:szCs w:val="17"/>
                <w:color w:val="auto"/>
              </w:rPr>
              <w:t>Title: Authorised signatory</w:t>
            </w:r>
          </w:p>
        </w:tc>
        <w:tc>
          <w:tcPr>
            <w:tcW w:w="2800" w:type="dxa"/>
            <w:vAlign w:val="bottom"/>
            <w:gridSpan w:val="3"/>
          </w:tcPr>
          <w:p>
            <w:pPr>
              <w:spacing w:after="0"/>
              <w:rPr>
                <w:sz w:val="20"/>
                <w:szCs w:val="20"/>
                <w:color w:val="auto"/>
              </w:rPr>
            </w:pPr>
            <w:r>
              <w:rPr>
                <w:rFonts w:ascii="Arial" w:cs="Arial" w:eastAsia="Arial" w:hAnsi="Arial"/>
                <w:sz w:val="17"/>
                <w:szCs w:val="17"/>
                <w:color w:val="auto"/>
              </w:rPr>
              <w:t>Title: Director</w:t>
            </w:r>
          </w:p>
        </w:tc>
      </w:tr>
      <w:tr>
        <w:trPr>
          <w:trHeight w:val="483"/>
        </w:trPr>
        <w:tc>
          <w:tcPr>
            <w:tcW w:w="10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7"/>
                <w:szCs w:val="17"/>
                <w:b w:val="1"/>
                <w:bCs w:val="1"/>
                <w:color w:val="auto"/>
              </w:rPr>
              <w:t>MEREO BIOPHARMA GROUP PLC</w:t>
            </w:r>
          </w:p>
        </w:tc>
      </w:tr>
      <w:tr>
        <w:trPr>
          <w:trHeight w:val="476"/>
        </w:trPr>
        <w:tc>
          <w:tcPr>
            <w:tcW w:w="10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9"/>
              </w:rPr>
              <w:t>/s/ Denise Scots-Knight</w:t>
            </w:r>
          </w:p>
        </w:tc>
        <w:tc>
          <w:tcPr>
            <w:tcW w:w="1020" w:type="dxa"/>
            <w:vAlign w:val="bottom"/>
          </w:tcPr>
          <w:p>
            <w:pPr>
              <w:spacing w:after="0"/>
              <w:rPr>
                <w:sz w:val="24"/>
                <w:szCs w:val="24"/>
                <w:color w:val="auto"/>
              </w:rPr>
            </w:pPr>
          </w:p>
        </w:tc>
      </w:tr>
      <w:tr>
        <w:trPr>
          <w:trHeight w:val="390"/>
        </w:trPr>
        <w:tc>
          <w:tcPr>
            <w:tcW w:w="10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Arial" w:cs="Arial" w:eastAsia="Arial" w:hAnsi="Arial"/>
                <w:sz w:val="17"/>
                <w:szCs w:val="17"/>
                <w:color w:val="auto"/>
              </w:rPr>
              <w:t>Name: Denise Scots-Knight</w:t>
            </w:r>
          </w:p>
        </w:tc>
      </w:tr>
      <w:tr>
        <w:trPr>
          <w:trHeight w:val="225"/>
        </w:trPr>
        <w:tc>
          <w:tcPr>
            <w:tcW w:w="10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800" w:type="dxa"/>
            <w:vAlign w:val="bottom"/>
            <w:gridSpan w:val="3"/>
          </w:tcPr>
          <w:p>
            <w:pPr>
              <w:ind w:left="40"/>
              <w:spacing w:after="0"/>
              <w:rPr>
                <w:sz w:val="20"/>
                <w:szCs w:val="20"/>
                <w:color w:val="auto"/>
              </w:rPr>
            </w:pPr>
            <w:r>
              <w:rPr>
                <w:rFonts w:ascii="Arial" w:cs="Arial" w:eastAsia="Arial" w:hAnsi="Arial"/>
                <w:sz w:val="17"/>
                <w:szCs w:val="17"/>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Amendment and Restatement Agreement – Exclusive License and Option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3188970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60" w:top="1440" w:right="101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License and Option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(Continues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7202805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1" w:name="page172"/>
    <w:bookmarkEnd w:id="171"/>
    <w:p>
      <w:pPr>
        <w:jc w:val="center"/>
        <w:ind w:right="18"/>
        <w:spacing w:after="0"/>
        <w:rPr>
          <w:sz w:val="20"/>
          <w:szCs w:val="20"/>
          <w:color w:val="auto"/>
        </w:rPr>
      </w:pPr>
      <w:r>
        <w:rPr>
          <w:rFonts w:ascii="Times New Roman" w:cs="Times New Roman" w:eastAsia="Times New Roman" w:hAnsi="Times New Roman"/>
          <w:sz w:val="22"/>
          <w:szCs w:val="22"/>
          <w:b w:val="1"/>
          <w:bCs w:val="1"/>
          <w:color w:val="auto"/>
        </w:rPr>
        <w:t>EXCLUSIVE LICENSE AND OPTION AGREEMENT</w:t>
      </w:r>
    </w:p>
    <w:p>
      <w:pPr>
        <w:spacing w:after="0" w:line="220" w:lineRule="exact"/>
        <w:rPr>
          <w:sz w:val="20"/>
          <w:szCs w:val="20"/>
          <w:color w:val="auto"/>
        </w:rPr>
      </w:pPr>
    </w:p>
    <w:p>
      <w:pPr>
        <w:jc w:val="both"/>
        <w:ind w:left="22" w:right="20" w:hanging="11"/>
        <w:spacing w:after="0" w:line="229" w:lineRule="auto"/>
        <w:rPr>
          <w:sz w:val="20"/>
          <w:szCs w:val="20"/>
          <w:color w:val="auto"/>
        </w:rPr>
      </w:pPr>
      <w:r>
        <w:rPr>
          <w:rFonts w:ascii="Times New Roman" w:cs="Times New Roman" w:eastAsia="Times New Roman" w:hAnsi="Times New Roman"/>
          <w:sz w:val="22"/>
          <w:szCs w:val="22"/>
          <w:color w:val="auto"/>
        </w:rPr>
        <w:t>This EXCLUSIVE LICENSE AND OPTION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effective as of 28 October 2017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was amended and restated by an amendment agreement dated 8 November 2024 (the “</w:t>
      </w:r>
      <w:r>
        <w:rPr>
          <w:rFonts w:ascii="Times New Roman" w:cs="Times New Roman" w:eastAsia="Times New Roman" w:hAnsi="Times New Roman"/>
          <w:sz w:val="22"/>
          <w:szCs w:val="22"/>
          <w:b w:val="1"/>
          <w:bCs w:val="1"/>
          <w:color w:val="auto"/>
        </w:rPr>
        <w:t>Variation Date</w:t>
      </w:r>
      <w:r>
        <w:rPr>
          <w:rFonts w:ascii="Times New Roman" w:cs="Times New Roman" w:eastAsia="Times New Roman" w:hAnsi="Times New Roman"/>
          <w:sz w:val="22"/>
          <w:szCs w:val="22"/>
          <w:color w:val="auto"/>
        </w:rPr>
        <w:t>”), by and between ASTRAZENECA AB, a company incorporated in Sweden under no. 556011-7482 with its registered office at SE-151 85 Sodertalje, Sweden (“</w:t>
      </w:r>
      <w:r>
        <w:rPr>
          <w:rFonts w:ascii="Times New Roman" w:cs="Times New Roman" w:eastAsia="Times New Roman" w:hAnsi="Times New Roman"/>
          <w:sz w:val="22"/>
          <w:szCs w:val="22"/>
          <w:b w:val="1"/>
          <w:bCs w:val="1"/>
          <w:color w:val="auto"/>
        </w:rPr>
        <w:t>AstraZeneca</w:t>
      </w:r>
      <w:r>
        <w:rPr>
          <w:rFonts w:ascii="Times New Roman" w:cs="Times New Roman" w:eastAsia="Times New Roman" w:hAnsi="Times New Roman"/>
          <w:sz w:val="22"/>
          <w:szCs w:val="22"/>
          <w:color w:val="auto"/>
        </w:rPr>
        <w:t>”), and MEREO BIOPHARMA 4 LIMITED, a company incorporated in England and Wales under no. 11029583 with its registered office at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One, Cavendish Place, London, W1G 0QF (“</w:t>
      </w:r>
      <w:r>
        <w:rPr>
          <w:rFonts w:ascii="Times New Roman" w:cs="Times New Roman" w:eastAsia="Times New Roman" w:hAnsi="Times New Roman"/>
          <w:sz w:val="22"/>
          <w:szCs w:val="22"/>
          <w:b w:val="1"/>
          <w:bCs w:val="1"/>
          <w:color w:val="auto"/>
        </w:rPr>
        <w:t>Mereo</w:t>
      </w:r>
      <w:r>
        <w:rPr>
          <w:rFonts w:ascii="Times New Roman" w:cs="Times New Roman" w:eastAsia="Times New Roman" w:hAnsi="Times New Roman"/>
          <w:sz w:val="22"/>
          <w:szCs w:val="22"/>
          <w:color w:val="auto"/>
        </w:rPr>
        <w:t>”). AstraZeneca and Mereo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197" w:lineRule="exact"/>
        <w:rPr>
          <w:sz w:val="20"/>
          <w:szCs w:val="20"/>
          <w:color w:val="auto"/>
        </w:rPr>
      </w:pPr>
    </w:p>
    <w:p>
      <w:pPr>
        <w:jc w:val="both"/>
        <w:ind w:left="762" w:right="20" w:hanging="733"/>
        <w:spacing w:after="0" w:line="244" w:lineRule="auto"/>
        <w:tabs>
          <w:tab w:leader="none" w:pos="76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AstraZeneca owns and controls certain intellectual property rights and assets relating to a compound designated AZD9668, which is an orally delivered form of a neutrophil elastase inhibitor that has been the subject of Phase II clinical trials in respiratory diseases, [***]</w:t>
      </w:r>
    </w:p>
    <w:p>
      <w:pPr>
        <w:spacing w:after="0" w:line="146" w:lineRule="exact"/>
        <w:rPr>
          <w:rFonts w:ascii="Times New Roman" w:cs="Times New Roman" w:eastAsia="Times New Roman" w:hAnsi="Times New Roman"/>
          <w:sz w:val="22"/>
          <w:szCs w:val="22"/>
          <w:color w:val="auto"/>
        </w:rPr>
      </w:pPr>
    </w:p>
    <w:p>
      <w:pPr>
        <w:jc w:val="both"/>
        <w:ind w:left="762" w:hanging="733"/>
        <w:spacing w:after="0" w:line="244" w:lineRule="auto"/>
        <w:tabs>
          <w:tab w:leader="none" w:pos="76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AstraZeneca wishes to grant a world-wide, exclusive license to Mereo and Mereo wishes to obtain, a license under such intellectual property rights to develop, manufacture and commercialize such compounds in the Territory, in each case in accordance with the terms and conditions set forth in this Agreement; and</w:t>
      </w:r>
    </w:p>
    <w:p>
      <w:pPr>
        <w:spacing w:after="0" w:line="159" w:lineRule="exact"/>
        <w:rPr>
          <w:rFonts w:ascii="Times New Roman" w:cs="Times New Roman" w:eastAsia="Times New Roman" w:hAnsi="Times New Roman"/>
          <w:sz w:val="22"/>
          <w:szCs w:val="22"/>
          <w:color w:val="auto"/>
        </w:rPr>
      </w:pPr>
    </w:p>
    <w:p>
      <w:pPr>
        <w:ind w:left="762" w:right="20" w:hanging="733"/>
        <w:spacing w:after="0" w:line="258" w:lineRule="auto"/>
        <w:tabs>
          <w:tab w:leader="none" w:pos="76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AstraZeneca wishes to grant Mereo an option to acquire title to certain of such intellectual property rights and Mereo wishes to obtain such option, in accordance with the terms and conditions set forth in this Agreement.</w:t>
      </w:r>
    </w:p>
    <w:p>
      <w:pPr>
        <w:spacing w:after="0" w:line="127" w:lineRule="exact"/>
        <w:rPr>
          <w:sz w:val="20"/>
          <w:szCs w:val="20"/>
          <w:color w:val="auto"/>
        </w:rPr>
      </w:pPr>
    </w:p>
    <w:p>
      <w:pPr>
        <w:jc w:val="both"/>
        <w:ind w:left="22" w:right="20" w:hanging="11"/>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mutual promises and conditions set forth herein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and sufficiency of which is hereby acknowledged, the Parties, intending to be legally bound, do hereby agree as follows:</w:t>
      </w:r>
    </w:p>
    <w:p>
      <w:pPr>
        <w:spacing w:after="0" w:line="154" w:lineRule="exact"/>
        <w:rPr>
          <w:sz w:val="20"/>
          <w:szCs w:val="20"/>
          <w:color w:val="auto"/>
        </w:rPr>
      </w:pPr>
    </w:p>
    <w:p>
      <w:pPr>
        <w:ind w:left="762" w:hanging="762"/>
        <w:spacing w:after="0"/>
        <w:tabs>
          <w:tab w:leader="none" w:pos="762"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rFonts w:ascii="Times New Roman" w:cs="Times New Roman" w:eastAsia="Times New Roman" w:hAnsi="Times New Roman"/>
          <w:sz w:val="22"/>
          <w:szCs w:val="22"/>
          <w:b w:val="1"/>
          <w:bCs w:val="1"/>
          <w:color w:val="auto"/>
        </w:rPr>
      </w:pPr>
    </w:p>
    <w:p>
      <w:pPr>
        <w:ind w:left="76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otherwise specifically provided herein, the following terms shall have the following meanings:</w:t>
      </w:r>
    </w:p>
    <w:p>
      <w:pPr>
        <w:spacing w:after="0" w:line="179" w:lineRule="exact"/>
        <w:rPr>
          <w:sz w:val="20"/>
          <w:szCs w:val="20"/>
          <w:color w:val="auto"/>
        </w:rPr>
      </w:pPr>
    </w:p>
    <w:p>
      <w:pPr>
        <w:ind w:left="22"/>
        <w:spacing w:after="0"/>
        <w:tabs>
          <w:tab w:leader="none" w:pos="782"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 has the meaning given in the Subscription Deed;</w:t>
      </w:r>
    </w:p>
    <w:p>
      <w:pPr>
        <w:spacing w:after="0" w:line="229" w:lineRule="exact"/>
        <w:rPr>
          <w:sz w:val="20"/>
          <w:szCs w:val="20"/>
          <w:color w:val="auto"/>
        </w:rPr>
      </w:pPr>
    </w:p>
    <w:p>
      <w:pPr>
        <w:ind w:left="2"/>
        <w:spacing w:after="0"/>
        <w:tabs>
          <w:tab w:leader="none" w:pos="702"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Accounting Standards</w:t>
      </w:r>
      <w:r>
        <w:rPr>
          <w:rFonts w:ascii="Times New Roman" w:cs="Times New Roman" w:eastAsia="Times New Roman" w:hAnsi="Times New Roman"/>
          <w:sz w:val="21"/>
          <w:szCs w:val="21"/>
          <w:color w:val="auto"/>
        </w:rPr>
        <w:t>” means the International Financial Reporting Standards (“</w:t>
      </w:r>
      <w:r>
        <w:rPr>
          <w:rFonts w:ascii="Times New Roman" w:cs="Times New Roman" w:eastAsia="Times New Roman" w:hAnsi="Times New Roman"/>
          <w:sz w:val="21"/>
          <w:szCs w:val="21"/>
          <w:b w:val="1"/>
          <w:bCs w:val="1"/>
          <w:color w:val="auto"/>
        </w:rPr>
        <w:t>IFRS</w:t>
      </w:r>
      <w:r>
        <w:rPr>
          <w:rFonts w:ascii="Times New Roman" w:cs="Times New Roman" w:eastAsia="Times New Roman" w:hAnsi="Times New Roman"/>
          <w:sz w:val="21"/>
          <w:szCs w:val="21"/>
          <w:color w:val="auto"/>
        </w:rPr>
        <w:t>”), consistently applied.</w:t>
      </w:r>
    </w:p>
    <w:p>
      <w:pPr>
        <w:spacing w:after="0" w:line="179" w:lineRule="exact"/>
        <w:rPr>
          <w:sz w:val="20"/>
          <w:szCs w:val="20"/>
          <w:color w:val="auto"/>
        </w:rPr>
      </w:pPr>
    </w:p>
    <w:p>
      <w:pPr>
        <w:jc w:val="both"/>
        <w:ind w:left="722" w:hanging="723"/>
        <w:spacing w:after="0" w:line="238" w:lineRule="auto"/>
        <w:tabs>
          <w:tab w:leader="none" w:pos="702"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b w:val="1"/>
          <w:bCs w:val="1"/>
          <w:color w:val="auto"/>
        </w:rPr>
        <w:t xml:space="preserve">“Additional Studies” </w:t>
      </w:r>
      <w:r>
        <w:rPr>
          <w:rFonts w:ascii="Times New Roman" w:cs="Times New Roman" w:eastAsia="Times New Roman" w:hAnsi="Times New Roman"/>
          <w:sz w:val="22"/>
          <w:szCs w:val="22"/>
          <w:color w:val="auto"/>
        </w:rPr>
        <w:t>means the [***] collaborative research agreements currently under negotiation or recently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executed between AstraZeneca or its Affiliates and [***] </w:t>
      </w:r>
      <w:r>
        <w:rPr>
          <w:rFonts w:ascii="Times New Roman" w:cs="Times New Roman" w:eastAsia="Times New Roman" w:hAnsi="Times New Roman"/>
          <w:sz w:val="19"/>
          <w:szCs w:val="19"/>
          <w:color w:val="auto"/>
        </w:rPr>
        <w:t>in each case which relate to the Compounds and which will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entered into prior to or after the Effective Date pursuant to Section 5.6, as further described in Part 1 of Schedule 1.3.</w:t>
      </w:r>
    </w:p>
    <w:p>
      <w:pPr>
        <w:spacing w:after="0" w:line="152" w:lineRule="exact"/>
        <w:rPr>
          <w:sz w:val="20"/>
          <w:szCs w:val="20"/>
          <w:color w:val="auto"/>
        </w:rPr>
      </w:pPr>
    </w:p>
    <w:p>
      <w:pPr>
        <w:jc w:val="both"/>
        <w:ind w:left="722" w:right="20" w:hanging="723"/>
        <w:spacing w:after="0" w:line="241" w:lineRule="auto"/>
        <w:tabs>
          <w:tab w:leader="none" w:pos="702"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 Party, any Person that, directly or indirectly, through one (1) or more intermediaries, controls, is controlled by or is under common control with such Party. For purposes of this definition, “control” and, with correlative meanings, the terms “controlled by” and “under common control with” means: (i) the possession, directly or indirectly, of the power to direct the management or policies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716280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2"/>
          </w:cols>
          <w:pgMar w:left="478" w:top="1404" w:right="479" w:bottom="1440" w:gutter="0" w:footer="0" w:header="0"/>
        </w:sectPr>
      </w:pPr>
    </w:p>
    <w:bookmarkStart w:id="172" w:name="page173"/>
    <w:bookmarkEnd w:id="172"/>
    <w:p>
      <w:pPr>
        <w:spacing w:after="0" w:line="117" w:lineRule="exact"/>
        <w:rPr>
          <w:sz w:val="20"/>
          <w:szCs w:val="20"/>
          <w:color w:val="auto"/>
        </w:rPr>
      </w:pPr>
    </w:p>
    <w:p>
      <w:pPr>
        <w:jc w:val="both"/>
        <w:ind w:left="720"/>
        <w:spacing w:after="0" w:line="239" w:lineRule="auto"/>
        <w:rPr>
          <w:sz w:val="20"/>
          <w:szCs w:val="20"/>
          <w:color w:val="auto"/>
        </w:rPr>
      </w:pPr>
      <w:r>
        <w:rPr>
          <w:rFonts w:ascii="Times New Roman" w:cs="Times New Roman" w:eastAsia="Times New Roman" w:hAnsi="Times New Roman"/>
          <w:sz w:val="22"/>
          <w:szCs w:val="22"/>
          <w:color w:val="auto"/>
        </w:rPr>
        <w:t>a business entity, whether through the ownership of voting securities, by contract relating to voting rights or corporate governance or otherwise; or (ii) the ownership, directly or indirectly, of fifty percent (50%) or more of the voting securities or other ownership interest of a business entity (or, with respect to a limited partnership or other similar entity, its general partner or controlling entity).</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preamble hereto.</w:t>
      </w:r>
    </w:p>
    <w:p>
      <w:pPr>
        <w:spacing w:after="0" w:line="233" w:lineRule="exact"/>
        <w:rPr>
          <w:sz w:val="20"/>
          <w:szCs w:val="20"/>
          <w:color w:val="auto"/>
        </w:rPr>
      </w:pPr>
    </w:p>
    <w:p>
      <w:pPr>
        <w:jc w:val="both"/>
        <w:ind w:left="720" w:right="20" w:hanging="723"/>
        <w:spacing w:after="0" w:line="246" w:lineRule="auto"/>
        <w:tabs>
          <w:tab w:leader="none" w:pos="70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xml:space="preserve"> ” means the U.S. Foreign Corrupt Practices Act, as amended, the UK Bribery Act 2010, as amended, and any other applicable anti-corruption laws and laws for the prevention of fraud, racketeering, money laundering or terrorism.</w:t>
      </w:r>
    </w:p>
    <w:p>
      <w:pPr>
        <w:spacing w:after="0" w:line="140" w:lineRule="exact"/>
        <w:rPr>
          <w:sz w:val="20"/>
          <w:szCs w:val="20"/>
          <w:color w:val="auto"/>
        </w:rPr>
      </w:pPr>
    </w:p>
    <w:p>
      <w:pPr>
        <w:jc w:val="both"/>
        <w:ind w:left="720" w:right="20" w:hanging="723"/>
        <w:spacing w:after="0" w:line="237" w:lineRule="auto"/>
        <w:tabs>
          <w:tab w:leader="none" w:pos="70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all federal, provincial, state, local and foreign law (including United States), (statutory, common or otherwise), constitution, treaty, convention, ordinance, code, rule, regulation, directive, order, injunction, judgment, decree, ruling or other similar requirement, and other agreements between states or between states and the European Union or other supranational bodies, including any rules, regulations, guidelines or other requirements of the Regulatory Authorities, that may be in effect from time to time, including the FFDCA and the Anti-Corruption Laws.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b w:val="1"/>
          <w:bCs w:val="1"/>
          <w:color w:val="auto"/>
        </w:rPr>
        <w:t>API</w:t>
      </w:r>
      <w:r>
        <w:rPr>
          <w:rFonts w:ascii="Times New Roman" w:cs="Times New Roman" w:eastAsia="Times New Roman" w:hAnsi="Times New Roman"/>
          <w:sz w:val="22"/>
          <w:szCs w:val="22"/>
          <w:color w:val="auto"/>
        </w:rPr>
        <w:t>” means active pharmaceutical ingredient.</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b w:val="1"/>
          <w:bCs w:val="1"/>
          <w:color w:val="auto"/>
        </w:rPr>
        <w:t>AstraZeneca</w:t>
      </w:r>
      <w:r>
        <w:rPr>
          <w:rFonts w:ascii="Times New Roman" w:cs="Times New Roman" w:eastAsia="Times New Roman" w:hAnsi="Times New Roman"/>
          <w:sz w:val="22"/>
          <w:szCs w:val="22"/>
          <w:color w:val="auto"/>
        </w:rPr>
        <w:t>” has the meaning set forth in the preamble hereto.</w:t>
      </w:r>
    </w:p>
    <w:p>
      <w:pPr>
        <w:spacing w:after="0" w:line="1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AstraZeneca Hourly Rate</w:t>
      </w:r>
      <w:r>
        <w:rPr>
          <w:rFonts w:ascii="Times New Roman" w:cs="Times New Roman" w:eastAsia="Times New Roman" w:hAnsi="Times New Roman"/>
          <w:sz w:val="21"/>
          <w:szCs w:val="21"/>
          <w:color w:val="auto"/>
        </w:rPr>
        <w:t>” means an hourly rate of [***] United States Dollars for AstraZeneca personnel.</w:t>
      </w:r>
    </w:p>
    <w:p>
      <w:pPr>
        <w:spacing w:after="0" w:line="220"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AZ’s Global Ethical Interactions Policy</w:t>
      </w:r>
      <w:r>
        <w:rPr>
          <w:rFonts w:ascii="Times New Roman" w:cs="Times New Roman" w:eastAsia="Times New Roman" w:hAnsi="Times New Roman"/>
          <w:sz w:val="22"/>
          <w:szCs w:val="22"/>
          <w:color w:val="auto"/>
        </w:rPr>
        <w:t>” means AstraZeneca’s “Ethical Interactions &amp; Anti-Bribery/Anti-</w:t>
      </w:r>
    </w:p>
    <w:p>
      <w:pPr>
        <w:spacing w:after="0" w:line="18" w:lineRule="exact"/>
        <w:rPr>
          <w:sz w:val="20"/>
          <w:szCs w:val="20"/>
          <w:color w:val="auto"/>
        </w:rPr>
      </w:pPr>
    </w:p>
    <w:p>
      <w:pPr>
        <w:ind w:left="740" w:right="60"/>
        <w:spacing w:after="0" w:line="237" w:lineRule="auto"/>
        <w:rPr>
          <w:sz w:val="20"/>
          <w:szCs w:val="20"/>
          <w:color w:val="auto"/>
        </w:rPr>
      </w:pPr>
      <w:r>
        <w:rPr>
          <w:rFonts w:ascii="Times New Roman" w:cs="Times New Roman" w:eastAsia="Times New Roman" w:hAnsi="Times New Roman"/>
          <w:sz w:val="22"/>
          <w:szCs w:val="22"/>
          <w:color w:val="auto"/>
        </w:rPr>
        <w:t>Corruption Policy”, as available on AstraZeneca’s website at https://www.astrazeneca.com/content/dam/az/PDF/Ethical-Interactions-Policy.pdf from time to time.</w:t>
      </w:r>
    </w:p>
    <w:p>
      <w:pPr>
        <w:spacing w:after="0" w:line="188"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Auditor</w:t>
      </w:r>
      <w:r>
        <w:rPr>
          <w:rFonts w:ascii="Times New Roman" w:cs="Times New Roman" w:eastAsia="Times New Roman" w:hAnsi="Times New Roman"/>
          <w:sz w:val="21"/>
          <w:szCs w:val="21"/>
          <w:color w:val="auto"/>
        </w:rPr>
        <w:t>” has the meaning set forth in Section 8.14.</w:t>
      </w:r>
    </w:p>
    <w:p>
      <w:pPr>
        <w:spacing w:after="0" w:line="220"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Breaching Party</w:t>
      </w:r>
      <w:r>
        <w:rPr>
          <w:rFonts w:ascii="Times New Roman" w:cs="Times New Roman" w:eastAsia="Times New Roman" w:hAnsi="Times New Roman"/>
          <w:sz w:val="21"/>
          <w:szCs w:val="21"/>
          <w:color w:val="auto"/>
        </w:rPr>
        <w:t>” has the meaning set forth in Section 14.2.1.</w:t>
      </w:r>
    </w:p>
    <w:p>
      <w:pPr>
        <w:spacing w:after="0" w:line="193" w:lineRule="exact"/>
        <w:rPr>
          <w:sz w:val="20"/>
          <w:szCs w:val="20"/>
          <w:color w:val="auto"/>
        </w:rPr>
      </w:pPr>
    </w:p>
    <w:p>
      <w:pPr>
        <w:jc w:val="both"/>
        <w:ind w:left="720" w:right="20" w:hanging="723"/>
        <w:spacing w:after="0" w:line="256" w:lineRule="auto"/>
        <w:tabs>
          <w:tab w:leader="none" w:pos="70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means the assets, business, operations and activities of Developing and Manufacturing the Compounds and includes any other actions taken in furtherance of the Business.</w:t>
      </w:r>
    </w:p>
    <w:p>
      <w:pPr>
        <w:jc w:val="both"/>
        <w:ind w:left="720" w:right="20" w:hanging="722"/>
        <w:spacing w:after="0" w:line="262" w:lineRule="auto"/>
        <w:tabs>
          <w:tab w:leader="none" w:pos="70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a Saturday or Sunday or a day on which banking institutions in London or Stockholm, Sweden are permitted or required to be closed.</w:t>
      </w:r>
    </w:p>
    <w:p>
      <w:pPr>
        <w:spacing w:after="0" w:line="163" w:lineRule="exact"/>
        <w:rPr>
          <w:sz w:val="20"/>
          <w:szCs w:val="20"/>
          <w:color w:val="auto"/>
        </w:rPr>
      </w:pPr>
    </w:p>
    <w:p>
      <w:pPr>
        <w:jc w:val="both"/>
        <w:ind w:left="720" w:right="20" w:hanging="723"/>
        <w:spacing w:after="0" w:line="241" w:lineRule="auto"/>
        <w:tabs>
          <w:tab w:leader="none" w:pos="70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Calculation Agent</w:t>
      </w:r>
      <w:r>
        <w:rPr>
          <w:rFonts w:ascii="Times New Roman" w:cs="Times New Roman" w:eastAsia="Times New Roman" w:hAnsi="Times New Roman"/>
          <w:sz w:val="22"/>
          <w:szCs w:val="22"/>
          <w:color w:val="auto"/>
        </w:rPr>
        <w:t>” means the auditors (from time to time) of the Company or, if they are unwilling or unable to act, an independent firm of chartered accountants (of international repute) as the parties shall agree (or, if they are unable to reach agreement within [***] of a notice to agree being served by either party on the other, as determined by the [***] on the [***]);</w:t>
      </w:r>
    </w:p>
    <w:p>
      <w:pPr>
        <w:spacing w:after="0" w:line="185" w:lineRule="exact"/>
        <w:rPr>
          <w:sz w:val="20"/>
          <w:szCs w:val="20"/>
          <w:color w:val="auto"/>
        </w:rPr>
      </w:pPr>
    </w:p>
    <w:p>
      <w:pPr>
        <w:jc w:val="both"/>
        <w:ind w:left="720" w:hanging="723"/>
        <w:spacing w:after="0" w:line="246" w:lineRule="auto"/>
        <w:tabs>
          <w:tab w:leader="none" w:pos="70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each successive period of three (3) calendar months commencing on 1 January, 1 April, 1 July and 1 October, except that the first Calendar Quarter of the Term shall commence on the Effective Date and end on the day immediately prior to the first to occur of 1 January, 1 April, 1 July or 1 October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713740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173" w:name="page174"/>
    <w:bookmarkEnd w:id="173"/>
    <w:p>
      <w:pPr>
        <w:spacing w:after="0" w:line="1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Effective Date and the last Calendar Quarter shall end on the last day of the Term.</w:t>
      </w:r>
    </w:p>
    <w:p>
      <w:pPr>
        <w:spacing w:after="0" w:line="189" w:lineRule="exact"/>
        <w:rPr>
          <w:sz w:val="20"/>
          <w:szCs w:val="20"/>
          <w:color w:val="auto"/>
        </w:rPr>
      </w:pPr>
    </w:p>
    <w:p>
      <w:pPr>
        <w:jc w:val="both"/>
        <w:ind w:left="720" w:right="20" w:hanging="723"/>
        <w:spacing w:after="0" w:line="241" w:lineRule="auto"/>
        <w:tabs>
          <w:tab w:leader="none" w:pos="70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each successive period of twelve (12) calendar months commencing on 1 January and ending on 31 December, except that the first Calendar Year of the Term shall commence on the Effective Date and end on 31 December of the year in which the Effective Date occurs and the last Calendar Year of the Term shall commence on 1 January of the year in which the Term ends and end on the last day of the Term.</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Clinical Trial</w:t>
      </w:r>
      <w:r>
        <w:rPr>
          <w:rFonts w:ascii="Times New Roman" w:cs="Times New Roman" w:eastAsia="Times New Roman" w:hAnsi="Times New Roman"/>
          <w:sz w:val="21"/>
          <w:szCs w:val="21"/>
          <w:color w:val="auto"/>
        </w:rPr>
        <w:t>” means any [***], [***] and/or variations or subsets of such trials</w:t>
      </w:r>
      <w:r>
        <w:rPr>
          <w:rFonts w:ascii="Times New Roman" w:cs="Times New Roman" w:eastAsia="Times New Roman" w:hAnsi="Times New Roman"/>
          <w:sz w:val="21"/>
          <w:szCs w:val="21"/>
          <w:b w:val="1"/>
          <w:bCs w:val="1"/>
          <w:color w:val="auto"/>
        </w:rPr>
        <w:t>.</w:t>
      </w:r>
    </w:p>
    <w:p>
      <w:pPr>
        <w:spacing w:after="0" w:line="220" w:lineRule="exact"/>
        <w:rPr>
          <w:sz w:val="20"/>
          <w:szCs w:val="20"/>
          <w:color w:val="auto"/>
        </w:rPr>
      </w:pPr>
    </w:p>
    <w:p>
      <w:pPr>
        <w:jc w:val="both"/>
        <w:ind w:left="720" w:right="20" w:hanging="723"/>
        <w:spacing w:after="0" w:line="246" w:lineRule="auto"/>
        <w:tabs>
          <w:tab w:leader="none" w:pos="70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(a) a single Product in finished form that is comprised of or contains a Compound as an API together with one (1) or more other APIs and is sold [***]; (b) any Product [***]; or (c) any Product [***] (i.e. where a Product [***]), to the extent not described in (a) or (b).</w:t>
      </w:r>
    </w:p>
    <w:p>
      <w:pPr>
        <w:spacing w:after="0" w:line="181" w:lineRule="exact"/>
        <w:rPr>
          <w:sz w:val="20"/>
          <w:szCs w:val="20"/>
          <w:color w:val="auto"/>
        </w:rPr>
      </w:pPr>
    </w:p>
    <w:p>
      <w:pPr>
        <w:jc w:val="both"/>
        <w:ind w:left="720" w:right="20" w:hanging="723"/>
        <w:spacing w:after="0" w:line="262" w:lineRule="auto"/>
        <w:tabs>
          <w:tab w:leader="none" w:pos="70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Commencement</w:t>
      </w:r>
      <w:r>
        <w:rPr>
          <w:rFonts w:ascii="Times New Roman" w:cs="Times New Roman" w:eastAsia="Times New Roman" w:hAnsi="Times New Roman"/>
          <w:sz w:val="22"/>
          <w:szCs w:val="22"/>
          <w:color w:val="auto"/>
        </w:rPr>
        <w:t>” means, in relation to a Clinical Trial, the first dosing of the first patient participating in such Clinical Trial.</w:t>
      </w:r>
    </w:p>
    <w:p>
      <w:pPr>
        <w:spacing w:after="0" w:line="150" w:lineRule="exact"/>
        <w:rPr>
          <w:sz w:val="20"/>
          <w:szCs w:val="20"/>
          <w:color w:val="auto"/>
        </w:rPr>
      </w:pPr>
    </w:p>
    <w:p>
      <w:pPr>
        <w:jc w:val="both"/>
        <w:ind w:left="720" w:right="20" w:hanging="723"/>
        <w:spacing w:after="0" w:line="252" w:lineRule="auto"/>
        <w:tabs>
          <w:tab w:leader="none" w:pos="70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Commercialization</w:t>
      </w:r>
      <w:r>
        <w:rPr>
          <w:rFonts w:ascii="Times New Roman" w:cs="Times New Roman" w:eastAsia="Times New Roman" w:hAnsi="Times New Roman"/>
          <w:sz w:val="21"/>
          <w:szCs w:val="21"/>
          <w:color w:val="auto"/>
        </w:rPr>
        <w:t>” means any and all activities directed to the launch of, offering for sale of or sale of a Product, including activities related to marketing, promoting, detailing, distributing, Manufacturing, importing, exporting, offering to sell or selling such Product, interacting with Regulatory Authorities regarding any of the foregoing and seeking pricing or reimbursement approvals (as applicable). When used as a verb, “to Commercialize” and “Commercializing” means to engage in Commercialization and “Commercialized” has a corresponding meaning.</w:t>
      </w:r>
    </w:p>
    <w:p>
      <w:pPr>
        <w:spacing w:after="0" w:line="163" w:lineRule="exact"/>
        <w:rPr>
          <w:sz w:val="20"/>
          <w:szCs w:val="20"/>
          <w:color w:val="auto"/>
        </w:rPr>
      </w:pPr>
    </w:p>
    <w:p>
      <w:pPr>
        <w:jc w:val="both"/>
        <w:ind w:left="720" w:hanging="723"/>
        <w:spacing w:after="0" w:line="247" w:lineRule="auto"/>
        <w:tabs>
          <w:tab w:leader="none" w:pos="70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Commercially Reasonable Efforts</w:t>
      </w:r>
      <w:r>
        <w:rPr>
          <w:rFonts w:ascii="Times New Roman" w:cs="Times New Roman" w:eastAsia="Times New Roman" w:hAnsi="Times New Roman"/>
          <w:sz w:val="21"/>
          <w:szCs w:val="21"/>
          <w:color w:val="auto"/>
        </w:rPr>
        <w:t>” means, with respect to the performance of Development or Commercialization activities with respect to a Compound or a Product by Mereo, the carrying out of such activities using efforts and resources comparable to the efforts and resources used by an entity that is comparable and similarly situated to Mereo in the research-based bio-pharmaceutical industry for compounds or products of similar market potential at a similar stage in development or product life taking into account mechanism of action, product profile, efficacy, safety, actual or anticipated Regulatory Authority approved labelling, the nature and extent of market exclusivity (including patent coverage, proprietary position and regulatory exclusivity), competitiveness of alternative products in the marketplace, costs, time required for and likelihood of obtaining Regulatory Approval given the regulatory structure involved, product profitability, and other relevant factors commonly considered in similar circumstances.</w:t>
      </w:r>
    </w:p>
    <w:p>
      <w:pPr>
        <w:spacing w:after="0" w:line="180" w:lineRule="exact"/>
        <w:rPr>
          <w:sz w:val="20"/>
          <w:szCs w:val="20"/>
          <w:color w:val="auto"/>
        </w:rPr>
      </w:pPr>
    </w:p>
    <w:p>
      <w:pPr>
        <w:jc w:val="both"/>
        <w:ind w:left="720" w:right="20" w:hanging="723"/>
        <w:spacing w:after="0" w:line="262" w:lineRule="auto"/>
        <w:tabs>
          <w:tab w:leader="none" w:pos="70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Competitive Product</w:t>
      </w:r>
      <w:r>
        <w:rPr>
          <w:rFonts w:ascii="Times New Roman" w:cs="Times New Roman" w:eastAsia="Times New Roman" w:hAnsi="Times New Roman"/>
          <w:sz w:val="22"/>
          <w:szCs w:val="22"/>
          <w:color w:val="auto"/>
        </w:rPr>
        <w:t>” means any neutrophil elastase inhibitors for the treatment of: Alpha-1 Antitrypsin Deficiency</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jc w:val="both"/>
        <w:ind w:left="720" w:right="20" w:hanging="723"/>
        <w:spacing w:after="0" w:line="262" w:lineRule="auto"/>
        <w:tabs>
          <w:tab w:leader="none" w:pos="70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Compound</w:t>
      </w:r>
      <w:r>
        <w:rPr>
          <w:rFonts w:ascii="Times New Roman" w:cs="Times New Roman" w:eastAsia="Times New Roman" w:hAnsi="Times New Roman"/>
          <w:sz w:val="22"/>
          <w:szCs w:val="22"/>
          <w:color w:val="auto"/>
        </w:rPr>
        <w:t>” means (a) (i) the pharmaceutical compound known as AZD9668, which is a neutrophil elastase inhibitor (the “</w:t>
      </w:r>
      <w:r>
        <w:rPr>
          <w:rFonts w:ascii="Times New Roman" w:cs="Times New Roman" w:eastAsia="Times New Roman" w:hAnsi="Times New Roman"/>
          <w:sz w:val="22"/>
          <w:szCs w:val="22"/>
          <w:b w:val="1"/>
          <w:bCs w:val="1"/>
          <w:color w:val="auto"/>
        </w:rPr>
        <w:t>9668 Compound</w:t>
      </w:r>
      <w:r>
        <w:rPr>
          <w:rFonts w:ascii="Times New Roman" w:cs="Times New Roman" w:eastAsia="Times New Roman" w:hAnsi="Times New Roman"/>
          <w:sz w:val="22"/>
          <w:szCs w:val="22"/>
          <w:color w:val="auto"/>
        </w:rPr>
        <w:t>”) [***] and (b) any [***] of (a).</w:t>
      </w:r>
    </w:p>
    <w:p>
      <w:pPr>
        <w:spacing w:after="0" w:line="1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has the meaning set forth in Section 10.1.</w:t>
      </w:r>
    </w:p>
    <w:p>
      <w:pPr>
        <w:spacing w:after="0" w:line="193" w:lineRule="exact"/>
        <w:rPr>
          <w:sz w:val="20"/>
          <w:szCs w:val="20"/>
          <w:color w:val="auto"/>
        </w:rPr>
      </w:pPr>
    </w:p>
    <w:p>
      <w:pPr>
        <w:jc w:val="both"/>
        <w:ind w:left="720" w:right="20" w:hanging="723"/>
        <w:spacing w:after="0" w:line="246" w:lineRule="auto"/>
        <w:tabs>
          <w:tab w:leader="none" w:pos="70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(as applicable) means, with respect to any item of Information, Regulatory Documentation, material, Patent, Know-How or other intellectual property right, possession of the right of a Party or its Affiliates,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713740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174" w:name="page175"/>
    <w:bookmarkEnd w:id="174"/>
    <w:p>
      <w:pPr>
        <w:spacing w:after="0" w:line="117" w:lineRule="exact"/>
        <w:rPr>
          <w:sz w:val="20"/>
          <w:szCs w:val="20"/>
          <w:color w:val="auto"/>
        </w:rPr>
      </w:pPr>
    </w:p>
    <w:p>
      <w:pPr>
        <w:jc w:val="both"/>
        <w:ind w:left="720"/>
        <w:spacing w:after="0" w:line="236" w:lineRule="auto"/>
        <w:rPr>
          <w:sz w:val="20"/>
          <w:szCs w:val="20"/>
          <w:color w:val="auto"/>
        </w:rPr>
      </w:pPr>
      <w:r>
        <w:rPr>
          <w:rFonts w:ascii="Times New Roman" w:cs="Times New Roman" w:eastAsia="Times New Roman" w:hAnsi="Times New Roman"/>
          <w:sz w:val="22"/>
          <w:szCs w:val="22"/>
          <w:color w:val="auto"/>
        </w:rPr>
        <w:t>directly or indirectly and whether by ownership, license or otherwise (other than by operation of the license and other grants in Section 2.1), to grant to the other Party a license, sublicense, access or other right (including the right to reference Regulatory Documentation) to or under such Information, Regulatory Documentation, Patent or other intellectual property right as provided for herein without violating the terms of any agreement with any Third Party in existence as of the time such Party or its Affiliates would first be required hereunder to grant the other Party such license, sublicense, access or other right.</w:t>
      </w:r>
    </w:p>
    <w:p>
      <w:pPr>
        <w:spacing w:after="0" w:line="191"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Controlling Party</w:t>
      </w:r>
      <w:r>
        <w:rPr>
          <w:rFonts w:ascii="Times New Roman" w:cs="Times New Roman" w:eastAsia="Times New Roman" w:hAnsi="Times New Roman"/>
          <w:sz w:val="21"/>
          <w:szCs w:val="21"/>
          <w:color w:val="auto"/>
        </w:rPr>
        <w:t>” has the meaning set forth in Section 9.5.</w:t>
      </w:r>
    </w:p>
    <w:p>
      <w:pPr>
        <w:spacing w:after="0" w:line="220" w:lineRule="exact"/>
        <w:rPr>
          <w:sz w:val="20"/>
          <w:szCs w:val="20"/>
          <w:color w:val="auto"/>
        </w:rPr>
      </w:pPr>
    </w:p>
    <w:p>
      <w:pPr>
        <w:jc w:val="both"/>
        <w:ind w:left="720" w:right="20" w:hanging="723"/>
        <w:spacing w:after="0" w:line="263" w:lineRule="auto"/>
        <w:tabs>
          <w:tab w:leader="none" w:pos="70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Currency Conversion Policy</w:t>
      </w:r>
      <w:r>
        <w:rPr>
          <w:rFonts w:ascii="Times New Roman" w:cs="Times New Roman" w:eastAsia="Times New Roman" w:hAnsi="Times New Roman"/>
          <w:sz w:val="21"/>
          <w:szCs w:val="21"/>
          <w:color w:val="auto"/>
        </w:rPr>
        <w:t>” means Mereo’s, its Affiliate’s or Sublicensee’s, as applicable, standard currency conversion policy from time to time, consistent with Accounting Standards and IAS 21 (The Effects of Changes in Foreign Exchange Rates) and which is consistently applied across Mereo, its Affiliates or Sublicencee, as applicable.</w:t>
      </w:r>
    </w:p>
    <w:p>
      <w:pPr>
        <w:spacing w:after="0" w:line="165" w:lineRule="exact"/>
        <w:rPr>
          <w:sz w:val="20"/>
          <w:szCs w:val="20"/>
          <w:color w:val="auto"/>
        </w:rPr>
      </w:pPr>
    </w:p>
    <w:p>
      <w:pPr>
        <w:jc w:val="both"/>
        <w:ind w:left="720" w:hanging="723"/>
        <w:spacing w:after="0" w:line="236" w:lineRule="auto"/>
        <w:tabs>
          <w:tab w:leader="none" w:pos="700" w:val="left"/>
        </w:tabs>
        <w:rPr>
          <w:sz w:val="20"/>
          <w:szCs w:val="20"/>
          <w:color w:val="auto"/>
        </w:rPr>
      </w:pPr>
      <w:r>
        <w:rPr>
          <w:rFonts w:ascii="Times New Roman" w:cs="Times New Roman" w:eastAsia="Times New Roman" w:hAnsi="Times New Roman"/>
          <w:sz w:val="22"/>
          <w:szCs w:val="22"/>
          <w:color w:val="auto"/>
        </w:rPr>
        <w:t>1.30</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all drug development activities, including those related to research, pre-clinical and other non-clinical testing, test method development and stability testing, toxicology, assay development and audit development formulation, process development, manufacturing scale-up, qualification and validation, quality assurance/quality control, clinical studies, including Manufacturing in support thereof, statistical analysis and report writing, the preparation, submission and prosecution of Drug Approval Applications, regulatory affairs with respect to the foregoing, packaging development and all other activities necessary or reasonably useful or otherwise requested or required by a Regulatory Authority as a condition or in support of obtaining</w:t>
      </w:r>
    </w:p>
    <w:p>
      <w:pPr>
        <w:spacing w:after="0" w:line="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or maintaining a Regulatory Approval. When used as a verb, “Develop” means to engage in Development.</w:t>
      </w:r>
    </w:p>
    <w:p>
      <w:pPr>
        <w:spacing w:after="0" w:line="175" w:lineRule="exact"/>
        <w:rPr>
          <w:sz w:val="20"/>
          <w:szCs w:val="20"/>
          <w:color w:val="auto"/>
        </w:rPr>
      </w:pPr>
    </w:p>
    <w:p>
      <w:pPr>
        <w:jc w:val="both"/>
        <w:ind w:left="720" w:right="20" w:hanging="723"/>
        <w:spacing w:after="0" w:line="262" w:lineRule="auto"/>
        <w:tabs>
          <w:tab w:leader="none" w:pos="70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 Report Period</w:t>
      </w:r>
      <w:r>
        <w:rPr>
          <w:rFonts w:ascii="Times New Roman" w:cs="Times New Roman" w:eastAsia="Times New Roman" w:hAnsi="Times New Roman"/>
          <w:sz w:val="22"/>
          <w:szCs w:val="22"/>
          <w:color w:val="auto"/>
        </w:rPr>
        <w:t>” means, on a Product-by-Product basis, the period commencing on the Effective Date and expiring on Mereo’s cessation of Development for such Product.</w:t>
      </w:r>
    </w:p>
    <w:p>
      <w:pPr>
        <w:spacing w:after="0" w:line="163"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has the meaning set forth in Section 16.6.1.</w:t>
      </w:r>
    </w:p>
    <w:p>
      <w:pPr>
        <w:spacing w:after="0" w:line="19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Dollars</w:t>
      </w:r>
      <w:r>
        <w:rPr>
          <w:rFonts w:ascii="Times New Roman" w:cs="Times New Roman" w:eastAsia="Times New Roman" w:hAnsi="Times New Roman"/>
          <w:sz w:val="21"/>
          <w:szCs w:val="21"/>
          <w:color w:val="auto"/>
        </w:rPr>
        <w:t>” or “$” means United States Dollars.</w:t>
      </w:r>
    </w:p>
    <w:p>
      <w:pPr>
        <w:spacing w:after="0" w:line="220" w:lineRule="exact"/>
        <w:rPr>
          <w:sz w:val="20"/>
          <w:szCs w:val="20"/>
          <w:color w:val="auto"/>
        </w:rPr>
      </w:pPr>
    </w:p>
    <w:p>
      <w:pPr>
        <w:jc w:val="both"/>
        <w:ind w:left="720" w:right="20" w:hanging="723"/>
        <w:spacing w:after="0" w:line="241" w:lineRule="auto"/>
        <w:tabs>
          <w:tab w:leader="none" w:pos="70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Drug Approval Application</w:t>
      </w:r>
      <w:r>
        <w:rPr>
          <w:rFonts w:ascii="Times New Roman" w:cs="Times New Roman" w:eastAsia="Times New Roman" w:hAnsi="Times New Roman"/>
          <w:sz w:val="22"/>
          <w:szCs w:val="22"/>
          <w:color w:val="auto"/>
        </w:rPr>
        <w:t>” means a New Drug Application as defined in the FFDCA or any corresponding foreign application in the Territory, including, with respect to the European Union, a Marketing Authorization Application filed with the EMA pursuant to the centralized approval procedure or with the applicable Regulatory Authority of a country in Europe with respect to the mutual recognition or any other national approval.</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has the meaning set forth in the preamble hereto.</w:t>
      </w:r>
    </w:p>
    <w:p>
      <w:pPr>
        <w:spacing w:after="0" w:line="2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and any successor agency thereto.</w:t>
      </w:r>
    </w:p>
    <w:p>
      <w:pPr>
        <w:spacing w:after="0" w:line="220"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Enforcing Party</w:t>
      </w:r>
      <w:r>
        <w:rPr>
          <w:rFonts w:ascii="Times New Roman" w:cs="Times New Roman" w:eastAsia="Times New Roman" w:hAnsi="Times New Roman"/>
          <w:sz w:val="21"/>
          <w:szCs w:val="21"/>
          <w:color w:val="auto"/>
        </w:rPr>
        <w:t>” has the meaning set forth in Section 9.3.2.</w:t>
      </w:r>
    </w:p>
    <w:p>
      <w:pPr>
        <w:spacing w:after="0" w:line="233" w:lineRule="exact"/>
        <w:rPr>
          <w:sz w:val="20"/>
          <w:szCs w:val="20"/>
          <w:color w:val="auto"/>
        </w:rPr>
      </w:pPr>
    </w:p>
    <w:p>
      <w:pPr>
        <w:ind w:left="720" w:right="40" w:hanging="722"/>
        <w:spacing w:after="0" w:line="262" w:lineRule="auto"/>
        <w:tabs>
          <w:tab w:leader="none" w:pos="700" w:val="left"/>
        </w:tabs>
        <w:rPr>
          <w:sz w:val="20"/>
          <w:szCs w:val="20"/>
          <w:color w:val="auto"/>
        </w:rPr>
      </w:pPr>
      <w:r>
        <w:rPr>
          <w:rFonts w:ascii="Times New Roman" w:cs="Times New Roman" w:eastAsia="Times New Roman" w:hAnsi="Times New Roman"/>
          <w:sz w:val="22"/>
          <w:szCs w:val="22"/>
          <w:color w:val="auto"/>
        </w:rPr>
        <w:t>1.38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European Union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EU</w:t>
      </w:r>
      <w:r>
        <w:rPr>
          <w:rFonts w:ascii="Times New Roman" w:cs="Times New Roman" w:eastAsia="Times New Roman" w:hAnsi="Times New Roman"/>
          <w:sz w:val="22"/>
          <w:szCs w:val="22"/>
          <w:color w:val="auto"/>
        </w:rPr>
        <w:t>” means the economic, scientific and political organization of member states as it may be constituted as at the Effective Date. For clarity,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702310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175" w:name="page176"/>
    <w:bookmarkEnd w:id="175"/>
    <w:p>
      <w:pPr>
        <w:spacing w:after="0" w:line="1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European Union, as at the Effective Date, includes the United Kingdom.</w:t>
      </w:r>
    </w:p>
    <w:p>
      <w:pPr>
        <w:spacing w:after="0" w:line="229" w:lineRule="exact"/>
        <w:rPr>
          <w:sz w:val="20"/>
          <w:szCs w:val="20"/>
          <w:color w:val="auto"/>
        </w:rPr>
      </w:pPr>
    </w:p>
    <w:p>
      <w:pPr>
        <w:jc w:val="both"/>
        <w:ind w:left="720" w:hanging="723"/>
        <w:spacing w:after="0" w:line="246" w:lineRule="auto"/>
        <w:tabs>
          <w:tab w:leader="none" w:pos="70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means to make, have made, import, use, sell or offer for sale, including to research, Develop, Commercialize, register, Manufacture, have Manufactured, hold or keep (whether for disposal or otherwise), have used, export, transport, distribute, promote, market or have sold or otherwise dispose of.</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Exploitation</w:t>
      </w:r>
      <w:r>
        <w:rPr>
          <w:rFonts w:ascii="Times New Roman" w:cs="Times New Roman" w:eastAsia="Times New Roman" w:hAnsi="Times New Roman"/>
          <w:sz w:val="21"/>
          <w:szCs w:val="21"/>
          <w:color w:val="auto"/>
        </w:rPr>
        <w:t>” means the act of Exploiting a compound, product or process.</w:t>
      </w:r>
    </w:p>
    <w:p>
      <w:pPr>
        <w:spacing w:after="0" w:line="220" w:lineRule="exact"/>
        <w:rPr>
          <w:sz w:val="20"/>
          <w:szCs w:val="20"/>
          <w:color w:val="auto"/>
        </w:rPr>
      </w:pPr>
    </w:p>
    <w:p>
      <w:pPr>
        <w:jc w:val="both"/>
        <w:ind w:left="720" w:hanging="723"/>
        <w:spacing w:after="0" w:line="241" w:lineRule="auto"/>
        <w:tabs>
          <w:tab w:leader="none" w:pos="70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with respect to any property on any date, the fair market value of that property as determined by the Calculation Agent, provided that the fair market value of a cash dividend paid or to be paid per Ordinary Share shall be the amount of such cash dividend per Ordinary Share determined as at the date of announcement of such dividend;</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and any successor agency thereto.</w:t>
      </w:r>
    </w:p>
    <w:p>
      <w:pPr>
        <w:spacing w:after="0" w:line="206" w:lineRule="exact"/>
        <w:rPr>
          <w:sz w:val="20"/>
          <w:szCs w:val="20"/>
          <w:color w:val="auto"/>
        </w:rPr>
      </w:pPr>
    </w:p>
    <w:p>
      <w:pPr>
        <w:jc w:val="both"/>
        <w:ind w:left="720" w:hanging="723"/>
        <w:spacing w:after="0" w:line="246" w:lineRule="auto"/>
        <w:tabs>
          <w:tab w:leader="none" w:pos="70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FFDCA</w:t>
      </w:r>
      <w:r>
        <w:rPr>
          <w:rFonts w:ascii="Times New Roman" w:cs="Times New Roman" w:eastAsia="Times New Roman" w:hAnsi="Times New Roman"/>
          <w:sz w:val="22"/>
          <w:szCs w:val="22"/>
          <w:color w:val="auto"/>
        </w:rPr>
        <w:t>” means the United States Food, Drug, and Cosmetic Act, as amended from time to time, together with any rules, regulations and requirements promulgated thereunder (including all additions, supplements, extensions and modifications thereto).</w:t>
      </w:r>
    </w:p>
    <w:p>
      <w:pPr>
        <w:spacing w:after="0" w:line="16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Field</w:t>
      </w:r>
      <w:r>
        <w:rPr>
          <w:rFonts w:ascii="Times New Roman" w:cs="Times New Roman" w:eastAsia="Times New Roman" w:hAnsi="Times New Roman"/>
          <w:sz w:val="21"/>
          <w:szCs w:val="21"/>
          <w:color w:val="auto"/>
        </w:rPr>
        <w:t>” means all diagnostic, prophylactic and therapeutic uses in humans and animals.</w:t>
      </w:r>
    </w:p>
    <w:p>
      <w:pPr>
        <w:spacing w:after="0" w:line="193" w:lineRule="exact"/>
        <w:rPr>
          <w:sz w:val="20"/>
          <w:szCs w:val="20"/>
          <w:color w:val="auto"/>
        </w:rPr>
      </w:pPr>
    </w:p>
    <w:p>
      <w:pPr>
        <w:jc w:val="both"/>
        <w:ind w:left="720" w:hanging="723"/>
        <w:spacing w:after="0" w:line="237" w:lineRule="auto"/>
        <w:tabs>
          <w:tab w:leader="none" w:pos="70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on a Product-by-Product and country-by-country basis, the first invoiced sale by Mereo or an Affiliate of Mereo or a Sublicensee to a Third Party for monetary value for use or consumption by the end user of such Product in such country after Regulatory Approval for such Product has been obtained in such country. Sales or transfers prior to receipt of Regulatory Approval for such Product for research, use pursuant to a treatment IND, proof of concept studies or other clinical trial purposes, or for compassionate, named patient or other similar use, shall not be considered a First Commercial Sale.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1.45A “[***]” has the meaning set forth in clause 1.2 of the Subscription Deed.</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1.45</w:t>
      </w:r>
      <w:r>
        <w:rPr>
          <w:sz w:val="20"/>
          <w:szCs w:val="20"/>
          <w:color w:val="auto"/>
        </w:rPr>
        <w:tab/>
      </w:r>
      <w:r>
        <w:rPr>
          <w:rFonts w:ascii="Times New Roman" w:cs="Times New Roman" w:eastAsia="Times New Roman" w:hAnsi="Times New Roman"/>
          <w:sz w:val="21"/>
          <w:szCs w:val="21"/>
          <w:color w:val="auto"/>
        </w:rPr>
        <w:t>B “[***]” has the meaning set forth in clause 1.2 of the Subscription Deed.</w:t>
      </w:r>
    </w:p>
    <w:p>
      <w:pPr>
        <w:spacing w:after="0" w:line="2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1.46</w:t>
      </w:r>
      <w:r>
        <w:rPr>
          <w:sz w:val="20"/>
          <w:szCs w:val="20"/>
          <w:color w:val="auto"/>
        </w:rPr>
        <w:tab/>
      </w:r>
      <w:r>
        <w:rPr>
          <w:rFonts w:ascii="Times New Roman" w:cs="Times New Roman" w:eastAsia="Times New Roman" w:hAnsi="Times New Roman"/>
          <w:sz w:val="21"/>
          <w:szCs w:val="21"/>
          <w:color w:val="auto"/>
        </w:rPr>
        <w:t>[***] means the [***] of [***] following [***] of [***] of [***] such that the [***]</w:t>
      </w:r>
      <w:r>
        <w:rPr>
          <w:rFonts w:ascii="Times New Roman" w:cs="Times New Roman" w:eastAsia="Times New Roman" w:hAnsi="Times New Roman"/>
          <w:sz w:val="18"/>
          <w:szCs w:val="18"/>
          <w:color w:val="auto"/>
        </w:rPr>
        <w:t>. For the avoidance of doubt this</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does not include [***].</w:t>
      </w:r>
    </w:p>
    <w:p>
      <w:pPr>
        <w:spacing w:after="0" w:line="185" w:lineRule="exact"/>
        <w:rPr>
          <w:sz w:val="20"/>
          <w:szCs w:val="20"/>
          <w:color w:val="auto"/>
        </w:rPr>
      </w:pPr>
    </w:p>
    <w:p>
      <w:pPr>
        <w:jc w:val="both"/>
        <w:ind w:left="720" w:hanging="723"/>
        <w:spacing w:after="0" w:line="237" w:lineRule="auto"/>
        <w:tabs>
          <w:tab w:leader="none" w:pos="700" w:val="left"/>
        </w:tabs>
        <w:rPr>
          <w:sz w:val="20"/>
          <w:szCs w:val="20"/>
          <w:color w:val="auto"/>
        </w:rPr>
      </w:pPr>
      <w:r>
        <w:rPr>
          <w:rFonts w:ascii="Times New Roman" w:cs="Times New Roman" w:eastAsia="Times New Roman" w:hAnsi="Times New Roman"/>
          <w:sz w:val="20"/>
          <w:szCs w:val="20"/>
          <w:color w:val="auto"/>
        </w:rPr>
        <w:t>1.47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Generic Version</w:t>
      </w:r>
      <w:r>
        <w:rPr>
          <w:rFonts w:ascii="Times New Roman" w:cs="Times New Roman" w:eastAsia="Times New Roman" w:hAnsi="Times New Roman"/>
          <w:sz w:val="22"/>
          <w:szCs w:val="22"/>
          <w:color w:val="auto"/>
        </w:rPr>
        <w:t>” means, with respect to [***] a Product, any other prescription pharmaceutical product sold by a Third Party that is not a Sublicensee, or distributor of Mereo, its Affiliate, or their Sublicensees, that (i) contains the same API(s) as such Product, (ii) has the same [***] as such Product and (ii) is “therapeutically equivalent” as evaluated by the FDA, applying the definition of “therapeutically equivalent” set forth in the preface to the FDA’s Orange Book (or, with respect to any country in the Territory outside the United States, is similarly substitutable under equivalent Applicable Law in such country), with respect to such [***], as such Product.</w:t>
      </w:r>
    </w:p>
    <w:p>
      <w:pPr>
        <w:spacing w:after="0" w:line="162" w:lineRule="exact"/>
        <w:rPr>
          <w:sz w:val="20"/>
          <w:szCs w:val="20"/>
          <w:color w:val="auto"/>
        </w:rPr>
      </w:pPr>
    </w:p>
    <w:p>
      <w:pPr>
        <w:jc w:val="both"/>
        <w:ind w:left="720" w:hanging="723"/>
        <w:spacing w:after="0" w:line="246" w:lineRule="auto"/>
        <w:tabs>
          <w:tab w:leader="none" w:pos="700" w:val="left"/>
        </w:tabs>
        <w:rPr>
          <w:sz w:val="20"/>
          <w:szCs w:val="20"/>
          <w:color w:val="auto"/>
        </w:rPr>
      </w:pPr>
      <w:r>
        <w:rPr>
          <w:rFonts w:ascii="Times New Roman" w:cs="Times New Roman" w:eastAsia="Times New Roman" w:hAnsi="Times New Roman"/>
          <w:sz w:val="20"/>
          <w:szCs w:val="20"/>
          <w:color w:val="auto"/>
        </w:rPr>
        <w:t>1.48</w:t>
      </w:r>
      <w:r>
        <w:rPr>
          <w:sz w:val="20"/>
          <w:szCs w:val="20"/>
          <w:color w:val="auto"/>
        </w:rPr>
        <w:tab/>
      </w:r>
      <w:r>
        <w:rPr>
          <w:rFonts w:ascii="Times New Roman" w:cs="Times New Roman" w:eastAsia="Times New Roman" w:hAnsi="Times New Roman"/>
          <w:sz w:val="22"/>
          <w:szCs w:val="22"/>
          <w:b w:val="1"/>
          <w:bCs w:val="1"/>
          <w:color w:val="auto"/>
        </w:rPr>
        <w:t xml:space="preserve">“Government Official” </w:t>
      </w:r>
      <w:r>
        <w:rPr>
          <w:rFonts w:ascii="Times New Roman" w:cs="Times New Roman" w:eastAsia="Times New Roman" w:hAnsi="Times New Roman"/>
          <w:sz w:val="22"/>
          <w:szCs w:val="22"/>
          <w:color w:val="auto"/>
        </w:rPr>
        <w:t>means (a) any Person employed by or acting on behalf of a government, government-controlled agency or entity or public international organization, (b) any political party, party official or candidate, (c) any Person who holds or performs the duties of an appointment, office or position created by custom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713740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176" w:name="page177"/>
    <w:bookmarkEnd w:id="176"/>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convention or (d) any Person who holds himself out to be the authorized intermediary of any of the foregoing.</w:t>
      </w:r>
    </w:p>
    <w:p>
      <w:pPr>
        <w:spacing w:after="0" w:line="216" w:lineRule="exact"/>
        <w:rPr>
          <w:sz w:val="20"/>
          <w:szCs w:val="20"/>
          <w:color w:val="auto"/>
        </w:rPr>
      </w:pPr>
    </w:p>
    <w:p>
      <w:pPr>
        <w:ind w:left="740" w:right="260" w:hanging="719"/>
        <w:spacing w:after="0" w:line="262" w:lineRule="auto"/>
        <w:tabs>
          <w:tab w:leader="none" w:pos="720" w:val="left"/>
        </w:tabs>
        <w:rPr>
          <w:sz w:val="20"/>
          <w:szCs w:val="20"/>
          <w:color w:val="auto"/>
        </w:rPr>
      </w:pPr>
      <w:r>
        <w:rPr>
          <w:rFonts w:ascii="Times New Roman" w:cs="Times New Roman" w:eastAsia="Times New Roman" w:hAnsi="Times New Roman"/>
          <w:sz w:val="20"/>
          <w:szCs w:val="20"/>
          <w:color w:val="auto"/>
        </w:rPr>
        <w:t>1.49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Hatch-Waxman Act</w:t>
      </w:r>
      <w:r>
        <w:rPr>
          <w:rFonts w:ascii="Times New Roman" w:cs="Times New Roman" w:eastAsia="Times New Roman" w:hAnsi="Times New Roman"/>
          <w:sz w:val="22"/>
          <w:szCs w:val="22"/>
          <w:color w:val="auto"/>
        </w:rPr>
        <w:t>” means the U.S. “Drug Price Competition and Patent Term Restoration Act” of 1984, as set forth at 21 U.S.C. §355(b)(2)(A)(iv) or (j)(2)(A)(vii)(IV).</w:t>
      </w:r>
    </w:p>
    <w:p>
      <w:pPr>
        <w:spacing w:after="0" w:line="10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Indemnification Claim Notice</w:t>
      </w:r>
      <w:r>
        <w:rPr>
          <w:rFonts w:ascii="Times New Roman" w:cs="Times New Roman" w:eastAsia="Times New Roman" w:hAnsi="Times New Roman"/>
          <w:sz w:val="21"/>
          <w:szCs w:val="21"/>
          <w:color w:val="auto"/>
        </w:rPr>
        <w:t>” has the meaning set forth in Section 13.3.1.</w:t>
      </w:r>
    </w:p>
    <w:p>
      <w:pPr>
        <w:spacing w:after="0" w:line="231"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has the meaning set forth in Section 13.3.1.</w:t>
      </w:r>
    </w:p>
    <w:p>
      <w:pPr>
        <w:spacing w:after="0" w:line="245" w:lineRule="exact"/>
        <w:rPr>
          <w:sz w:val="20"/>
          <w:szCs w:val="20"/>
          <w:color w:val="auto"/>
        </w:rPr>
      </w:pPr>
    </w:p>
    <w:p>
      <w:pPr>
        <w:ind w:left="700" w:right="420" w:hanging="701"/>
        <w:spacing w:after="0" w:line="262" w:lineRule="auto"/>
        <w:tabs>
          <w:tab w:leader="none" w:pos="68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Indication</w:t>
      </w:r>
      <w:r>
        <w:rPr>
          <w:rFonts w:ascii="Times New Roman" w:cs="Times New Roman" w:eastAsia="Times New Roman" w:hAnsi="Times New Roman"/>
          <w:sz w:val="22"/>
          <w:szCs w:val="22"/>
          <w:color w:val="auto"/>
        </w:rPr>
        <w:t>” means a specific disease or condition for which a Product is designed to diagnose, mitigate, prevent or treat.</w:t>
      </w:r>
    </w:p>
    <w:p>
      <w:pPr>
        <w:spacing w:after="0" w:line="150" w:lineRule="exact"/>
        <w:rPr>
          <w:sz w:val="20"/>
          <w:szCs w:val="20"/>
          <w:color w:val="auto"/>
        </w:rPr>
      </w:pPr>
    </w:p>
    <w:p>
      <w:pPr>
        <w:ind w:left="720" w:right="40" w:hanging="720"/>
        <w:spacing w:after="0" w:line="258" w:lineRule="auto"/>
        <w:tabs>
          <w:tab w:leader="none" w:pos="700"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means all technical, scientific and other know-how and information, trade secrets, knowledge, technology, means, methods, processes, practices, formulae,</w:t>
      </w:r>
    </w:p>
    <w:p>
      <w:pPr>
        <w:jc w:val="both"/>
        <w:ind w:left="740"/>
        <w:spacing w:after="0" w:line="247" w:lineRule="auto"/>
        <w:rPr>
          <w:sz w:val="20"/>
          <w:szCs w:val="20"/>
          <w:color w:val="auto"/>
        </w:rPr>
      </w:pPr>
      <w:r>
        <w:rPr>
          <w:rFonts w:ascii="Times New Roman" w:cs="Times New Roman" w:eastAsia="Times New Roman" w:hAnsi="Times New Roman"/>
          <w:sz w:val="21"/>
          <w:szCs w:val="21"/>
          <w:color w:val="auto"/>
        </w:rPr>
        <w:t>instructions, skills, techniques, procedures, structures, sequences, experiences, ideas, technical assistance, designs, drawings, assembly procedures, computer programs, apparatuses, specifications, data, results and other material, including: biological, chemical, pharmacological, toxicological, pharmaceutical, physical and analytical, preclinical, clinical, safety, manufacturing and quality control data and information, including study designs and protocols, statistical programs including QC programs, clinical study reports, trial master files, assays and biological methodology, in each case (whether or not confidential, proprietary, patented or patentable) in written, electronic or any other form now known or hereafter developed under or in connection with any Transferring Contract, Additional Study or Ongoing Research Agreement which is not assigned to Mereo as of the Effective Date.</w:t>
      </w:r>
    </w:p>
    <w:p>
      <w:pPr>
        <w:spacing w:after="0" w:line="15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Infringement</w:t>
      </w:r>
      <w:r>
        <w:rPr>
          <w:rFonts w:ascii="Times New Roman" w:cs="Times New Roman" w:eastAsia="Times New Roman" w:hAnsi="Times New Roman"/>
          <w:sz w:val="21"/>
          <w:szCs w:val="21"/>
          <w:color w:val="auto"/>
        </w:rPr>
        <w:t>” has the meaning set forth in Section 9.3.1.</w:t>
      </w:r>
    </w:p>
    <w:p>
      <w:pPr>
        <w:spacing w:after="0" w:line="2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1.55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Initiation</w:t>
      </w:r>
      <w:r>
        <w:rPr>
          <w:rFonts w:ascii="Times New Roman" w:cs="Times New Roman" w:eastAsia="Times New Roman" w:hAnsi="Times New Roman"/>
          <w:sz w:val="21"/>
          <w:szCs w:val="21"/>
          <w:color w:val="auto"/>
        </w:rPr>
        <w:t>” means, with respect to a clinical study, the first dosing of the first human subject in such clinical study.</w:t>
      </w:r>
    </w:p>
    <w:p>
      <w:pPr>
        <w:spacing w:after="0" w:line="191" w:lineRule="exact"/>
        <w:rPr>
          <w:sz w:val="20"/>
          <w:szCs w:val="20"/>
          <w:color w:val="auto"/>
        </w:rPr>
      </w:pPr>
    </w:p>
    <w:p>
      <w:pPr>
        <w:ind w:left="720" w:hanging="723"/>
        <w:spacing w:after="0" w:line="262" w:lineRule="auto"/>
        <w:tabs>
          <w:tab w:leader="none" w:pos="700" w:val="left"/>
        </w:tabs>
        <w:rPr>
          <w:sz w:val="20"/>
          <w:szCs w:val="20"/>
          <w:color w:val="auto"/>
        </w:rPr>
      </w:pPr>
      <w:r>
        <w:rPr>
          <w:rFonts w:ascii="Times New Roman" w:cs="Times New Roman" w:eastAsia="Times New Roman" w:hAnsi="Times New Roman"/>
          <w:sz w:val="20"/>
          <w:szCs w:val="20"/>
          <w:color w:val="auto"/>
        </w:rPr>
        <w:t>1.56</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Invention</w:t>
      </w:r>
      <w:r>
        <w:rPr>
          <w:rFonts w:ascii="Times New Roman" w:cs="Times New Roman" w:eastAsia="Times New Roman" w:hAnsi="Times New Roman"/>
          <w:sz w:val="22"/>
          <w:szCs w:val="22"/>
          <w:color w:val="auto"/>
        </w:rPr>
        <w:t xml:space="preserve"> ” means any invention, Information, discovery, development or modification, whether or not patented or patentable, .</w:t>
      </w:r>
    </w:p>
    <w:p>
      <w:pPr>
        <w:spacing w:after="0" w:line="17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1.57</w:t>
      </w:r>
      <w:r>
        <w:rPr>
          <w:sz w:val="20"/>
          <w:szCs w:val="20"/>
          <w:color w:val="auto"/>
        </w:rPr>
        <w:tab/>
      </w:r>
      <w:r>
        <w:rPr>
          <w:rFonts w:ascii="Times New Roman" w:cs="Times New Roman" w:eastAsia="Times New Roman" w:hAnsi="Times New Roman"/>
          <w:sz w:val="21"/>
          <w:szCs w:val="21"/>
          <w:b w:val="1"/>
          <w:bCs w:val="1"/>
          <w:color w:val="auto"/>
        </w:rPr>
        <w:t>“Invoiced Sales</w:t>
      </w:r>
      <w:r>
        <w:rPr>
          <w:rFonts w:ascii="Times New Roman" w:cs="Times New Roman" w:eastAsia="Times New Roman" w:hAnsi="Times New Roman"/>
          <w:sz w:val="21"/>
          <w:szCs w:val="21"/>
          <w:color w:val="auto"/>
        </w:rPr>
        <w:t>” has the meaning set forth in the definition of “Net Sales”.</w:t>
      </w:r>
    </w:p>
    <w:p>
      <w:pPr>
        <w:spacing w:after="0" w:line="231" w:lineRule="exact"/>
        <w:rPr>
          <w:sz w:val="20"/>
          <w:szCs w:val="20"/>
          <w:color w:val="auto"/>
        </w:rPr>
      </w:pPr>
    </w:p>
    <w:p>
      <w:pPr>
        <w:ind w:left="720" w:hanging="723"/>
        <w:spacing w:after="0" w:line="262" w:lineRule="auto"/>
        <w:tabs>
          <w:tab w:leader="none" w:pos="700" w:val="left"/>
        </w:tabs>
        <w:rPr>
          <w:sz w:val="20"/>
          <w:szCs w:val="20"/>
          <w:color w:val="auto"/>
        </w:rPr>
      </w:pPr>
      <w:r>
        <w:rPr>
          <w:rFonts w:ascii="Times New Roman" w:cs="Times New Roman" w:eastAsia="Times New Roman" w:hAnsi="Times New Roman"/>
          <w:sz w:val="20"/>
          <w:szCs w:val="20"/>
          <w:color w:val="auto"/>
        </w:rPr>
        <w:t>1.58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means, with regard to AstraZeneca, the actual knowledge [***] of [***] of AstraZeneca and [***], and with respect to Mereo, the actual knowledge of the [***] of Mereo.</w:t>
      </w:r>
    </w:p>
    <w:p>
      <w:pPr>
        <w:spacing w:after="0" w:line="163" w:lineRule="exact"/>
        <w:rPr>
          <w:sz w:val="20"/>
          <w:szCs w:val="20"/>
          <w:color w:val="auto"/>
        </w:rPr>
      </w:pPr>
    </w:p>
    <w:p>
      <w:pPr>
        <w:ind w:left="720" w:hanging="723"/>
        <w:spacing w:after="0" w:line="262" w:lineRule="auto"/>
        <w:tabs>
          <w:tab w:leader="none" w:pos="700" w:val="left"/>
        </w:tabs>
        <w:rPr>
          <w:sz w:val="20"/>
          <w:szCs w:val="20"/>
          <w:color w:val="auto"/>
        </w:rPr>
      </w:pPr>
      <w:r>
        <w:rPr>
          <w:rFonts w:ascii="Times New Roman" w:cs="Times New Roman" w:eastAsia="Times New Roman" w:hAnsi="Times New Roman"/>
          <w:sz w:val="20"/>
          <w:szCs w:val="20"/>
          <w:color w:val="auto"/>
        </w:rPr>
        <w:t>1.59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Note 1</w:t>
      </w:r>
      <w:r>
        <w:rPr>
          <w:rFonts w:ascii="Times New Roman" w:cs="Times New Roman" w:eastAsia="Times New Roman" w:hAnsi="Times New Roman"/>
          <w:sz w:val="22"/>
          <w:szCs w:val="22"/>
          <w:color w:val="auto"/>
        </w:rPr>
        <w:t>” means the [***] to be issued by Mereo to MBGP for the principal amount of [***] pursuant to Section 8.2.1(a).</w:t>
      </w:r>
    </w:p>
    <w:p>
      <w:pPr>
        <w:spacing w:after="0" w:line="177" w:lineRule="exact"/>
        <w:rPr>
          <w:sz w:val="20"/>
          <w:szCs w:val="20"/>
          <w:color w:val="auto"/>
        </w:rPr>
      </w:pPr>
    </w:p>
    <w:p>
      <w:pPr>
        <w:ind w:left="720" w:hanging="723"/>
        <w:spacing w:after="0" w:line="262" w:lineRule="auto"/>
        <w:tabs>
          <w:tab w:leader="none" w:pos="700" w:val="left"/>
        </w:tabs>
        <w:rPr>
          <w:sz w:val="20"/>
          <w:szCs w:val="20"/>
          <w:color w:val="auto"/>
        </w:rPr>
      </w:pPr>
      <w:r>
        <w:rPr>
          <w:rFonts w:ascii="Times New Roman" w:cs="Times New Roman" w:eastAsia="Times New Roman" w:hAnsi="Times New Roman"/>
          <w:sz w:val="20"/>
          <w:szCs w:val="20"/>
          <w:color w:val="auto"/>
        </w:rPr>
        <w:t>1.60</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Note 2</w:t>
      </w:r>
      <w:r>
        <w:rPr>
          <w:rFonts w:ascii="Times New Roman" w:cs="Times New Roman" w:eastAsia="Times New Roman" w:hAnsi="Times New Roman"/>
          <w:sz w:val="22"/>
          <w:szCs w:val="22"/>
          <w:color w:val="auto"/>
        </w:rPr>
        <w:t>” means the [***] to be issued by Mereo to MBGP for the principal amount of [***] pursuant to Section 8.2.1(b).</w:t>
      </w:r>
    </w:p>
    <w:p>
      <w:pPr>
        <w:spacing w:after="0" w:line="163" w:lineRule="exact"/>
        <w:rPr>
          <w:sz w:val="20"/>
          <w:szCs w:val="20"/>
          <w:color w:val="auto"/>
        </w:rPr>
      </w:pPr>
    </w:p>
    <w:p>
      <w:pPr>
        <w:ind w:left="720" w:right="660" w:hanging="723"/>
        <w:spacing w:after="0" w:line="262" w:lineRule="auto"/>
        <w:tabs>
          <w:tab w:leader="none" w:pos="70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Note 3</w:t>
      </w:r>
      <w:r>
        <w:rPr>
          <w:rFonts w:ascii="Times New Roman" w:cs="Times New Roman" w:eastAsia="Times New Roman" w:hAnsi="Times New Roman"/>
          <w:sz w:val="22"/>
          <w:szCs w:val="22"/>
          <w:color w:val="auto"/>
        </w:rPr>
        <w:t>” means the [***] to be issued by Mereo to MBGP for the principal amount of [***] pursuant to Section 8.2.1(c).</w:t>
      </w:r>
    </w:p>
    <w:p>
      <w:pPr>
        <w:spacing w:after="0" w:line="16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b w:val="1"/>
          <w:bCs w:val="1"/>
          <w:color w:val="auto"/>
        </w:rPr>
        <w:t>Loan Note 4</w:t>
      </w:r>
      <w:r>
        <w:rPr>
          <w:rFonts w:ascii="Times New Roman" w:cs="Times New Roman" w:eastAsia="Times New Roman" w:hAnsi="Times New Roman"/>
          <w:sz w:val="21"/>
          <w:szCs w:val="21"/>
          <w:color w:val="auto"/>
        </w:rPr>
        <w:t>” means the [***] to be issued by Mereo to MBGP for the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745490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177" w:name="page178"/>
    <w:bookmarkEnd w:id="177"/>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amount of [***] pursuant to Section 8.2.1(d).</w:t>
      </w:r>
    </w:p>
    <w:p>
      <w:pPr>
        <w:spacing w:after="0" w:line="2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Loan Notes</w:t>
      </w:r>
      <w:r>
        <w:rPr>
          <w:rFonts w:ascii="Times New Roman" w:cs="Times New Roman" w:eastAsia="Times New Roman" w:hAnsi="Times New Roman"/>
          <w:sz w:val="21"/>
          <w:szCs w:val="21"/>
          <w:color w:val="auto"/>
        </w:rPr>
        <w:t>” means Loan Note 1, Loan Note 2, Loan Note 3 and Loan Note 4;</w:t>
      </w:r>
    </w:p>
    <w:p>
      <w:pPr>
        <w:spacing w:after="0" w:line="24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0"/>
          <w:szCs w:val="20"/>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Losses</w:t>
      </w:r>
      <w:r>
        <w:rPr>
          <w:rFonts w:ascii="Times New Roman" w:cs="Times New Roman" w:eastAsia="Times New Roman" w:hAnsi="Times New Roman"/>
          <w:sz w:val="21"/>
          <w:szCs w:val="21"/>
          <w:color w:val="auto"/>
        </w:rPr>
        <w:t>” has the meaning set forth in Section 13.1.</w:t>
      </w:r>
    </w:p>
    <w:p>
      <w:pPr>
        <w:spacing w:after="0" w:line="231" w:lineRule="exact"/>
        <w:rPr>
          <w:sz w:val="20"/>
          <w:szCs w:val="20"/>
          <w:color w:val="auto"/>
        </w:rPr>
      </w:pPr>
    </w:p>
    <w:p>
      <w:pPr>
        <w:jc w:val="both"/>
        <w:ind w:left="720" w:right="20" w:hanging="723"/>
        <w:spacing w:after="0" w:line="246" w:lineRule="auto"/>
        <w:tabs>
          <w:tab w:leader="none" w:pos="700" w:val="left"/>
        </w:tabs>
        <w:rPr>
          <w:sz w:val="20"/>
          <w:szCs w:val="20"/>
          <w:color w:val="auto"/>
        </w:rPr>
      </w:pPr>
      <w:r>
        <w:rPr>
          <w:rFonts w:ascii="Times New Roman" w:cs="Times New Roman" w:eastAsia="Times New Roman" w:hAnsi="Times New Roman"/>
          <w:sz w:val="20"/>
          <w:szCs w:val="20"/>
          <w:color w:val="auto"/>
        </w:rPr>
        <w:t>1.64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means an application for the authorization to market any Product in any country or group of countries outside the United States, as defined in the applicable laws and regulations and filed with the Regulatory Authority of a given country or group of countries.</w:t>
      </w:r>
    </w:p>
    <w:p>
      <w:pPr>
        <w:spacing w:after="0" w:line="181" w:lineRule="exact"/>
        <w:rPr>
          <w:sz w:val="20"/>
          <w:szCs w:val="20"/>
          <w:color w:val="auto"/>
        </w:rPr>
      </w:pPr>
    </w:p>
    <w:p>
      <w:pPr>
        <w:jc w:val="both"/>
        <w:ind w:left="720" w:hanging="723"/>
        <w:spacing w:after="0" w:line="246" w:lineRule="auto"/>
        <w:tabs>
          <w:tab w:leader="none" w:pos="700" w:val="left"/>
        </w:tabs>
        <w:rPr>
          <w:sz w:val="20"/>
          <w:szCs w:val="20"/>
          <w:color w:val="auto"/>
        </w:rPr>
      </w:pPr>
      <w:r>
        <w:rPr>
          <w:rFonts w:ascii="Times New Roman" w:cs="Times New Roman" w:eastAsia="Times New Roman" w:hAnsi="Times New Roman"/>
          <w:sz w:val="20"/>
          <w:szCs w:val="20"/>
          <w:color w:val="auto"/>
        </w:rPr>
        <w:t>1.65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means all activities related to the production, manufacture, processing, filling, finishing, packaging, labelling, shipping and holding of a Product, or Compound or any intermediate thereof, including process development,</w:t>
      </w:r>
    </w:p>
    <w:p>
      <w:pPr>
        <w:spacing w:after="0" w:line="9" w:lineRule="exact"/>
        <w:rPr>
          <w:sz w:val="20"/>
          <w:szCs w:val="20"/>
          <w:color w:val="auto"/>
        </w:rPr>
      </w:pPr>
    </w:p>
    <w:p>
      <w:pPr>
        <w:ind w:left="740" w:right="20"/>
        <w:spacing w:after="0" w:line="258" w:lineRule="auto"/>
        <w:rPr>
          <w:sz w:val="20"/>
          <w:szCs w:val="20"/>
          <w:color w:val="auto"/>
        </w:rPr>
      </w:pPr>
      <w:r>
        <w:rPr>
          <w:rFonts w:ascii="Times New Roman" w:cs="Times New Roman" w:eastAsia="Times New Roman" w:hAnsi="Times New Roman"/>
          <w:sz w:val="22"/>
          <w:szCs w:val="22"/>
          <w:color w:val="auto"/>
        </w:rPr>
        <w:t>process qualification and validation, scale-up, pre-clinical, clinical and commercial manufacture and analytical development, product characterization, stability testing, quality assurance and quality control.</w:t>
      </w:r>
    </w:p>
    <w:p>
      <w:pPr>
        <w:spacing w:after="0" w:line="154" w:lineRule="exact"/>
        <w:rPr>
          <w:sz w:val="20"/>
          <w:szCs w:val="20"/>
          <w:color w:val="auto"/>
        </w:rPr>
      </w:pPr>
    </w:p>
    <w:p>
      <w:pPr>
        <w:jc w:val="both"/>
        <w:ind w:left="720" w:right="20" w:hanging="723"/>
        <w:spacing w:after="0" w:line="246" w:lineRule="auto"/>
        <w:tabs>
          <w:tab w:leader="none" w:pos="700" w:val="left"/>
        </w:tabs>
        <w:rPr>
          <w:sz w:val="20"/>
          <w:szCs w:val="20"/>
          <w:color w:val="auto"/>
        </w:rPr>
      </w:pPr>
      <w:r>
        <w:rPr>
          <w:rFonts w:ascii="Times New Roman" w:cs="Times New Roman" w:eastAsia="Times New Roman" w:hAnsi="Times New Roman"/>
          <w:sz w:val="20"/>
          <w:szCs w:val="20"/>
          <w:color w:val="auto"/>
        </w:rPr>
        <w:t>1.66</w:t>
      </w:r>
      <w:r>
        <w:rPr>
          <w:sz w:val="20"/>
          <w:szCs w:val="20"/>
          <w:color w:val="auto"/>
        </w:rPr>
        <w:tab/>
      </w:r>
      <w:r>
        <w:rPr>
          <w:rFonts w:ascii="Times New Roman" w:cs="Times New Roman" w:eastAsia="Times New Roman" w:hAnsi="Times New Roman"/>
          <w:sz w:val="22"/>
          <w:szCs w:val="22"/>
          <w:b w:val="1"/>
          <w:bCs w:val="1"/>
          <w:color w:val="auto"/>
        </w:rPr>
        <w:t xml:space="preserve">“Material Anti-Corruption Law Violation” </w:t>
      </w:r>
      <w:r>
        <w:rPr>
          <w:rFonts w:ascii="Times New Roman" w:cs="Times New Roman" w:eastAsia="Times New Roman" w:hAnsi="Times New Roman"/>
          <w:sz w:val="22"/>
          <w:szCs w:val="22"/>
          <w:color w:val="auto"/>
        </w:rPr>
        <w:t>means a violation of an Anti-Corruption Law relating to the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of this Agreement that would, [***], have a material adverse effect on AstraZeneca or on the reputation of AstraZeneca [***].</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Mereo</w:t>
      </w:r>
      <w:r>
        <w:rPr>
          <w:rFonts w:ascii="Times New Roman" w:cs="Times New Roman" w:eastAsia="Times New Roman" w:hAnsi="Times New Roman"/>
          <w:sz w:val="21"/>
          <w:szCs w:val="21"/>
          <w:color w:val="auto"/>
        </w:rPr>
        <w:t>” has the meaning set forth in the preamble hereto.</w:t>
      </w:r>
    </w:p>
    <w:p>
      <w:pPr>
        <w:spacing w:after="0" w:line="231" w:lineRule="exact"/>
        <w:rPr>
          <w:sz w:val="20"/>
          <w:szCs w:val="20"/>
          <w:color w:val="auto"/>
        </w:rPr>
      </w:pPr>
    </w:p>
    <w:p>
      <w:pPr>
        <w:jc w:val="both"/>
        <w:ind w:left="720" w:hanging="723"/>
        <w:spacing w:after="0" w:line="262" w:lineRule="auto"/>
        <w:tabs>
          <w:tab w:leader="none" w:pos="700" w:val="left"/>
        </w:tabs>
        <w:rPr>
          <w:sz w:val="20"/>
          <w:szCs w:val="20"/>
          <w:color w:val="auto"/>
        </w:rPr>
      </w:pPr>
      <w:r>
        <w:rPr>
          <w:rFonts w:ascii="Times New Roman" w:cs="Times New Roman" w:eastAsia="Times New Roman" w:hAnsi="Times New Roman"/>
          <w:sz w:val="20"/>
          <w:szCs w:val="20"/>
          <w:color w:val="auto"/>
        </w:rPr>
        <w:t>1.68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MBGP</w:t>
      </w:r>
      <w:r>
        <w:rPr>
          <w:rFonts w:ascii="Times New Roman" w:cs="Times New Roman" w:eastAsia="Times New Roman" w:hAnsi="Times New Roman"/>
          <w:sz w:val="22"/>
          <w:szCs w:val="22"/>
          <w:color w:val="auto"/>
        </w:rPr>
        <w:t>” means Mereo BioPharma Group plc, a company incorporated in England and Wales with registered number 09481161.</w:t>
      </w:r>
    </w:p>
    <w:p>
      <w:pPr>
        <w:spacing w:after="0" w:line="123" w:lineRule="exact"/>
        <w:rPr>
          <w:sz w:val="20"/>
          <w:szCs w:val="20"/>
          <w:color w:val="auto"/>
        </w:rPr>
      </w:pPr>
    </w:p>
    <w:p>
      <w:pPr>
        <w:jc w:val="both"/>
        <w:ind w:left="720" w:right="20" w:hanging="723"/>
        <w:spacing w:after="0" w:line="262" w:lineRule="auto"/>
        <w:tabs>
          <w:tab w:leader="none" w:pos="700" w:val="left"/>
        </w:tabs>
        <w:rPr>
          <w:sz w:val="20"/>
          <w:szCs w:val="20"/>
          <w:color w:val="auto"/>
        </w:rPr>
      </w:pPr>
      <w:r>
        <w:rPr>
          <w:rFonts w:ascii="Times New Roman" w:cs="Times New Roman" w:eastAsia="Times New Roman" w:hAnsi="Times New Roman"/>
          <w:sz w:val="20"/>
          <w:szCs w:val="20"/>
          <w:color w:val="auto"/>
        </w:rPr>
        <w:t>1.69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NCATS</w:t>
      </w:r>
      <w:r>
        <w:rPr>
          <w:rFonts w:ascii="Times New Roman" w:cs="Times New Roman" w:eastAsia="Times New Roman" w:hAnsi="Times New Roman"/>
          <w:sz w:val="22"/>
          <w:szCs w:val="22"/>
          <w:color w:val="auto"/>
        </w:rPr>
        <w:t>” means the National Center for Advancing Translational Sciences of the United States National Institutes of Health.</w:t>
      </w:r>
    </w:p>
    <w:p>
      <w:pPr>
        <w:spacing w:after="0" w:line="163" w:lineRule="exact"/>
        <w:rPr>
          <w:sz w:val="20"/>
          <w:szCs w:val="20"/>
          <w:color w:val="auto"/>
        </w:rPr>
      </w:pPr>
    </w:p>
    <w:p>
      <w:pPr>
        <w:jc w:val="both"/>
        <w:ind w:left="720" w:right="20" w:hanging="723"/>
        <w:spacing w:after="0" w:line="241" w:lineRule="auto"/>
        <w:tabs>
          <w:tab w:leader="none" w:pos="700" w:val="left"/>
        </w:tabs>
        <w:rPr>
          <w:sz w:val="20"/>
          <w:szCs w:val="20"/>
          <w:color w:val="auto"/>
        </w:rPr>
      </w:pPr>
      <w:r>
        <w:rPr>
          <w:rFonts w:ascii="Times New Roman" w:cs="Times New Roman" w:eastAsia="Times New Roman" w:hAnsi="Times New Roman"/>
          <w:sz w:val="20"/>
          <w:szCs w:val="20"/>
          <w:color w:val="auto"/>
        </w:rPr>
        <w:t>1.70</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with respect to a Product for any period, the gross amounts invoiced by Mereo or its Affiliates to Third Parties for sales of the Product in the Territory (the “</w:t>
      </w:r>
      <w:r>
        <w:rPr>
          <w:rFonts w:ascii="Times New Roman" w:cs="Times New Roman" w:eastAsia="Times New Roman" w:hAnsi="Times New Roman"/>
          <w:sz w:val="22"/>
          <w:szCs w:val="22"/>
          <w:b w:val="1"/>
          <w:bCs w:val="1"/>
          <w:color w:val="auto"/>
        </w:rPr>
        <w:t>Invoiced Sales</w:t>
      </w:r>
      <w:r>
        <w:rPr>
          <w:rFonts w:ascii="Times New Roman" w:cs="Times New Roman" w:eastAsia="Times New Roman" w:hAnsi="Times New Roman"/>
          <w:sz w:val="22"/>
          <w:szCs w:val="22"/>
          <w:color w:val="auto"/>
        </w:rPr>
        <w:t>”), less the following deductions to the extent included in the gross invoiced sales price for the Product or otherwise directly paid or incurred by Mereo or its Affiliates with respect to the sale of the Product:</w:t>
      </w:r>
    </w:p>
    <w:p>
      <w:pPr>
        <w:spacing w:after="0" w:line="162" w:lineRule="exact"/>
        <w:rPr>
          <w:sz w:val="20"/>
          <w:szCs w:val="20"/>
          <w:color w:val="auto"/>
        </w:rPr>
      </w:pPr>
    </w:p>
    <w:p>
      <w:pPr>
        <w:jc w:val="both"/>
        <w:ind w:left="1480" w:right="20" w:hanging="719"/>
        <w:spacing w:after="0" w:line="244" w:lineRule="auto"/>
        <w:tabs>
          <w:tab w:leader="none" w:pos="14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quantity, governmental or cash discounts, credits, adjustments or allowances, including those granted on account of price adjustments, billing errors, rejected goods or damaged goods or goods otherwise not in saleable condition;</w:t>
      </w:r>
    </w:p>
    <w:p>
      <w:pPr>
        <w:spacing w:after="0" w:line="159" w:lineRule="exact"/>
        <w:rPr>
          <w:rFonts w:ascii="Times New Roman" w:cs="Times New Roman" w:eastAsia="Times New Roman" w:hAnsi="Times New Roman"/>
          <w:sz w:val="22"/>
          <w:szCs w:val="22"/>
          <w:color w:val="auto"/>
        </w:rPr>
      </w:pPr>
    </w:p>
    <w:p>
      <w:pPr>
        <w:jc w:val="both"/>
        <w:ind w:left="1480" w:right="20" w:hanging="719"/>
        <w:spacing w:after="0" w:line="244" w:lineRule="auto"/>
        <w:tabs>
          <w:tab w:leader="none" w:pos="14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rebates and chargebacks allowed, given or accrued to customers and Third Parties (including cash, governmental and managed care rebates, hospital or other buying group chargebacks, and governmental taxes in the nature of a rebate based on usage levels or sales of the Product);</w:t>
      </w:r>
    </w:p>
    <w:p>
      <w:pPr>
        <w:spacing w:after="0" w:line="146" w:lineRule="exact"/>
        <w:rPr>
          <w:rFonts w:ascii="Times New Roman" w:cs="Times New Roman" w:eastAsia="Times New Roman" w:hAnsi="Times New Roman"/>
          <w:sz w:val="22"/>
          <w:szCs w:val="22"/>
          <w:color w:val="auto"/>
        </w:rPr>
      </w:pPr>
    </w:p>
    <w:p>
      <w:pPr>
        <w:ind w:left="1480" w:hanging="719"/>
        <w:spacing w:after="0"/>
        <w:tabs>
          <w:tab w:leader="none" w:pos="14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related to [***] assessed on the sale of the Product;</w:t>
      </w:r>
    </w:p>
    <w:p>
      <w:pPr>
        <w:spacing w:after="0" w:line="192" w:lineRule="exact"/>
        <w:rPr>
          <w:rFonts w:ascii="Times New Roman" w:cs="Times New Roman" w:eastAsia="Times New Roman" w:hAnsi="Times New Roman"/>
          <w:sz w:val="22"/>
          <w:szCs w:val="22"/>
          <w:color w:val="auto"/>
        </w:rPr>
      </w:pPr>
    </w:p>
    <w:p>
      <w:pPr>
        <w:ind w:left="1480" w:hanging="719"/>
        <w:spacing w:after="0"/>
        <w:tabs>
          <w:tab w:leader="none" w:pos="14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similar and customary deductions that are consistent with Accounting Standards;</w:t>
      </w:r>
    </w:p>
    <w:p>
      <w:pPr>
        <w:spacing w:after="0" w:line="179" w:lineRule="exact"/>
        <w:rPr>
          <w:rFonts w:ascii="Times New Roman" w:cs="Times New Roman" w:eastAsia="Times New Roman" w:hAnsi="Times New Roman"/>
          <w:sz w:val="22"/>
          <w:szCs w:val="22"/>
          <w:color w:val="auto"/>
        </w:rPr>
      </w:pPr>
    </w:p>
    <w:p>
      <w:pPr>
        <w:ind w:left="1480" w:right="20" w:hanging="719"/>
        <w:spacing w:after="0" w:line="258" w:lineRule="auto"/>
        <w:tabs>
          <w:tab w:leader="none" w:pos="14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amounts from a prior period are not collected and are written off by Mereo, including bad debts, the lesser of (i) [***] and (ii) [***],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705485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178" w:name="page179"/>
    <w:bookmarkEnd w:id="178"/>
    <w:p>
      <w:pPr>
        <w:spacing w:after="0" w:line="117" w:lineRule="exact"/>
        <w:rPr>
          <w:sz w:val="20"/>
          <w:szCs w:val="20"/>
          <w:color w:val="auto"/>
        </w:rPr>
      </w:pPr>
    </w:p>
    <w:p>
      <w:pPr>
        <w:ind w:left="720" w:right="80"/>
        <w:spacing w:after="0" w:line="258" w:lineRule="auto"/>
        <w:rPr>
          <w:sz w:val="20"/>
          <w:szCs w:val="20"/>
          <w:color w:val="auto"/>
        </w:rPr>
      </w:pPr>
      <w:r>
        <w:rPr>
          <w:rFonts w:ascii="Times New Roman" w:cs="Times New Roman" w:eastAsia="Times New Roman" w:hAnsi="Times New Roman"/>
          <w:sz w:val="22"/>
          <w:szCs w:val="22"/>
          <w:color w:val="auto"/>
        </w:rPr>
        <w:t>that if any such amounts are subsequently collected, they will be included in the calculation of Net Sales; and</w:t>
      </w:r>
    </w:p>
    <w:p>
      <w:pPr>
        <w:spacing w:after="0" w:line="131" w:lineRule="exact"/>
        <w:rPr>
          <w:sz w:val="20"/>
          <w:szCs w:val="20"/>
          <w:color w:val="auto"/>
        </w:rPr>
      </w:pPr>
    </w:p>
    <w:p>
      <w:pPr>
        <w:ind w:left="720" w:right="100" w:hanging="719"/>
        <w:spacing w:after="0" w:line="256" w:lineRule="auto"/>
        <w:tabs>
          <w:tab w:leader="none" w:pos="7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allowance for transportation costs, distribution expenses, special packaging and related insurance charges, freight and insurance charges, taken in accordance with Purchaser’s standard practices applicable to other of Purchaser’s products, which allowance will in no event exceed [***] of the amount arrived at after application of items (a) to (d) above.</w:t>
      </w:r>
    </w:p>
    <w:p>
      <w:pPr>
        <w:spacing w:after="0" w:line="14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Subject to the above, Net Sales shall be calculated in accordance with Accounting Standards. For the avoidance of doubt, in the case of any sale or other disposal of a Product between or among Mereo and its Affiliates for resale, invoiced sales and Net Sales shall be calculated only on the amount invoiced on the first arm’s length sale thereafter to a Third Party, provided that in each case:</w:t>
      </w:r>
    </w:p>
    <w:p>
      <w:pPr>
        <w:spacing w:after="0" w:line="153" w:lineRule="exact"/>
        <w:rPr>
          <w:sz w:val="20"/>
          <w:szCs w:val="20"/>
          <w:color w:val="auto"/>
        </w:rPr>
      </w:pPr>
    </w:p>
    <w:p>
      <w:pPr>
        <w:ind w:left="1460" w:hanging="725"/>
        <w:spacing w:after="0"/>
        <w:tabs>
          <w:tab w:leader="none" w:pos="14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will not be included in Net Sales:</w:t>
      </w:r>
    </w:p>
    <w:p>
      <w:pPr>
        <w:spacing w:after="0" w:line="192" w:lineRule="exact"/>
        <w:rPr>
          <w:rFonts w:ascii="Times New Roman" w:cs="Times New Roman" w:eastAsia="Times New Roman" w:hAnsi="Times New Roman"/>
          <w:sz w:val="22"/>
          <w:szCs w:val="22"/>
          <w:color w:val="auto"/>
        </w:rPr>
      </w:pPr>
    </w:p>
    <w:p>
      <w:pPr>
        <w:ind w:left="2200" w:right="100" w:hanging="732"/>
        <w:spacing w:after="0" w:line="258" w:lineRule="auto"/>
        <w:tabs>
          <w:tab w:leader="none" w:pos="220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or dispositions for charitable, promotional, pre-clinical, clinical, regulatory, compassionate use, named patient use, indigent programs or governmental purposes;</w:t>
      </w:r>
    </w:p>
    <w:p>
      <w:pPr>
        <w:spacing w:after="0" w:line="144" w:lineRule="exact"/>
        <w:rPr>
          <w:rFonts w:ascii="Times New Roman" w:cs="Times New Roman" w:eastAsia="Times New Roman" w:hAnsi="Times New Roman"/>
          <w:sz w:val="22"/>
          <w:szCs w:val="22"/>
          <w:color w:val="auto"/>
        </w:rPr>
      </w:pPr>
    </w:p>
    <w:p>
      <w:pPr>
        <w:ind w:left="2180" w:right="100" w:hanging="712"/>
        <w:spacing w:after="0" w:line="258" w:lineRule="auto"/>
        <w:tabs>
          <w:tab w:leader="none" w:pos="218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reasonable quantities of Product used as samples to promote additional Net Sales; and</w:t>
      </w:r>
    </w:p>
    <w:p>
      <w:pPr>
        <w:spacing w:after="0" w:line="131" w:lineRule="exact"/>
        <w:rPr>
          <w:rFonts w:ascii="Times New Roman" w:cs="Times New Roman" w:eastAsia="Times New Roman" w:hAnsi="Times New Roman"/>
          <w:sz w:val="22"/>
          <w:szCs w:val="22"/>
          <w:color w:val="auto"/>
        </w:rPr>
      </w:pPr>
    </w:p>
    <w:p>
      <w:pPr>
        <w:ind w:left="2200" w:hanging="732"/>
        <w:spacing w:after="0"/>
        <w:tabs>
          <w:tab w:leader="none" w:pos="220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provided for use in the Development of Products; and</w:t>
      </w:r>
    </w:p>
    <w:p>
      <w:pPr>
        <w:spacing w:after="0" w:line="192" w:lineRule="exact"/>
        <w:rPr>
          <w:rFonts w:ascii="Times New Roman" w:cs="Times New Roman" w:eastAsia="Times New Roman" w:hAnsi="Times New Roman"/>
          <w:sz w:val="22"/>
          <w:szCs w:val="22"/>
          <w:color w:val="auto"/>
        </w:rPr>
      </w:pPr>
    </w:p>
    <w:p>
      <w:pPr>
        <w:ind w:left="2180" w:hanging="712"/>
        <w:spacing w:after="0"/>
        <w:tabs>
          <w:tab w:leader="none" w:pos="218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transfers between or among Mereo, its Affiliates or Sublicensees;</w:t>
      </w:r>
    </w:p>
    <w:p>
      <w:pPr>
        <w:spacing w:after="0" w:line="192" w:lineRule="exact"/>
        <w:rPr>
          <w:rFonts w:ascii="Times New Roman" w:cs="Times New Roman" w:eastAsia="Times New Roman" w:hAnsi="Times New Roman"/>
          <w:sz w:val="22"/>
          <w:szCs w:val="22"/>
          <w:color w:val="auto"/>
        </w:rPr>
      </w:pPr>
    </w:p>
    <w:p>
      <w:pPr>
        <w:jc w:val="both"/>
        <w:ind w:left="1460" w:right="80" w:hanging="725"/>
        <w:spacing w:after="0" w:line="235" w:lineRule="auto"/>
        <w:tabs>
          <w:tab w:leader="none" w:pos="14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Product is sold as part of a Combination Product, Net Sales of the Product, shall be determined by multiplying Net Sales of the Combination Product by the fraction A/(A+B), where A is the weighted (by sales volume) average sales price of the Product when sold separately in finished form and B is the weighted average sale price of the other product(s) sold separately in finished form. In the event that such average sales price cannot be determined for both the Product and the other product(s) in combination, Net Sales for purposes of determining payments hereunder shall be mutually agreed by the Parties based on the relative value contributed by each component, and such agreement shall not be unreasonably withheld.</w:t>
      </w:r>
    </w:p>
    <w:p>
      <w:pPr>
        <w:spacing w:after="0" w:line="14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Non-Breaching Party</w:t>
      </w:r>
      <w:r>
        <w:rPr>
          <w:rFonts w:ascii="Times New Roman" w:cs="Times New Roman" w:eastAsia="Times New Roman" w:hAnsi="Times New Roman"/>
          <w:sz w:val="21"/>
          <w:szCs w:val="21"/>
          <w:color w:val="auto"/>
        </w:rPr>
        <w:t>” has the meaning set forth in Section 14.2.1.</w:t>
      </w:r>
    </w:p>
    <w:p>
      <w:pPr>
        <w:spacing w:after="0" w:line="2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Notice Period</w:t>
      </w:r>
      <w:r>
        <w:rPr>
          <w:rFonts w:ascii="Times New Roman" w:cs="Times New Roman" w:eastAsia="Times New Roman" w:hAnsi="Times New Roman"/>
          <w:sz w:val="21"/>
          <w:szCs w:val="21"/>
          <w:color w:val="auto"/>
        </w:rPr>
        <w:t>” shall have the meaning set forth in Section 14.2.1.</w:t>
      </w:r>
    </w:p>
    <w:p>
      <w:pPr>
        <w:spacing w:after="0" w:line="204" w:lineRule="exact"/>
        <w:rPr>
          <w:sz w:val="20"/>
          <w:szCs w:val="20"/>
          <w:color w:val="auto"/>
        </w:rPr>
      </w:pPr>
    </w:p>
    <w:p>
      <w:pPr>
        <w:jc w:val="both"/>
        <w:ind w:left="840" w:right="100" w:hanging="840"/>
        <w:spacing w:after="0" w:line="246" w:lineRule="auto"/>
        <w:tabs>
          <w:tab w:leader="none" w:pos="820" w:val="left"/>
        </w:tabs>
        <w:rPr>
          <w:sz w:val="20"/>
          <w:szCs w:val="20"/>
          <w:color w:val="auto"/>
        </w:rPr>
      </w:pPr>
      <w:r>
        <w:rPr>
          <w:rFonts w:ascii="Times New Roman" w:cs="Times New Roman" w:eastAsia="Times New Roman" w:hAnsi="Times New Roman"/>
          <w:sz w:val="20"/>
          <w:szCs w:val="20"/>
          <w:color w:val="auto"/>
        </w:rPr>
        <w:t>1.73</w:t>
      </w:r>
      <w:r>
        <w:rPr>
          <w:sz w:val="20"/>
          <w:szCs w:val="20"/>
          <w:color w:val="auto"/>
        </w:rPr>
        <w:tab/>
      </w:r>
      <w:r>
        <w:rPr>
          <w:rFonts w:ascii="Times New Roman" w:cs="Times New Roman" w:eastAsia="Times New Roman" w:hAnsi="Times New Roman"/>
          <w:sz w:val="22"/>
          <w:szCs w:val="22"/>
          <w:b w:val="1"/>
          <w:bCs w:val="1"/>
          <w:color w:val="auto"/>
        </w:rPr>
        <w:t xml:space="preserve">“Ongoing MTAs” </w:t>
      </w:r>
      <w:r>
        <w:rPr>
          <w:rFonts w:ascii="Times New Roman" w:cs="Times New Roman" w:eastAsia="Times New Roman" w:hAnsi="Times New Roman"/>
          <w:sz w:val="22"/>
          <w:szCs w:val="22"/>
          <w:color w:val="auto"/>
        </w:rPr>
        <w:t>means those ongoing material transfer agreements between AstraZeneca or an Affiliate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AstraZeneca and a Third Party, which relate to the Compounds, each as described in more detail on Schedule 1.129.</w:t>
      </w:r>
    </w:p>
    <w:p>
      <w:pPr>
        <w:spacing w:after="0" w:line="167" w:lineRule="exact"/>
        <w:rPr>
          <w:sz w:val="20"/>
          <w:szCs w:val="20"/>
          <w:color w:val="auto"/>
        </w:rPr>
      </w:pPr>
    </w:p>
    <w:p>
      <w:pPr>
        <w:jc w:val="both"/>
        <w:ind w:left="840" w:right="100" w:hanging="840"/>
        <w:spacing w:after="0" w:line="262" w:lineRule="auto"/>
        <w:tabs>
          <w:tab w:leader="none" w:pos="820" w:val="left"/>
        </w:tabs>
        <w:rPr>
          <w:sz w:val="20"/>
          <w:szCs w:val="20"/>
          <w:color w:val="auto"/>
        </w:rPr>
      </w:pPr>
      <w:r>
        <w:rPr>
          <w:rFonts w:ascii="Times New Roman" w:cs="Times New Roman" w:eastAsia="Times New Roman" w:hAnsi="Times New Roman"/>
          <w:sz w:val="20"/>
          <w:szCs w:val="20"/>
          <w:color w:val="auto"/>
        </w:rPr>
        <w:t>1.74</w:t>
      </w:r>
      <w:r>
        <w:rPr>
          <w:sz w:val="20"/>
          <w:szCs w:val="20"/>
          <w:color w:val="auto"/>
        </w:rPr>
        <w:tab/>
      </w:r>
      <w:r>
        <w:rPr>
          <w:rFonts w:ascii="Times New Roman" w:cs="Times New Roman" w:eastAsia="Times New Roman" w:hAnsi="Times New Roman"/>
          <w:sz w:val="22"/>
          <w:szCs w:val="22"/>
          <w:b w:val="1"/>
          <w:bCs w:val="1"/>
          <w:color w:val="auto"/>
        </w:rPr>
        <w:t xml:space="preserve">“Ongoing Research Agreements” </w:t>
      </w:r>
      <w:r>
        <w:rPr>
          <w:rFonts w:ascii="Times New Roman" w:cs="Times New Roman" w:eastAsia="Times New Roman" w:hAnsi="Times New Roman"/>
          <w:sz w:val="22"/>
          <w:szCs w:val="22"/>
          <w:color w:val="auto"/>
        </w:rPr>
        <w:t>means [***] and [***] the Ongoing MTAs, each as described in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detail on Schedule 1.129.</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shall have the meaning set forth in Section 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736600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240" w:top="1440" w:right="399" w:bottom="1440" w:gutter="0" w:footer="0" w:header="0"/>
        </w:sectPr>
      </w:pPr>
    </w:p>
    <w:bookmarkStart w:id="179" w:name="page180"/>
    <w:bookmarkEnd w:id="179"/>
    <w:p>
      <w:pPr>
        <w:spacing w:after="0" w:line="14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 Exercise Date</w:t>
      </w:r>
      <w:r>
        <w:rPr>
          <w:rFonts w:ascii="Times New Roman" w:cs="Times New Roman" w:eastAsia="Times New Roman" w:hAnsi="Times New Roman"/>
          <w:sz w:val="21"/>
          <w:szCs w:val="21"/>
          <w:color w:val="auto"/>
        </w:rPr>
        <w:t>” shall have the meaning set forth in Section 2.1.3(b).</w:t>
      </w:r>
    </w:p>
    <w:p>
      <w:pPr>
        <w:spacing w:after="0" w:line="2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 Know-How</w:t>
      </w:r>
      <w:r>
        <w:rPr>
          <w:rFonts w:ascii="Times New Roman" w:cs="Times New Roman" w:eastAsia="Times New Roman" w:hAnsi="Times New Roman"/>
          <w:sz w:val="21"/>
          <w:szCs w:val="21"/>
          <w:color w:val="auto"/>
        </w:rPr>
        <w:t>” means (i) [***], that (ii) relates [***] to the Compounds.</w:t>
      </w:r>
    </w:p>
    <w:p>
      <w:pPr>
        <w:spacing w:after="0" w:line="2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 Intellectual Property</w:t>
      </w:r>
      <w:r>
        <w:rPr>
          <w:rFonts w:ascii="Times New Roman" w:cs="Times New Roman" w:eastAsia="Times New Roman" w:hAnsi="Times New Roman"/>
          <w:sz w:val="21"/>
          <w:szCs w:val="21"/>
          <w:color w:val="auto"/>
        </w:rPr>
        <w:t>” means (a) [***], that (ii) relate [***] to the Compounds or Products.</w:t>
      </w:r>
    </w:p>
    <w:p>
      <w:pPr>
        <w:spacing w:after="0" w:line="2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Option Patents</w:t>
      </w:r>
      <w:r>
        <w:rPr>
          <w:rFonts w:ascii="Times New Roman" w:cs="Times New Roman" w:eastAsia="Times New Roman" w:hAnsi="Times New Roman"/>
          <w:sz w:val="21"/>
          <w:szCs w:val="21"/>
          <w:color w:val="auto"/>
        </w:rPr>
        <w:t>” means [***].</w:t>
      </w:r>
    </w:p>
    <w:p>
      <w:pPr>
        <w:spacing w:after="0" w:line="20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Ordinary Shares</w:t>
      </w:r>
      <w:r>
        <w:rPr>
          <w:rFonts w:ascii="Times New Roman" w:cs="Times New Roman" w:eastAsia="Times New Roman" w:hAnsi="Times New Roman"/>
          <w:sz w:val="21"/>
          <w:szCs w:val="21"/>
          <w:color w:val="auto"/>
        </w:rPr>
        <w:t>” has the meaning set forth in the Subscription Deed;</w:t>
      </w:r>
    </w:p>
    <w:p>
      <w:pPr>
        <w:spacing w:after="0" w:line="191" w:lineRule="exact"/>
        <w:rPr>
          <w:sz w:val="20"/>
          <w:szCs w:val="20"/>
          <w:color w:val="auto"/>
        </w:rPr>
      </w:pPr>
    </w:p>
    <w:p>
      <w:pPr>
        <w:jc w:val="both"/>
        <w:ind w:left="840" w:right="20" w:hanging="840"/>
        <w:spacing w:after="0" w:line="262" w:lineRule="auto"/>
        <w:tabs>
          <w:tab w:leader="none" w:pos="820" w:val="left"/>
        </w:tabs>
        <w:rPr>
          <w:sz w:val="20"/>
          <w:szCs w:val="20"/>
          <w:color w:val="auto"/>
        </w:rPr>
      </w:pPr>
      <w:r>
        <w:rPr>
          <w:rFonts w:ascii="Times New Roman" w:cs="Times New Roman" w:eastAsia="Times New Roman" w:hAnsi="Times New Roman"/>
          <w:sz w:val="20"/>
          <w:szCs w:val="20"/>
          <w:color w:val="auto"/>
        </w:rPr>
        <w:t>1.81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Parent Company Guarantee</w:t>
      </w:r>
      <w:r>
        <w:rPr>
          <w:rFonts w:ascii="Times New Roman" w:cs="Times New Roman" w:eastAsia="Times New Roman" w:hAnsi="Times New Roman"/>
          <w:sz w:val="22"/>
          <w:szCs w:val="22"/>
          <w:color w:val="auto"/>
        </w:rPr>
        <w:t>” means the guarantee entered into on even date herewith between AstraZeneca and MBGP, pursuant to which MBGP agrees to guarantee Mereo’s obligations hereunder.</w:t>
      </w:r>
    </w:p>
    <w:p>
      <w:pPr>
        <w:spacing w:after="0" w:line="16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have the meaning set forth in the preamble hereto.</w:t>
      </w:r>
    </w:p>
    <w:p>
      <w:pPr>
        <w:spacing w:after="0" w:line="245" w:lineRule="exact"/>
        <w:rPr>
          <w:sz w:val="20"/>
          <w:szCs w:val="20"/>
          <w:color w:val="auto"/>
        </w:rPr>
      </w:pPr>
    </w:p>
    <w:p>
      <w:pPr>
        <w:jc w:val="both"/>
        <w:ind w:left="840" w:hanging="840"/>
        <w:spacing w:after="0" w:line="233" w:lineRule="auto"/>
        <w:tabs>
          <w:tab w:leader="none" w:pos="820" w:val="left"/>
        </w:tabs>
        <w:rPr>
          <w:sz w:val="20"/>
          <w:szCs w:val="20"/>
          <w:color w:val="auto"/>
        </w:rPr>
      </w:pPr>
      <w:r>
        <w:rPr>
          <w:rFonts w:ascii="Times New Roman" w:cs="Times New Roman" w:eastAsia="Times New Roman" w:hAnsi="Times New Roman"/>
          <w:sz w:val="20"/>
          <w:szCs w:val="20"/>
          <w:color w:val="auto"/>
        </w:rPr>
        <w:t>1.83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(i) all national, regional and international patents and patent applications, including provisional patent applications; (ii) all patent applications filed either from such patents, patent applications or provisional applications or from an application claiming priority from either of these, including divisionals, continuations, continuations-in-part, provisionals, converted provisionals, non-provisionals, PCTs, and continued prosecution applications; (iii) any and all patents that have issued or in the future issue from the foregoing patent applications ((i) and (ii)), including utility models, petty patents, innovation patents and design patents and certificates of invention; (iv) any and all extensions or restorations by existing or future extension or restoration mechanisms, including revalidations, reissues, re-examinations and extensions (including any supplementary protection certificates and the like) of the foregoing patents or patent applications ((i), (ii) and (iii)); and (v) any similar rights, including so-called pipeline protection or any importation, revalidation, confirmation or introduction patent or registration patent or patent of additions to any of such foregoing patent applications and patents.</w:t>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has the meaning set forth in Section 8.10.1.</w:t>
      </w:r>
    </w:p>
    <w:p>
      <w:pPr>
        <w:spacing w:after="0" w:line="69" w:lineRule="exact"/>
        <w:rPr>
          <w:sz w:val="20"/>
          <w:szCs w:val="20"/>
          <w:color w:val="auto"/>
        </w:rPr>
      </w:pPr>
    </w:p>
    <w:p>
      <w:pPr>
        <w:jc w:val="both"/>
        <w:ind w:left="840" w:hanging="840"/>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1.85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49" w:lineRule="exact"/>
        <w:rPr>
          <w:sz w:val="20"/>
          <w:szCs w:val="20"/>
          <w:color w:val="auto"/>
        </w:rPr>
      </w:pPr>
    </w:p>
    <w:p>
      <w:pPr>
        <w:jc w:val="both"/>
        <w:ind w:left="840" w:right="20" w:hanging="840"/>
        <w:spacing w:after="0" w:line="238" w:lineRule="auto"/>
        <w:tabs>
          <w:tab w:leader="none" w:pos="820" w:val="left"/>
        </w:tabs>
        <w:rPr>
          <w:sz w:val="20"/>
          <w:szCs w:val="20"/>
          <w:color w:val="auto"/>
        </w:rPr>
      </w:pPr>
      <w:r>
        <w:rPr>
          <w:rFonts w:ascii="Times New Roman" w:cs="Times New Roman" w:eastAsia="Times New Roman" w:hAnsi="Times New Roman"/>
          <w:sz w:val="20"/>
          <w:szCs w:val="20"/>
          <w:color w:val="auto"/>
        </w:rPr>
        <w:t>1.86</w:t>
      </w:r>
      <w:r>
        <w:rPr>
          <w:sz w:val="20"/>
          <w:szCs w:val="20"/>
          <w:color w:val="auto"/>
        </w:rPr>
        <w:tab/>
      </w:r>
      <w:r>
        <w:rPr>
          <w:rFonts w:ascii="Times New Roman" w:cs="Times New Roman" w:eastAsia="Times New Roman" w:hAnsi="Times New Roman"/>
          <w:sz w:val="22"/>
          <w:szCs w:val="22"/>
          <w:color w:val="auto"/>
        </w:rPr>
        <w:t>[***] means (i) a human clinical trial of a Product [***] (e.g., in the United States such clinical trial is conducted [***]) and to [***] in patients with the disease or condition being studied and to [***], for purposes of filing an NDA or MAA for Product, and that would satisfy the requirements under [***] or (ii) any other clinical trial that is intended to establish [***], and to determine [***], which clinical trial is a [***] as evidenced by [***]).</w:t>
      </w:r>
    </w:p>
    <w:p>
      <w:pPr>
        <w:spacing w:after="0" w:line="16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1.87</w:t>
      </w:r>
      <w:r>
        <w:rPr>
          <w:sz w:val="20"/>
          <w:szCs w:val="20"/>
          <w:color w:val="auto"/>
        </w:rPr>
        <w:tab/>
      </w:r>
      <w:r>
        <w:rPr>
          <w:rFonts w:ascii="Times New Roman" w:cs="Times New Roman" w:eastAsia="Times New Roman" w:hAnsi="Times New Roman"/>
          <w:sz w:val="21"/>
          <w:szCs w:val="21"/>
          <w:color w:val="auto"/>
        </w:rPr>
        <w:t>“[***]” has the meaning set forth in Section 8.3.3.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1.87A “[***]” means, with respect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735330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1240" w:top="1440" w:right="479" w:bottom="1440" w:gutter="0" w:footer="0" w:header="0"/>
        </w:sectPr>
      </w:pPr>
    </w:p>
    <w:bookmarkStart w:id="180" w:name="page181"/>
    <w:bookmarkEnd w:id="180"/>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1.87B “[***]” has the meaning set forth in Section 8.3.4.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1.87 </w:t>
      </w:r>
      <w:r>
        <w:rPr>
          <w:rFonts w:ascii="Times New Roman" w:cs="Times New Roman" w:eastAsia="Times New Roman" w:hAnsi="Times New Roman"/>
          <w:sz w:val="21"/>
          <w:szCs w:val="21"/>
          <w:color w:val="auto"/>
        </w:rPr>
        <w:t>C “[***]” has the meaning set forth in Section 8.3.5.</w:t>
      </w:r>
    </w:p>
    <w:p>
      <w:pPr>
        <w:spacing w:after="0" w:line="20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1.88</w:t>
      </w:r>
      <w:r>
        <w:rPr>
          <w:sz w:val="20"/>
          <w:szCs w:val="20"/>
          <w:color w:val="auto"/>
        </w:rPr>
        <w:tab/>
      </w:r>
      <w:r>
        <w:rPr>
          <w:rFonts w:ascii="Times New Roman" w:cs="Times New Roman" w:eastAsia="Times New Roman" w:hAnsi="Times New Roman"/>
          <w:sz w:val="21"/>
          <w:szCs w:val="21"/>
          <w:color w:val="auto"/>
        </w:rPr>
        <w:t>“[***]” has the meaning set forth in Section 8.3.1.</w:t>
      </w:r>
    </w:p>
    <w:p>
      <w:pPr>
        <w:spacing w:after="0" w:line="20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1.89</w:t>
      </w:r>
      <w:r>
        <w:rPr>
          <w:sz w:val="20"/>
          <w:szCs w:val="20"/>
          <w:color w:val="auto"/>
        </w:rPr>
        <w:tab/>
      </w:r>
      <w:r>
        <w:rPr>
          <w:rFonts w:ascii="Times New Roman" w:cs="Times New Roman" w:eastAsia="Times New Roman" w:hAnsi="Times New Roman"/>
          <w:sz w:val="21"/>
          <w:szCs w:val="21"/>
          <w:color w:val="auto"/>
        </w:rPr>
        <w:t>“[***]” has the meaning set forth in Section 8.3.2</w:t>
      </w:r>
    </w:p>
    <w:p>
      <w:pPr>
        <w:spacing w:after="0" w:line="204" w:lineRule="exact"/>
        <w:rPr>
          <w:sz w:val="20"/>
          <w:szCs w:val="20"/>
          <w:color w:val="auto"/>
        </w:rPr>
      </w:pPr>
    </w:p>
    <w:p>
      <w:pPr>
        <w:jc w:val="both"/>
        <w:ind w:left="840" w:hanging="840"/>
        <w:spacing w:after="0" w:line="258" w:lineRule="auto"/>
        <w:tabs>
          <w:tab w:leader="none" w:pos="820" w:val="left"/>
        </w:tabs>
        <w:rPr>
          <w:sz w:val="20"/>
          <w:szCs w:val="20"/>
          <w:color w:val="auto"/>
        </w:rPr>
      </w:pPr>
      <w:r>
        <w:rPr>
          <w:rFonts w:ascii="Times New Roman" w:cs="Times New Roman" w:eastAsia="Times New Roman" w:hAnsi="Times New Roman"/>
          <w:sz w:val="20"/>
          <w:szCs w:val="20"/>
          <w:color w:val="auto"/>
        </w:rPr>
        <w:t>1.90</w:t>
      </w:r>
      <w:r>
        <w:rPr>
          <w:sz w:val="20"/>
          <w:szCs w:val="20"/>
          <w:color w:val="auto"/>
        </w:rPr>
        <w:tab/>
      </w:r>
      <w:r>
        <w:rPr>
          <w:rFonts w:ascii="Times New Roman" w:cs="Times New Roman" w:eastAsia="Times New Roman" w:hAnsi="Times New Roman"/>
          <w:sz w:val="22"/>
          <w:szCs w:val="22"/>
          <w:color w:val="auto"/>
        </w:rPr>
        <w:t>“[***]" means [***] or [***] or other [***] to the [***] of [***] (including an [***] of any [***] of [***] or [***] and [***] instead of the [***] or any [***] of a [***]).</w:t>
      </w:r>
    </w:p>
    <w:p>
      <w:pPr>
        <w:spacing w:after="0" w:line="131" w:lineRule="exact"/>
        <w:rPr>
          <w:sz w:val="20"/>
          <w:szCs w:val="20"/>
          <w:color w:val="auto"/>
        </w:rPr>
      </w:pPr>
    </w:p>
    <w:p>
      <w:pPr>
        <w:jc w:val="both"/>
        <w:ind w:left="840" w:hanging="840"/>
        <w:spacing w:after="0" w:line="244" w:lineRule="auto"/>
        <w:tabs>
          <w:tab w:leader="none" w:pos="82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22"/>
          <w:szCs w:val="22"/>
          <w:color w:val="auto"/>
        </w:rPr>
        <w:t>“[***]” means the [***], the [***], and the [***]. As provided in Section 2.1.3, within [***] days following the payment of all [***] and the issuance of all [***] and [***], Mereo shall have the right to exercise the Option.</w:t>
      </w:r>
    </w:p>
    <w:p>
      <w:pPr>
        <w:spacing w:after="0" w:line="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1.92</w:t>
      </w:r>
      <w:r>
        <w:rPr>
          <w:sz w:val="20"/>
          <w:szCs w:val="20"/>
          <w:color w:val="auto"/>
        </w:rPr>
        <w:tab/>
      </w:r>
      <w:r>
        <w:rPr>
          <w:rFonts w:ascii="Times New Roman" w:cs="Times New Roman" w:eastAsia="Times New Roman" w:hAnsi="Times New Roman"/>
          <w:sz w:val="21"/>
          <w:szCs w:val="21"/>
          <w:color w:val="auto"/>
        </w:rPr>
        <w:t>“[***]” means a study in patients [***].</w:t>
      </w:r>
    </w:p>
    <w:p>
      <w:pPr>
        <w:spacing w:after="0" w:line="231" w:lineRule="exact"/>
        <w:rPr>
          <w:sz w:val="20"/>
          <w:szCs w:val="20"/>
          <w:color w:val="auto"/>
        </w:rPr>
      </w:pPr>
    </w:p>
    <w:p>
      <w:pPr>
        <w:jc w:val="both"/>
        <w:ind w:left="840" w:hanging="840"/>
        <w:spacing w:after="0" w:line="238" w:lineRule="auto"/>
        <w:tabs>
          <w:tab w:leader="none" w:pos="820" w:val="left"/>
        </w:tabs>
        <w:rPr>
          <w:sz w:val="20"/>
          <w:szCs w:val="20"/>
          <w:color w:val="auto"/>
        </w:rPr>
      </w:pPr>
      <w:r>
        <w:rPr>
          <w:rFonts w:ascii="Times New Roman" w:cs="Times New Roman" w:eastAsia="Times New Roman" w:hAnsi="Times New Roman"/>
          <w:sz w:val="20"/>
          <w:szCs w:val="20"/>
          <w:color w:val="auto"/>
        </w:rPr>
        <w:t>1.93</w:t>
      </w:r>
      <w:r>
        <w:rPr>
          <w:sz w:val="20"/>
          <w:szCs w:val="20"/>
          <w:color w:val="auto"/>
        </w:rPr>
        <w:tab/>
      </w:r>
      <w:r>
        <w:rPr>
          <w:rFonts w:ascii="Times New Roman" w:cs="Times New Roman" w:eastAsia="Times New Roman" w:hAnsi="Times New Roman"/>
          <w:sz w:val="22"/>
          <w:szCs w:val="22"/>
          <w:color w:val="auto"/>
        </w:rPr>
        <w:t>“Product” means any product that is comprised of or contains a Compound, alone or in combination with one (1) or more other API, in any and all forms, presentations, dosages and formulations. “Product” includes (a) a Product that includes as an API the 9668 Compound (a “9668 Product”), [***]. For clarity,</w:t>
      </w:r>
    </w:p>
    <w:p>
      <w:pPr>
        <w:jc w:val="both"/>
        <w:ind w:left="840" w:firstLine="3"/>
        <w:spacing w:after="0" w:line="235" w:lineRule="auto"/>
        <w:tabs>
          <w:tab w:leader="none" w:pos="110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9668 Product [***] shall be considered different Products, (ii) all forms, presentations, dosages and formulations of the 9668 Product, and all combinations of the 9668 Product with one or more other APIs, shall collectively be deemed to be one and the same Product, and (iii) [***].</w:t>
      </w:r>
    </w:p>
    <w:p>
      <w:pPr>
        <w:spacing w:after="0" w:line="178" w:lineRule="exact"/>
        <w:rPr>
          <w:sz w:val="20"/>
          <w:szCs w:val="20"/>
          <w:color w:val="auto"/>
        </w:rPr>
      </w:pPr>
    </w:p>
    <w:p>
      <w:pPr>
        <w:jc w:val="both"/>
        <w:ind w:left="840" w:hanging="840"/>
        <w:spacing w:after="0" w:line="235" w:lineRule="auto"/>
        <w:tabs>
          <w:tab w:leader="none" w:pos="820" w:val="left"/>
        </w:tabs>
        <w:rPr>
          <w:sz w:val="20"/>
          <w:szCs w:val="20"/>
          <w:color w:val="auto"/>
        </w:rPr>
      </w:pPr>
      <w:r>
        <w:rPr>
          <w:rFonts w:ascii="Times New Roman" w:cs="Times New Roman" w:eastAsia="Times New Roman" w:hAnsi="Times New Roman"/>
          <w:sz w:val="20"/>
          <w:szCs w:val="20"/>
          <w:color w:val="auto"/>
        </w:rPr>
        <w:t>1.94</w:t>
      </w:r>
      <w:r>
        <w:rPr>
          <w:sz w:val="20"/>
          <w:szCs w:val="20"/>
          <w:color w:val="auto"/>
        </w:rPr>
        <w:tab/>
      </w:r>
      <w:r>
        <w:rPr>
          <w:rFonts w:ascii="Times New Roman" w:cs="Times New Roman" w:eastAsia="Times New Roman" w:hAnsi="Times New Roman"/>
          <w:sz w:val="22"/>
          <w:szCs w:val="22"/>
          <w:color w:val="auto"/>
        </w:rPr>
        <w:t>“Product Agreement” means, with respect to a Product [***], any agreement entered into by and between Mereo or any of its Affiliates or its or their Sublicensees, on the one hand and one (1) or more Third Parties, on the other hand, that is [***] for the Exploitation of such Product in the Field in the Territory, including (i) any agreement pursuant to which Mereo, its Affiliates or its or their Sublicensees receives any license or other rights to Exploit such Product, (ii) supply agreements pursuant to which Mereo, its Affiliates or its or their Sublicensees obtain or will obtain quantities of such Product, (iii) clinical trial agreements, (iv) contract research organization agreements and (v) service agreements.</w:t>
      </w:r>
    </w:p>
    <w:p>
      <w:pPr>
        <w:spacing w:after="0" w:line="1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1.95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 Know-How</w:t>
      </w:r>
      <w:r>
        <w:rPr>
          <w:rFonts w:ascii="Times New Roman" w:cs="Times New Roman" w:eastAsia="Times New Roman" w:hAnsi="Times New Roman"/>
          <w:sz w:val="21"/>
          <w:szCs w:val="21"/>
          <w:color w:val="auto"/>
        </w:rPr>
        <w:t>” means the Option Know-How and the Related Know- How.</w:t>
      </w:r>
    </w:p>
    <w:p>
      <w:pPr>
        <w:spacing w:after="0" w:line="2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1.96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 Intellectual Property</w:t>
      </w:r>
      <w:r>
        <w:rPr>
          <w:rFonts w:ascii="Times New Roman" w:cs="Times New Roman" w:eastAsia="Times New Roman" w:hAnsi="Times New Roman"/>
          <w:sz w:val="21"/>
          <w:szCs w:val="21"/>
          <w:color w:val="auto"/>
        </w:rPr>
        <w:t>” means the Option Intellectual Property and the Related Know-How.</w:t>
      </w:r>
    </w:p>
    <w:p>
      <w:pPr>
        <w:spacing w:after="0" w:line="21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Prosecuting Party</w:t>
      </w:r>
      <w:r>
        <w:rPr>
          <w:rFonts w:ascii="Times New Roman" w:cs="Times New Roman" w:eastAsia="Times New Roman" w:hAnsi="Times New Roman"/>
          <w:sz w:val="21"/>
          <w:szCs w:val="21"/>
          <w:color w:val="auto"/>
        </w:rPr>
        <w:t>” has the meaning set forth in Section 9.2.1.</w:t>
      </w:r>
    </w:p>
    <w:p>
      <w:pPr>
        <w:spacing w:after="0" w:line="231" w:lineRule="exact"/>
        <w:rPr>
          <w:sz w:val="20"/>
          <w:szCs w:val="20"/>
          <w:color w:val="auto"/>
        </w:rPr>
      </w:pPr>
    </w:p>
    <w:p>
      <w:pPr>
        <w:jc w:val="both"/>
        <w:ind w:left="840" w:hanging="840"/>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1.98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Regulatory Approval</w:t>
      </w:r>
      <w:r>
        <w:rPr>
          <w:rFonts w:ascii="Times New Roman" w:cs="Times New Roman" w:eastAsia="Times New Roman" w:hAnsi="Times New Roman"/>
          <w:sz w:val="21"/>
          <w:szCs w:val="21"/>
          <w:color w:val="auto"/>
        </w:rPr>
        <w:t>” means, with respect to a country in the Territory, any and all approvals (including Drug Approval Applications), licenses, registrations or authorizations of any Regulatory Authority necessary to distribute, market, sell or offer for sale a Product in such country, including, where applicable,</w:t>
      </w:r>
    </w:p>
    <w:p>
      <w:pPr>
        <w:spacing w:after="0" w:line="2" w:lineRule="exact"/>
        <w:rPr>
          <w:sz w:val="20"/>
          <w:szCs w:val="20"/>
          <w:color w:val="auto"/>
        </w:rPr>
      </w:pPr>
    </w:p>
    <w:p>
      <w:pPr>
        <w:ind w:left="840" w:firstLine="3"/>
        <w:spacing w:after="0" w:line="237" w:lineRule="auto"/>
        <w:tabs>
          <w:tab w:leader="none" w:pos="116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pricing or reimbursement approval in such country, (ii) marketing authorizations (including any prerequisite Manufacturing approval or authorization related thereto) and (iii) labelling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718185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1240" w:top="1440" w:right="499" w:bottom="1440" w:gutter="0" w:footer="0" w:header="0"/>
        </w:sectPr>
      </w:pPr>
    </w:p>
    <w:bookmarkStart w:id="181" w:name="page182"/>
    <w:bookmarkEnd w:id="181"/>
    <w:p>
      <w:pPr>
        <w:spacing w:after="0" w:line="113" w:lineRule="exact"/>
        <w:rPr>
          <w:sz w:val="20"/>
          <w:szCs w:val="20"/>
          <w:color w:val="auto"/>
        </w:rPr>
      </w:pPr>
    </w:p>
    <w:p>
      <w:pPr>
        <w:jc w:val="both"/>
        <w:ind w:left="840" w:hanging="840"/>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1.99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any applicable supra-national, federal, national, regional, state, provincial or local regulatory agencies, departments, bureaus, commissions, councils or other government entities regulating or otherwise exercising authority with respect to the Exploitation of Compounds or Products in the Territory, including the FDA in the United States and the</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EMA in the European Union (including any successor authority in respect of the United Kingdom).</w:t>
      </w:r>
    </w:p>
    <w:p>
      <w:pPr>
        <w:spacing w:after="0" w:line="202" w:lineRule="exact"/>
        <w:rPr>
          <w:sz w:val="20"/>
          <w:szCs w:val="20"/>
          <w:color w:val="auto"/>
        </w:rPr>
      </w:pPr>
    </w:p>
    <w:p>
      <w:pPr>
        <w:jc w:val="both"/>
        <w:ind w:left="840" w:right="20" w:hanging="840"/>
        <w:spacing w:after="0" w:line="236" w:lineRule="auto"/>
        <w:tabs>
          <w:tab w:leader="none" w:pos="820" w:val="left"/>
        </w:tabs>
        <w:rPr>
          <w:sz w:val="20"/>
          <w:szCs w:val="20"/>
          <w:color w:val="auto"/>
        </w:rPr>
      </w:pPr>
      <w:r>
        <w:rPr>
          <w:rFonts w:ascii="Times New Roman" w:cs="Times New Roman" w:eastAsia="Times New Roman" w:hAnsi="Times New Roman"/>
          <w:sz w:val="20"/>
          <w:szCs w:val="20"/>
          <w:color w:val="auto"/>
        </w:rPr>
        <w:t>1.100</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Documentation</w:t>
      </w:r>
      <w:r>
        <w:rPr>
          <w:rFonts w:ascii="Times New Roman" w:cs="Times New Roman" w:eastAsia="Times New Roman" w:hAnsi="Times New Roman"/>
          <w:sz w:val="22"/>
          <w:szCs w:val="22"/>
          <w:color w:val="auto"/>
        </w:rPr>
        <w:t>” means: all (i) applications (including all INDs and Drug Approval Applications), registrations, licenses, authorizations and approvals (including Regulatory Approvals); (ii)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(iii) clinical and other data contained or relied upon in any of the foregoing; in each case ((i), (ii) and (iii)) relating to a Compound or a Product.</w:t>
      </w:r>
    </w:p>
    <w:p>
      <w:pPr>
        <w:spacing w:after="0" w:line="243" w:lineRule="exact"/>
        <w:rPr>
          <w:sz w:val="20"/>
          <w:szCs w:val="20"/>
          <w:color w:val="auto"/>
        </w:rPr>
      </w:pPr>
    </w:p>
    <w:p>
      <w:pPr>
        <w:jc w:val="both"/>
        <w:ind w:left="840" w:right="20" w:hanging="840"/>
        <w:spacing w:after="0" w:line="236" w:lineRule="auto"/>
        <w:tabs>
          <w:tab w:leader="none" w:pos="820" w:val="left"/>
        </w:tabs>
        <w:rPr>
          <w:sz w:val="20"/>
          <w:szCs w:val="20"/>
          <w:color w:val="auto"/>
        </w:rPr>
      </w:pPr>
      <w:r>
        <w:rPr>
          <w:rFonts w:ascii="Times New Roman" w:cs="Times New Roman" w:eastAsia="Times New Roman" w:hAnsi="Times New Roman"/>
          <w:sz w:val="20"/>
          <w:szCs w:val="20"/>
          <w:color w:val="auto"/>
        </w:rPr>
        <w:t>1.101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Know-How</w:t>
      </w:r>
      <w:r>
        <w:rPr>
          <w:rFonts w:ascii="Times New Roman" w:cs="Times New Roman" w:eastAsia="Times New Roman" w:hAnsi="Times New Roman"/>
          <w:sz w:val="22"/>
          <w:szCs w:val="22"/>
          <w:color w:val="auto"/>
        </w:rPr>
        <w:t>” means (i) any Information which is owned or Controlled by AstraZeneca or any of its Affiliates as of the Effective Date as well as any Information which is owned or Controlled by AstraZeneca or any of its Affiliates under the Transferring Contracts and Additional Studies following the Effective Date and prior to the effective date of the assignment of the relevant Transferring Contract or Additional Study and, in each case, that is (ii) reasonably necessary or intended for use in connection with the Development or Exploitation of Product(s) in the Field in the Territory. Related Know-How excludes the Option Know-How and excludes [***].</w:t>
      </w:r>
    </w:p>
    <w:p>
      <w:pPr>
        <w:spacing w:after="0" w:line="189" w:lineRule="exact"/>
        <w:rPr>
          <w:sz w:val="20"/>
          <w:szCs w:val="20"/>
          <w:color w:val="auto"/>
        </w:rPr>
      </w:pPr>
    </w:p>
    <w:p>
      <w:pPr>
        <w:jc w:val="both"/>
        <w:ind w:left="840" w:hanging="841"/>
        <w:spacing w:after="0" w:line="238" w:lineRule="auto"/>
        <w:tabs>
          <w:tab w:leader="none" w:pos="82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Remaining API</w:t>
      </w:r>
      <w:r>
        <w:rPr>
          <w:rFonts w:ascii="Times New Roman" w:cs="Times New Roman" w:eastAsia="Times New Roman" w:hAnsi="Times New Roman"/>
          <w:sz w:val="22"/>
          <w:szCs w:val="22"/>
          <w:color w:val="auto"/>
        </w:rPr>
        <w:t>” means all Compound API in AstraZeneca’s or its Affiliates’ possession or control which were not allocated as of the Effective Date for use in AstraZeneca’s then Ongoing Research Agreements, [***], provided that on the effective date of transfer of a given Ongoing Research Agreement to Mereo, the amount of such Compound API required for such Ongoing Research Agreement shall become Remaining API always with the exception that [***] of [***] and [***].</w:t>
      </w:r>
    </w:p>
    <w:p>
      <w:pPr>
        <w:spacing w:after="0" w:line="190" w:lineRule="exact"/>
        <w:rPr>
          <w:sz w:val="20"/>
          <w:szCs w:val="20"/>
          <w:color w:val="auto"/>
        </w:rPr>
      </w:pPr>
    </w:p>
    <w:p>
      <w:pPr>
        <w:jc w:val="both"/>
        <w:ind w:left="840" w:right="20" w:hanging="840"/>
        <w:spacing w:after="0" w:line="246" w:lineRule="auto"/>
        <w:tabs>
          <w:tab w:leader="none" w:pos="820" w:val="left"/>
        </w:tabs>
        <w:rPr>
          <w:sz w:val="20"/>
          <w:szCs w:val="20"/>
          <w:color w:val="auto"/>
        </w:rPr>
      </w:pPr>
      <w:r>
        <w:rPr>
          <w:rFonts w:ascii="Times New Roman" w:cs="Times New Roman" w:eastAsia="Times New Roman" w:hAnsi="Times New Roman"/>
          <w:sz w:val="20"/>
          <w:szCs w:val="20"/>
          <w:color w:val="auto"/>
        </w:rPr>
        <w:t>1.103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Retained Rights</w:t>
      </w:r>
      <w:r>
        <w:rPr>
          <w:rFonts w:ascii="Times New Roman" w:cs="Times New Roman" w:eastAsia="Times New Roman" w:hAnsi="Times New Roman"/>
          <w:sz w:val="22"/>
          <w:szCs w:val="22"/>
          <w:color w:val="auto"/>
        </w:rPr>
        <w:t>” mean, with respect to the Compounds and Products in the Field in the Territory, the rights of AstraZeneca, its Affiliates and its and their licensors, (sub)licensees and contractors to perform its and their obligations under this Agreement.</w:t>
      </w:r>
    </w:p>
    <w:p>
      <w:pPr>
        <w:spacing w:after="0" w:line="14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1.104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means, [***].</w:t>
      </w:r>
    </w:p>
    <w:p>
      <w:pPr>
        <w:spacing w:after="0" w:line="23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1.105</w:t>
      </w:r>
      <w:r>
        <w:rPr>
          <w:sz w:val="20"/>
          <w:szCs w:val="20"/>
          <w:color w:val="auto"/>
        </w:rPr>
        <w:tab/>
      </w:r>
      <w:r>
        <w:rPr>
          <w:rFonts w:ascii="Times New Roman" w:cs="Times New Roman" w:eastAsia="Times New Roman" w:hAnsi="Times New Roman"/>
          <w:sz w:val="21"/>
          <w:szCs w:val="21"/>
          <w:color w:val="auto"/>
        </w:rPr>
        <w:t>[***] has the meaning set forth in clause 1.2 of the Subscription Deed.</w:t>
      </w:r>
    </w:p>
    <w:p>
      <w:pPr>
        <w:spacing w:after="0" w:line="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1.106</w:t>
      </w:r>
      <w:r>
        <w:rPr>
          <w:sz w:val="20"/>
          <w:szCs w:val="20"/>
          <w:color w:val="auto"/>
        </w:rPr>
        <w:tab/>
      </w:r>
      <w:r>
        <w:rPr>
          <w:rFonts w:ascii="Times New Roman" w:cs="Times New Roman" w:eastAsia="Times New Roman" w:hAnsi="Times New Roman"/>
          <w:sz w:val="21"/>
          <w:szCs w:val="21"/>
          <w:color w:val="auto"/>
        </w:rPr>
        <w:t>[***] has the meaning set forth in clause 1.2 of the Subscription Deed.</w:t>
      </w:r>
    </w:p>
    <w:p>
      <w:pPr>
        <w:spacing w:after="0" w:line="1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1.107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Senior Officer</w:t>
      </w:r>
      <w:r>
        <w:rPr>
          <w:rFonts w:ascii="Times New Roman" w:cs="Times New Roman" w:eastAsia="Times New Roman" w:hAnsi="Times New Roman"/>
          <w:sz w:val="21"/>
          <w:szCs w:val="21"/>
          <w:color w:val="auto"/>
        </w:rPr>
        <w:t>” means, with respect to AstraZeneca, [***] and with respect to Mereo, [***].</w:t>
      </w:r>
    </w:p>
    <w:p>
      <w:pPr>
        <w:spacing w:after="0" w:line="231" w:lineRule="exact"/>
        <w:rPr>
          <w:sz w:val="20"/>
          <w:szCs w:val="20"/>
          <w:color w:val="auto"/>
        </w:rPr>
      </w:pPr>
    </w:p>
    <w:p>
      <w:pPr>
        <w:jc w:val="both"/>
        <w:ind w:left="840" w:right="20" w:hanging="840"/>
        <w:spacing w:after="0" w:line="262" w:lineRule="auto"/>
        <w:tabs>
          <w:tab w:leader="none" w:pos="820" w:val="left"/>
        </w:tabs>
        <w:rPr>
          <w:sz w:val="20"/>
          <w:szCs w:val="20"/>
          <w:color w:val="auto"/>
        </w:rPr>
      </w:pPr>
      <w:r>
        <w:rPr>
          <w:rFonts w:ascii="Times New Roman" w:cs="Times New Roman" w:eastAsia="Times New Roman" w:hAnsi="Times New Roman"/>
          <w:sz w:val="20"/>
          <w:szCs w:val="20"/>
          <w:color w:val="auto"/>
        </w:rPr>
        <w:t>1.108</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 Person, other than an Affiliate, that is granted a sublicense by Mereo or its Affiliate under the grants in Section 2.1, as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702310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1240" w:top="1440" w:right="479" w:bottom="1440" w:gutter="0" w:footer="0" w:header="0"/>
        </w:sectPr>
      </w:pPr>
    </w:p>
    <w:bookmarkStart w:id="182" w:name="page183"/>
    <w:bookmarkEnd w:id="182"/>
    <w:p>
      <w:pPr>
        <w:spacing w:after="0" w:line="144" w:lineRule="exact"/>
        <w:rPr>
          <w:sz w:val="20"/>
          <w:szCs w:val="20"/>
          <w:color w:val="auto"/>
        </w:rPr>
      </w:pPr>
    </w:p>
    <w:p>
      <w:pPr>
        <w:ind w:left="840"/>
        <w:spacing w:after="0" w:line="258" w:lineRule="auto"/>
        <w:rPr>
          <w:sz w:val="20"/>
          <w:szCs w:val="20"/>
          <w:color w:val="auto"/>
        </w:rPr>
      </w:pPr>
      <w:r>
        <w:rPr>
          <w:rFonts w:ascii="Times New Roman" w:cs="Times New Roman" w:eastAsia="Times New Roman" w:hAnsi="Times New Roman"/>
          <w:sz w:val="22"/>
          <w:szCs w:val="22"/>
          <w:color w:val="auto"/>
        </w:rPr>
        <w:t>in Section 2.2, but excluding any distributor, and which shall include any Person that is granted a licence under the Option Intellectual Property following Mereo’s exercise of the Option.</w:t>
      </w:r>
    </w:p>
    <w:p>
      <w:pPr>
        <w:spacing w:after="0" w:line="1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1.109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Sublicensing Consideration</w:t>
      </w:r>
      <w:r>
        <w:rPr>
          <w:rFonts w:ascii="Times New Roman" w:cs="Times New Roman" w:eastAsia="Times New Roman" w:hAnsi="Times New Roman"/>
          <w:sz w:val="21"/>
          <w:szCs w:val="21"/>
          <w:color w:val="auto"/>
        </w:rPr>
        <w:t>” means [***].</w:t>
      </w:r>
    </w:p>
    <w:p>
      <w:pPr>
        <w:spacing w:after="0" w:line="218" w:lineRule="exact"/>
        <w:rPr>
          <w:sz w:val="20"/>
          <w:szCs w:val="20"/>
          <w:color w:val="auto"/>
        </w:rPr>
      </w:pPr>
    </w:p>
    <w:p>
      <w:pPr>
        <w:ind w:left="840" w:right="20" w:hanging="840"/>
        <w:spacing w:after="0" w:line="262" w:lineRule="auto"/>
        <w:tabs>
          <w:tab w:leader="none" w:pos="82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Subscription Deed</w:t>
      </w:r>
      <w:r>
        <w:rPr>
          <w:rFonts w:ascii="Times New Roman" w:cs="Times New Roman" w:eastAsia="Times New Roman" w:hAnsi="Times New Roman"/>
          <w:sz w:val="22"/>
          <w:szCs w:val="22"/>
          <w:color w:val="auto"/>
        </w:rPr>
        <w:t>” means that certain ordinary shares subscription deed between MBGP and AstraZeneca and dated as of the Effective Date.</w:t>
      </w:r>
    </w:p>
    <w:p>
      <w:pPr>
        <w:spacing w:after="0" w:line="1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Subscription Shares</w:t>
      </w:r>
      <w:r>
        <w:rPr>
          <w:rFonts w:ascii="Times New Roman" w:cs="Times New Roman" w:eastAsia="Times New Roman" w:hAnsi="Times New Roman"/>
          <w:sz w:val="21"/>
          <w:szCs w:val="21"/>
          <w:color w:val="auto"/>
        </w:rPr>
        <w:t>” shall have the meaning set forth in the Subscription Deed.</w:t>
      </w:r>
    </w:p>
    <w:p>
      <w:pPr>
        <w:spacing w:after="0" w:line="235" w:lineRule="exact"/>
        <w:rPr>
          <w:sz w:val="20"/>
          <w:szCs w:val="20"/>
          <w:color w:val="auto"/>
        </w:rPr>
      </w:pPr>
    </w:p>
    <w:p>
      <w:pPr>
        <w:ind w:left="840" w:right="300" w:hanging="829"/>
        <w:spacing w:after="0" w:line="244" w:lineRule="auto"/>
        <w:tabs>
          <w:tab w:leader="none" w:pos="82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22"/>
          <w:szCs w:val="22"/>
          <w:color w:val="auto"/>
        </w:rPr>
        <w:t>A “[***]” means the study was not terminated due to a safety signal (as instructed by the Regulatory Authorities or the study’s independent data monitoring committee (IDMC)) and met at least one primary endpoint.</w:t>
      </w:r>
    </w:p>
    <w:p>
      <w:pPr>
        <w:spacing w:after="0" w:line="183" w:lineRule="exact"/>
        <w:rPr>
          <w:sz w:val="20"/>
          <w:szCs w:val="20"/>
          <w:color w:val="auto"/>
        </w:rPr>
      </w:pPr>
    </w:p>
    <w:p>
      <w:pPr>
        <w:jc w:val="both"/>
        <w:ind w:left="840" w:right="20" w:hanging="840"/>
        <w:spacing w:after="0" w:line="246" w:lineRule="auto"/>
        <w:tabs>
          <w:tab w:leader="none" w:pos="82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Taxation</w:t>
      </w:r>
      <w:r>
        <w:rPr>
          <w:rFonts w:ascii="Times New Roman" w:cs="Times New Roman" w:eastAsia="Times New Roman" w:hAnsi="Times New Roman"/>
          <w:sz w:val="22"/>
          <w:szCs w:val="22"/>
          <w:color w:val="auto"/>
        </w:rPr>
        <w:t>” means any form of tax or taxation, levy, duty, charge, social security charge, contribution, or withholding of whatever nature (including any related fine, penalty, surcharge or interest) imposed by, or payable to, a Tax Authority.</w:t>
      </w:r>
    </w:p>
    <w:p>
      <w:pPr>
        <w:spacing w:after="0" w:line="140" w:lineRule="exact"/>
        <w:rPr>
          <w:sz w:val="20"/>
          <w:szCs w:val="20"/>
          <w:color w:val="auto"/>
        </w:rPr>
      </w:pPr>
    </w:p>
    <w:p>
      <w:pPr>
        <w:jc w:val="both"/>
        <w:ind w:left="840" w:right="20" w:hanging="840"/>
        <w:spacing w:after="0" w:line="262" w:lineRule="auto"/>
        <w:tabs>
          <w:tab w:leader="none" w:pos="82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Authority</w:t>
      </w:r>
      <w:r>
        <w:rPr>
          <w:rFonts w:ascii="Times New Roman" w:cs="Times New Roman" w:eastAsia="Times New Roman" w:hAnsi="Times New Roman"/>
          <w:sz w:val="22"/>
          <w:szCs w:val="22"/>
          <w:color w:val="auto"/>
        </w:rPr>
        <w:t>” means any government, state or municipality, or any local, state, federal or other fiscal, revenue, customs or excise authority, body or official anywhere in the world, authorized to levy Tax.</w:t>
      </w:r>
    </w:p>
    <w:p>
      <w:pPr>
        <w:spacing w:after="0" w:line="1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Tech Transfer Support</w:t>
      </w:r>
      <w:r>
        <w:rPr>
          <w:rFonts w:ascii="Times New Roman" w:cs="Times New Roman" w:eastAsia="Times New Roman" w:hAnsi="Times New Roman"/>
          <w:sz w:val="21"/>
          <w:szCs w:val="21"/>
          <w:color w:val="auto"/>
        </w:rPr>
        <w:t>” has the meaning given in Section 4.1.1.</w:t>
      </w:r>
    </w:p>
    <w:p>
      <w:pPr>
        <w:spacing w:after="0" w:line="20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Tech Transfer Support Period</w:t>
      </w:r>
      <w:r>
        <w:rPr>
          <w:rFonts w:ascii="Times New Roman" w:cs="Times New Roman" w:eastAsia="Times New Roman" w:hAnsi="Times New Roman"/>
          <w:sz w:val="21"/>
          <w:szCs w:val="21"/>
          <w:color w:val="auto"/>
        </w:rPr>
        <w:t>” has the meaning set forth in Section 4.1.2.</w:t>
      </w:r>
    </w:p>
    <w:p>
      <w:pPr>
        <w:spacing w:after="0" w:line="2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has the meaning set forth in Section 14.1.</w:t>
      </w:r>
    </w:p>
    <w:p>
      <w:pPr>
        <w:spacing w:after="0" w:line="19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21"/>
          <w:szCs w:val="21"/>
          <w:b w:val="1"/>
          <w:bCs w:val="1"/>
          <w:color w:val="auto"/>
        </w:rPr>
        <w:t>Termination Notice</w:t>
      </w:r>
      <w:r>
        <w:rPr>
          <w:rFonts w:ascii="Times New Roman" w:cs="Times New Roman" w:eastAsia="Times New Roman" w:hAnsi="Times New Roman"/>
          <w:sz w:val="21"/>
          <w:szCs w:val="21"/>
          <w:color w:val="auto"/>
        </w:rPr>
        <w:t>” has the meaning set forth in Section 14.2.1.</w:t>
      </w:r>
    </w:p>
    <w:p>
      <w:pPr>
        <w:spacing w:after="0" w:line="20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world-wide.</w:t>
      </w: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21"/>
          <w:szCs w:val="21"/>
          <w:color w:val="auto"/>
        </w:rPr>
        <w:t>[***] has the meaning set forth in clause 1.2 of the Subscription Deed.</w:t>
      </w:r>
    </w:p>
    <w:p>
      <w:pPr>
        <w:spacing w:after="0" w:line="2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1.120</w:t>
      </w:r>
      <w:r>
        <w:rPr>
          <w:sz w:val="20"/>
          <w:szCs w:val="20"/>
          <w:color w:val="auto"/>
        </w:rPr>
        <w:tab/>
      </w:r>
      <w:r>
        <w:rPr>
          <w:rFonts w:ascii="Times New Roman" w:cs="Times New Roman" w:eastAsia="Times New Roman" w:hAnsi="Times New Roman"/>
          <w:sz w:val="21"/>
          <w:szCs w:val="21"/>
          <w:color w:val="auto"/>
        </w:rPr>
        <w:t>[***] has the meaning set forth in clause 1.2 of the Subscription Deed;</w:t>
      </w:r>
    </w:p>
    <w:p>
      <w:pPr>
        <w:spacing w:after="0" w:line="24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w:t>
      </w:r>
      <w:r>
        <w:rPr>
          <w:rFonts w:ascii="Times New Roman" w:cs="Times New Roman" w:eastAsia="Times New Roman" w:hAnsi="Times New Roman"/>
          <w:sz w:val="21"/>
          <w:szCs w:val="21"/>
          <w:color w:val="auto"/>
        </w:rPr>
        <w:t>” means any Person other than AstraZeneca, Mereo and their respective Affiliates.</w:t>
      </w:r>
    </w:p>
    <w:p>
      <w:pPr>
        <w:spacing w:after="0" w:line="20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Claims</w:t>
      </w:r>
      <w:r>
        <w:rPr>
          <w:rFonts w:ascii="Times New Roman" w:cs="Times New Roman" w:eastAsia="Times New Roman" w:hAnsi="Times New Roman"/>
          <w:sz w:val="21"/>
          <w:szCs w:val="21"/>
          <w:color w:val="auto"/>
        </w:rPr>
        <w:t>” has the meaning set forth in Section 13.1.</w:t>
      </w:r>
    </w:p>
    <w:p>
      <w:pPr>
        <w:spacing w:after="0" w:line="20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Infringement Claim</w:t>
      </w:r>
      <w:r>
        <w:rPr>
          <w:rFonts w:ascii="Times New Roman" w:cs="Times New Roman" w:eastAsia="Times New Roman" w:hAnsi="Times New Roman"/>
          <w:sz w:val="21"/>
          <w:szCs w:val="21"/>
          <w:color w:val="auto"/>
        </w:rPr>
        <w:t>” has the meaning set forth in Section 9.4.</w:t>
      </w:r>
    </w:p>
    <w:p>
      <w:pPr>
        <w:spacing w:after="0" w:line="2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1.124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Patent Right</w:t>
      </w:r>
      <w:r>
        <w:rPr>
          <w:rFonts w:ascii="Times New Roman" w:cs="Times New Roman" w:eastAsia="Times New Roman" w:hAnsi="Times New Roman"/>
          <w:sz w:val="21"/>
          <w:szCs w:val="21"/>
          <w:color w:val="auto"/>
        </w:rPr>
        <w:t>” has the meaning set forth in Section 9.6.</w:t>
      </w:r>
    </w:p>
    <w:p>
      <w:pPr>
        <w:spacing w:after="0" w:line="218" w:lineRule="exact"/>
        <w:rPr>
          <w:sz w:val="20"/>
          <w:szCs w:val="20"/>
          <w:color w:val="auto"/>
        </w:rPr>
      </w:pPr>
    </w:p>
    <w:p>
      <w:pPr>
        <w:jc w:val="both"/>
        <w:ind w:left="840" w:right="20" w:hanging="840"/>
        <w:spacing w:after="0" w:line="238" w:lineRule="auto"/>
        <w:tabs>
          <w:tab w:leader="none" w:pos="820" w:val="left"/>
        </w:tabs>
        <w:rPr>
          <w:sz w:val="20"/>
          <w:szCs w:val="20"/>
          <w:color w:val="auto"/>
        </w:rPr>
      </w:pPr>
      <w:r>
        <w:rPr>
          <w:rFonts w:ascii="Times New Roman" w:cs="Times New Roman" w:eastAsia="Times New Roman" w:hAnsi="Times New Roman"/>
          <w:sz w:val="20"/>
          <w:szCs w:val="20"/>
          <w:color w:val="auto"/>
        </w:rPr>
        <w:t>1.125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Payments</w:t>
      </w:r>
      <w:r>
        <w:rPr>
          <w:rFonts w:ascii="Times New Roman" w:cs="Times New Roman" w:eastAsia="Times New Roman" w:hAnsi="Times New Roman"/>
          <w:sz w:val="22"/>
          <w:szCs w:val="22"/>
          <w:color w:val="auto"/>
        </w:rPr>
        <w:t>” means the aggregate of [***] payments (including for [***]) Mereo, its Affiliates or Sublicensees pay directly to a Third Party for rights under patents or know-how controlled by such Third Party necessary for the manufacture, use or sale of Products. For avoidance of doubt, [***] payments by Mereo, its Affiliates or Sublicensees for licenses to Patents or Information generated by the Ongoing Research Agreements or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719455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1240" w:top="1440" w:right="479" w:bottom="1440" w:gutter="0" w:footer="0" w:header="0"/>
        </w:sectPr>
      </w:pPr>
    </w:p>
    <w:bookmarkStart w:id="183" w:name="page184"/>
    <w:bookmarkEnd w:id="183"/>
    <w:p>
      <w:pPr>
        <w:spacing w:after="0" w:line="144" w:lineRule="exact"/>
        <w:rPr>
          <w:sz w:val="20"/>
          <w:szCs w:val="20"/>
          <w:color w:val="auto"/>
        </w:rPr>
      </w:pPr>
    </w:p>
    <w:p>
      <w:pPr>
        <w:ind w:left="1602"/>
        <w:spacing w:after="0"/>
        <w:rPr>
          <w:sz w:val="20"/>
          <w:szCs w:val="20"/>
          <w:color w:val="auto"/>
        </w:rPr>
      </w:pPr>
      <w:r>
        <w:rPr>
          <w:rFonts w:ascii="Times New Roman" w:cs="Times New Roman" w:eastAsia="Times New Roman" w:hAnsi="Times New Roman"/>
          <w:sz w:val="22"/>
          <w:szCs w:val="22"/>
          <w:color w:val="auto"/>
        </w:rPr>
        <w:t>Studies will be included in Third Party Payments.</w:t>
      </w:r>
    </w:p>
    <w:p>
      <w:pPr>
        <w:spacing w:after="0" w:line="216" w:lineRule="exact"/>
        <w:rPr>
          <w:sz w:val="20"/>
          <w:szCs w:val="20"/>
          <w:color w:val="auto"/>
        </w:rPr>
      </w:pPr>
    </w:p>
    <w:p>
      <w:pPr>
        <w:jc w:val="both"/>
        <w:ind w:left="1602" w:right="20" w:hanging="840"/>
        <w:spacing w:after="0" w:line="256" w:lineRule="auto"/>
        <w:tabs>
          <w:tab w:leader="none" w:pos="1582" w:val="left"/>
        </w:tabs>
        <w:rPr>
          <w:sz w:val="20"/>
          <w:szCs w:val="20"/>
          <w:color w:val="auto"/>
        </w:rPr>
      </w:pPr>
      <w:r>
        <w:rPr>
          <w:rFonts w:ascii="Times New Roman" w:cs="Times New Roman" w:eastAsia="Times New Roman" w:hAnsi="Times New Roman"/>
          <w:sz w:val="20"/>
          <w:szCs w:val="20"/>
          <w:color w:val="auto"/>
        </w:rPr>
        <w:t>1.126</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Top Line Data</w:t>
      </w:r>
      <w:r>
        <w:rPr>
          <w:rFonts w:ascii="Times New Roman" w:cs="Times New Roman" w:eastAsia="Times New Roman" w:hAnsi="Times New Roman"/>
          <w:sz w:val="22"/>
          <w:szCs w:val="22"/>
          <w:color w:val="auto"/>
        </w:rPr>
        <w:t>” means with respect to a clinical study, a summary of demographic data, the data for the primary endpoint and a summary of safety data.</w:t>
      </w:r>
    </w:p>
    <w:p>
      <w:pPr>
        <w:jc w:val="both"/>
        <w:ind w:left="1602" w:right="20" w:hanging="840"/>
        <w:spacing w:after="0" w:line="262" w:lineRule="auto"/>
        <w:tabs>
          <w:tab w:leader="none" w:pos="1582" w:val="left"/>
        </w:tabs>
        <w:rPr>
          <w:sz w:val="20"/>
          <w:szCs w:val="20"/>
          <w:color w:val="auto"/>
        </w:rPr>
      </w:pPr>
      <w:r>
        <w:rPr>
          <w:rFonts w:ascii="Times New Roman" w:cs="Times New Roman" w:eastAsia="Times New Roman" w:hAnsi="Times New Roman"/>
          <w:sz w:val="20"/>
          <w:szCs w:val="20"/>
          <w:color w:val="auto"/>
        </w:rPr>
        <w:t>1.127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Top Line Data Date</w:t>
      </w:r>
      <w:r>
        <w:rPr>
          <w:rFonts w:ascii="Times New Roman" w:cs="Times New Roman" w:eastAsia="Times New Roman" w:hAnsi="Times New Roman"/>
          <w:sz w:val="22"/>
          <w:szCs w:val="22"/>
          <w:color w:val="auto"/>
        </w:rPr>
        <w:t>” means the date on which Mereo provides AstraZeneca with a copy of its Top Line Data from the first [***] for a Product.</w:t>
      </w:r>
    </w:p>
    <w:p>
      <w:pPr>
        <w:spacing w:after="0" w:line="136" w:lineRule="exact"/>
        <w:rPr>
          <w:sz w:val="20"/>
          <w:szCs w:val="20"/>
          <w:color w:val="auto"/>
        </w:rPr>
      </w:pPr>
    </w:p>
    <w:p>
      <w:pPr>
        <w:ind w:left="762"/>
        <w:spacing w:after="0"/>
        <w:tabs>
          <w:tab w:leader="none" w:pos="1582" w:val="left"/>
        </w:tabs>
        <w:rPr>
          <w:sz w:val="20"/>
          <w:szCs w:val="20"/>
          <w:color w:val="auto"/>
        </w:rPr>
      </w:pPr>
      <w:r>
        <w:rPr>
          <w:rFonts w:ascii="Times New Roman" w:cs="Times New Roman" w:eastAsia="Times New Roman" w:hAnsi="Times New Roman"/>
          <w:sz w:val="20"/>
          <w:szCs w:val="20"/>
          <w:color w:val="auto"/>
        </w:rPr>
        <w:t>1.128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 Activities</w:t>
      </w:r>
      <w:r>
        <w:rPr>
          <w:rFonts w:ascii="Times New Roman" w:cs="Times New Roman" w:eastAsia="Times New Roman" w:hAnsi="Times New Roman"/>
          <w:sz w:val="21"/>
          <w:szCs w:val="21"/>
          <w:color w:val="auto"/>
        </w:rPr>
        <w:t>” means those activities to be performed by AstraZeneca as set out in Sections 3.1 and</w:t>
      </w:r>
    </w:p>
    <w:p>
      <w:pPr>
        <w:spacing w:after="0" w:line="30" w:lineRule="exact"/>
        <w:rPr>
          <w:sz w:val="20"/>
          <w:szCs w:val="20"/>
          <w:color w:val="auto"/>
        </w:rPr>
      </w:pPr>
    </w:p>
    <w:p>
      <w:pPr>
        <w:ind w:left="1602"/>
        <w:spacing w:after="0"/>
        <w:rPr>
          <w:sz w:val="20"/>
          <w:szCs w:val="20"/>
          <w:color w:val="auto"/>
        </w:rPr>
      </w:pPr>
      <w:r>
        <w:rPr>
          <w:rFonts w:ascii="Times New Roman" w:cs="Times New Roman" w:eastAsia="Times New Roman" w:hAnsi="Times New Roman"/>
          <w:sz w:val="22"/>
          <w:szCs w:val="22"/>
          <w:color w:val="auto"/>
        </w:rPr>
        <w:t>4.</w:t>
      </w:r>
    </w:p>
    <w:p>
      <w:pPr>
        <w:spacing w:after="0" w:line="178" w:lineRule="exact"/>
        <w:rPr>
          <w:sz w:val="20"/>
          <w:szCs w:val="20"/>
          <w:color w:val="auto"/>
        </w:rPr>
      </w:pPr>
    </w:p>
    <w:p>
      <w:pPr>
        <w:ind w:left="762"/>
        <w:spacing w:after="0"/>
        <w:tabs>
          <w:tab w:leader="none" w:pos="1582" w:val="left"/>
        </w:tabs>
        <w:rPr>
          <w:sz w:val="20"/>
          <w:szCs w:val="20"/>
          <w:color w:val="auto"/>
        </w:rPr>
      </w:pPr>
      <w:r>
        <w:rPr>
          <w:rFonts w:ascii="Times New Roman" w:cs="Times New Roman" w:eastAsia="Times New Roman" w:hAnsi="Times New Roman"/>
          <w:sz w:val="20"/>
          <w:szCs w:val="20"/>
          <w:color w:val="auto"/>
        </w:rPr>
        <w:t>1.129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Transferring Assets</w:t>
      </w:r>
      <w:r>
        <w:rPr>
          <w:rFonts w:ascii="Times New Roman" w:cs="Times New Roman" w:eastAsia="Times New Roman" w:hAnsi="Times New Roman"/>
          <w:sz w:val="22"/>
          <w:szCs w:val="22"/>
          <w:color w:val="auto"/>
        </w:rPr>
        <w:t>” means those assets to be transferred by AstraZeneca to Mereo pursuant to Section</w:t>
      </w:r>
    </w:p>
    <w:p>
      <w:pPr>
        <w:spacing w:after="0" w:line="18" w:lineRule="exact"/>
        <w:rPr>
          <w:sz w:val="20"/>
          <w:szCs w:val="20"/>
          <w:color w:val="auto"/>
        </w:rPr>
      </w:pPr>
    </w:p>
    <w:p>
      <w:pPr>
        <w:ind w:left="1602"/>
        <w:spacing w:after="0"/>
        <w:rPr>
          <w:sz w:val="20"/>
          <w:szCs w:val="20"/>
          <w:color w:val="auto"/>
        </w:rPr>
      </w:pPr>
      <w:r>
        <w:rPr>
          <w:rFonts w:ascii="Times New Roman" w:cs="Times New Roman" w:eastAsia="Times New Roman" w:hAnsi="Times New Roman"/>
          <w:sz w:val="22"/>
          <w:szCs w:val="22"/>
          <w:color w:val="auto"/>
        </w:rPr>
        <w:t>3.1, as set forth on Schedule 1.129.</w:t>
      </w:r>
    </w:p>
    <w:p>
      <w:pPr>
        <w:spacing w:after="0" w:line="165" w:lineRule="exact"/>
        <w:rPr>
          <w:sz w:val="20"/>
          <w:szCs w:val="20"/>
          <w:color w:val="auto"/>
        </w:rPr>
      </w:pPr>
    </w:p>
    <w:p>
      <w:pPr>
        <w:ind w:left="762"/>
        <w:spacing w:after="0"/>
        <w:tabs>
          <w:tab w:leader="none" w:pos="1582" w:val="left"/>
        </w:tabs>
        <w:rPr>
          <w:sz w:val="20"/>
          <w:szCs w:val="20"/>
          <w:color w:val="auto"/>
        </w:rPr>
      </w:pPr>
      <w:r>
        <w:rPr>
          <w:rFonts w:ascii="Times New Roman" w:cs="Times New Roman" w:eastAsia="Times New Roman" w:hAnsi="Times New Roman"/>
          <w:sz w:val="20"/>
          <w:szCs w:val="20"/>
          <w:color w:val="auto"/>
        </w:rPr>
        <w:t>1.130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Transferring Contracts</w:t>
      </w:r>
      <w:r>
        <w:rPr>
          <w:rFonts w:ascii="Times New Roman" w:cs="Times New Roman" w:eastAsia="Times New Roman" w:hAnsi="Times New Roman"/>
          <w:sz w:val="21"/>
          <w:szCs w:val="21"/>
          <w:color w:val="auto"/>
        </w:rPr>
        <w:t>” means the Ongoing Research Agreements, each as set out in Schedule 1.129.</w:t>
      </w:r>
    </w:p>
    <w:p>
      <w:pPr>
        <w:spacing w:after="0" w:line="204" w:lineRule="exact"/>
        <w:rPr>
          <w:sz w:val="20"/>
          <w:szCs w:val="20"/>
          <w:color w:val="auto"/>
        </w:rPr>
      </w:pPr>
    </w:p>
    <w:p>
      <w:pPr>
        <w:jc w:val="both"/>
        <w:ind w:left="1602" w:right="20" w:hanging="840"/>
        <w:spacing w:after="0" w:line="262" w:lineRule="auto"/>
        <w:tabs>
          <w:tab w:leader="none" w:pos="1582" w:val="left"/>
        </w:tabs>
        <w:rPr>
          <w:sz w:val="20"/>
          <w:szCs w:val="20"/>
          <w:color w:val="auto"/>
        </w:rPr>
      </w:pPr>
      <w:r>
        <w:rPr>
          <w:rFonts w:ascii="Times New Roman" w:cs="Times New Roman" w:eastAsia="Times New Roman" w:hAnsi="Times New Roman"/>
          <w:sz w:val="20"/>
          <w:szCs w:val="20"/>
          <w:color w:val="auto"/>
        </w:rPr>
        <w:t>1.131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Transferring Regulatory Documentation</w:t>
      </w:r>
      <w:r>
        <w:rPr>
          <w:rFonts w:ascii="Times New Roman" w:cs="Times New Roman" w:eastAsia="Times New Roman" w:hAnsi="Times New Roman"/>
          <w:sz w:val="22"/>
          <w:szCs w:val="22"/>
          <w:color w:val="auto"/>
        </w:rPr>
        <w:t>” means Regulatory Documentation owned by AstraZeneca or any of its Affiliates as of the Effective Date [***] related to the Product(s) in the Field in the Territory.</w:t>
      </w:r>
    </w:p>
    <w:p>
      <w:pPr>
        <w:spacing w:after="0" w:line="163" w:lineRule="exact"/>
        <w:rPr>
          <w:sz w:val="20"/>
          <w:szCs w:val="20"/>
          <w:color w:val="auto"/>
        </w:rPr>
      </w:pPr>
    </w:p>
    <w:p>
      <w:pPr>
        <w:jc w:val="both"/>
        <w:ind w:left="1602" w:right="20" w:hanging="840"/>
        <w:spacing w:after="0" w:line="262" w:lineRule="auto"/>
        <w:tabs>
          <w:tab w:leader="none" w:pos="1582" w:val="left"/>
        </w:tabs>
        <w:rPr>
          <w:sz w:val="20"/>
          <w:szCs w:val="20"/>
          <w:color w:val="auto"/>
        </w:rPr>
      </w:pPr>
      <w:r>
        <w:rPr>
          <w:rFonts w:ascii="Times New Roman" w:cs="Times New Roman" w:eastAsia="Times New Roman" w:hAnsi="Times New Roman"/>
          <w:sz w:val="20"/>
          <w:szCs w:val="20"/>
          <w:color w:val="auto"/>
        </w:rPr>
        <w:t>1.132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TUPE</w:t>
      </w:r>
      <w:r>
        <w:rPr>
          <w:rFonts w:ascii="Times New Roman" w:cs="Times New Roman" w:eastAsia="Times New Roman" w:hAnsi="Times New Roman"/>
          <w:sz w:val="22"/>
          <w:szCs w:val="22"/>
          <w:color w:val="auto"/>
        </w:rPr>
        <w:t>” means the Transfer of Undertakings (Protection of Employment) Regulations 2006 of the United Kingdom.</w:t>
      </w:r>
    </w:p>
    <w:p>
      <w:pPr>
        <w:spacing w:after="0" w:line="136" w:lineRule="exact"/>
        <w:rPr>
          <w:sz w:val="20"/>
          <w:szCs w:val="20"/>
          <w:color w:val="auto"/>
        </w:rPr>
      </w:pPr>
    </w:p>
    <w:p>
      <w:pPr>
        <w:ind w:left="762"/>
        <w:spacing w:after="0"/>
        <w:tabs>
          <w:tab w:leader="none" w:pos="1582" w:val="left"/>
        </w:tabs>
        <w:rPr>
          <w:sz w:val="20"/>
          <w:szCs w:val="20"/>
          <w:color w:val="auto"/>
        </w:rPr>
      </w:pPr>
      <w:r>
        <w:rPr>
          <w:rFonts w:ascii="Times New Roman" w:cs="Times New Roman" w:eastAsia="Times New Roman" w:hAnsi="Times New Roman"/>
          <w:sz w:val="20"/>
          <w:szCs w:val="20"/>
          <w:color w:val="auto"/>
        </w:rPr>
        <w:t>1.133</w:t>
      </w:r>
      <w:r>
        <w:rPr>
          <w:sz w:val="20"/>
          <w:szCs w:val="20"/>
          <w:color w:val="auto"/>
        </w:rPr>
        <w:tab/>
      </w:r>
      <w:r>
        <w:rPr>
          <w:rFonts w:ascii="Times New Roman" w:cs="Times New Roman" w:eastAsia="Times New Roman" w:hAnsi="Times New Roman"/>
          <w:sz w:val="21"/>
          <w:szCs w:val="21"/>
          <w:b w:val="1"/>
          <w:bCs w:val="1"/>
          <w:color w:val="auto"/>
        </w:rPr>
        <w:t xml:space="preserve">“United Kingdom” </w:t>
      </w:r>
      <w:r>
        <w:rPr>
          <w:rFonts w:ascii="Times New Roman" w:cs="Times New Roman" w:eastAsia="Times New Roman" w:hAnsi="Times New Roman"/>
          <w:sz w:val="21"/>
          <w:szCs w:val="21"/>
          <w:color w:val="auto"/>
        </w:rPr>
        <w:t>means the United Kingdom and its territories and possessions.</w:t>
      </w:r>
    </w:p>
    <w:p>
      <w:pPr>
        <w:spacing w:after="0" w:line="191" w:lineRule="exact"/>
        <w:rPr>
          <w:sz w:val="20"/>
          <w:szCs w:val="20"/>
          <w:color w:val="auto"/>
        </w:rPr>
      </w:pPr>
    </w:p>
    <w:p>
      <w:pPr>
        <w:jc w:val="both"/>
        <w:ind w:left="1602" w:right="20" w:hanging="840"/>
        <w:spacing w:after="0" w:line="262" w:lineRule="auto"/>
        <w:tabs>
          <w:tab w:leader="none" w:pos="1582" w:val="left"/>
        </w:tabs>
        <w:rPr>
          <w:sz w:val="20"/>
          <w:szCs w:val="20"/>
          <w:color w:val="auto"/>
        </w:rPr>
      </w:pPr>
      <w:r>
        <w:rPr>
          <w:rFonts w:ascii="Times New Roman" w:cs="Times New Roman" w:eastAsia="Times New Roman" w:hAnsi="Times New Roman"/>
          <w:sz w:val="20"/>
          <w:szCs w:val="20"/>
          <w:color w:val="auto"/>
        </w:rPr>
        <w:t>1.134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means the United States of America and its territories and possessions (including the District of Columbia and Puerto Rico).</w:t>
      </w:r>
    </w:p>
    <w:p>
      <w:pPr>
        <w:spacing w:after="0" w:line="136" w:lineRule="exact"/>
        <w:rPr>
          <w:sz w:val="20"/>
          <w:szCs w:val="20"/>
          <w:color w:val="auto"/>
        </w:rPr>
      </w:pPr>
    </w:p>
    <w:p>
      <w:pPr>
        <w:jc w:val="both"/>
        <w:ind w:left="1602" w:hanging="840"/>
        <w:spacing w:after="0" w:line="237" w:lineRule="auto"/>
        <w:tabs>
          <w:tab w:leader="none" w:pos="1582" w:val="left"/>
        </w:tabs>
        <w:rPr>
          <w:sz w:val="20"/>
          <w:szCs w:val="20"/>
          <w:color w:val="auto"/>
        </w:rPr>
      </w:pPr>
      <w:r>
        <w:rPr>
          <w:rFonts w:ascii="Times New Roman" w:cs="Times New Roman" w:eastAsia="Times New Roman" w:hAnsi="Times New Roman"/>
          <w:sz w:val="20"/>
          <w:szCs w:val="20"/>
          <w:color w:val="auto"/>
        </w:rPr>
        <w:t>1.135</w:t>
      </w:r>
      <w:r>
        <w:rPr>
          <w:sz w:val="20"/>
          <w:szCs w:val="20"/>
          <w:color w:val="auto"/>
        </w:rPr>
        <w:tab/>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 claim of any issued and unexpired Patent whose validity, enforceability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patentability has not been affected by (a) irretrievable lapse, abandonment, revocation, dedication to the public or disclaimer or (b)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w:t>
      </w:r>
    </w:p>
    <w:p>
      <w:pPr>
        <w:spacing w:after="0" w:line="148" w:lineRule="exact"/>
        <w:rPr>
          <w:sz w:val="20"/>
          <w:szCs w:val="20"/>
          <w:color w:val="auto"/>
        </w:rPr>
      </w:pPr>
    </w:p>
    <w:p>
      <w:pPr>
        <w:ind w:left="762"/>
        <w:spacing w:after="0"/>
        <w:tabs>
          <w:tab w:leader="none" w:pos="1582" w:val="left"/>
        </w:tabs>
        <w:rPr>
          <w:sz w:val="20"/>
          <w:szCs w:val="20"/>
          <w:color w:val="auto"/>
        </w:rPr>
      </w:pPr>
      <w:r>
        <w:rPr>
          <w:rFonts w:ascii="Times New Roman" w:cs="Times New Roman" w:eastAsia="Times New Roman" w:hAnsi="Times New Roman"/>
          <w:sz w:val="20"/>
          <w:szCs w:val="20"/>
          <w:color w:val="auto"/>
        </w:rPr>
        <w:t>1.135</w:t>
      </w:r>
      <w:r>
        <w:rPr>
          <w:sz w:val="20"/>
          <w:szCs w:val="20"/>
          <w:color w:val="auto"/>
        </w:rPr>
        <w:tab/>
      </w: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b w:val="1"/>
          <w:bCs w:val="1"/>
          <w:color w:val="auto"/>
        </w:rPr>
        <w:t>Variation Date</w:t>
      </w:r>
      <w:r>
        <w:rPr>
          <w:rFonts w:ascii="Times New Roman" w:cs="Times New Roman" w:eastAsia="Times New Roman" w:hAnsi="Times New Roman"/>
          <w:sz w:val="21"/>
          <w:szCs w:val="21"/>
          <w:color w:val="auto"/>
        </w:rPr>
        <w:t>” has the meaning set forth in the preamble hereto.</w:t>
      </w:r>
    </w:p>
    <w:p>
      <w:pPr>
        <w:spacing w:after="0" w:line="231" w:lineRule="exact"/>
        <w:rPr>
          <w:sz w:val="20"/>
          <w:szCs w:val="20"/>
          <w:color w:val="auto"/>
        </w:rPr>
      </w:pPr>
    </w:p>
    <w:p>
      <w:pPr>
        <w:ind w:left="762"/>
        <w:spacing w:after="0"/>
        <w:tabs>
          <w:tab w:leader="none" w:pos="1502" w:val="left"/>
        </w:tabs>
        <w:rPr>
          <w:sz w:val="20"/>
          <w:szCs w:val="20"/>
          <w:color w:val="auto"/>
        </w:rPr>
      </w:pPr>
      <w:r>
        <w:rPr>
          <w:rFonts w:ascii="Times New Roman" w:cs="Times New Roman" w:eastAsia="Times New Roman" w:hAnsi="Times New Roman"/>
          <w:sz w:val="20"/>
          <w:szCs w:val="20"/>
          <w:color w:val="auto"/>
        </w:rPr>
        <w:t>1.136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VAT</w:t>
      </w:r>
      <w:r>
        <w:rPr>
          <w:rFonts w:ascii="Times New Roman" w:cs="Times New Roman" w:eastAsia="Times New Roman" w:hAnsi="Times New Roman"/>
          <w:sz w:val="21"/>
          <w:szCs w:val="21"/>
          <w:color w:val="auto"/>
        </w:rPr>
        <w:t>” has the meaning set forth in Section 8.10.2.</w:t>
      </w:r>
    </w:p>
    <w:p>
      <w:pPr>
        <w:spacing w:after="0" w:line="204" w:lineRule="exact"/>
        <w:rPr>
          <w:sz w:val="20"/>
          <w:szCs w:val="20"/>
          <w:color w:val="auto"/>
        </w:rPr>
      </w:pPr>
    </w:p>
    <w:p>
      <w:pPr>
        <w:ind w:left="762" w:hanging="762"/>
        <w:spacing w:after="0"/>
        <w:tabs>
          <w:tab w:leader="none" w:pos="762"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RIGHTS</w:t>
      </w:r>
    </w:p>
    <w:p>
      <w:pPr>
        <w:spacing w:after="0" w:line="192" w:lineRule="exact"/>
        <w:rPr>
          <w:rFonts w:ascii="Times New Roman" w:cs="Times New Roman" w:eastAsia="Times New Roman" w:hAnsi="Times New Roman"/>
          <w:sz w:val="22"/>
          <w:szCs w:val="22"/>
          <w:b w:val="1"/>
          <w:bCs w:val="1"/>
          <w:color w:val="auto"/>
        </w:rPr>
      </w:pPr>
    </w:p>
    <w:p>
      <w:pPr>
        <w:ind w:left="2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2.1</w:t>
      </w:r>
      <w:r>
        <w:rPr>
          <w:rFonts w:ascii="Times New Roman" w:cs="Times New Roman" w:eastAsia="Times New Roman" w:hAnsi="Times New Roman"/>
          <w:sz w:val="21"/>
          <w:szCs w:val="21"/>
          <w:b w:val="1"/>
          <w:bCs w:val="1"/>
          <w:color w:val="auto"/>
        </w:rPr>
        <w:t>Grants to Mereo</w:t>
      </w:r>
    </w:p>
    <w:p>
      <w:pPr>
        <w:spacing w:after="0" w:line="183"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22"/>
          <w:szCs w:val="22"/>
          <w:color w:val="auto"/>
        </w:rPr>
        <w:t>Subject to the terms and conditions of this Agreement, AstraZeneca hereby grants to Mereo:</w:t>
      </w:r>
    </w:p>
    <w:p>
      <w:pPr>
        <w:spacing w:after="0" w:line="179" w:lineRule="exact"/>
        <w:rPr>
          <w:sz w:val="20"/>
          <w:szCs w:val="20"/>
          <w:color w:val="auto"/>
        </w:rPr>
      </w:pPr>
    </w:p>
    <w:p>
      <w:pPr>
        <w:jc w:val="both"/>
        <w:ind w:left="722" w:right="20" w:hanging="723"/>
        <w:spacing w:after="0" w:line="244" w:lineRule="auto"/>
        <w:tabs>
          <w:tab w:leader="none" w:pos="702" w:val="left"/>
        </w:tabs>
        <w:rPr>
          <w:sz w:val="20"/>
          <w:szCs w:val="20"/>
          <w:color w:val="auto"/>
        </w:rPr>
      </w:pPr>
      <w:r>
        <w:rPr>
          <w:rFonts w:ascii="Times New Roman" w:cs="Times New Roman" w:eastAsia="Times New Roman" w:hAnsi="Times New Roman"/>
          <w:sz w:val="22"/>
          <w:szCs w:val="22"/>
          <w:color w:val="auto"/>
        </w:rPr>
        <w:t>2.1.1</w:t>
        <w:tab/>
        <w:t>subject to Section 2.3, an exclusive (even as to AstraZeneca and its Affiliates) license, with the right to grant sublicenses in accordance with Section 2.2, under the Option Intellectual Property to Exploit the Compounds and Products in the Field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715010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2"/>
          </w:cols>
          <w:pgMar w:left="478" w:top="1440" w:right="479" w:bottom="1440" w:gutter="0" w:footer="0" w:header="0"/>
        </w:sectPr>
      </w:pPr>
    </w:p>
    <w:bookmarkStart w:id="184" w:name="page185"/>
    <w:bookmarkEnd w:id="184"/>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Territory;</w:t>
      </w:r>
    </w:p>
    <w:p>
      <w:pPr>
        <w:spacing w:after="0" w:line="58" w:lineRule="exact"/>
        <w:rPr>
          <w:sz w:val="20"/>
          <w:szCs w:val="20"/>
          <w:color w:val="auto"/>
        </w:rPr>
      </w:pPr>
    </w:p>
    <w:p>
      <w:pPr>
        <w:jc w:val="both"/>
        <w:ind w:left="720" w:right="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2.1.2</w:t>
        <w:tab/>
        <w:t>a non-exclusive license, with the right to grant sublicenses in accordance with Section 2.2, under the Related Know-How to Exploit the Compounds and Products in the Field in the Territory; and</w:t>
      </w:r>
    </w:p>
    <w:p>
      <w:pPr>
        <w:spacing w:after="0" w:line="131" w:lineRule="exact"/>
        <w:rPr>
          <w:sz w:val="20"/>
          <w:szCs w:val="20"/>
          <w:color w:val="auto"/>
        </w:rPr>
      </w:pPr>
    </w:p>
    <w:p>
      <w:pPr>
        <w:jc w:val="both"/>
        <w:ind w:left="720" w:right="20" w:hanging="723"/>
        <w:spacing w:after="0" w:line="239" w:lineRule="auto"/>
        <w:tabs>
          <w:tab w:leader="none" w:pos="700" w:val="left"/>
        </w:tabs>
        <w:rPr>
          <w:sz w:val="20"/>
          <w:szCs w:val="20"/>
          <w:color w:val="auto"/>
        </w:rPr>
      </w:pPr>
      <w:r>
        <w:rPr>
          <w:rFonts w:ascii="Times New Roman" w:cs="Times New Roman" w:eastAsia="Times New Roman" w:hAnsi="Times New Roman"/>
          <w:sz w:val="22"/>
          <w:szCs w:val="22"/>
          <w:color w:val="auto"/>
        </w:rPr>
        <w:t>2.1.3</w:t>
        <w:tab/>
        <w:t>an exclusive option, exercisable any time within [***] days following: (i) payment by Mereo to AstraZeneca of all [***]; (ii) [***]; and (iii) [***], to require the transfer to Mereo of all right, title and interest of AstraZeneca and any of its respective Affiliates to the Option Intellectual Property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for the consideration stated in Section 8, exercisable as follows:</w:t>
      </w:r>
    </w:p>
    <w:p>
      <w:pPr>
        <w:spacing w:after="0" w:line="167" w:lineRule="exact"/>
        <w:rPr>
          <w:sz w:val="20"/>
          <w:szCs w:val="20"/>
          <w:color w:val="auto"/>
        </w:rPr>
      </w:pPr>
    </w:p>
    <w:p>
      <w:pPr>
        <w:jc w:val="both"/>
        <w:ind w:left="1480" w:right="20" w:hanging="719"/>
        <w:spacing w:after="0" w:line="244" w:lineRule="auto"/>
        <w:tabs>
          <w:tab w:leader="none" w:pos="14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 day period referred to above in this Section 2.1.3, Mereo may provide AstraZeneca with written notice that it desires AstraZeneca to transfer to Mereo all of AstraZeneca’s and its respective Affiliates’ right, title and interest of to the Option Intellectual Property; and</w:t>
      </w:r>
    </w:p>
    <w:p>
      <w:pPr>
        <w:spacing w:after="0" w:line="182" w:lineRule="exact"/>
        <w:rPr>
          <w:rFonts w:ascii="Times New Roman" w:cs="Times New Roman" w:eastAsia="Times New Roman" w:hAnsi="Times New Roman"/>
          <w:sz w:val="22"/>
          <w:szCs w:val="22"/>
          <w:color w:val="auto"/>
        </w:rPr>
      </w:pPr>
    </w:p>
    <w:p>
      <w:pPr>
        <w:jc w:val="both"/>
        <w:ind w:left="1480" w:right="20" w:hanging="719"/>
        <w:spacing w:after="0" w:line="236" w:lineRule="auto"/>
        <w:tabs>
          <w:tab w:leader="none" w:pos="14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upon the date AstraZeneca receives such notice (“</w:t>
      </w:r>
      <w:r>
        <w:rPr>
          <w:rFonts w:ascii="Times New Roman" w:cs="Times New Roman" w:eastAsia="Times New Roman" w:hAnsi="Times New Roman"/>
          <w:sz w:val="22"/>
          <w:szCs w:val="22"/>
          <w:b w:val="1"/>
          <w:bCs w:val="1"/>
          <w:color w:val="auto"/>
        </w:rPr>
        <w:t>Option Exercise Date</w:t>
      </w:r>
      <w:r>
        <w:rPr>
          <w:rFonts w:ascii="Times New Roman" w:cs="Times New Roman" w:eastAsia="Times New Roman" w:hAnsi="Times New Roman"/>
          <w:sz w:val="22"/>
          <w:szCs w:val="22"/>
          <w:color w:val="auto"/>
        </w:rPr>
        <w:t>”), AstraZeneca shall cause its respective Affiliates to, grant, sell, transfer, convey, assign and deliver to Mereo, and Mereo shall accept from AstraZeneca or any of its respective Affiliates all of AstraZeneca and any of its respective Affiliates’ right, title and interest of to, the Option Intellectual Property, including any and all rights to bring proceeding and obtain all remedies in respect of any infringement or unauthorized use of the Option Intellectual Property, irrespective of when such infringement occurred or occurs (including prior to the Effective Date), by way of an assignment agreement to be agreed between the Parties acting reasonably.</w:t>
      </w:r>
    </w:p>
    <w:p>
      <w:pPr>
        <w:spacing w:after="0" w:line="153" w:lineRule="exact"/>
        <w:rPr>
          <w:sz w:val="20"/>
          <w:szCs w:val="20"/>
          <w:color w:val="auto"/>
        </w:rPr>
      </w:pPr>
    </w:p>
    <w:p>
      <w:pPr>
        <w:ind w:left="2260" w:hanging="765"/>
        <w:spacing w:after="0"/>
        <w:tabs>
          <w:tab w:leader="none" w:pos="22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if Mereo exercises the Option, the license granted in Section</w:t>
      </w:r>
    </w:p>
    <w:p>
      <w:pPr>
        <w:spacing w:after="0" w:line="28" w:lineRule="exact"/>
        <w:rPr>
          <w:sz w:val="20"/>
          <w:szCs w:val="20"/>
          <w:color w:val="auto"/>
        </w:rPr>
      </w:pPr>
    </w:p>
    <w:p>
      <w:pPr>
        <w:jc w:val="both"/>
        <w:ind w:left="1500"/>
        <w:spacing w:after="0" w:line="234" w:lineRule="auto"/>
        <w:rPr>
          <w:sz w:val="20"/>
          <w:szCs w:val="20"/>
          <w:color w:val="auto"/>
        </w:rPr>
      </w:pPr>
      <w:r>
        <w:rPr>
          <w:rFonts w:ascii="Times New Roman" w:cs="Times New Roman" w:eastAsia="Times New Roman" w:hAnsi="Times New Roman"/>
          <w:sz w:val="22"/>
          <w:szCs w:val="22"/>
          <w:color w:val="auto"/>
        </w:rPr>
        <w:t>2.1.1 will expire once all of AstraZeneca’s and any of its respective Affiliates’ right, title and interest to the Option Intellectual Property has been sold, transferred, conveyed, assigned and delivered to Mereo (including the perfection of the relevant transfers), but Mereo’s obligations under this Agreement shall continue, including Mereo’s obligation to make payments to AstraZeneca as set forth in Section 8.</w:t>
      </w:r>
    </w:p>
    <w:p>
      <w:pPr>
        <w:spacing w:after="0" w:line="14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Sublicenses</w:t>
      </w:r>
    </w:p>
    <w:p>
      <w:pPr>
        <w:spacing w:after="0" w:line="197" w:lineRule="exact"/>
        <w:rPr>
          <w:sz w:val="20"/>
          <w:szCs w:val="20"/>
          <w:color w:val="auto"/>
        </w:rPr>
      </w:pPr>
    </w:p>
    <w:p>
      <w:pPr>
        <w:ind w:left="720" w:right="40" w:hanging="722"/>
        <w:spacing w:after="0" w:line="241" w:lineRule="auto"/>
        <w:tabs>
          <w:tab w:leader="none" w:pos="700" w:val="left"/>
        </w:tabs>
        <w:rPr>
          <w:sz w:val="20"/>
          <w:szCs w:val="20"/>
          <w:color w:val="auto"/>
        </w:rPr>
      </w:pPr>
      <w:r>
        <w:rPr>
          <w:rFonts w:ascii="Times New Roman" w:cs="Times New Roman" w:eastAsia="Times New Roman" w:hAnsi="Times New Roman"/>
          <w:sz w:val="22"/>
          <w:szCs w:val="22"/>
          <w:color w:val="auto"/>
        </w:rPr>
        <w:t>2.2.1</w:t>
        <w:tab/>
        <w:t>Mereo shall have the right to grant sublicenses (or licences or further rights of reference, as applicable), through multiple tiers, under the licenses and rights granted in Section</w:t>
      </w:r>
    </w:p>
    <w:p>
      <w:pPr>
        <w:spacing w:after="0" w:line="2" w:lineRule="exact"/>
        <w:rPr>
          <w:sz w:val="20"/>
          <w:szCs w:val="20"/>
          <w:color w:val="auto"/>
        </w:rPr>
      </w:pPr>
    </w:p>
    <w:p>
      <w:pPr>
        <w:jc w:val="both"/>
        <w:ind w:left="740" w:right="20"/>
        <w:spacing w:after="0" w:line="233" w:lineRule="auto"/>
        <w:rPr>
          <w:sz w:val="20"/>
          <w:szCs w:val="20"/>
          <w:color w:val="auto"/>
        </w:rPr>
      </w:pPr>
      <w:r>
        <w:rPr>
          <w:rFonts w:ascii="Times New Roman" w:cs="Times New Roman" w:eastAsia="Times New Roman" w:hAnsi="Times New Roman"/>
          <w:sz w:val="22"/>
          <w:szCs w:val="22"/>
          <w:color w:val="auto"/>
        </w:rPr>
        <w:t>2.1 (a) to its Affiliates upon notice to AstraZeneca but without consent and (b) to Third Party only with the prior written consent of AstraZeneca (not to be unreasonably withheld), and provided that in each case such license or sublicense is consistent with the terms and conditions of this Agreement and provided that Mereo shall be liable for all acts or omissions of any Sublicensee that, if committed by Mereo, would be a breach of any of the provisions of this Agreement.</w:t>
      </w:r>
    </w:p>
    <w:p>
      <w:pPr>
        <w:spacing w:after="0" w:line="166" w:lineRule="exact"/>
        <w:rPr>
          <w:sz w:val="20"/>
          <w:szCs w:val="20"/>
          <w:color w:val="auto"/>
        </w:rPr>
      </w:pPr>
    </w:p>
    <w:p>
      <w:pPr>
        <w:ind w:left="720" w:right="20" w:hanging="723"/>
        <w:spacing w:after="0" w:line="256" w:lineRule="auto"/>
        <w:tabs>
          <w:tab w:leader="none" w:pos="700" w:val="left"/>
        </w:tabs>
        <w:rPr>
          <w:sz w:val="20"/>
          <w:szCs w:val="20"/>
          <w:color w:val="auto"/>
        </w:rPr>
      </w:pPr>
      <w:r>
        <w:rPr>
          <w:rFonts w:ascii="Times New Roman" w:cs="Times New Roman" w:eastAsia="Times New Roman" w:hAnsi="Times New Roman"/>
          <w:sz w:val="22"/>
          <w:szCs w:val="22"/>
          <w:color w:val="auto"/>
        </w:rPr>
        <w:t>2.2.2</w:t>
        <w:tab/>
        <w:t>Mereo shall remain at all times responsible for the performance of its Affiliates and permitted Sublicensees that are sublicensed as permitted herein and the grant of any</w:t>
      </w:r>
    </w:p>
    <w:p>
      <w:pPr>
        <w:ind w:left="740" w:right="20"/>
        <w:spacing w:after="0" w:line="258" w:lineRule="auto"/>
        <w:rPr>
          <w:sz w:val="20"/>
          <w:szCs w:val="20"/>
          <w:color w:val="auto"/>
        </w:rPr>
      </w:pPr>
      <w:r>
        <w:rPr>
          <w:rFonts w:ascii="Times New Roman" w:cs="Times New Roman" w:eastAsia="Times New Roman" w:hAnsi="Times New Roman"/>
          <w:sz w:val="22"/>
          <w:szCs w:val="22"/>
          <w:color w:val="auto"/>
        </w:rPr>
        <w:t>such license or sublicense shall not relieve Mereo of its obligations under this Agreement, except to the extent such obligations are performed by such Sublicensee.</w:t>
      </w:r>
    </w:p>
    <w:p>
      <w:pPr>
        <w:spacing w:after="0" w:line="12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Retained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737870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185" w:name="page186"/>
    <w:bookmarkEnd w:id="185"/>
    <w:p>
      <w:pPr>
        <w:spacing w:after="0" w:line="117" w:lineRule="exact"/>
        <w:rPr>
          <w:sz w:val="20"/>
          <w:szCs w:val="20"/>
          <w:color w:val="auto"/>
        </w:rPr>
      </w:pPr>
    </w:p>
    <w:p>
      <w:pPr>
        <w:jc w:val="both"/>
        <w:ind w:left="762" w:hanging="9"/>
        <w:spacing w:after="0" w:line="236" w:lineRule="auto"/>
        <w:rPr>
          <w:sz w:val="20"/>
          <w:szCs w:val="20"/>
          <w:color w:val="auto"/>
        </w:rPr>
      </w:pPr>
      <w:r>
        <w:rPr>
          <w:rFonts w:ascii="Times New Roman" w:cs="Times New Roman" w:eastAsia="Times New Roman" w:hAnsi="Times New Roman"/>
          <w:sz w:val="22"/>
          <w:szCs w:val="22"/>
          <w:color w:val="auto"/>
        </w:rPr>
        <w:t>Mereo acknowledges and agrees that AstraZeneca retains the right for AstraZeneca or its Affiliates to enter into the Additional Studies solely as set out in Section 5.6 and Mereo hereby grants to AstraZeneca a non-exclusive license, with the right to grant sublicenses in accordance with Section 2.2, expiring upon the assignment of the relevant agreement to Mereo in accordance with Section 5.6, under the Option Intellectual Property solely to the extent required to perform research, pre-clinical and other non-clinical testing pursuant to the agreements governing the conduct of the Additional Studies, in each case as [***] in accordance with Section 5.6.1.</w:t>
      </w:r>
    </w:p>
    <w:p>
      <w:pPr>
        <w:spacing w:after="0" w:line="150" w:lineRule="exact"/>
        <w:rPr>
          <w:sz w:val="20"/>
          <w:szCs w:val="20"/>
          <w:color w:val="auto"/>
        </w:rPr>
      </w:pPr>
    </w:p>
    <w:p>
      <w:pPr>
        <w:ind w:left="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No Other Rights Granted by AstraZeneca</w:t>
      </w:r>
    </w:p>
    <w:p>
      <w:pPr>
        <w:spacing w:after="0" w:line="197" w:lineRule="exact"/>
        <w:rPr>
          <w:sz w:val="20"/>
          <w:szCs w:val="20"/>
          <w:color w:val="auto"/>
        </w:rPr>
      </w:pPr>
    </w:p>
    <w:p>
      <w:pPr>
        <w:jc w:val="both"/>
        <w:ind w:left="762" w:hanging="9"/>
        <w:spacing w:after="0" w:line="244" w:lineRule="auto"/>
        <w:rPr>
          <w:sz w:val="20"/>
          <w:szCs w:val="20"/>
          <w:color w:val="auto"/>
        </w:rPr>
      </w:pPr>
      <w:r>
        <w:rPr>
          <w:rFonts w:ascii="Times New Roman" w:cs="Times New Roman" w:eastAsia="Times New Roman" w:hAnsi="Times New Roman"/>
          <w:sz w:val="22"/>
          <w:szCs w:val="22"/>
          <w:color w:val="auto"/>
        </w:rPr>
        <w:t>Except as expressly provided herein, neither AstraZeneca or any of its Affiliates grants any other right or license, including any rights or licenses to the Product Intellectual Property or any other Patent or other intellectual property rights.</w:t>
      </w:r>
    </w:p>
    <w:p>
      <w:pPr>
        <w:spacing w:after="0" w:line="142" w:lineRule="exact"/>
        <w:rPr>
          <w:sz w:val="20"/>
          <w:szCs w:val="20"/>
          <w:color w:val="auto"/>
        </w:rPr>
      </w:pPr>
    </w:p>
    <w:p>
      <w:pPr>
        <w:ind w:left="2"/>
        <w:spacing w:after="0"/>
        <w:tabs>
          <w:tab w:leader="none" w:pos="722"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Non-Compete</w:t>
      </w:r>
    </w:p>
    <w:p>
      <w:pPr>
        <w:spacing w:after="0" w:line="197" w:lineRule="exact"/>
        <w:rPr>
          <w:sz w:val="20"/>
          <w:szCs w:val="20"/>
          <w:color w:val="auto"/>
        </w:rPr>
      </w:pPr>
    </w:p>
    <w:p>
      <w:pPr>
        <w:jc w:val="both"/>
        <w:ind w:left="762"/>
        <w:spacing w:after="0" w:line="235" w:lineRule="auto"/>
        <w:rPr>
          <w:sz w:val="20"/>
          <w:szCs w:val="20"/>
          <w:color w:val="auto"/>
        </w:rPr>
      </w:pPr>
      <w:r>
        <w:rPr>
          <w:rFonts w:ascii="Times New Roman" w:cs="Times New Roman" w:eastAsia="Times New Roman" w:hAnsi="Times New Roman"/>
          <w:sz w:val="22"/>
          <w:szCs w:val="22"/>
          <w:color w:val="auto"/>
        </w:rPr>
        <w:t>For a period of [***] following the Effective Date, AstraZeneca shall not and shall cause its Affiliates not to (a) directly or indirectly Commercialize or Develop any Competitive Product in the Territory or (b) [***] to Commercialize or Develop any Competitive Product in the Territory. AstraZeneca agrees that this Section 2.5 is reasonable and necessary to protect Mereo’s legitimate business interest. AstraZeneca will not, during the Term, [***]. The Parties agree that, in the event that a court of competent jurisdiction determines that this Section 2.5 is unenforceable as written, the court should enforce this Section 2.5 to render it valid and enforceable to the maximum extent possible.</w:t>
      </w:r>
    </w:p>
    <w:p>
      <w:pPr>
        <w:spacing w:after="0" w:line="152" w:lineRule="exact"/>
        <w:rPr>
          <w:sz w:val="20"/>
          <w:szCs w:val="20"/>
          <w:color w:val="auto"/>
        </w:rPr>
      </w:pPr>
    </w:p>
    <w:p>
      <w:pPr>
        <w:ind w:left="2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Non-Assert</w:t>
      </w:r>
    </w:p>
    <w:p>
      <w:pPr>
        <w:spacing w:after="0" w:line="197" w:lineRule="exact"/>
        <w:rPr>
          <w:sz w:val="20"/>
          <w:szCs w:val="20"/>
          <w:color w:val="auto"/>
        </w:rPr>
      </w:pPr>
    </w:p>
    <w:p>
      <w:pPr>
        <w:jc w:val="both"/>
        <w:ind w:left="762" w:hanging="9"/>
        <w:spacing w:after="0" w:line="234" w:lineRule="auto"/>
        <w:rPr>
          <w:sz w:val="20"/>
          <w:szCs w:val="20"/>
          <w:color w:val="auto"/>
        </w:rPr>
      </w:pPr>
      <w:r>
        <w:rPr>
          <w:rFonts w:ascii="Times New Roman" w:cs="Times New Roman" w:eastAsia="Times New Roman" w:hAnsi="Times New Roman"/>
          <w:sz w:val="22"/>
          <w:szCs w:val="22"/>
          <w:color w:val="auto"/>
        </w:rPr>
        <w:t>AstraZeneca hereby covenants and agrees that it shall not, and shall cause that its Affiliates do not, sue, or support or encourage any Third Party in suing, any Mereo Party claiming that the manufacture, having manufactured, use, distribution, sale, offering for sale, or importation of any Product or any component thereof permitted under this Agreement for sale in the Territory as of or after the Effective Date infringes or misappropriates any intellectual property rights AstraZeneca and / or its Affiliates may have in or to the Products. AstraZeneca shall impose the foregoing covenant notto- sue on (i) its Affiliates and (ii) any Third Party to which AstraZeneca or any of its Affiliates may assign, exclusively license or [***] to the foregoing intellectual property rights. The Parties expressly agree and intend that the covenants and agreements set forth in this Section 2.6 shall run with such intellectual property right, as a covenant appurtenant, and shall continue and be binding on any</w:t>
      </w:r>
    </w:p>
    <w:p>
      <w:pPr>
        <w:spacing w:after="0" w:line="21" w:lineRule="exact"/>
        <w:rPr>
          <w:sz w:val="20"/>
          <w:szCs w:val="20"/>
          <w:color w:val="auto"/>
        </w:rPr>
      </w:pPr>
    </w:p>
    <w:p>
      <w:pPr>
        <w:ind w:left="762"/>
        <w:spacing w:after="0"/>
        <w:rPr>
          <w:sz w:val="20"/>
          <w:szCs w:val="20"/>
          <w:color w:val="auto"/>
        </w:rPr>
      </w:pPr>
      <w:r>
        <w:rPr>
          <w:rFonts w:ascii="Times New Roman" w:cs="Times New Roman" w:eastAsia="Times New Roman" w:hAnsi="Times New Roman"/>
          <w:sz w:val="22"/>
          <w:szCs w:val="22"/>
          <w:color w:val="auto"/>
        </w:rPr>
        <w:t>successor-in-interest to such intellectual property right. For the purposes of this Section 2.6, “Mereo Party” means</w:t>
      </w:r>
    </w:p>
    <w:p>
      <w:pPr>
        <w:spacing w:after="0" w:line="4" w:lineRule="exact"/>
        <w:rPr>
          <w:sz w:val="20"/>
          <w:szCs w:val="20"/>
          <w:color w:val="auto"/>
        </w:rPr>
      </w:pPr>
    </w:p>
    <w:p>
      <w:pPr>
        <w:ind w:left="1042" w:hanging="285"/>
        <w:spacing w:after="0"/>
        <w:tabs>
          <w:tab w:leader="none" w:pos="1042"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Mereo and its Affiliates, and (b) Mereo’s and its Affiliates’ licensees, sublicensees, suppliers, distributors,</w:t>
      </w:r>
    </w:p>
    <w:p>
      <w:pPr>
        <w:ind w:left="762" w:right="38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importers, contractors, direct or indirect customers (including without limitation [***]), and manufacturers of the Products, in each case to the extent that such party makes, has made, uses, distributes, sells, offers for sale, or imports the products (or components thereof) referenced above in the Territory for Mereo or its Affiliates in accordance with this Section 2.</w:t>
      </w:r>
    </w:p>
    <w:p>
      <w:pPr>
        <w:spacing w:after="0" w:line="159" w:lineRule="exact"/>
        <w:rPr>
          <w:rFonts w:ascii="Times New Roman" w:cs="Times New Roman" w:eastAsia="Times New Roman" w:hAnsi="Times New Roman"/>
          <w:sz w:val="22"/>
          <w:szCs w:val="22"/>
          <w:color w:val="auto"/>
        </w:rPr>
      </w:pPr>
    </w:p>
    <w:p>
      <w:pPr>
        <w:ind w:left="782" w:hanging="782"/>
        <w:spacing w:after="0"/>
        <w:tabs>
          <w:tab w:leader="none" w:pos="782"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OF ASSETS,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737870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1440" w:right="499" w:bottom="1440" w:gutter="0" w:footer="0" w:header="0"/>
        </w:sectPr>
      </w:pPr>
    </w:p>
    <w:bookmarkStart w:id="186" w:name="page187"/>
    <w:bookmarkEnd w:id="186"/>
    <w:p>
      <w:pPr>
        <w:spacing w:after="0" w:line="100" w:lineRule="exact"/>
        <w:rPr>
          <w:sz w:val="20"/>
          <w:szCs w:val="20"/>
          <w:color w:val="auto"/>
        </w:rPr>
      </w:pPr>
    </w:p>
    <w:p>
      <w:pPr>
        <w:ind w:left="22"/>
        <w:spacing w:after="0"/>
        <w:tabs>
          <w:tab w:leader="none" w:pos="762"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Transferring Assets.</w:t>
      </w:r>
    </w:p>
    <w:p>
      <w:pPr>
        <w:spacing w:after="0" w:line="197" w:lineRule="exact"/>
        <w:rPr>
          <w:sz w:val="20"/>
          <w:szCs w:val="20"/>
          <w:color w:val="auto"/>
        </w:rPr>
      </w:pPr>
    </w:p>
    <w:p>
      <w:pPr>
        <w:jc w:val="both"/>
        <w:ind w:left="762" w:right="20" w:hanging="9"/>
        <w:spacing w:after="0" w:line="238" w:lineRule="auto"/>
        <w:rPr>
          <w:sz w:val="20"/>
          <w:szCs w:val="20"/>
          <w:color w:val="auto"/>
        </w:rPr>
      </w:pPr>
      <w:r>
        <w:rPr>
          <w:rFonts w:ascii="Times New Roman" w:cs="Times New Roman" w:eastAsia="Times New Roman" w:hAnsi="Times New Roman"/>
          <w:sz w:val="22"/>
          <w:szCs w:val="22"/>
          <w:color w:val="auto"/>
        </w:rPr>
        <w:t>Subject to Section 5.5, on the Effective Date, in accordance with the terms and conditions of this Agreement, for the consideration stated in Section 8, AstraZeneca shall and hereby does, and shall cause its respective Affiliates to, grant, sell, transfer, convey, assign and deliver to Mereo, and Mereo shall accept from AstraZeneca or any of its respective Affiliates, as of the Effective Date, all right, title and interest of AstraZeneca and any of its respective Affiliates to the Transferring Assets.</w:t>
      </w:r>
    </w:p>
    <w:p>
      <w:pPr>
        <w:spacing w:after="0" w:line="146" w:lineRule="exact"/>
        <w:rPr>
          <w:sz w:val="20"/>
          <w:szCs w:val="20"/>
          <w:color w:val="auto"/>
        </w:rPr>
      </w:pPr>
    </w:p>
    <w:p>
      <w:pPr>
        <w:ind w:left="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Remaining API</w:t>
      </w:r>
    </w:p>
    <w:p>
      <w:pPr>
        <w:spacing w:after="0" w:line="197" w:lineRule="exact"/>
        <w:rPr>
          <w:sz w:val="20"/>
          <w:szCs w:val="20"/>
          <w:color w:val="auto"/>
        </w:rPr>
      </w:pPr>
    </w:p>
    <w:p>
      <w:pPr>
        <w:ind w:left="762" w:right="100"/>
        <w:spacing w:after="0" w:line="234" w:lineRule="auto"/>
        <w:rPr>
          <w:sz w:val="20"/>
          <w:szCs w:val="20"/>
          <w:color w:val="auto"/>
        </w:rPr>
      </w:pPr>
      <w:r>
        <w:rPr>
          <w:rFonts w:ascii="Times New Roman" w:cs="Times New Roman" w:eastAsia="Times New Roman" w:hAnsi="Times New Roman"/>
          <w:sz w:val="22"/>
          <w:szCs w:val="22"/>
          <w:color w:val="auto"/>
        </w:rPr>
        <w:t>AstraZeneca hereby agrees, and shall cause its respective Affiliates, to grant, sell, transfer, convey, assign and deliver to Mereo, and Mereo shall accept from AstraZeneca or any of its respective Affiliates the Remaining API. AstraZeneca shall deliver all quantities of the Remaining API to its or its nominated designee’s facility [***] within [***]. The Parties agree that: (i) such Remaining API shall be used solely for the Development of the Compounds or Products pursuant to this Agreement; and (ii) such Remaining API shall not be made available by Mereo to any Third Party except as expressly consented to in writing by AstraZeneca, provided that Mereo may make such Remaining API available to a subcontractor or Sublicensee of Mereo. WITHOUT PREJUDICE TO SECTION 11.2, MEREO AGREES THAT ALL SUCH REMAINING API IS PROVIDED “AS IS” AND WITHOUT ANY WARRANTIES, EXPRESS OR IMPLIED.</w:t>
      </w:r>
    </w:p>
    <w:p>
      <w:pPr>
        <w:spacing w:after="0" w:line="166" w:lineRule="exact"/>
        <w:rPr>
          <w:sz w:val="20"/>
          <w:szCs w:val="20"/>
          <w:color w:val="auto"/>
        </w:rPr>
      </w:pPr>
    </w:p>
    <w:p>
      <w:pPr>
        <w:ind w:left="2"/>
        <w:spacing w:after="0"/>
        <w:tabs>
          <w:tab w:leader="none" w:pos="722"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Materials</w:t>
      </w:r>
    </w:p>
    <w:p>
      <w:pPr>
        <w:spacing w:after="0" w:line="183" w:lineRule="exact"/>
        <w:rPr>
          <w:sz w:val="20"/>
          <w:szCs w:val="20"/>
          <w:color w:val="auto"/>
        </w:rPr>
      </w:pPr>
    </w:p>
    <w:p>
      <w:pPr>
        <w:jc w:val="both"/>
        <w:ind w:left="762" w:right="20" w:hanging="9"/>
        <w:spacing w:after="0" w:line="236" w:lineRule="auto"/>
        <w:rPr>
          <w:sz w:val="20"/>
          <w:szCs w:val="20"/>
          <w:color w:val="auto"/>
        </w:rPr>
      </w:pPr>
      <w:r>
        <w:rPr>
          <w:rFonts w:ascii="Times New Roman" w:cs="Times New Roman" w:eastAsia="Times New Roman" w:hAnsi="Times New Roman"/>
          <w:sz w:val="22"/>
          <w:szCs w:val="22"/>
          <w:color w:val="auto"/>
        </w:rPr>
        <w:t>Notwithstanding Sections 3.1 and 3.2, the Parties agree that Mereo shall [***] to source all materials (including API) necessary for the Development, Commercialization and Manufacture of Products from a Third Party. AstraZeneca shall provide Mereo and such Third Party supplier(s) with reasonable assistance in connection with the qualification, validation and onboarding of such Third Party supplier during the Tech Transfer Support Period [***], and following the expiry of such period, [***] (a) [***] of [***] to [***] such [***] at the [***] and (b) [***] and [***] in [***], in each case as [***] in [***] the [***].</w:t>
      </w:r>
    </w:p>
    <w:p>
      <w:pPr>
        <w:spacing w:after="0" w:line="15" w:lineRule="exact"/>
        <w:rPr>
          <w:sz w:val="20"/>
          <w:szCs w:val="20"/>
          <w:color w:val="auto"/>
        </w:rPr>
      </w:pPr>
    </w:p>
    <w:p>
      <w:pPr>
        <w:ind w:left="2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TUPE</w:t>
      </w:r>
    </w:p>
    <w:p>
      <w:pPr>
        <w:spacing w:after="0" w:line="197" w:lineRule="exact"/>
        <w:rPr>
          <w:sz w:val="20"/>
          <w:szCs w:val="20"/>
          <w:color w:val="auto"/>
        </w:rPr>
      </w:pPr>
    </w:p>
    <w:p>
      <w:pPr>
        <w:jc w:val="both"/>
        <w:ind w:left="762" w:right="20" w:hanging="9"/>
        <w:spacing w:after="0" w:line="258" w:lineRule="auto"/>
        <w:rPr>
          <w:sz w:val="20"/>
          <w:szCs w:val="20"/>
          <w:color w:val="auto"/>
        </w:rPr>
      </w:pPr>
      <w:r>
        <w:rPr>
          <w:rFonts w:ascii="Times New Roman" w:cs="Times New Roman" w:eastAsia="Times New Roman" w:hAnsi="Times New Roman"/>
          <w:sz w:val="22"/>
          <w:szCs w:val="22"/>
          <w:color w:val="auto"/>
        </w:rPr>
        <w:t>Notwithstanding the transfer of the Transferring Assets, each Party confirms that it does not consider TUPE will apply to the commencement or termination of this Agreement or to the transactions contemplated hereby.</w:t>
      </w:r>
    </w:p>
    <w:p>
      <w:pPr>
        <w:spacing w:after="0" w:line="127" w:lineRule="exact"/>
        <w:rPr>
          <w:sz w:val="20"/>
          <w:szCs w:val="20"/>
          <w:color w:val="auto"/>
        </w:rPr>
      </w:pPr>
    </w:p>
    <w:p>
      <w:pPr>
        <w:ind w:left="762" w:hanging="762"/>
        <w:spacing w:after="0"/>
        <w:tabs>
          <w:tab w:leader="none" w:pos="762"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TECHNOLOGY TRANSFER</w:t>
      </w:r>
    </w:p>
    <w:p>
      <w:pPr>
        <w:spacing w:after="0" w:line="192" w:lineRule="exact"/>
        <w:rPr>
          <w:rFonts w:ascii="Times New Roman" w:cs="Times New Roman" w:eastAsia="Times New Roman" w:hAnsi="Times New Roman"/>
          <w:sz w:val="22"/>
          <w:szCs w:val="22"/>
          <w:b w:val="1"/>
          <w:bCs w:val="1"/>
          <w:color w:val="auto"/>
        </w:rPr>
      </w:pPr>
    </w:p>
    <w:p>
      <w:pPr>
        <w:ind w:left="2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4.1</w:t>
      </w:r>
      <w:r>
        <w:rPr>
          <w:rFonts w:ascii="Times New Roman" w:cs="Times New Roman" w:eastAsia="Times New Roman" w:hAnsi="Times New Roman"/>
          <w:sz w:val="21"/>
          <w:szCs w:val="21"/>
          <w:b w:val="1"/>
          <w:bCs w:val="1"/>
          <w:color w:val="auto"/>
        </w:rPr>
        <w:t>Transfer Activities</w:t>
      </w:r>
    </w:p>
    <w:p>
      <w:pPr>
        <w:spacing w:after="0" w:line="183" w:lineRule="exact"/>
        <w:rPr>
          <w:sz w:val="20"/>
          <w:szCs w:val="20"/>
          <w:color w:val="auto"/>
        </w:rPr>
      </w:pPr>
    </w:p>
    <w:p>
      <w:pPr>
        <w:jc w:val="both"/>
        <w:ind w:left="722" w:hanging="723"/>
        <w:spacing w:after="0" w:line="235" w:lineRule="auto"/>
        <w:tabs>
          <w:tab w:leader="none" w:pos="702" w:val="left"/>
        </w:tabs>
        <w:rPr>
          <w:sz w:val="20"/>
          <w:szCs w:val="20"/>
          <w:color w:val="auto"/>
        </w:rPr>
      </w:pPr>
      <w:r>
        <w:rPr>
          <w:rFonts w:ascii="Times New Roman" w:cs="Times New Roman" w:eastAsia="Times New Roman" w:hAnsi="Times New Roman"/>
          <w:sz w:val="22"/>
          <w:szCs w:val="22"/>
          <w:color w:val="auto"/>
        </w:rPr>
        <w:t>4.1.1</w:t>
        <w:tab/>
        <w:t xml:space="preserve">In addition to its obligations under Section 3.2, AstraZeneca will provide reasonable access to and make its qualified and technical personnel with knowledge of the research and development of the Compounds, as reasonably required to assist with the transfer of such Product Know-How, reasonably available to Mereo in person at AstraZeneca’s facilities or by teleconference during normal business hours to (a) facilitate the transfer of Product Know-How in accordance with Section 4.1.3 and the Transferring Assets and (b) assist Mereo in familiarizing its personnel with any intellectual property comprised in the Transferred Assets ((a) and (b) together being the </w:t>
      </w:r>
      <w:r>
        <w:rPr>
          <w:rFonts w:ascii="Times New Roman" w:cs="Times New Roman" w:eastAsia="Times New Roman" w:hAnsi="Times New Roman"/>
          <w:sz w:val="22"/>
          <w:szCs w:val="22"/>
          <w:b w:val="1"/>
          <w:bCs w:val="1"/>
          <w:color w:val="auto"/>
        </w:rPr>
        <w:t>Tech Transfer Support</w:t>
      </w:r>
      <w:r>
        <w:rPr>
          <w:rFonts w:ascii="Times New Roman" w:cs="Times New Roman" w:eastAsia="Times New Roman" w:hAnsi="Times New Roman"/>
          <w:sz w:val="22"/>
          <w:szCs w:val="22"/>
          <w:color w:val="auto"/>
        </w:rPr>
        <w:t>”). Representatives of AstraZeneca and Mereo shall meet in person or by teleconference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721360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2"/>
          </w:cols>
          <w:pgMar w:left="478" w:top="1440" w:right="479" w:bottom="1440" w:gutter="0" w:footer="0" w:header="0"/>
        </w:sectPr>
      </w:pPr>
    </w:p>
    <w:bookmarkStart w:id="187" w:name="page188"/>
    <w:bookmarkEnd w:id="187"/>
    <w:p>
      <w:pPr>
        <w:spacing w:after="0" w:line="117" w:lineRule="exact"/>
        <w:rPr>
          <w:sz w:val="20"/>
          <w:szCs w:val="20"/>
          <w:color w:val="auto"/>
        </w:rPr>
      </w:pPr>
    </w:p>
    <w:p>
      <w:pPr>
        <w:ind w:left="722"/>
        <w:spacing w:after="0"/>
        <w:rPr>
          <w:sz w:val="20"/>
          <w:szCs w:val="20"/>
          <w:color w:val="auto"/>
        </w:rPr>
      </w:pPr>
      <w:r>
        <w:rPr>
          <w:rFonts w:ascii="Times New Roman" w:cs="Times New Roman" w:eastAsia="Times New Roman" w:hAnsi="Times New Roman"/>
          <w:sz w:val="22"/>
          <w:szCs w:val="22"/>
          <w:color w:val="auto"/>
        </w:rPr>
        <w:t>reasonably required, to facilitate the timely and efficient transfer of knowledge and technology.</w:t>
      </w:r>
    </w:p>
    <w:p>
      <w:pPr>
        <w:spacing w:after="0" w:line="179" w:lineRule="exact"/>
        <w:rPr>
          <w:sz w:val="20"/>
          <w:szCs w:val="20"/>
          <w:color w:val="auto"/>
        </w:rPr>
      </w:pPr>
    </w:p>
    <w:p>
      <w:pPr>
        <w:jc w:val="both"/>
        <w:ind w:left="722" w:hanging="723"/>
        <w:spacing w:after="0" w:line="239" w:lineRule="auto"/>
        <w:tabs>
          <w:tab w:leader="none" w:pos="702" w:val="left"/>
        </w:tabs>
        <w:rPr>
          <w:sz w:val="20"/>
          <w:szCs w:val="20"/>
          <w:color w:val="auto"/>
        </w:rPr>
      </w:pPr>
      <w:r>
        <w:rPr>
          <w:rFonts w:ascii="Times New Roman" w:cs="Times New Roman" w:eastAsia="Times New Roman" w:hAnsi="Times New Roman"/>
          <w:sz w:val="22"/>
          <w:szCs w:val="22"/>
          <w:color w:val="auto"/>
        </w:rPr>
        <w:t>4.1.2</w:t>
        <w:tab/>
        <w:t>AstraZeneca shall provide Mereo with the Tech Transfer Support for a period of [***] months following the Effective Date (the “Tech Transfer Support Period”) provided that: (a) [***] for the [***] of the [***] of [***] by [***]; and, (b) [***] the [***] of [***] to [***] (a), [***] by [***] at [***] (i) [***] of [***] to [***] such [***] at the [***] and (ii) [***] in connection therewith, in each case as agreed [***].</w:t>
      </w:r>
    </w:p>
    <w:p>
      <w:pPr>
        <w:spacing w:after="0" w:line="167" w:lineRule="exact"/>
        <w:rPr>
          <w:sz w:val="20"/>
          <w:szCs w:val="20"/>
          <w:color w:val="auto"/>
        </w:rPr>
      </w:pPr>
    </w:p>
    <w:p>
      <w:pPr>
        <w:jc w:val="both"/>
        <w:ind w:left="722" w:hanging="723"/>
        <w:spacing w:after="0" w:line="244" w:lineRule="auto"/>
        <w:tabs>
          <w:tab w:leader="none" w:pos="702" w:val="left"/>
        </w:tabs>
        <w:rPr>
          <w:sz w:val="20"/>
          <w:szCs w:val="20"/>
          <w:color w:val="auto"/>
        </w:rPr>
      </w:pPr>
      <w:r>
        <w:rPr>
          <w:rFonts w:ascii="Times New Roman" w:cs="Times New Roman" w:eastAsia="Times New Roman" w:hAnsi="Times New Roman"/>
          <w:sz w:val="22"/>
          <w:szCs w:val="22"/>
          <w:color w:val="auto"/>
        </w:rPr>
        <w:t>4.1.3</w:t>
        <w:tab/>
        <w:t>AstraZeneca shall make available and deliver to Mereo all documented then existing Product Know-How in AstraZeneca’s possession that has not previously been provided hereunder no later than [***] days after the Effective Date, and thereafter no later than [***] days after the creation of the relevant Option Know-How, [***].</w:t>
      </w:r>
    </w:p>
    <w:p>
      <w:pPr>
        <w:spacing w:after="0" w:line="156" w:lineRule="exact"/>
        <w:rPr>
          <w:sz w:val="20"/>
          <w:szCs w:val="20"/>
          <w:color w:val="auto"/>
        </w:rPr>
      </w:pPr>
    </w:p>
    <w:p>
      <w:pPr>
        <w:ind w:left="802" w:hanging="802"/>
        <w:spacing w:after="0"/>
        <w:tabs>
          <w:tab w:leader="none" w:pos="802"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DEVELOPMENT ACTIVITIES</w:t>
      </w:r>
    </w:p>
    <w:p>
      <w:pPr>
        <w:spacing w:after="0" w:line="179" w:lineRule="exact"/>
        <w:rPr>
          <w:rFonts w:ascii="Times New Roman" w:cs="Times New Roman" w:eastAsia="Times New Roman" w:hAnsi="Times New Roman"/>
          <w:sz w:val="22"/>
          <w:szCs w:val="22"/>
          <w:b w:val="1"/>
          <w:bCs w:val="1"/>
          <w:color w:val="auto"/>
        </w:rPr>
      </w:pPr>
    </w:p>
    <w:p>
      <w:pPr>
        <w:ind w:left="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5.1</w:t>
      </w:r>
      <w:r>
        <w:rPr>
          <w:rFonts w:ascii="Times New Roman" w:cs="Times New Roman" w:eastAsia="Times New Roman" w:hAnsi="Times New Roman"/>
          <w:sz w:val="21"/>
          <w:szCs w:val="21"/>
          <w:b w:val="1"/>
          <w:bCs w:val="1"/>
          <w:color w:val="auto"/>
        </w:rPr>
        <w:t>Diligence</w:t>
      </w:r>
    </w:p>
    <w:p>
      <w:pPr>
        <w:spacing w:after="0" w:line="183" w:lineRule="exact"/>
        <w:rPr>
          <w:sz w:val="20"/>
          <w:szCs w:val="20"/>
          <w:color w:val="auto"/>
        </w:rPr>
      </w:pPr>
    </w:p>
    <w:p>
      <w:pPr>
        <w:jc w:val="both"/>
        <w:ind w:left="762" w:hanging="9"/>
        <w:spacing w:after="0" w:line="239" w:lineRule="auto"/>
        <w:rPr>
          <w:sz w:val="20"/>
          <w:szCs w:val="20"/>
          <w:color w:val="auto"/>
        </w:rPr>
      </w:pPr>
      <w:r>
        <w:rPr>
          <w:rFonts w:ascii="Times New Roman" w:cs="Times New Roman" w:eastAsia="Times New Roman" w:hAnsi="Times New Roman"/>
          <w:sz w:val="22"/>
          <w:szCs w:val="22"/>
          <w:color w:val="auto"/>
        </w:rPr>
        <w:t>After the Effective Date and after completion of relevant Transfer Activities, Mereo shall be solely responsible for all aspects of the Development of the Compounds and Products in the Field in the Territory. Mereo shall use Commercially Reasonable Efforts to Develop and obtain and maintain Regulatory Approvals for a Product for use in the Field in the Territory.</w:t>
      </w:r>
    </w:p>
    <w:p>
      <w:pPr>
        <w:spacing w:after="0" w:line="14" w:lineRule="exact"/>
        <w:rPr>
          <w:sz w:val="20"/>
          <w:szCs w:val="20"/>
          <w:color w:val="auto"/>
        </w:rPr>
      </w:pPr>
    </w:p>
    <w:p>
      <w:pPr>
        <w:ind w:left="2"/>
        <w:spacing w:after="0"/>
        <w:tabs>
          <w:tab w:leader="none" w:pos="722"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Development Costs</w:t>
      </w:r>
    </w:p>
    <w:p>
      <w:pPr>
        <w:spacing w:after="0" w:line="197" w:lineRule="exact"/>
        <w:rPr>
          <w:sz w:val="20"/>
          <w:szCs w:val="20"/>
          <w:color w:val="auto"/>
        </w:rPr>
      </w:pPr>
    </w:p>
    <w:p>
      <w:pPr>
        <w:jc w:val="both"/>
        <w:ind w:left="762" w:hanging="9"/>
        <w:spacing w:after="0" w:line="258" w:lineRule="auto"/>
        <w:rPr>
          <w:sz w:val="20"/>
          <w:szCs w:val="20"/>
          <w:color w:val="auto"/>
        </w:rPr>
      </w:pPr>
      <w:r>
        <w:rPr>
          <w:rFonts w:ascii="Times New Roman" w:cs="Times New Roman" w:eastAsia="Times New Roman" w:hAnsi="Times New Roman"/>
          <w:sz w:val="22"/>
          <w:szCs w:val="22"/>
          <w:color w:val="auto"/>
        </w:rPr>
        <w:t>Mereo shall be responsible for all of its costs and expenses in connection with the Development of, and obtaining and maintaining Regulatory Approvals for, the Products in the Field in the Territory.</w:t>
      </w:r>
    </w:p>
    <w:p>
      <w:pPr>
        <w:spacing w:after="0" w:line="127" w:lineRule="exact"/>
        <w:rPr>
          <w:sz w:val="20"/>
          <w:szCs w:val="20"/>
          <w:color w:val="auto"/>
        </w:rPr>
      </w:pPr>
    </w:p>
    <w:p>
      <w:pPr>
        <w:ind w:left="2"/>
        <w:spacing w:after="0"/>
        <w:tabs>
          <w:tab w:leader="none" w:pos="722"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Development Records</w:t>
      </w:r>
    </w:p>
    <w:p>
      <w:pPr>
        <w:spacing w:after="0" w:line="197" w:lineRule="exact"/>
        <w:rPr>
          <w:sz w:val="20"/>
          <w:szCs w:val="20"/>
          <w:color w:val="auto"/>
        </w:rPr>
      </w:pPr>
    </w:p>
    <w:p>
      <w:pPr>
        <w:jc w:val="both"/>
        <w:ind w:left="762" w:hanging="9"/>
        <w:spacing w:after="0" w:line="238" w:lineRule="auto"/>
        <w:rPr>
          <w:sz w:val="20"/>
          <w:szCs w:val="20"/>
          <w:color w:val="auto"/>
        </w:rPr>
      </w:pPr>
      <w:r>
        <w:rPr>
          <w:rFonts w:ascii="Times New Roman" w:cs="Times New Roman" w:eastAsia="Times New Roman" w:hAnsi="Times New Roman"/>
          <w:sz w:val="22"/>
          <w:szCs w:val="22"/>
          <w:color w:val="auto"/>
        </w:rPr>
        <w:t>Mereo shall, and shall cause its Affiliates and its and their Sublicensees to, maintain, in good scientific manner, complete and accurate books and records pertaining to Development of Products hereunder, in sufficient detail to verify compliance with its obligations under this Agreement. Such books and records shall be retained by Mereo for at least [***] years after the expiration or termination of this Agreement in its entirety or for such longer period as may be required by Applicable Law.</w:t>
      </w:r>
    </w:p>
    <w:p>
      <w:pPr>
        <w:spacing w:after="0" w:line="146" w:lineRule="exact"/>
        <w:rPr>
          <w:sz w:val="20"/>
          <w:szCs w:val="20"/>
          <w:color w:val="auto"/>
        </w:rPr>
      </w:pPr>
    </w:p>
    <w:p>
      <w:pPr>
        <w:ind w:left="2"/>
        <w:spacing w:after="0"/>
        <w:tabs>
          <w:tab w:leader="none" w:pos="722"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Development Reports</w:t>
      </w:r>
    </w:p>
    <w:p>
      <w:pPr>
        <w:spacing w:after="0" w:line="197" w:lineRule="exact"/>
        <w:rPr>
          <w:sz w:val="20"/>
          <w:szCs w:val="20"/>
          <w:color w:val="auto"/>
        </w:rPr>
      </w:pPr>
    </w:p>
    <w:p>
      <w:pPr>
        <w:jc w:val="both"/>
        <w:ind w:left="762" w:hanging="9"/>
        <w:spacing w:after="0" w:line="238" w:lineRule="auto"/>
        <w:rPr>
          <w:sz w:val="20"/>
          <w:szCs w:val="20"/>
          <w:color w:val="auto"/>
        </w:rPr>
      </w:pPr>
      <w:r>
        <w:rPr>
          <w:rFonts w:ascii="Times New Roman" w:cs="Times New Roman" w:eastAsia="Times New Roman" w:hAnsi="Times New Roman"/>
          <w:sz w:val="22"/>
          <w:szCs w:val="22"/>
          <w:color w:val="auto"/>
        </w:rPr>
        <w:t>Within [***] days following the end of each [***] during the Development Report Period, Mereo shall provide AstraZeneca with a written summary of the Development activities it has performed, or caused to be performed, since the preceding report, its Development activities in process and the future activities it expects to initiate during the following [***] month period. Each such report shall contain information to enable AstraZeneca to assess Mereo’s compliance with its obligations set forth in Section 5.1</w:t>
      </w:r>
    </w:p>
    <w:p>
      <w:pPr>
        <w:spacing w:after="0" w:line="146" w:lineRule="exact"/>
        <w:rPr>
          <w:sz w:val="20"/>
          <w:szCs w:val="20"/>
          <w:color w:val="auto"/>
        </w:rPr>
      </w:pPr>
    </w:p>
    <w:p>
      <w:pPr>
        <w:ind w:left="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Ongoing Research Agreements</w:t>
      </w:r>
    </w:p>
    <w:p>
      <w:pPr>
        <w:spacing w:after="0" w:line="197" w:lineRule="exact"/>
        <w:rPr>
          <w:sz w:val="20"/>
          <w:szCs w:val="20"/>
          <w:color w:val="auto"/>
        </w:rPr>
      </w:pPr>
    </w:p>
    <w:p>
      <w:pPr>
        <w:jc w:val="both"/>
        <w:ind w:left="722" w:hanging="723"/>
        <w:spacing w:after="0" w:line="244" w:lineRule="auto"/>
        <w:tabs>
          <w:tab w:leader="none" w:pos="702" w:val="left"/>
        </w:tabs>
        <w:rPr>
          <w:sz w:val="20"/>
          <w:szCs w:val="20"/>
          <w:color w:val="auto"/>
        </w:rPr>
      </w:pPr>
      <w:r>
        <w:rPr>
          <w:rFonts w:ascii="Times New Roman" w:cs="Times New Roman" w:eastAsia="Times New Roman" w:hAnsi="Times New Roman"/>
          <w:sz w:val="22"/>
          <w:szCs w:val="22"/>
          <w:color w:val="auto"/>
        </w:rPr>
        <w:t>5.5.1</w:t>
        <w:tab/>
        <w:t>Within [***] days following the Effective Date, AstraZeneca shall [***], and cause its Affiliates to [***], to assign all of its right, title and interest in and to the Ongoing Research Agreements to Mereo by way of an assignment and assumption agreement to be agreed between the Parties acting reasonably unless, with respect to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715010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1440" w:right="499" w:bottom="1440" w:gutter="0" w:footer="0" w:header="0"/>
        </w:sectPr>
      </w:pPr>
    </w:p>
    <w:bookmarkStart w:id="188" w:name="page189"/>
    <w:bookmarkEnd w:id="188"/>
    <w:p>
      <w:pPr>
        <w:spacing w:after="0" w:line="117" w:lineRule="exact"/>
        <w:rPr>
          <w:sz w:val="20"/>
          <w:szCs w:val="20"/>
          <w:color w:val="auto"/>
        </w:rPr>
      </w:pPr>
    </w:p>
    <w:p>
      <w:pPr>
        <w:jc w:val="both"/>
        <w:ind w:left="720" w:right="20"/>
        <w:spacing w:after="0" w:line="246" w:lineRule="auto"/>
        <w:rPr>
          <w:sz w:val="20"/>
          <w:szCs w:val="20"/>
          <w:color w:val="auto"/>
        </w:rPr>
      </w:pPr>
      <w:r>
        <w:rPr>
          <w:rFonts w:ascii="Times New Roman" w:cs="Times New Roman" w:eastAsia="Times New Roman" w:hAnsi="Times New Roman"/>
          <w:sz w:val="21"/>
          <w:szCs w:val="21"/>
          <w:color w:val="auto"/>
        </w:rPr>
        <w:t>Ongoing Research Agreements, such Ongoing Research Agreements do not permit such assignment, in which case AstraZeneca (or such Affiliate) shall cooperate with Mereo in all reasonable respects to negotiate a novation agreement with such Third Party in a form reasonably acceptable to Mereo in respect of such Ongoing Research Agreement, provided that [***], and if any such novation cannot be obtained with respect to an Ongoing Research Agreement, AstraZeneca shall use good faith efforts, and cause its Affiliates to use good faith efforts, to obtain for Mereo [***] of the practical benefit and burden under such Ongoing Research Agreement, including by [***] and for the account of Mereo, any and all rights of AstraZeneca (or such Affiliate) against the other party thereto arising out of the breach or cancellation thereof by such other party or otherwise. AstraZeneca shall keep Mereo reasonably informed as to the status of any such transfer and shall reasonably take into account any comments made by Mereo.</w:t>
      </w:r>
    </w:p>
    <w:p>
      <w:pPr>
        <w:spacing w:after="0" w:line="200" w:lineRule="exact"/>
        <w:rPr>
          <w:sz w:val="20"/>
          <w:szCs w:val="20"/>
          <w:color w:val="auto"/>
        </w:rPr>
      </w:pPr>
    </w:p>
    <w:p>
      <w:pPr>
        <w:spacing w:after="0" w:line="245" w:lineRule="exact"/>
        <w:rPr>
          <w:sz w:val="20"/>
          <w:szCs w:val="20"/>
          <w:color w:val="auto"/>
        </w:rPr>
      </w:pPr>
    </w:p>
    <w:p>
      <w:pPr>
        <w:jc w:val="both"/>
        <w:ind w:left="720" w:hanging="723"/>
        <w:spacing w:after="0" w:line="251" w:lineRule="auto"/>
        <w:tabs>
          <w:tab w:leader="none" w:pos="700" w:val="left"/>
        </w:tabs>
        <w:rPr>
          <w:sz w:val="20"/>
          <w:szCs w:val="20"/>
          <w:color w:val="auto"/>
        </w:rPr>
      </w:pPr>
      <w:r>
        <w:rPr>
          <w:rFonts w:ascii="Times New Roman" w:cs="Times New Roman" w:eastAsia="Times New Roman" w:hAnsi="Times New Roman"/>
          <w:sz w:val="22"/>
          <w:szCs w:val="22"/>
          <w:color w:val="auto"/>
        </w:rPr>
        <w:t>5.5.2</w:t>
      </w:r>
      <w:r>
        <w:rPr>
          <w:sz w:val="20"/>
          <w:szCs w:val="20"/>
          <w:color w:val="auto"/>
        </w:rPr>
        <w:tab/>
      </w:r>
      <w:r>
        <w:rPr>
          <w:rFonts w:ascii="Times New Roman" w:cs="Times New Roman" w:eastAsia="Times New Roman" w:hAnsi="Times New Roman"/>
          <w:sz w:val="21"/>
          <w:szCs w:val="21"/>
          <w:color w:val="auto"/>
        </w:rPr>
        <w:t>In the event that any intellectual property rights are created under the Ongoing Research Agreements that fall within the definition of Option Intellectual Property, then, in the event such Ongoing Research Agreements have not been assigned to Mereo pursuant to Section 5.5.1 above, AstraZeneca shall use [***], and shall cause its Affiliates to [***] to, within [***] days following the creation thereof, assign all of its right, title and interest in and to such intellectual property rights to Mereo, by way of an assignment agreement to be agreed between the Parties acting reasonably.</w:t>
      </w:r>
    </w:p>
    <w:p>
      <w:pPr>
        <w:spacing w:after="0" w:line="151"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color w:val="auto"/>
        </w:rPr>
        <w:t>Additional Studies</w:t>
      </w:r>
    </w:p>
    <w:p>
      <w:pPr>
        <w:spacing w:after="0" w:line="197" w:lineRule="exact"/>
        <w:rPr>
          <w:sz w:val="20"/>
          <w:szCs w:val="20"/>
          <w:color w:val="auto"/>
        </w:rPr>
      </w:pPr>
    </w:p>
    <w:p>
      <w:pPr>
        <w:jc w:val="both"/>
        <w:ind w:left="720" w:hanging="723"/>
        <w:spacing w:after="0" w:line="236" w:lineRule="auto"/>
        <w:tabs>
          <w:tab w:leader="none" w:pos="700" w:val="left"/>
        </w:tabs>
        <w:rPr>
          <w:sz w:val="20"/>
          <w:szCs w:val="20"/>
          <w:color w:val="auto"/>
        </w:rPr>
      </w:pPr>
      <w:r>
        <w:rPr>
          <w:rFonts w:ascii="Times New Roman" w:cs="Times New Roman" w:eastAsia="Times New Roman" w:hAnsi="Times New Roman"/>
          <w:sz w:val="22"/>
          <w:szCs w:val="22"/>
          <w:color w:val="auto"/>
        </w:rPr>
        <w:t>5.6.1</w:t>
        <w:tab/>
        <w:t>The Parties recognize that AstraZeneca or its Affiliates are currently in the process of negotiating or have recently executed certain Additional Studies with potential Third Party partners in relation to the Compounds. Following the Effective Date, AstraZeneca shall keep Mereo informed as to the negotiation status of such Additional Studies, if applicable, and shall [***], including [***]. Following the conclusion of such negotiations, if applicable, AstraZeneca or its Affiliates or Mereo, as agreed between the Parties, shall enter into agreements governing the conduct of such Additional Studies, provided that [***].</w:t>
      </w:r>
    </w:p>
    <w:p>
      <w:pPr>
        <w:spacing w:after="0" w:line="154" w:lineRule="exact"/>
        <w:rPr>
          <w:sz w:val="20"/>
          <w:szCs w:val="20"/>
          <w:color w:val="auto"/>
        </w:rPr>
      </w:pPr>
    </w:p>
    <w:p>
      <w:pPr>
        <w:jc w:val="both"/>
        <w:ind w:left="720" w:right="20" w:hanging="723"/>
        <w:spacing w:after="0" w:line="244" w:lineRule="auto"/>
        <w:tabs>
          <w:tab w:leader="none" w:pos="700" w:val="left"/>
        </w:tabs>
        <w:rPr>
          <w:sz w:val="20"/>
          <w:szCs w:val="20"/>
          <w:color w:val="auto"/>
        </w:rPr>
      </w:pPr>
      <w:r>
        <w:rPr>
          <w:rFonts w:ascii="Times New Roman" w:cs="Times New Roman" w:eastAsia="Times New Roman" w:hAnsi="Times New Roman"/>
          <w:sz w:val="22"/>
          <w:szCs w:val="22"/>
          <w:color w:val="auto"/>
        </w:rPr>
        <w:t>5.6.2</w:t>
        <w:tab/>
        <w:t>Following the later of (a) the Effective Date or (b) the date of execution of the agreement governing an Additional Study, AstraZeneca shall promptly provide Mereo with fully executed copies of the relevant agreements and provide such information as Mereo reasonably requires relating thereto.</w:t>
      </w:r>
    </w:p>
    <w:p>
      <w:pPr>
        <w:spacing w:after="0" w:line="160" w:lineRule="exact"/>
        <w:rPr>
          <w:sz w:val="20"/>
          <w:szCs w:val="20"/>
          <w:color w:val="auto"/>
        </w:rPr>
      </w:pPr>
    </w:p>
    <w:p>
      <w:pPr>
        <w:jc w:val="both"/>
        <w:ind w:left="720" w:hanging="723"/>
        <w:spacing w:after="0" w:line="239" w:lineRule="auto"/>
        <w:tabs>
          <w:tab w:leader="none" w:pos="700" w:val="left"/>
        </w:tabs>
        <w:rPr>
          <w:sz w:val="20"/>
          <w:szCs w:val="20"/>
          <w:color w:val="auto"/>
        </w:rPr>
      </w:pPr>
      <w:r>
        <w:rPr>
          <w:rFonts w:ascii="Times New Roman" w:cs="Times New Roman" w:eastAsia="Times New Roman" w:hAnsi="Times New Roman"/>
          <w:sz w:val="22"/>
          <w:szCs w:val="22"/>
          <w:color w:val="auto"/>
        </w:rPr>
        <w:t>5.6.3</w:t>
        <w:tab/>
        <w:t>Following the execution of any agreements described in Section 5.6 governing Additional Studies, such agreements shall be promptly assigned by AstraZeneca to Mereo by way of an assignment and assumption agreement to be agreed between the Parties acting reasonably and Mereo, following such assignment, shall assume AstraZeneca’s rights, obligations and liabilities thereunder occurring from and after the assignment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5.6.4 Following any such assignment:</w:t>
      </w:r>
    </w:p>
    <w:p>
      <w:pPr>
        <w:spacing w:after="0" w:line="193" w:lineRule="exact"/>
        <w:rPr>
          <w:sz w:val="20"/>
          <w:szCs w:val="20"/>
          <w:color w:val="auto"/>
        </w:rPr>
      </w:pPr>
    </w:p>
    <w:p>
      <w:pPr>
        <w:ind w:left="1480" w:hanging="719"/>
        <w:spacing w:after="0"/>
        <w:tabs>
          <w:tab w:leader="none" w:pos="14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Mereo shall be the sponsor for the applicable clinical trials and studies under such Additional Studies;</w:t>
      </w:r>
    </w:p>
    <w:p>
      <w:pPr>
        <w:spacing w:after="0" w:line="192" w:lineRule="exact"/>
        <w:rPr>
          <w:rFonts w:ascii="Times New Roman" w:cs="Times New Roman" w:eastAsia="Times New Roman" w:hAnsi="Times New Roman"/>
          <w:sz w:val="22"/>
          <w:szCs w:val="22"/>
          <w:color w:val="auto"/>
        </w:rPr>
      </w:pPr>
    </w:p>
    <w:p>
      <w:pPr>
        <w:ind w:left="1480" w:right="20" w:hanging="719"/>
        <w:spacing w:after="0" w:line="258" w:lineRule="auto"/>
        <w:tabs>
          <w:tab w:leader="none" w:pos="14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AstraZeneca shall agree in writing to provide directly to Mereo available compound and drug product for such Additional Studies, to the extent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705485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189" w:name="page190"/>
    <w:bookmarkEnd w:id="189"/>
    <w:p>
      <w:pPr>
        <w:spacing w:after="0" w:line="117" w:lineRule="exact"/>
        <w:rPr>
          <w:sz w:val="20"/>
          <w:szCs w:val="20"/>
          <w:color w:val="auto"/>
        </w:rPr>
      </w:pPr>
    </w:p>
    <w:p>
      <w:pPr>
        <w:jc w:val="both"/>
        <w:ind w:left="1482"/>
        <w:spacing w:after="0" w:line="238" w:lineRule="auto"/>
        <w:rPr>
          <w:sz w:val="20"/>
          <w:szCs w:val="20"/>
          <w:color w:val="auto"/>
        </w:rPr>
      </w:pPr>
      <w:r>
        <w:rPr>
          <w:rFonts w:ascii="Times New Roman" w:cs="Times New Roman" w:eastAsia="Times New Roman" w:hAnsi="Times New Roman"/>
          <w:sz w:val="22"/>
          <w:szCs w:val="22"/>
          <w:color w:val="auto"/>
        </w:rPr>
        <w:t>are in AstraZeneca’s possession as of the date of execution of agreements governing the conduct of the Additional Studies described in Section 5.6. Except as provided in the immediately preceding sentence, AstraZeneca shall have no further obligation to manufacture or procure the manufacture of relevant compound or drug product thereafter and any such obligations under the Applicable Studies shall pass to Mereo;</w:t>
      </w:r>
    </w:p>
    <w:p>
      <w:pPr>
        <w:spacing w:after="0" w:line="15" w:lineRule="exact"/>
        <w:rPr>
          <w:sz w:val="20"/>
          <w:szCs w:val="20"/>
          <w:color w:val="auto"/>
        </w:rPr>
      </w:pPr>
    </w:p>
    <w:p>
      <w:pPr>
        <w:ind w:left="1482" w:hanging="719"/>
        <w:spacing w:after="0" w:line="258" w:lineRule="auto"/>
        <w:tabs>
          <w:tab w:leader="none" w:pos="148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funding obligations under the Additional Studies shall, as between the Parties, be assumed by and be the responsibility of [***]; and</w:t>
      </w:r>
    </w:p>
    <w:p>
      <w:pPr>
        <w:spacing w:after="0" w:line="131" w:lineRule="exact"/>
        <w:rPr>
          <w:rFonts w:ascii="Times New Roman" w:cs="Times New Roman" w:eastAsia="Times New Roman" w:hAnsi="Times New Roman"/>
          <w:sz w:val="22"/>
          <w:szCs w:val="22"/>
          <w:color w:val="auto"/>
        </w:rPr>
      </w:pPr>
    </w:p>
    <w:p>
      <w:pPr>
        <w:ind w:left="1482" w:hanging="719"/>
        <w:spacing w:after="0" w:line="258" w:lineRule="auto"/>
        <w:tabs>
          <w:tab w:leader="none" w:pos="148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AstraZeneca shall have no rights relating to such Additional Studies, including any rights to any resulting clinical data or intellectual property rights.</w:t>
      </w:r>
    </w:p>
    <w:p>
      <w:pPr>
        <w:spacing w:after="0" w:line="141" w:lineRule="exact"/>
        <w:rPr>
          <w:sz w:val="20"/>
          <w:szCs w:val="20"/>
          <w:color w:val="auto"/>
        </w:rPr>
      </w:pPr>
    </w:p>
    <w:p>
      <w:pPr>
        <w:ind w:left="802" w:hanging="802"/>
        <w:spacing w:after="0"/>
        <w:tabs>
          <w:tab w:leader="none" w:pos="802"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REGULATORY ACTIVITIES</w:t>
      </w:r>
    </w:p>
    <w:p>
      <w:pPr>
        <w:spacing w:after="0" w:line="179" w:lineRule="exact"/>
        <w:rPr>
          <w:rFonts w:ascii="Times New Roman" w:cs="Times New Roman" w:eastAsia="Times New Roman" w:hAnsi="Times New Roman"/>
          <w:sz w:val="22"/>
          <w:szCs w:val="22"/>
          <w:b w:val="1"/>
          <w:bCs w:val="1"/>
          <w:color w:val="auto"/>
        </w:rPr>
      </w:pPr>
    </w:p>
    <w:p>
      <w:pPr>
        <w:ind w:left="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6.1</w:t>
      </w:r>
      <w:r>
        <w:rPr>
          <w:rFonts w:ascii="Times New Roman" w:cs="Times New Roman" w:eastAsia="Times New Roman" w:hAnsi="Times New Roman"/>
          <w:sz w:val="21"/>
          <w:szCs w:val="21"/>
          <w:b w:val="1"/>
          <w:bCs w:val="1"/>
          <w:color w:val="auto"/>
        </w:rPr>
        <w:t>Regulatory Approvals</w:t>
      </w:r>
    </w:p>
    <w:p>
      <w:pPr>
        <w:spacing w:after="0" w:line="183" w:lineRule="exact"/>
        <w:rPr>
          <w:sz w:val="20"/>
          <w:szCs w:val="20"/>
          <w:color w:val="auto"/>
        </w:rPr>
      </w:pPr>
    </w:p>
    <w:p>
      <w:pPr>
        <w:jc w:val="both"/>
        <w:ind w:left="762" w:hanging="9"/>
        <w:spacing w:after="0" w:line="239" w:lineRule="auto"/>
        <w:rPr>
          <w:sz w:val="20"/>
          <w:szCs w:val="20"/>
          <w:color w:val="auto"/>
        </w:rPr>
      </w:pPr>
      <w:r>
        <w:rPr>
          <w:rFonts w:ascii="Times New Roman" w:cs="Times New Roman" w:eastAsia="Times New Roman" w:hAnsi="Times New Roman"/>
          <w:sz w:val="22"/>
          <w:szCs w:val="22"/>
          <w:color w:val="auto"/>
        </w:rPr>
        <w:t>Subject to the Retained Rights, Mereo shall have the sole right to prepare, obtain and maintain Drug Approval Applications (including the setting of the overall regulatory strategy therefor), other Regulatory Approvals and other submissions (including INDs) and to conduct communications with the Regulatory Authorities, for Products in the Field in the Territory in its name.</w:t>
      </w:r>
    </w:p>
    <w:p>
      <w:pPr>
        <w:spacing w:after="0" w:line="163" w:lineRule="exact"/>
        <w:rPr>
          <w:sz w:val="20"/>
          <w:szCs w:val="20"/>
          <w:color w:val="auto"/>
        </w:rPr>
      </w:pPr>
    </w:p>
    <w:p>
      <w:pPr>
        <w:ind w:left="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Recalls, Suspensions or Withdrawals</w:t>
      </w:r>
    </w:p>
    <w:p>
      <w:pPr>
        <w:spacing w:after="0" w:line="183" w:lineRule="exact"/>
        <w:rPr>
          <w:sz w:val="20"/>
          <w:szCs w:val="20"/>
          <w:color w:val="auto"/>
        </w:rPr>
      </w:pPr>
    </w:p>
    <w:p>
      <w:pPr>
        <w:jc w:val="both"/>
        <w:ind w:left="762" w:hanging="9"/>
        <w:spacing w:after="0" w:line="232" w:lineRule="auto"/>
        <w:rPr>
          <w:sz w:val="20"/>
          <w:szCs w:val="20"/>
          <w:color w:val="auto"/>
        </w:rPr>
      </w:pPr>
      <w:r>
        <w:rPr>
          <w:rFonts w:ascii="Times New Roman" w:cs="Times New Roman" w:eastAsia="Times New Roman" w:hAnsi="Times New Roman"/>
          <w:sz w:val="22"/>
          <w:szCs w:val="22"/>
          <w:color w:val="auto"/>
        </w:rPr>
        <w:t>Prior to exercise of the Option pursuant to Section 2.1.3, Mereo shall notify AstraZeneca following its determination that any event, incident or circumstance has occurred that may result in the need for a recall, market suspension or market withdrawal of a Product in the Field in the Territory and shall include in such notice the reasoning behind such determination and any supporting facts. As between the Parties, Mereo shall have the right to make the final determination whether to voluntarily implement any such recall, market suspension or market withdrawal in the Field in the Territory. If a recall, market suspension or market withdrawal is mandated by a Regulatory Authority in the Territory, as between the Parties, Mereo shall initiate such a recall, market suspension or market withdrawal in compliance with Applicable Law. For all recalls, market suspensions or market withdrawals undertaken pursuant to this Section 6.2, as between the Parties, Mereo shall be solely responsible for the execution thereof. For clarity, on or after the exercise of the Option pursuant to Section 2.1.3, Mereo shall have the sole right and obligation to determine whether to implement any recall, market suspension or market withdrawal in the Field in the Territory and Mereo shall be solely responsible for the execution thereof and shall be under no obligation to notify AstraZeneca thereof. Mereo shall be responsible for all costs of any recall, market suspension or market withdrawal, except in the event and to the extent that a recall, market suspension or market withdrawal resulted from AstraZeneca’s or its Affiliate’s breach of its obligations hereunder or from such AstraZeneca’s or its Affiliate’s fraud, gross negligence or willful misconduct, in which case, AstraZeneca shall bear the expense of such recall, market suspension or market withdrawal.</w:t>
      </w:r>
    </w:p>
    <w:p>
      <w:pPr>
        <w:spacing w:after="0" w:line="186" w:lineRule="exact"/>
        <w:rPr>
          <w:sz w:val="20"/>
          <w:szCs w:val="20"/>
          <w:color w:val="auto"/>
        </w:rPr>
      </w:pPr>
    </w:p>
    <w:p>
      <w:pPr>
        <w:ind w:left="2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Global Safety Database</w:t>
      </w:r>
    </w:p>
    <w:p>
      <w:pPr>
        <w:spacing w:after="0" w:line="224" w:lineRule="exact"/>
        <w:rPr>
          <w:sz w:val="20"/>
          <w:szCs w:val="20"/>
          <w:color w:val="auto"/>
        </w:rPr>
      </w:pPr>
    </w:p>
    <w:p>
      <w:pPr>
        <w:jc w:val="both"/>
        <w:ind w:left="762" w:hanging="9"/>
        <w:spacing w:after="0" w:line="244" w:lineRule="auto"/>
        <w:rPr>
          <w:sz w:val="20"/>
          <w:szCs w:val="20"/>
          <w:color w:val="auto"/>
        </w:rPr>
      </w:pPr>
      <w:r>
        <w:rPr>
          <w:rFonts w:ascii="Times New Roman" w:cs="Times New Roman" w:eastAsia="Times New Roman" w:hAnsi="Times New Roman"/>
          <w:sz w:val="22"/>
          <w:szCs w:val="22"/>
          <w:color w:val="auto"/>
        </w:rPr>
        <w:t>Mereo shall establish, hold and maintain (at Mereo’s sole cost and expense) the global safety database for Products as required under Applicable Law. Mereo shall provide AstraZeneca with such safety information, including adverse event reports,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715010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1440" w:right="499" w:bottom="1440" w:gutter="0" w:footer="0" w:header="0"/>
        </w:sectPr>
      </w:pPr>
    </w:p>
    <w:bookmarkStart w:id="190" w:name="page191"/>
    <w:bookmarkEnd w:id="190"/>
    <w:p>
      <w:pPr>
        <w:spacing w:after="0" w:line="158" w:lineRule="exact"/>
        <w:rPr>
          <w:sz w:val="20"/>
          <w:szCs w:val="20"/>
          <w:color w:val="auto"/>
        </w:rPr>
      </w:pPr>
    </w:p>
    <w:p>
      <w:pPr>
        <w:jc w:val="both"/>
        <w:ind w:left="762"/>
        <w:spacing w:after="0" w:line="256" w:lineRule="auto"/>
        <w:rPr>
          <w:sz w:val="20"/>
          <w:szCs w:val="20"/>
          <w:color w:val="auto"/>
        </w:rPr>
      </w:pPr>
      <w:r>
        <w:rPr>
          <w:rFonts w:ascii="Times New Roman" w:cs="Times New Roman" w:eastAsia="Times New Roman" w:hAnsi="Times New Roman"/>
          <w:sz w:val="22"/>
          <w:szCs w:val="22"/>
          <w:color w:val="auto"/>
        </w:rPr>
        <w:t>the Products as AstraZeneca reasonably requires, including to enable AstraZeneca to respond to a request from any applicable Regulatory Authority. To the extent that</w:t>
      </w:r>
    </w:p>
    <w:p>
      <w:pPr>
        <w:jc w:val="both"/>
        <w:ind w:left="762"/>
        <w:spacing w:after="0" w:line="261" w:lineRule="auto"/>
        <w:rPr>
          <w:sz w:val="20"/>
          <w:szCs w:val="20"/>
          <w:color w:val="auto"/>
        </w:rPr>
      </w:pPr>
      <w:r>
        <w:rPr>
          <w:rFonts w:ascii="Times New Roman" w:cs="Times New Roman" w:eastAsia="Times New Roman" w:hAnsi="Times New Roman"/>
          <w:sz w:val="21"/>
          <w:szCs w:val="21"/>
          <w:color w:val="auto"/>
        </w:rPr>
        <w:t>AstraZeneca requires Mereo to provide AstraZeneca with safety information that constitutes personal data under Applicable Laws relating to privacy pursuant to this Section 6.3, the Parties will agree on reasonable terms for such disclosure in order to ensure compliance with the requirements of Applicable Laws relating to privacy on each Party.</w:t>
      </w:r>
    </w:p>
    <w:p>
      <w:pPr>
        <w:spacing w:after="0" w:line="126" w:lineRule="exact"/>
        <w:rPr>
          <w:sz w:val="20"/>
          <w:szCs w:val="20"/>
          <w:color w:val="auto"/>
        </w:rPr>
      </w:pPr>
    </w:p>
    <w:p>
      <w:pPr>
        <w:ind w:left="802" w:hanging="802"/>
        <w:spacing w:after="0"/>
        <w:tabs>
          <w:tab w:leader="none" w:pos="802"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COMMERCIALIZATION</w:t>
      </w:r>
    </w:p>
    <w:p>
      <w:pPr>
        <w:spacing w:after="0" w:line="192" w:lineRule="exact"/>
        <w:rPr>
          <w:rFonts w:ascii="Times New Roman" w:cs="Times New Roman" w:eastAsia="Times New Roman" w:hAnsi="Times New Roman"/>
          <w:sz w:val="22"/>
          <w:szCs w:val="22"/>
          <w:b w:val="1"/>
          <w:bCs w:val="1"/>
          <w:color w:val="auto"/>
        </w:rPr>
      </w:pPr>
    </w:p>
    <w:p>
      <w:pPr>
        <w:ind w:left="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7.1</w:t>
      </w:r>
      <w:r>
        <w:rPr>
          <w:rFonts w:ascii="Times New Roman" w:cs="Times New Roman" w:eastAsia="Times New Roman" w:hAnsi="Times New Roman"/>
          <w:sz w:val="21"/>
          <w:szCs w:val="21"/>
          <w:b w:val="1"/>
          <w:bCs w:val="1"/>
          <w:color w:val="auto"/>
        </w:rPr>
        <w:t>Diligence</w:t>
      </w:r>
    </w:p>
    <w:p>
      <w:pPr>
        <w:spacing w:after="0" w:line="183" w:lineRule="exact"/>
        <w:rPr>
          <w:sz w:val="20"/>
          <w:szCs w:val="20"/>
          <w:color w:val="auto"/>
        </w:rPr>
      </w:pPr>
    </w:p>
    <w:p>
      <w:pPr>
        <w:jc w:val="both"/>
        <w:ind w:left="762" w:hanging="9"/>
        <w:spacing w:after="0" w:line="244" w:lineRule="auto"/>
        <w:rPr>
          <w:sz w:val="20"/>
          <w:szCs w:val="20"/>
          <w:color w:val="auto"/>
        </w:rPr>
      </w:pPr>
      <w:r>
        <w:rPr>
          <w:rFonts w:ascii="Times New Roman" w:cs="Times New Roman" w:eastAsia="Times New Roman" w:hAnsi="Times New Roman"/>
          <w:sz w:val="22"/>
          <w:szCs w:val="22"/>
          <w:color w:val="auto"/>
        </w:rPr>
        <w:t>As between the Parties, Mereo shall be solely responsible for Commercialization of the Products in the Field throughout the Territory at Mereo’s own cost and expense. Mereo shall use Commercially Reasonable Efforts to Commercialize the Products throughout the Territory.</w:t>
      </w:r>
    </w:p>
    <w:p>
      <w:pPr>
        <w:spacing w:after="0" w:line="196" w:lineRule="exact"/>
        <w:rPr>
          <w:sz w:val="20"/>
          <w:szCs w:val="20"/>
          <w:color w:val="auto"/>
        </w:rPr>
      </w:pPr>
    </w:p>
    <w:p>
      <w:pPr>
        <w:ind w:left="2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Commercialization Costs; Booking of Sales; Distribution</w:t>
      </w:r>
    </w:p>
    <w:p>
      <w:pPr>
        <w:spacing w:after="0" w:line="183" w:lineRule="exact"/>
        <w:rPr>
          <w:sz w:val="20"/>
          <w:szCs w:val="20"/>
          <w:color w:val="auto"/>
        </w:rPr>
      </w:pPr>
    </w:p>
    <w:p>
      <w:pPr>
        <w:jc w:val="both"/>
        <w:ind w:left="762" w:hanging="9"/>
        <w:spacing w:after="0" w:line="236" w:lineRule="auto"/>
        <w:rPr>
          <w:sz w:val="20"/>
          <w:szCs w:val="20"/>
          <w:color w:val="auto"/>
        </w:rPr>
      </w:pPr>
      <w:r>
        <w:rPr>
          <w:rFonts w:ascii="Times New Roman" w:cs="Times New Roman" w:eastAsia="Times New Roman" w:hAnsi="Times New Roman"/>
          <w:sz w:val="22"/>
          <w:szCs w:val="22"/>
          <w:color w:val="auto"/>
        </w:rPr>
        <w:t>Except as otherwise provided in this Agreement, as between the Parties Mereo shall be responsible for all costs and expenses in connection with the Commercialization of the Products in the Field in the Territory. Mereo shall invoice and book sales, establish all terms of sale (including pricing and discounts) and warehouse and distribute the Products in the Field in the Territory and perform or cause to be performed all related services. Mereo shall handle all returns, recalls or withdrawals, order processing, invoicing, collection, distribution and inventory management with respect to the Products in the Territory.</w:t>
      </w:r>
    </w:p>
    <w:p>
      <w:pPr>
        <w:spacing w:after="0" w:line="164" w:lineRule="exact"/>
        <w:rPr>
          <w:sz w:val="20"/>
          <w:szCs w:val="20"/>
          <w:color w:val="auto"/>
        </w:rPr>
      </w:pPr>
    </w:p>
    <w:p>
      <w:pPr>
        <w:ind w:left="2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Commercialization Records</w:t>
      </w:r>
    </w:p>
    <w:p>
      <w:pPr>
        <w:spacing w:after="0" w:line="183" w:lineRule="exact"/>
        <w:rPr>
          <w:sz w:val="20"/>
          <w:szCs w:val="20"/>
          <w:color w:val="auto"/>
        </w:rPr>
      </w:pPr>
    </w:p>
    <w:p>
      <w:pPr>
        <w:jc w:val="both"/>
        <w:ind w:left="762" w:hanging="9"/>
        <w:spacing w:after="0" w:line="238" w:lineRule="auto"/>
        <w:rPr>
          <w:sz w:val="20"/>
          <w:szCs w:val="20"/>
          <w:color w:val="auto"/>
        </w:rPr>
      </w:pPr>
      <w:r>
        <w:rPr>
          <w:rFonts w:ascii="Times New Roman" w:cs="Times New Roman" w:eastAsia="Times New Roman" w:hAnsi="Times New Roman"/>
          <w:sz w:val="22"/>
          <w:szCs w:val="22"/>
          <w:color w:val="auto"/>
        </w:rPr>
        <w:t>Mereo shall maintain complete and accurate books and records pertaining to Commercialization of Products hereunder, in sufficient detail to verify compliance with its obligations under this Agreement and which shall be in compliance with Applicable Law and properly reflect all work done and results achieved in the performance of its Commercialization activities. Such records shall be retained by Mereo for at least [***] years after the expiration or termination of this Agreement in its entirety or for such longer period as may be required by Applicable Law.</w:t>
      </w:r>
    </w:p>
    <w:p>
      <w:pPr>
        <w:spacing w:after="0" w:line="159" w:lineRule="exact"/>
        <w:rPr>
          <w:sz w:val="20"/>
          <w:szCs w:val="20"/>
          <w:color w:val="auto"/>
        </w:rPr>
      </w:pPr>
    </w:p>
    <w:p>
      <w:pPr>
        <w:ind w:left="2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Commercialization Reports</w:t>
      </w:r>
    </w:p>
    <w:p>
      <w:pPr>
        <w:spacing w:after="0" w:line="183" w:lineRule="exact"/>
        <w:rPr>
          <w:sz w:val="20"/>
          <w:szCs w:val="20"/>
          <w:color w:val="auto"/>
        </w:rPr>
      </w:pPr>
    </w:p>
    <w:p>
      <w:pPr>
        <w:jc w:val="both"/>
        <w:ind w:left="762" w:hanging="9"/>
        <w:spacing w:after="0" w:line="261" w:lineRule="auto"/>
        <w:rPr>
          <w:sz w:val="20"/>
          <w:szCs w:val="20"/>
          <w:color w:val="auto"/>
        </w:rPr>
      </w:pPr>
      <w:r>
        <w:rPr>
          <w:rFonts w:ascii="Times New Roman" w:cs="Times New Roman" w:eastAsia="Times New Roman" w:hAnsi="Times New Roman"/>
          <w:sz w:val="21"/>
          <w:szCs w:val="21"/>
          <w:color w:val="auto"/>
        </w:rPr>
        <w:t>Without limiting Section 5.4, within [***] days following the end of each [***], during the Royalty Term, Mereo shall provide to AstraZeneca a written summary of the Commercialization activities it has performed, or caused to be performed, including a summary of all relevant financial data relating to such activities since the preceding report.</w:t>
      </w:r>
    </w:p>
    <w:p>
      <w:pPr>
        <w:spacing w:after="0" w:line="140" w:lineRule="exact"/>
        <w:rPr>
          <w:sz w:val="20"/>
          <w:szCs w:val="20"/>
          <w:color w:val="auto"/>
        </w:rPr>
      </w:pPr>
    </w:p>
    <w:p>
      <w:pPr>
        <w:ind w:left="802" w:hanging="802"/>
        <w:spacing w:after="0"/>
        <w:tabs>
          <w:tab w:leader="none" w:pos="802"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PAYMENTS AND RECORDS</w:t>
      </w:r>
    </w:p>
    <w:p>
      <w:pPr>
        <w:spacing w:after="0" w:line="179" w:lineRule="exact"/>
        <w:rPr>
          <w:rFonts w:ascii="Times New Roman" w:cs="Times New Roman" w:eastAsia="Times New Roman" w:hAnsi="Times New Roman"/>
          <w:sz w:val="22"/>
          <w:szCs w:val="22"/>
          <w:b w:val="1"/>
          <w:bCs w:val="1"/>
          <w:color w:val="auto"/>
        </w:rPr>
      </w:pPr>
    </w:p>
    <w:p>
      <w:pPr>
        <w:ind w:left="2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8.1</w:t>
      </w:r>
      <w:r>
        <w:rPr>
          <w:rFonts w:ascii="Times New Roman" w:cs="Times New Roman" w:eastAsia="Times New Roman" w:hAnsi="Times New Roman"/>
          <w:sz w:val="21"/>
          <w:szCs w:val="21"/>
          <w:b w:val="1"/>
          <w:bCs w:val="1"/>
          <w:color w:val="auto"/>
        </w:rPr>
        <w:t>Upfront Payment</w:t>
      </w:r>
    </w:p>
    <w:p>
      <w:pPr>
        <w:spacing w:after="0" w:line="183" w:lineRule="exact"/>
        <w:rPr>
          <w:sz w:val="20"/>
          <w:szCs w:val="20"/>
          <w:color w:val="auto"/>
        </w:rPr>
      </w:pPr>
    </w:p>
    <w:p>
      <w:pPr>
        <w:ind w:left="762" w:hanging="9"/>
        <w:spacing w:after="0" w:line="258" w:lineRule="auto"/>
        <w:rPr>
          <w:sz w:val="20"/>
          <w:szCs w:val="20"/>
          <w:color w:val="auto"/>
        </w:rPr>
      </w:pPr>
      <w:r>
        <w:rPr>
          <w:rFonts w:ascii="Times New Roman" w:cs="Times New Roman" w:eastAsia="Times New Roman" w:hAnsi="Times New Roman"/>
          <w:sz w:val="22"/>
          <w:szCs w:val="22"/>
          <w:color w:val="auto"/>
        </w:rPr>
        <w:t>In partial consideration of the rights granted by AstraZeneca to Mereo hereunder, Mereo shall within [***] days of the Effective Date make a non-refundable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705485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1440" w:right="499" w:bottom="1440" w:gutter="0" w:footer="0" w:header="0"/>
        </w:sectPr>
      </w:pPr>
    </w:p>
    <w:bookmarkStart w:id="191" w:name="page192"/>
    <w:bookmarkEnd w:id="191"/>
    <w:p>
      <w:pPr>
        <w:ind w:left="760"/>
        <w:spacing w:after="0"/>
        <w:rPr>
          <w:sz w:val="20"/>
          <w:szCs w:val="20"/>
          <w:color w:val="auto"/>
        </w:rPr>
      </w:pPr>
      <w:r>
        <w:rPr>
          <w:rFonts w:ascii="Times New Roman" w:cs="Times New Roman" w:eastAsia="Times New Roman" w:hAnsi="Times New Roman"/>
          <w:sz w:val="22"/>
          <w:szCs w:val="22"/>
          <w:color w:val="auto"/>
        </w:rPr>
        <w:t>non-creditable cash payment to AstraZeneca equal to three million US Dollars (USD$3,000,000).</w:t>
      </w:r>
    </w:p>
    <w:p>
      <w:pPr>
        <w:spacing w:after="0" w:line="18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Issue of Loan Notes</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8.2.1</w:t>
      </w:r>
      <w:r>
        <w:rPr>
          <w:sz w:val="20"/>
          <w:szCs w:val="20"/>
          <w:color w:val="auto"/>
        </w:rPr>
        <w:tab/>
      </w:r>
      <w:r>
        <w:rPr>
          <w:rFonts w:ascii="Times New Roman" w:cs="Times New Roman" w:eastAsia="Times New Roman" w:hAnsi="Times New Roman"/>
          <w:sz w:val="21"/>
          <w:szCs w:val="21"/>
          <w:color w:val="auto"/>
        </w:rPr>
        <w:t>In partial consideration of the rights granted by AstraZeneca to Mereo hereunder, Mereo will issue to MBGP:</w:t>
      </w:r>
    </w:p>
    <w:p>
      <w:pPr>
        <w:spacing w:after="0" w:line="193" w:lineRule="exact"/>
        <w:rPr>
          <w:sz w:val="20"/>
          <w:szCs w:val="20"/>
          <w:color w:val="auto"/>
        </w:rPr>
      </w:pPr>
    </w:p>
    <w:p>
      <w:pPr>
        <w:ind w:left="1500" w:hanging="739"/>
        <w:spacing w:after="0"/>
        <w:tabs>
          <w:tab w:leader="none" w:pos="15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Note 1 within [***] days of the Effective Date;</w:t>
      </w:r>
    </w:p>
    <w:p>
      <w:pPr>
        <w:spacing w:after="0" w:line="192" w:lineRule="exact"/>
        <w:rPr>
          <w:rFonts w:ascii="Times New Roman" w:cs="Times New Roman" w:eastAsia="Times New Roman" w:hAnsi="Times New Roman"/>
          <w:sz w:val="22"/>
          <w:szCs w:val="22"/>
          <w:color w:val="auto"/>
        </w:rPr>
      </w:pPr>
    </w:p>
    <w:p>
      <w:pPr>
        <w:ind w:left="1480" w:hanging="719"/>
        <w:spacing w:after="0" w:line="258" w:lineRule="auto"/>
        <w:tabs>
          <w:tab w:leader="none" w:pos="14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Note 2 no later than the date upon which the [***] becomes due and payable pursuant to Section [***] (or, if earlier, no later than the date of any [***]);</w:t>
      </w:r>
    </w:p>
    <w:p>
      <w:pPr>
        <w:spacing w:after="0" w:line="131" w:lineRule="exact"/>
        <w:rPr>
          <w:rFonts w:ascii="Times New Roman" w:cs="Times New Roman" w:eastAsia="Times New Roman" w:hAnsi="Times New Roman"/>
          <w:sz w:val="22"/>
          <w:szCs w:val="22"/>
          <w:color w:val="auto"/>
        </w:rPr>
      </w:pPr>
    </w:p>
    <w:p>
      <w:pPr>
        <w:ind w:left="1480" w:hanging="719"/>
        <w:spacing w:after="0" w:line="258" w:lineRule="auto"/>
        <w:tabs>
          <w:tab w:leader="none" w:pos="14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Note 3 no later than the date upon which the [***] becomes due and payable pursuant to Section [***] (or, if earlier, no later than the date of any [***]); and</w:t>
      </w:r>
    </w:p>
    <w:p>
      <w:pPr>
        <w:spacing w:after="0" w:line="144" w:lineRule="exact"/>
        <w:rPr>
          <w:rFonts w:ascii="Times New Roman" w:cs="Times New Roman" w:eastAsia="Times New Roman" w:hAnsi="Times New Roman"/>
          <w:sz w:val="22"/>
          <w:szCs w:val="22"/>
          <w:color w:val="auto"/>
        </w:rPr>
      </w:pPr>
    </w:p>
    <w:p>
      <w:pPr>
        <w:ind w:left="1480" w:hanging="719"/>
        <w:spacing w:after="0" w:line="258" w:lineRule="auto"/>
        <w:tabs>
          <w:tab w:leader="none" w:pos="14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Note 4 no later than the date upon which the [***] becomes due and payable pursuant to Section [***] (or, if earlier, no later than the date of any [***]).</w:t>
      </w:r>
    </w:p>
    <w:p>
      <w:pPr>
        <w:spacing w:after="0" w:line="131" w:lineRule="exact"/>
        <w:rPr>
          <w:sz w:val="20"/>
          <w:szCs w:val="20"/>
          <w:color w:val="auto"/>
        </w:rPr>
      </w:pPr>
    </w:p>
    <w:p>
      <w:pPr>
        <w:jc w:val="both"/>
        <w:ind w:left="720" w:hanging="723"/>
        <w:spacing w:after="0" w:line="238" w:lineRule="auto"/>
        <w:tabs>
          <w:tab w:leader="none" w:pos="700" w:val="left"/>
        </w:tabs>
        <w:rPr>
          <w:sz w:val="20"/>
          <w:szCs w:val="20"/>
          <w:color w:val="auto"/>
        </w:rPr>
      </w:pPr>
      <w:r>
        <w:rPr>
          <w:rFonts w:ascii="Times New Roman" w:cs="Times New Roman" w:eastAsia="Times New Roman" w:hAnsi="Times New Roman"/>
          <w:sz w:val="22"/>
          <w:szCs w:val="22"/>
          <w:color w:val="auto"/>
        </w:rPr>
        <w:t>8.2.2</w:t>
        <w:tab/>
        <w:t>Loan Note 1, Loan Note 2, Loan Note 3 and Loan Note 4 shall constitute the consideration for the allotment and issue of the Subscription Shares to be subscribed for by, and issued credited as fully paid to, AstraZeneca pursuant to clauses 2.1, 2.2, 2.3 and 2.4, respectively, of the Subscription Deed. Mereo shall issue the Loan Notes on such terms as enable MBGP to credit the Subscription Shares as fully paid on their allotment and issue to AstraZeneca in accordance with the terms of the Subscription Deed.</w:t>
      </w:r>
    </w:p>
    <w:p>
      <w:pPr>
        <w:spacing w:after="0" w:line="1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1"/>
          <w:szCs w:val="21"/>
          <w:b w:val="1"/>
          <w:bCs w:val="1"/>
          <w:color w:val="auto"/>
        </w:rPr>
        <w:t>Development Fees</w:t>
      </w:r>
    </w:p>
    <w:p>
      <w:pPr>
        <w:spacing w:after="0" w:line="183" w:lineRule="exact"/>
        <w:rPr>
          <w:sz w:val="20"/>
          <w:szCs w:val="20"/>
          <w:color w:val="auto"/>
        </w:rPr>
      </w:pPr>
    </w:p>
    <w:p>
      <w:pPr>
        <w:jc w:val="both"/>
        <w:ind w:left="760" w:hanging="9"/>
        <w:spacing w:after="0" w:line="282" w:lineRule="auto"/>
        <w:rPr>
          <w:sz w:val="20"/>
          <w:szCs w:val="20"/>
          <w:color w:val="auto"/>
        </w:rPr>
      </w:pPr>
      <w:r>
        <w:rPr>
          <w:rFonts w:ascii="Times New Roman" w:cs="Times New Roman" w:eastAsia="Times New Roman" w:hAnsi="Times New Roman"/>
          <w:sz w:val="21"/>
          <w:szCs w:val="21"/>
          <w:color w:val="auto"/>
        </w:rPr>
        <w:t>In partial consideration of the rights granted by AstraZeneca to Mereo hereunder, Mereo shall make the following one-time payments to AstraZeneca as follows, for the first of the 9668 Product [***] to satisfy such milestone event:</w:t>
      </w:r>
    </w:p>
    <w:p>
      <w:pPr>
        <w:spacing w:after="0" w:line="108" w:lineRule="exact"/>
        <w:rPr>
          <w:sz w:val="20"/>
          <w:szCs w:val="20"/>
          <w:color w:val="auto"/>
        </w:rPr>
      </w:pPr>
    </w:p>
    <w:p>
      <w:pPr>
        <w:jc w:val="both"/>
        <w:ind w:left="720" w:hanging="723"/>
        <w:spacing w:after="0" w:line="239" w:lineRule="auto"/>
        <w:tabs>
          <w:tab w:leader="none" w:pos="700" w:val="left"/>
        </w:tabs>
        <w:rPr>
          <w:sz w:val="20"/>
          <w:szCs w:val="20"/>
          <w:color w:val="auto"/>
        </w:rPr>
      </w:pPr>
      <w:r>
        <w:rPr>
          <w:rFonts w:ascii="Times New Roman" w:cs="Times New Roman" w:eastAsia="Times New Roman" w:hAnsi="Times New Roman"/>
          <w:sz w:val="22"/>
          <w:szCs w:val="22"/>
          <w:color w:val="auto"/>
        </w:rPr>
        <w:t>8.3.1</w:t>
        <w:tab/>
        <w:t>within (i) [***] days of Mereo or its Affiliate [***] to [***] that the first [***] for the first Product has achieved [***], or (ii) [***] Days of the Variation Date, whichever occurs first, Mereo shall make a non-refundable cash payment to AstraZeneca of [***] US Dollars (USD$[***]), subject to adjustment pursuant to Section 8.15.1 (“[***]”); and</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8.3.2</w:t>
      </w:r>
      <w:r>
        <w:rPr>
          <w:sz w:val="20"/>
          <w:szCs w:val="20"/>
          <w:color w:val="auto"/>
        </w:rPr>
        <w:tab/>
      </w:r>
      <w:r>
        <w:rPr>
          <w:rFonts w:ascii="Times New Roman" w:cs="Times New Roman" w:eastAsia="Times New Roman" w:hAnsi="Times New Roman"/>
          <w:sz w:val="21"/>
          <w:szCs w:val="21"/>
          <w:color w:val="auto"/>
        </w:rPr>
        <w:t>within [***] days of [***] by Mereo or its Affiliates of the [***] the first [***] for the first Product that (i) [***] with</w:t>
      </w:r>
    </w:p>
    <w:p>
      <w:pPr>
        <w:spacing w:after="0" w:line="4" w:lineRule="exact"/>
        <w:rPr>
          <w:sz w:val="20"/>
          <w:szCs w:val="20"/>
          <w:color w:val="auto"/>
        </w:rPr>
      </w:pPr>
    </w:p>
    <w:p>
      <w:pPr>
        <w:ind w:left="1260" w:hanging="538"/>
        <w:spacing w:after="0"/>
        <w:tabs>
          <w:tab w:leader="none" w:pos="12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other [***] such as [***] of [***] that would [***] the [***] of a [***]; or (ii) [***] is [***] for [***] to</w:t>
      </w:r>
    </w:p>
    <w:p>
      <w:pPr>
        <w:jc w:val="both"/>
        <w:ind w:left="720" w:firstLine="2"/>
        <w:spacing w:after="0" w:line="235" w:lineRule="auto"/>
        <w:tabs>
          <w:tab w:leader="none" w:pos="127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 for such Product, Mereo shall make a non-refundable cash payment to AstraZeneca of [***] US Dollars (USD$[***]), [***] (“[***]”), provided that in the event that [***] that such [***] is [***] for [***] to [***] the [***]</w:t>
      </w:r>
    </w:p>
    <w:p>
      <w:pPr>
        <w:spacing w:after="0" w:line="15" w:lineRule="exact"/>
        <w:rPr>
          <w:rFonts w:ascii="Times New Roman" w:cs="Times New Roman" w:eastAsia="Times New Roman" w:hAnsi="Times New Roman"/>
          <w:sz w:val="22"/>
          <w:szCs w:val="22"/>
          <w:color w:val="auto"/>
        </w:rPr>
      </w:pPr>
    </w:p>
    <w:p>
      <w:pPr>
        <w:ind w:left="740" w:hanging="2"/>
        <w:spacing w:after="0" w:line="258" w:lineRule="auto"/>
        <w:tabs>
          <w:tab w:leader="none" w:pos="130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such [***] and subsequently [***] the [***] for such [***] then [***] shall [***] within [***] days following [***]; and</w:t>
      </w:r>
    </w:p>
    <w:p>
      <w:pPr>
        <w:spacing w:after="0" w:line="145" w:lineRule="exact"/>
        <w:rPr>
          <w:sz w:val="20"/>
          <w:szCs w:val="20"/>
          <w:color w:val="auto"/>
        </w:rPr>
      </w:pPr>
    </w:p>
    <w:p>
      <w:pPr>
        <w:ind w:left="7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8.3.3</w:t>
        <w:tab/>
        <w:t>within [***] days of [***] by Mereo or its Affiliates of the first [***] for the first Product, Mereo shall make a non-refundable cash payment to AstraZeneca of [***]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705485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08" w:right="499" w:bottom="1440" w:gutter="0" w:footer="0" w:header="0"/>
        </w:sectPr>
      </w:pPr>
    </w:p>
    <w:bookmarkStart w:id="192" w:name="page193"/>
    <w:bookmarkEnd w:id="192"/>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Dollars (USD$[***]), subject to adjustment pursuant to Section 8.15.3 (“[***]”);</w:t>
      </w:r>
    </w:p>
    <w:p>
      <w:pPr>
        <w:spacing w:after="0" w:line="179" w:lineRule="exact"/>
        <w:rPr>
          <w:sz w:val="20"/>
          <w:szCs w:val="20"/>
          <w:color w:val="auto"/>
        </w:rPr>
      </w:pPr>
    </w:p>
    <w:p>
      <w:pPr>
        <w:jc w:val="both"/>
        <w:ind w:left="860" w:right="20" w:hanging="723"/>
        <w:spacing w:after="0" w:line="244" w:lineRule="auto"/>
        <w:tabs>
          <w:tab w:leader="none" w:pos="840" w:val="left"/>
        </w:tabs>
        <w:rPr>
          <w:sz w:val="20"/>
          <w:szCs w:val="20"/>
          <w:color w:val="auto"/>
        </w:rPr>
      </w:pPr>
      <w:r>
        <w:rPr>
          <w:rFonts w:ascii="Times New Roman" w:cs="Times New Roman" w:eastAsia="Times New Roman" w:hAnsi="Times New Roman"/>
          <w:sz w:val="22"/>
          <w:szCs w:val="22"/>
          <w:color w:val="auto"/>
        </w:rPr>
        <w:t>8.3.4</w:t>
        <w:tab/>
        <w:t>within [***] days of [***] of [***], Mereo or its Affiliates shall: i) confirm to AstraZeneca in writing that this has been achieved and ii) make a non-refundable cash payment to AstraZeneca of [***] US Dollars (USD$ [***]) (“[***]”); and</w:t>
      </w:r>
    </w:p>
    <w:p>
      <w:pPr>
        <w:spacing w:after="0" w:line="160" w:lineRule="exact"/>
        <w:rPr>
          <w:sz w:val="20"/>
          <w:szCs w:val="20"/>
          <w:color w:val="auto"/>
        </w:rPr>
      </w:pPr>
    </w:p>
    <w:p>
      <w:pPr>
        <w:jc w:val="both"/>
        <w:ind w:left="860" w:right="20" w:hanging="723"/>
        <w:spacing w:after="0" w:line="258" w:lineRule="auto"/>
        <w:tabs>
          <w:tab w:leader="none" w:pos="840" w:val="left"/>
        </w:tabs>
        <w:rPr>
          <w:sz w:val="20"/>
          <w:szCs w:val="20"/>
          <w:color w:val="auto"/>
        </w:rPr>
      </w:pPr>
      <w:r>
        <w:rPr>
          <w:rFonts w:ascii="Times New Roman" w:cs="Times New Roman" w:eastAsia="Times New Roman" w:hAnsi="Times New Roman"/>
          <w:sz w:val="22"/>
          <w:szCs w:val="22"/>
          <w:color w:val="auto"/>
        </w:rPr>
        <w:t>8.3.5</w:t>
        <w:tab/>
        <w:t>within [***] days of [***] of [***], which Mereo shall notify to AstraZeneca in writing, Mereo shall make a non-refundable cash payment to AstraZeneca of [***] US Dollars (US$[***]) (“[***]”).</w:t>
      </w:r>
    </w:p>
    <w:p>
      <w:pPr>
        <w:spacing w:after="0" w:line="131"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22"/>
          <w:szCs w:val="22"/>
          <w:color w:val="auto"/>
        </w:rPr>
        <w:t>As set forth in Section 2.1.3, within [***] days following the [***] and the issuance of all Loan Notes and Subscription Shares, Mereo shall have the right to exercise the Option.</w:t>
      </w:r>
    </w:p>
    <w:p>
      <w:pPr>
        <w:spacing w:after="0" w:line="14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Milestones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8.4.1 </w:t>
      </w:r>
      <w:r>
        <w:rPr>
          <w:rFonts w:ascii="Times New Roman" w:cs="Times New Roman" w:eastAsia="Times New Roman" w:hAnsi="Times New Roman"/>
          <w:sz w:val="22"/>
          <w:szCs w:val="22"/>
          <w:b w:val="1"/>
          <w:bCs w:val="1"/>
          <w:color w:val="auto"/>
        </w:rPr>
        <w:t>Regulatory Milestones</w:t>
      </w:r>
    </w:p>
    <w:p>
      <w:pPr>
        <w:spacing w:after="0" w:line="183" w:lineRule="exact"/>
        <w:rPr>
          <w:sz w:val="20"/>
          <w:szCs w:val="20"/>
          <w:color w:val="auto"/>
        </w:rPr>
      </w:pPr>
    </w:p>
    <w:p>
      <w:pPr>
        <w:jc w:val="both"/>
        <w:ind w:left="1480" w:right="20" w:hanging="719"/>
        <w:spacing w:after="0" w:line="237" w:lineRule="auto"/>
        <w:tabs>
          <w:tab w:leader="none" w:pos="14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partial consideration of the rights granted by AstraZeneca to Mereo hereunder, Mereo shall pay to AstraZeneca the following payments within [***] days after the achievement of each of the following milestone events with respect to the first Product to reach such milestone event only (unless otherwise provided below), which amounts shall be fully earned upon the achievement of the applicable milestone event:</w:t>
      </w:r>
    </w:p>
    <w:p>
      <w:pPr>
        <w:spacing w:after="0" w:line="4" w:lineRule="exact"/>
        <w:rPr>
          <w:sz w:val="20"/>
          <w:szCs w:val="20"/>
          <w:color w:val="auto"/>
        </w:rPr>
      </w:pPr>
    </w:p>
    <w:tbl>
      <w:tblPr>
        <w:tblLayout w:type="fixed"/>
        <w:tblInd w:w="1630" w:type="dxa"/>
        <w:tblCellMar>
          <w:top w:w="0" w:type="dxa"/>
          <w:left w:w="0" w:type="dxa"/>
          <w:bottom w:w="0" w:type="dxa"/>
          <w:right w:w="0" w:type="dxa"/>
        </w:tblCellMar>
      </w:tblPr>
      <w:tr>
        <w:trPr>
          <w:trHeight w:val="270"/>
        </w:trPr>
        <w:tc>
          <w:tcPr>
            <w:tcW w:w="6840" w:type="dxa"/>
            <w:vAlign w:val="bottom"/>
            <w:tcBorders>
              <w:top w:val="single" w:sz="8" w:color="auto"/>
              <w:left w:val="single" w:sz="8" w:color="auto"/>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b w:val="1"/>
                <w:bCs w:val="1"/>
                <w:color w:val="auto"/>
              </w:rPr>
              <w:t>Regulatory Milestone</w:t>
            </w:r>
          </w:p>
        </w:tc>
        <w:tc>
          <w:tcPr>
            <w:tcW w:w="2040" w:type="dxa"/>
            <w:vAlign w:val="bottom"/>
            <w:tcBorders>
              <w:top w:val="single" w:sz="8" w:color="auto"/>
              <w:bottom w:val="single" w:sz="8" w:color="auto"/>
              <w:right w:val="single" w:sz="8" w:color="auto"/>
            </w:tcBorders>
          </w:tcPr>
          <w:p>
            <w:pPr>
              <w:spacing w:after="0" w:line="250" w:lineRule="exact"/>
              <w:rPr>
                <w:sz w:val="20"/>
                <w:szCs w:val="20"/>
                <w:color w:val="auto"/>
              </w:rPr>
            </w:pPr>
            <w:r>
              <w:rPr>
                <w:rFonts w:ascii="Times New Roman" w:cs="Times New Roman" w:eastAsia="Times New Roman" w:hAnsi="Times New Roman"/>
                <w:sz w:val="22"/>
                <w:szCs w:val="22"/>
                <w:b w:val="1"/>
                <w:bCs w:val="1"/>
                <w:color w:val="auto"/>
              </w:rPr>
              <w:t>Amount</w:t>
            </w:r>
          </w:p>
        </w:tc>
      </w:tr>
      <w:tr>
        <w:trPr>
          <w:trHeight w:val="233"/>
        </w:trPr>
        <w:tc>
          <w:tcPr>
            <w:tcW w:w="6840" w:type="dxa"/>
            <w:vAlign w:val="bottom"/>
            <w:tcBorders>
              <w:bottom w:val="single" w:sz="8" w:color="auto"/>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bottom w:val="single" w:sz="8" w:color="auto"/>
              <w:right w:val="single" w:sz="8" w:color="auto"/>
            </w:tcBorders>
          </w:tcPr>
          <w:p>
            <w:pPr>
              <w:spacing w:after="0" w:line="233" w:lineRule="exact"/>
              <w:rPr>
                <w:sz w:val="20"/>
                <w:szCs w:val="20"/>
                <w:color w:val="auto"/>
              </w:rPr>
            </w:pPr>
            <w:r>
              <w:rPr>
                <w:rFonts w:ascii="Times New Roman" w:cs="Times New Roman" w:eastAsia="Times New Roman" w:hAnsi="Times New Roman"/>
                <w:sz w:val="22"/>
                <w:szCs w:val="22"/>
                <w:color w:val="auto"/>
              </w:rPr>
              <w:t>[***]</w:t>
            </w:r>
          </w:p>
        </w:tc>
      </w:tr>
      <w:tr>
        <w:trPr>
          <w:trHeight w:val="276"/>
        </w:trPr>
        <w:tc>
          <w:tcPr>
            <w:tcW w:w="6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44"/>
        </w:trPr>
        <w:tc>
          <w:tcPr>
            <w:tcW w:w="68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r>
      <w:tr>
        <w:trPr>
          <w:trHeight w:val="276"/>
        </w:trPr>
        <w:tc>
          <w:tcPr>
            <w:tcW w:w="6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44"/>
        </w:trPr>
        <w:tc>
          <w:tcPr>
            <w:tcW w:w="68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r>
      <w:tr>
        <w:trPr>
          <w:trHeight w:val="276"/>
        </w:trPr>
        <w:tc>
          <w:tcPr>
            <w:tcW w:w="6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44"/>
        </w:trPr>
        <w:tc>
          <w:tcPr>
            <w:tcW w:w="68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r>
      <w:tr>
        <w:trPr>
          <w:trHeight w:val="276"/>
        </w:trPr>
        <w:tc>
          <w:tcPr>
            <w:tcW w:w="6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44"/>
        </w:trPr>
        <w:tc>
          <w:tcPr>
            <w:tcW w:w="68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r>
      <w:tr>
        <w:trPr>
          <w:trHeight w:val="276"/>
        </w:trPr>
        <w:tc>
          <w:tcPr>
            <w:tcW w:w="6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44"/>
        </w:trPr>
        <w:tc>
          <w:tcPr>
            <w:tcW w:w="68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r>
      <w:tr>
        <w:trPr>
          <w:trHeight w:val="276"/>
        </w:trPr>
        <w:tc>
          <w:tcPr>
            <w:tcW w:w="6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44"/>
        </w:trPr>
        <w:tc>
          <w:tcPr>
            <w:tcW w:w="68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r>
      <w:tr>
        <w:trPr>
          <w:trHeight w:val="276"/>
        </w:trPr>
        <w:tc>
          <w:tcPr>
            <w:tcW w:w="6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r>
      <w:tr>
        <w:trPr>
          <w:trHeight w:val="244"/>
        </w:trPr>
        <w:tc>
          <w:tcPr>
            <w:tcW w:w="68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r>
      <w:tr>
        <w:trPr>
          <w:trHeight w:val="287"/>
        </w:trPr>
        <w:tc>
          <w:tcPr>
            <w:tcW w:w="68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42"/>
        </w:trPr>
        <w:tc>
          <w:tcPr>
            <w:tcW w:w="6840" w:type="dxa"/>
            <w:vAlign w:val="bottom"/>
            <w:tcBorders>
              <w:left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64"/>
        </w:trPr>
        <w:tc>
          <w:tcPr>
            <w:tcW w:w="684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right w:val="single" w:sz="8" w:color="auto"/>
            </w:tcBorders>
          </w:tcPr>
          <w:p>
            <w:pPr>
              <w:spacing w:after="0"/>
              <w:rPr>
                <w:sz w:val="22"/>
                <w:szCs w:val="22"/>
                <w:color w:val="auto"/>
              </w:rPr>
            </w:pPr>
          </w:p>
        </w:tc>
      </w:tr>
      <w:tr>
        <w:trPr>
          <w:trHeight w:val="242"/>
        </w:trPr>
        <w:tc>
          <w:tcPr>
            <w:tcW w:w="68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1"/>
        </w:trPr>
        <w:tc>
          <w:tcPr>
            <w:tcW w:w="684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250"/>
        </w:trPr>
        <w:tc>
          <w:tcPr>
            <w:tcW w:w="684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b w:val="1"/>
                <w:bCs w:val="1"/>
                <w:color w:val="auto"/>
              </w:rPr>
              <w:t>TOTAL:</w:t>
            </w:r>
          </w:p>
        </w:tc>
        <w:tc>
          <w:tcPr>
            <w:tcW w:w="2040" w:type="dxa"/>
            <w:vAlign w:val="bottom"/>
            <w:tcBorders>
              <w:bottom w:val="single" w:sz="8" w:color="auto"/>
              <w:right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-513715</wp:posOffset>
            </wp:positionV>
            <wp:extent cx="4328795" cy="3429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2">
                      <a:extLst>
                        <a:ext uri="{28A0092B-C50C-407E-A947-70E740481C1C}"/>
                      </a:extLst>
                    </a:blip>
                    <a:srcRect/>
                    <a:stretch>
                      <a:fillRect/>
                    </a:stretch>
                  </pic:blipFill>
                  <pic:spPr bwMode="auto">
                    <a:xfrm>
                      <a:off x="0" y="0"/>
                      <a:ext cx="4328795" cy="34290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left="1500" w:hanging="11"/>
        <w:spacing w:after="0" w:line="209" w:lineRule="auto"/>
        <w:rPr>
          <w:sz w:val="20"/>
          <w:szCs w:val="20"/>
          <w:color w:val="auto"/>
        </w:rPr>
      </w:pPr>
      <w:r>
        <w:rPr>
          <w:rFonts w:ascii="Times New Roman" w:cs="Times New Roman" w:eastAsia="Times New Roman" w:hAnsi="Times New Roman"/>
          <w:sz w:val="22"/>
          <w:szCs w:val="22"/>
          <w:color w:val="auto"/>
        </w:rPr>
        <w:t>For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Indication for which a milestone is achieved for a Product, a milestone payment shall be due but shall be reduced to [***] of the milestone amounts set forth in the table above. For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Indication for which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717550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193" w:name="page194"/>
    <w:bookmarkEnd w:id="193"/>
    <w:p>
      <w:pPr>
        <w:jc w:val="both"/>
        <w:ind w:left="1500"/>
        <w:spacing w:after="0" w:line="258" w:lineRule="auto"/>
        <w:rPr>
          <w:sz w:val="20"/>
          <w:szCs w:val="20"/>
          <w:color w:val="auto"/>
        </w:rPr>
      </w:pPr>
      <w:r>
        <w:rPr>
          <w:rFonts w:ascii="Times New Roman" w:cs="Times New Roman" w:eastAsia="Times New Roman" w:hAnsi="Times New Roman"/>
          <w:sz w:val="22"/>
          <w:szCs w:val="22"/>
          <w:color w:val="auto"/>
        </w:rPr>
        <w:t>milestone is achieved for a Product, a milestone payment shall be due but shall be reduced to [***] of the milestone amounts set forth in the table above.</w:t>
      </w:r>
    </w:p>
    <w:p>
      <w:pPr>
        <w:spacing w:after="0" w:line="145" w:lineRule="exact"/>
        <w:rPr>
          <w:sz w:val="20"/>
          <w:szCs w:val="20"/>
          <w:color w:val="auto"/>
        </w:rPr>
      </w:pPr>
    </w:p>
    <w:p>
      <w:pPr>
        <w:jc w:val="both"/>
        <w:ind w:left="1500" w:hanging="9"/>
        <w:spacing w:after="0" w:line="258" w:lineRule="auto"/>
        <w:rPr>
          <w:sz w:val="20"/>
          <w:szCs w:val="20"/>
          <w:color w:val="auto"/>
        </w:rPr>
      </w:pPr>
      <w:r>
        <w:rPr>
          <w:rFonts w:ascii="Times New Roman" w:cs="Times New Roman" w:eastAsia="Times New Roman" w:hAnsi="Times New Roman"/>
          <w:sz w:val="22"/>
          <w:szCs w:val="22"/>
          <w:color w:val="auto"/>
        </w:rPr>
        <w:t>For clarity, for purposes of the payments due under this Section 8.4.1, the 9668 Product and [***] shall be considered different Products.</w:t>
      </w:r>
    </w:p>
    <w:p>
      <w:pPr>
        <w:spacing w:after="0" w:line="131" w:lineRule="exact"/>
        <w:rPr>
          <w:sz w:val="20"/>
          <w:szCs w:val="20"/>
          <w:color w:val="auto"/>
        </w:rPr>
      </w:pPr>
    </w:p>
    <w:p>
      <w:pPr>
        <w:jc w:val="both"/>
        <w:ind w:left="1500" w:hanging="9"/>
        <w:spacing w:after="0" w:line="244" w:lineRule="auto"/>
        <w:rPr>
          <w:sz w:val="20"/>
          <w:szCs w:val="20"/>
          <w:color w:val="auto"/>
        </w:rPr>
      </w:pPr>
      <w:r>
        <w:rPr>
          <w:rFonts w:ascii="Times New Roman" w:cs="Times New Roman" w:eastAsia="Times New Roman" w:hAnsi="Times New Roman"/>
          <w:sz w:val="22"/>
          <w:szCs w:val="22"/>
          <w:color w:val="auto"/>
        </w:rPr>
        <w:t>Each milestone in this Section 8.4.1 shall be payable on a Product-by-Product basis based on the first achievement of such milestone for the applicable Product (subject to the paragraph immediately following the table above).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8.4.2 </w:t>
      </w:r>
      <w:r>
        <w:rPr>
          <w:rFonts w:ascii="Times New Roman" w:cs="Times New Roman" w:eastAsia="Times New Roman" w:hAnsi="Times New Roman"/>
          <w:sz w:val="22"/>
          <w:szCs w:val="22"/>
          <w:b w:val="1"/>
          <w:bCs w:val="1"/>
          <w:color w:val="auto"/>
        </w:rPr>
        <w:t>Sales Milestones</w:t>
      </w:r>
    </w:p>
    <w:p>
      <w:pPr>
        <w:spacing w:after="0" w:line="197" w:lineRule="exact"/>
        <w:rPr>
          <w:sz w:val="20"/>
          <w:szCs w:val="20"/>
          <w:color w:val="auto"/>
        </w:rPr>
      </w:pPr>
    </w:p>
    <w:p>
      <w:pPr>
        <w:jc w:val="both"/>
        <w:ind w:left="760" w:hanging="9"/>
        <w:spacing w:after="0" w:line="243" w:lineRule="auto"/>
        <w:rPr>
          <w:sz w:val="20"/>
          <w:szCs w:val="20"/>
          <w:color w:val="auto"/>
        </w:rPr>
      </w:pPr>
      <w:r>
        <w:rPr>
          <w:rFonts w:ascii="Times New Roman" w:cs="Times New Roman" w:eastAsia="Times New Roman" w:hAnsi="Times New Roman"/>
          <w:sz w:val="22"/>
          <w:szCs w:val="22"/>
          <w:color w:val="auto"/>
        </w:rPr>
        <w:t>In partial consideration of the rights granted by AstraZeneca to Mereo hereunder, Mereo shall pay to AstraZeneca the following one-time payments, which shall be fully earned upon the first achievement of the applicable milestone event for each of the 9668 Product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1270</wp:posOffset>
            </wp:positionV>
            <wp:extent cx="5768975" cy="23660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4">
                      <a:extLst>
                        <a:ext uri="{28A0092B-C50C-407E-A947-70E740481C1C}"/>
                      </a:extLst>
                    </a:blip>
                    <a:srcRect/>
                    <a:stretch>
                      <a:fillRect/>
                    </a:stretch>
                  </pic:blipFill>
                  <pic:spPr bwMode="auto">
                    <a:xfrm>
                      <a:off x="0" y="0"/>
                      <a:ext cx="5768975" cy="2366010"/>
                    </a:xfrm>
                    <a:prstGeom prst="rect">
                      <a:avLst/>
                    </a:prstGeom>
                    <a:noFill/>
                  </pic:spPr>
                </pic:pic>
              </a:graphicData>
            </a:graphic>
          </wp:anchor>
        </w:drawing>
      </w:r>
    </w:p>
    <w:tbl>
      <w:tblPr>
        <w:tblLayout w:type="fixed"/>
        <w:tblInd w:w="1450" w:type="dxa"/>
        <w:tblCellMar>
          <w:top w:w="0" w:type="dxa"/>
          <w:left w:w="0" w:type="dxa"/>
          <w:bottom w:w="0" w:type="dxa"/>
          <w:right w:w="0" w:type="dxa"/>
        </w:tblCellMar>
      </w:tblPr>
      <w:tr>
        <w:trPr>
          <w:trHeight w:val="268"/>
        </w:trPr>
        <w:tc>
          <w:tcPr>
            <w:tcW w:w="7080" w:type="dxa"/>
            <w:vAlign w:val="bottom"/>
            <w:tcBorders>
              <w:top w:val="single" w:sz="8" w:color="auto"/>
              <w:left w:val="single" w:sz="8" w:color="auto"/>
              <w:bottom w:val="single" w:sz="8" w:color="auto"/>
              <w:right w:val="single" w:sz="8" w:color="auto"/>
            </w:tcBorders>
          </w:tcPr>
          <w:p>
            <w:pPr>
              <w:ind w:left="100"/>
              <w:spacing w:after="0" w:line="248" w:lineRule="exact"/>
              <w:rPr>
                <w:sz w:val="20"/>
                <w:szCs w:val="20"/>
                <w:color w:val="auto"/>
              </w:rPr>
            </w:pPr>
            <w:r>
              <w:rPr>
                <w:rFonts w:ascii="Times New Roman" w:cs="Times New Roman" w:eastAsia="Times New Roman" w:hAnsi="Times New Roman"/>
                <w:sz w:val="22"/>
                <w:szCs w:val="22"/>
                <w:b w:val="1"/>
                <w:bCs w:val="1"/>
                <w:color w:val="auto"/>
              </w:rPr>
              <w:t>Sales Milestone</w:t>
            </w:r>
          </w:p>
        </w:tc>
        <w:tc>
          <w:tcPr>
            <w:tcW w:w="2000" w:type="dxa"/>
            <w:vAlign w:val="bottom"/>
            <w:tcBorders>
              <w:top w:val="single" w:sz="8" w:color="auto"/>
              <w:bottom w:val="single" w:sz="8" w:color="auto"/>
            </w:tcBorders>
          </w:tcPr>
          <w:p>
            <w:pPr>
              <w:ind w:left="20"/>
              <w:spacing w:after="0" w:line="248" w:lineRule="exact"/>
              <w:rPr>
                <w:sz w:val="20"/>
                <w:szCs w:val="20"/>
                <w:color w:val="auto"/>
              </w:rPr>
            </w:pPr>
            <w:r>
              <w:rPr>
                <w:rFonts w:ascii="Times New Roman" w:cs="Times New Roman" w:eastAsia="Times New Roman" w:hAnsi="Times New Roman"/>
                <w:sz w:val="22"/>
                <w:szCs w:val="22"/>
                <w:b w:val="1"/>
                <w:bCs w:val="1"/>
                <w:color w:val="auto"/>
              </w:rPr>
              <w:t>Amount</w:t>
            </w:r>
          </w:p>
        </w:tc>
      </w:tr>
      <w:tr>
        <w:trPr>
          <w:trHeight w:val="262"/>
        </w:trPr>
        <w:tc>
          <w:tcPr>
            <w:tcW w:w="7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2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440" w:type="dxa"/>
        <w:tblCellMar>
          <w:top w:w="0" w:type="dxa"/>
          <w:left w:w="0" w:type="dxa"/>
          <w:bottom w:w="0" w:type="dxa"/>
          <w:right w:w="0" w:type="dxa"/>
        </w:tblCellMar>
      </w:tblPr>
      <w:tr>
        <w:trPr>
          <w:trHeight w:val="296"/>
        </w:trPr>
        <w:tc>
          <w:tcPr>
            <w:tcW w:w="3840" w:type="dxa"/>
            <w:vAlign w:val="bottom"/>
            <w:tcBorders>
              <w:top w:val="single" w:sz="8" w:color="auto"/>
            </w:tcBorders>
          </w:tcPr>
          <w:p>
            <w:pPr>
              <w:jc w:val="right"/>
              <w:ind w:right="3172"/>
              <w:spacing w:after="0"/>
              <w:rPr>
                <w:sz w:val="20"/>
                <w:szCs w:val="20"/>
                <w:color w:val="auto"/>
              </w:rPr>
            </w:pPr>
            <w:r>
              <w:rPr>
                <w:rFonts w:ascii="Times New Roman" w:cs="Times New Roman" w:eastAsia="Times New Roman" w:hAnsi="Times New Roman"/>
                <w:sz w:val="22"/>
                <w:szCs w:val="22"/>
                <w:color w:val="auto"/>
              </w:rPr>
              <w:t>[***]</w:t>
            </w:r>
          </w:p>
        </w:tc>
        <w:tc>
          <w:tcPr>
            <w:tcW w:w="5240" w:type="dxa"/>
            <w:vAlign w:val="bottom"/>
            <w:tcBorders>
              <w:top w:val="single" w:sz="8" w:color="auto"/>
            </w:tcBorders>
          </w:tcPr>
          <w:p>
            <w:pPr>
              <w:jc w:val="right"/>
              <w:ind w:right="139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440" w:type="dxa"/>
        <w:tblCellMar>
          <w:top w:w="0" w:type="dxa"/>
          <w:left w:w="0" w:type="dxa"/>
          <w:bottom w:w="0" w:type="dxa"/>
          <w:right w:w="0" w:type="dxa"/>
        </w:tblCellMar>
      </w:tblPr>
      <w:tr>
        <w:trPr>
          <w:trHeight w:val="296"/>
        </w:trPr>
        <w:tc>
          <w:tcPr>
            <w:tcW w:w="3840" w:type="dxa"/>
            <w:vAlign w:val="bottom"/>
            <w:tcBorders>
              <w:top w:val="single" w:sz="8" w:color="auto"/>
            </w:tcBorders>
          </w:tcPr>
          <w:p>
            <w:pPr>
              <w:jc w:val="right"/>
              <w:ind w:right="3172"/>
              <w:spacing w:after="0"/>
              <w:rPr>
                <w:sz w:val="20"/>
                <w:szCs w:val="20"/>
                <w:color w:val="auto"/>
              </w:rPr>
            </w:pPr>
            <w:r>
              <w:rPr>
                <w:rFonts w:ascii="Times New Roman" w:cs="Times New Roman" w:eastAsia="Times New Roman" w:hAnsi="Times New Roman"/>
                <w:sz w:val="22"/>
                <w:szCs w:val="22"/>
                <w:color w:val="auto"/>
              </w:rPr>
              <w:t>[***]</w:t>
            </w:r>
          </w:p>
        </w:tc>
        <w:tc>
          <w:tcPr>
            <w:tcW w:w="5240" w:type="dxa"/>
            <w:vAlign w:val="bottom"/>
            <w:tcBorders>
              <w:top w:val="single" w:sz="8" w:color="auto"/>
            </w:tcBorders>
          </w:tcPr>
          <w:p>
            <w:pPr>
              <w:jc w:val="right"/>
              <w:ind w:right="139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440" w:type="dxa"/>
        <w:tblCellMar>
          <w:top w:w="0" w:type="dxa"/>
          <w:left w:w="0" w:type="dxa"/>
          <w:bottom w:w="0" w:type="dxa"/>
          <w:right w:w="0" w:type="dxa"/>
        </w:tblCellMar>
      </w:tblPr>
      <w:tr>
        <w:trPr>
          <w:trHeight w:val="300"/>
        </w:trPr>
        <w:tc>
          <w:tcPr>
            <w:tcW w:w="48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TOTAL PER PRODUCT:</w:t>
            </w:r>
          </w:p>
        </w:tc>
        <w:tc>
          <w:tcPr>
            <w:tcW w:w="4260" w:type="dxa"/>
            <w:vAlign w:val="bottom"/>
            <w:tcBorders>
              <w:top w:val="single" w:sz="8" w:color="auto"/>
            </w:tcBorders>
          </w:tcPr>
          <w:p>
            <w:pPr>
              <w:jc w:val="right"/>
              <w:ind w:right="139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2" w:lineRule="exact"/>
        <w:rPr>
          <w:sz w:val="20"/>
          <w:szCs w:val="20"/>
          <w:color w:val="auto"/>
        </w:rPr>
      </w:pPr>
    </w:p>
    <w:p>
      <w:pPr>
        <w:jc w:val="both"/>
        <w:ind w:left="760" w:hanging="9"/>
        <w:spacing w:after="0" w:line="236" w:lineRule="auto"/>
        <w:rPr>
          <w:sz w:val="20"/>
          <w:szCs w:val="20"/>
          <w:color w:val="auto"/>
        </w:rPr>
      </w:pPr>
      <w:r>
        <w:rPr>
          <w:rFonts w:ascii="Times New Roman" w:cs="Times New Roman" w:eastAsia="Times New Roman" w:hAnsi="Times New Roman"/>
          <w:sz w:val="22"/>
          <w:szCs w:val="22"/>
          <w:color w:val="auto"/>
        </w:rPr>
        <w:t>If in a given Calendar Year more than one (1) of the milestone events set forth in the immediately preceding table is achieved, Mereo shall pay to AstraZeneca a separate milestone payment with respect to each such threshold that is exceeded in such Calendar Year. Each such milestone payment shall be due within [***] days of the date the milestone was achieved. Each milestone payment in this Section 8.4.2 shall be payable only upon the first achievement of such milestone in a given Calendar Year and no amounts shall be due for subsequent or repeated achievements of such milestone in subsequent Calendar Years.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8.4.3 </w:t>
      </w:r>
      <w:r>
        <w:rPr>
          <w:rFonts w:ascii="Times New Roman" w:cs="Times New Roman" w:eastAsia="Times New Roman" w:hAnsi="Times New Roman"/>
          <w:sz w:val="22"/>
          <w:szCs w:val="22"/>
          <w:b w:val="1"/>
          <w:bCs w:val="1"/>
          <w:color w:val="auto"/>
        </w:rPr>
        <w:t>Determination that Milestones Have Occurred</w:t>
      </w:r>
    </w:p>
    <w:p>
      <w:pPr>
        <w:spacing w:after="0" w:line="197" w:lineRule="exact"/>
        <w:rPr>
          <w:sz w:val="20"/>
          <w:szCs w:val="20"/>
          <w:color w:val="auto"/>
        </w:rPr>
      </w:pPr>
    </w:p>
    <w:p>
      <w:pPr>
        <w:jc w:val="both"/>
        <w:ind w:left="760" w:hanging="9"/>
        <w:spacing w:after="0" w:line="236" w:lineRule="auto"/>
        <w:rPr>
          <w:sz w:val="20"/>
          <w:szCs w:val="20"/>
          <w:color w:val="auto"/>
        </w:rPr>
      </w:pPr>
      <w:r>
        <w:rPr>
          <w:rFonts w:ascii="Times New Roman" w:cs="Times New Roman" w:eastAsia="Times New Roman" w:hAnsi="Times New Roman"/>
          <w:sz w:val="22"/>
          <w:szCs w:val="22"/>
          <w:color w:val="auto"/>
        </w:rPr>
        <w:t>Mereo shall notify AstraZeneca promptly of the achievement of each of the events identified as a milestone in Section 8.4.1 or Section 8.4.2. In the event that, notwithstanding the fact that Mereo has not provided AstraZeneca such a notice, AstraZeneca believes that any such milestone has been achieved, it shall so notify Mereo in writing and the Parties shall promptly meet and discuss in good faith whether such milestone has been achieved. Any dispute under this Section 8.4.3 regarding whether or not such a milestone has been achieved shall be subject to resolution in accordance with Section 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720090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354" w:right="499" w:bottom="1440" w:gutter="0" w:footer="0" w:header="0"/>
        </w:sectPr>
      </w:pPr>
    </w:p>
    <w:bookmarkStart w:id="194" w:name="page195"/>
    <w:bookmarkEnd w:id="194"/>
    <w:p>
      <w:pPr>
        <w:spacing w:after="0" w:line="11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8.5</w:t>
      </w:r>
      <w:r>
        <w:rPr>
          <w:sz w:val="20"/>
          <w:szCs w:val="20"/>
          <w:color w:val="auto"/>
        </w:rPr>
        <w:tab/>
      </w:r>
      <w:r>
        <w:rPr>
          <w:rFonts w:ascii="Times New Roman" w:cs="Times New Roman" w:eastAsia="Times New Roman" w:hAnsi="Times New Roman"/>
          <w:sz w:val="21"/>
          <w:szCs w:val="21"/>
          <w:b w:val="1"/>
          <w:bCs w:val="1"/>
          <w:color w:val="auto"/>
        </w:rPr>
        <w:t>Royalties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8.5.1 </w:t>
      </w:r>
      <w:r>
        <w:rPr>
          <w:rFonts w:ascii="Times New Roman" w:cs="Times New Roman" w:eastAsia="Times New Roman" w:hAnsi="Times New Roman"/>
          <w:sz w:val="22"/>
          <w:szCs w:val="22"/>
          <w:b w:val="1"/>
          <w:bCs w:val="1"/>
          <w:color w:val="auto"/>
        </w:rPr>
        <w:t>Royalty Rates</w:t>
      </w:r>
    </w:p>
    <w:p>
      <w:pPr>
        <w:spacing w:after="0" w:line="197" w:lineRule="exact"/>
        <w:rPr>
          <w:sz w:val="20"/>
          <w:szCs w:val="20"/>
          <w:color w:val="auto"/>
        </w:rPr>
      </w:pPr>
    </w:p>
    <w:p>
      <w:pPr>
        <w:jc w:val="both"/>
        <w:ind w:left="760" w:right="20" w:hanging="9"/>
        <w:spacing w:after="0" w:line="249" w:lineRule="auto"/>
        <w:rPr>
          <w:sz w:val="20"/>
          <w:szCs w:val="20"/>
          <w:color w:val="auto"/>
        </w:rPr>
      </w:pPr>
      <w:r>
        <w:rPr>
          <w:rFonts w:ascii="Times New Roman" w:cs="Times New Roman" w:eastAsia="Times New Roman" w:hAnsi="Times New Roman"/>
          <w:sz w:val="21"/>
          <w:szCs w:val="21"/>
          <w:color w:val="auto"/>
        </w:rPr>
        <w:t>As further consideration for the rights granted to Mereo hereunder, commencing upon the First Commercial Sale of a Product in the Territory, Mereo shall pay to AstraZeneca a royalty on Net Sales with respect to each Product in each country in the Territory on a Product-by-Product and country-by-country basis during each Calendar Year at the</w:t>
      </w:r>
    </w:p>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77"/>
        </w:trPr>
        <w:tc>
          <w:tcPr>
            <w:tcW w:w="80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following rates:</w:t>
            </w:r>
          </w:p>
        </w:tc>
        <w:tc>
          <w:tcPr>
            <w:tcW w:w="1960" w:type="dxa"/>
            <w:vAlign w:val="bottom"/>
          </w:tcPr>
          <w:p>
            <w:pPr>
              <w:spacing w:after="0"/>
              <w:rPr>
                <w:sz w:val="24"/>
                <w:szCs w:val="24"/>
                <w:color w:val="auto"/>
              </w:rPr>
            </w:pPr>
          </w:p>
        </w:tc>
      </w:tr>
      <w:tr>
        <w:trPr>
          <w:trHeight w:val="219"/>
        </w:trPr>
        <w:tc>
          <w:tcPr>
            <w:tcW w:w="160" w:type="dxa"/>
            <w:vAlign w:val="bottom"/>
            <w:tcBorders>
              <w:right w:val="single" w:sz="8" w:color="auto"/>
            </w:tcBorders>
          </w:tcPr>
          <w:p>
            <w:pPr>
              <w:spacing w:after="0"/>
              <w:rPr>
                <w:sz w:val="19"/>
                <w:szCs w:val="19"/>
                <w:color w:val="auto"/>
              </w:rPr>
            </w:pPr>
          </w:p>
        </w:tc>
        <w:tc>
          <w:tcPr>
            <w:tcW w:w="7900" w:type="dxa"/>
            <w:vAlign w:val="bottom"/>
            <w:tcBorders>
              <w:top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2"/>
                <w:szCs w:val="22"/>
                <w:color w:val="auto"/>
              </w:rPr>
              <w:t>That portion of aggregate Net Sales of the Product in the Territory</w:t>
            </w:r>
          </w:p>
        </w:tc>
        <w:tc>
          <w:tcPr>
            <w:tcW w:w="1960" w:type="dxa"/>
            <w:vAlign w:val="bottom"/>
            <w:tcBorders>
              <w:top w:val="single" w:sz="8" w:color="auto"/>
              <w:right w:val="single" w:sz="8" w:color="auto"/>
            </w:tcBorders>
          </w:tcPr>
          <w:p>
            <w:pPr>
              <w:jc w:val="right"/>
              <w:ind w:right="832"/>
              <w:spacing w:after="0" w:line="220" w:lineRule="exact"/>
              <w:rPr>
                <w:sz w:val="20"/>
                <w:szCs w:val="20"/>
                <w:color w:val="auto"/>
              </w:rPr>
            </w:pPr>
            <w:r>
              <w:rPr>
                <w:rFonts w:ascii="Times New Roman" w:cs="Times New Roman" w:eastAsia="Times New Roman" w:hAnsi="Times New Roman"/>
                <w:sz w:val="22"/>
                <w:szCs w:val="22"/>
                <w:b w:val="1"/>
                <w:bCs w:val="1"/>
                <w:color w:val="auto"/>
                <w:w w:val="96"/>
              </w:rPr>
              <w:t>Percentage</w:t>
            </w:r>
          </w:p>
        </w:tc>
      </w:tr>
      <w:tr>
        <w:trPr>
          <w:trHeight w:val="287"/>
        </w:trPr>
        <w:tc>
          <w:tcPr>
            <w:tcW w:w="160" w:type="dxa"/>
            <w:vAlign w:val="bottom"/>
            <w:tcBorders>
              <w:right w:val="single" w:sz="8" w:color="auto"/>
            </w:tcBorders>
          </w:tcPr>
          <w:p>
            <w:pPr>
              <w:spacing w:after="0"/>
              <w:rPr>
                <w:sz w:val="24"/>
                <w:szCs w:val="24"/>
                <w:color w:val="auto"/>
              </w:rPr>
            </w:pPr>
          </w:p>
        </w:tc>
        <w:tc>
          <w:tcPr>
            <w:tcW w:w="7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during a given Calendar Year that is:</w:t>
            </w:r>
          </w:p>
        </w:tc>
        <w:tc>
          <w:tcPr>
            <w:tcW w:w="1960" w:type="dxa"/>
            <w:vAlign w:val="bottom"/>
            <w:tcBorders>
              <w:bottom w:val="single" w:sz="8" w:color="auto"/>
              <w:right w:val="single" w:sz="8" w:color="auto"/>
            </w:tcBorders>
          </w:tcPr>
          <w:p>
            <w:pPr>
              <w:spacing w:after="0"/>
              <w:rPr>
                <w:sz w:val="24"/>
                <w:szCs w:val="24"/>
                <w:color w:val="auto"/>
              </w:rPr>
            </w:pPr>
          </w:p>
        </w:tc>
      </w:tr>
      <w:tr>
        <w:trPr>
          <w:trHeight w:val="262"/>
        </w:trPr>
        <w:tc>
          <w:tcPr>
            <w:tcW w:w="160" w:type="dxa"/>
            <w:vAlign w:val="bottom"/>
            <w:tcBorders>
              <w:right w:val="single" w:sz="8" w:color="auto"/>
            </w:tcBorders>
          </w:tcPr>
          <w:p>
            <w:pPr>
              <w:spacing w:after="0"/>
              <w:rPr>
                <w:sz w:val="22"/>
                <w:szCs w:val="22"/>
                <w:color w:val="auto"/>
              </w:rPr>
            </w:pPr>
          </w:p>
        </w:tc>
        <w:tc>
          <w:tcPr>
            <w:tcW w:w="7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less than or equal to [***] US Dollars (USD$[***]).</w:t>
            </w:r>
          </w:p>
        </w:tc>
        <w:tc>
          <w:tcPr>
            <w:tcW w:w="1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41"/>
        </w:trPr>
        <w:tc>
          <w:tcPr>
            <w:tcW w:w="160" w:type="dxa"/>
            <w:vAlign w:val="bottom"/>
            <w:tcBorders>
              <w:right w:val="single" w:sz="8" w:color="auto"/>
            </w:tcBorders>
          </w:tcPr>
          <w:p>
            <w:pPr>
              <w:spacing w:after="0"/>
              <w:rPr>
                <w:sz w:val="20"/>
                <w:szCs w:val="20"/>
                <w:color w:val="auto"/>
              </w:rPr>
            </w:pPr>
          </w:p>
        </w:tc>
        <w:tc>
          <w:tcPr>
            <w:tcW w:w="79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209"/>
        </w:trPr>
        <w:tc>
          <w:tcPr>
            <w:tcW w:w="160" w:type="dxa"/>
            <w:vAlign w:val="bottom"/>
            <w:tcBorders>
              <w:right w:val="single" w:sz="8" w:color="auto"/>
            </w:tcBorders>
          </w:tcPr>
          <w:p>
            <w:pPr>
              <w:spacing w:after="0"/>
              <w:rPr>
                <w:sz w:val="18"/>
                <w:szCs w:val="18"/>
                <w:color w:val="auto"/>
              </w:rPr>
            </w:pPr>
          </w:p>
        </w:tc>
        <w:tc>
          <w:tcPr>
            <w:tcW w:w="79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greater than [***] US Dollars (USD$[***]) but less than or equal to [***] US Dollars</w:t>
            </w:r>
          </w:p>
        </w:tc>
        <w:tc>
          <w:tcPr>
            <w:tcW w:w="1960" w:type="dxa"/>
            <w:vAlign w:val="bottom"/>
            <w:tcBorders>
              <w:right w:val="single" w:sz="8" w:color="auto"/>
            </w:tcBorders>
          </w:tcPr>
          <w:p>
            <w:pPr>
              <w:jc w:val="right"/>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2"/>
        </w:trPr>
        <w:tc>
          <w:tcPr>
            <w:tcW w:w="160" w:type="dxa"/>
            <w:vAlign w:val="bottom"/>
            <w:tcBorders>
              <w:right w:val="single" w:sz="8" w:color="auto"/>
            </w:tcBorders>
          </w:tcPr>
          <w:p>
            <w:pPr>
              <w:spacing w:after="0"/>
              <w:rPr>
                <w:sz w:val="24"/>
                <w:szCs w:val="24"/>
                <w:color w:val="auto"/>
              </w:rPr>
            </w:pPr>
          </w:p>
        </w:tc>
        <w:tc>
          <w:tcPr>
            <w:tcW w:w="7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(USD$[***]).</w:t>
            </w:r>
          </w:p>
        </w:tc>
        <w:tc>
          <w:tcPr>
            <w:tcW w:w="1960" w:type="dxa"/>
            <w:vAlign w:val="bottom"/>
            <w:tcBorders>
              <w:right w:val="single" w:sz="8" w:color="auto"/>
            </w:tcBorders>
          </w:tcPr>
          <w:p>
            <w:pPr>
              <w:spacing w:after="0"/>
              <w:rPr>
                <w:sz w:val="24"/>
                <w:szCs w:val="24"/>
                <w:color w:val="auto"/>
              </w:rPr>
            </w:pPr>
          </w:p>
        </w:tc>
      </w:tr>
      <w:tr>
        <w:trPr>
          <w:trHeight w:val="299"/>
        </w:trPr>
        <w:tc>
          <w:tcPr>
            <w:tcW w:w="160" w:type="dxa"/>
            <w:vAlign w:val="bottom"/>
            <w:tcBorders>
              <w:right w:val="single" w:sz="8" w:color="auto"/>
            </w:tcBorders>
          </w:tcPr>
          <w:p>
            <w:pPr>
              <w:spacing w:after="0"/>
              <w:rPr>
                <w:sz w:val="24"/>
                <w:szCs w:val="24"/>
                <w:color w:val="auto"/>
              </w:rPr>
            </w:pPr>
          </w:p>
        </w:tc>
        <w:tc>
          <w:tcPr>
            <w:tcW w:w="790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r>
        <w:trPr>
          <w:trHeight w:val="209"/>
        </w:trPr>
        <w:tc>
          <w:tcPr>
            <w:tcW w:w="160" w:type="dxa"/>
            <w:vAlign w:val="bottom"/>
            <w:tcBorders>
              <w:right w:val="single" w:sz="8" w:color="auto"/>
            </w:tcBorders>
          </w:tcPr>
          <w:p>
            <w:pPr>
              <w:spacing w:after="0"/>
              <w:rPr>
                <w:sz w:val="18"/>
                <w:szCs w:val="18"/>
                <w:color w:val="auto"/>
              </w:rPr>
            </w:pPr>
          </w:p>
        </w:tc>
        <w:tc>
          <w:tcPr>
            <w:tcW w:w="79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greater than [***] US Dollars (USD$[***]) but less than or equal to [***] US Dollars</w:t>
            </w:r>
          </w:p>
        </w:tc>
        <w:tc>
          <w:tcPr>
            <w:tcW w:w="1960" w:type="dxa"/>
            <w:vAlign w:val="bottom"/>
            <w:tcBorders>
              <w:right w:val="single" w:sz="8" w:color="auto"/>
            </w:tcBorders>
          </w:tcPr>
          <w:p>
            <w:pPr>
              <w:jc w:val="right"/>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2"/>
        </w:trPr>
        <w:tc>
          <w:tcPr>
            <w:tcW w:w="160" w:type="dxa"/>
            <w:vAlign w:val="bottom"/>
            <w:tcBorders>
              <w:right w:val="single" w:sz="8" w:color="auto"/>
            </w:tcBorders>
          </w:tcPr>
          <w:p>
            <w:pPr>
              <w:spacing w:after="0"/>
              <w:rPr>
                <w:sz w:val="24"/>
                <w:szCs w:val="24"/>
                <w:color w:val="auto"/>
              </w:rPr>
            </w:pPr>
          </w:p>
        </w:tc>
        <w:tc>
          <w:tcPr>
            <w:tcW w:w="7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(USD$[***]).</w:t>
            </w:r>
          </w:p>
        </w:tc>
        <w:tc>
          <w:tcPr>
            <w:tcW w:w="1960" w:type="dxa"/>
            <w:vAlign w:val="bottom"/>
            <w:tcBorders>
              <w:right w:val="single" w:sz="8" w:color="auto"/>
            </w:tcBorders>
          </w:tcPr>
          <w:p>
            <w:pPr>
              <w:spacing w:after="0"/>
              <w:rPr>
                <w:sz w:val="24"/>
                <w:szCs w:val="24"/>
                <w:color w:val="auto"/>
              </w:rPr>
            </w:pPr>
          </w:p>
        </w:tc>
      </w:tr>
      <w:tr>
        <w:trPr>
          <w:trHeight w:val="299"/>
        </w:trPr>
        <w:tc>
          <w:tcPr>
            <w:tcW w:w="160" w:type="dxa"/>
            <w:vAlign w:val="bottom"/>
            <w:tcBorders>
              <w:right w:val="single" w:sz="8" w:color="auto"/>
            </w:tcBorders>
          </w:tcPr>
          <w:p>
            <w:pPr>
              <w:spacing w:after="0"/>
              <w:rPr>
                <w:sz w:val="24"/>
                <w:szCs w:val="24"/>
                <w:color w:val="auto"/>
              </w:rPr>
            </w:pPr>
          </w:p>
        </w:tc>
        <w:tc>
          <w:tcPr>
            <w:tcW w:w="790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r>
        <w:trPr>
          <w:trHeight w:val="209"/>
        </w:trPr>
        <w:tc>
          <w:tcPr>
            <w:tcW w:w="160" w:type="dxa"/>
            <w:vAlign w:val="bottom"/>
            <w:tcBorders>
              <w:right w:val="single" w:sz="8" w:color="auto"/>
            </w:tcBorders>
          </w:tcPr>
          <w:p>
            <w:pPr>
              <w:spacing w:after="0"/>
              <w:rPr>
                <w:sz w:val="18"/>
                <w:szCs w:val="18"/>
                <w:color w:val="auto"/>
              </w:rPr>
            </w:pPr>
          </w:p>
        </w:tc>
        <w:tc>
          <w:tcPr>
            <w:tcW w:w="79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greater than [***] US Dollars (USD$[***]) but less than or equal to [***] US Dollars</w:t>
            </w:r>
          </w:p>
        </w:tc>
        <w:tc>
          <w:tcPr>
            <w:tcW w:w="1960" w:type="dxa"/>
            <w:vAlign w:val="bottom"/>
            <w:tcBorders>
              <w:right w:val="single" w:sz="8" w:color="auto"/>
            </w:tcBorders>
          </w:tcPr>
          <w:p>
            <w:pPr>
              <w:jc w:val="right"/>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82"/>
        </w:trPr>
        <w:tc>
          <w:tcPr>
            <w:tcW w:w="160" w:type="dxa"/>
            <w:vAlign w:val="bottom"/>
            <w:tcBorders>
              <w:right w:val="single" w:sz="8" w:color="auto"/>
            </w:tcBorders>
          </w:tcPr>
          <w:p>
            <w:pPr>
              <w:spacing w:after="0"/>
              <w:rPr>
                <w:sz w:val="24"/>
                <w:szCs w:val="24"/>
                <w:color w:val="auto"/>
              </w:rPr>
            </w:pPr>
          </w:p>
        </w:tc>
        <w:tc>
          <w:tcPr>
            <w:tcW w:w="7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(USD$[***]).</w:t>
            </w:r>
          </w:p>
        </w:tc>
        <w:tc>
          <w:tcPr>
            <w:tcW w:w="1960" w:type="dxa"/>
            <w:vAlign w:val="bottom"/>
            <w:tcBorders>
              <w:right w:val="single" w:sz="8" w:color="auto"/>
            </w:tcBorders>
          </w:tcPr>
          <w:p>
            <w:pPr>
              <w:spacing w:after="0"/>
              <w:rPr>
                <w:sz w:val="24"/>
                <w:szCs w:val="24"/>
                <w:color w:val="auto"/>
              </w:rPr>
            </w:pPr>
          </w:p>
        </w:tc>
      </w:tr>
      <w:tr>
        <w:trPr>
          <w:trHeight w:val="299"/>
        </w:trPr>
        <w:tc>
          <w:tcPr>
            <w:tcW w:w="160" w:type="dxa"/>
            <w:vAlign w:val="bottom"/>
            <w:tcBorders>
              <w:right w:val="single" w:sz="8" w:color="auto"/>
            </w:tcBorders>
          </w:tcPr>
          <w:p>
            <w:pPr>
              <w:spacing w:after="0"/>
              <w:rPr>
                <w:sz w:val="24"/>
                <w:szCs w:val="24"/>
                <w:color w:val="auto"/>
              </w:rPr>
            </w:pPr>
          </w:p>
        </w:tc>
        <w:tc>
          <w:tcPr>
            <w:tcW w:w="790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r>
      <w:tr>
        <w:trPr>
          <w:trHeight w:val="250"/>
        </w:trPr>
        <w:tc>
          <w:tcPr>
            <w:tcW w:w="160" w:type="dxa"/>
            <w:vAlign w:val="bottom"/>
            <w:tcBorders>
              <w:right w:val="single" w:sz="8" w:color="auto"/>
            </w:tcBorders>
          </w:tcPr>
          <w:p>
            <w:pPr>
              <w:spacing w:after="0"/>
              <w:rPr>
                <w:sz w:val="21"/>
                <w:szCs w:val="21"/>
                <w:color w:val="auto"/>
              </w:rPr>
            </w:pPr>
          </w:p>
        </w:tc>
        <w:tc>
          <w:tcPr>
            <w:tcW w:w="7900" w:type="dxa"/>
            <w:vAlign w:val="bottom"/>
            <w:tcBorders>
              <w:bottom w:val="single" w:sz="8" w:color="auto"/>
              <w:right w:val="single" w:sz="8" w:color="auto"/>
            </w:tcBorders>
          </w:tcPr>
          <w:p>
            <w:pPr>
              <w:ind w:left="80"/>
              <w:spacing w:after="0" w:line="250" w:lineRule="exact"/>
              <w:rPr>
                <w:sz w:val="20"/>
                <w:szCs w:val="20"/>
                <w:color w:val="auto"/>
              </w:rPr>
            </w:pPr>
            <w:r>
              <w:rPr>
                <w:rFonts w:ascii="Times New Roman" w:cs="Times New Roman" w:eastAsia="Times New Roman" w:hAnsi="Times New Roman"/>
                <w:sz w:val="22"/>
                <w:szCs w:val="22"/>
                <w:color w:val="auto"/>
              </w:rPr>
              <w:t>greater than [***] US Dollars (USD$[***]).</w:t>
            </w:r>
          </w:p>
        </w:tc>
        <w:tc>
          <w:tcPr>
            <w:tcW w:w="1960" w:type="dxa"/>
            <w:vAlign w:val="bottom"/>
            <w:tcBorders>
              <w:bottom w:val="single" w:sz="8" w:color="auto"/>
              <w:right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5" w:lineRule="exact"/>
        <w:rPr>
          <w:sz w:val="20"/>
          <w:szCs w:val="20"/>
          <w:color w:val="auto"/>
        </w:rPr>
      </w:pPr>
    </w:p>
    <w:p>
      <w:pPr>
        <w:jc w:val="both"/>
        <w:ind w:left="760" w:right="20" w:hanging="9"/>
        <w:spacing w:after="0" w:line="258" w:lineRule="auto"/>
        <w:rPr>
          <w:sz w:val="20"/>
          <w:szCs w:val="20"/>
          <w:color w:val="auto"/>
        </w:rPr>
      </w:pPr>
      <w:r>
        <w:rPr>
          <w:rFonts w:ascii="Times New Roman" w:cs="Times New Roman" w:eastAsia="Times New Roman" w:hAnsi="Times New Roman"/>
          <w:sz w:val="22"/>
          <w:szCs w:val="22"/>
          <w:color w:val="auto"/>
        </w:rPr>
        <w:t>No multiple royalties will be payable to AstraZeneca because a Product is covered by more than one Valid Claim in any Option Patent.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8.5.2 </w:t>
      </w:r>
      <w:r>
        <w:rPr>
          <w:rFonts w:ascii="Times New Roman" w:cs="Times New Roman" w:eastAsia="Times New Roman" w:hAnsi="Times New Roman"/>
          <w:sz w:val="22"/>
          <w:szCs w:val="22"/>
          <w:b w:val="1"/>
          <w:bCs w:val="1"/>
          <w:color w:val="auto"/>
        </w:rPr>
        <w:t>Royalty Term</w:t>
      </w:r>
    </w:p>
    <w:p>
      <w:pPr>
        <w:spacing w:after="0" w:line="183" w:lineRule="exact"/>
        <w:rPr>
          <w:sz w:val="20"/>
          <w:szCs w:val="20"/>
          <w:color w:val="auto"/>
        </w:rPr>
      </w:pPr>
    </w:p>
    <w:p>
      <w:pPr>
        <w:jc w:val="both"/>
        <w:ind w:left="760" w:right="20" w:hanging="9"/>
        <w:spacing w:after="0" w:line="239" w:lineRule="auto"/>
        <w:rPr>
          <w:sz w:val="20"/>
          <w:szCs w:val="20"/>
          <w:color w:val="auto"/>
        </w:rPr>
      </w:pPr>
      <w:r>
        <w:rPr>
          <w:rFonts w:ascii="Times New Roman" w:cs="Times New Roman" w:eastAsia="Times New Roman" w:hAnsi="Times New Roman"/>
          <w:sz w:val="22"/>
          <w:szCs w:val="22"/>
          <w:color w:val="auto"/>
        </w:rPr>
        <w:t>Mereo shall have no obligation to pay any royalty with respect to Net Sales of any Product in any country after the Royalty Term for such Product in such country has expired. Upon the expiration of the Royalty Term with respect to a Product in any country, the license grants to Mereo in Section 2.1, as applicable, with respect to such Product shall become fully paid-up with respect to such country.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8.5.3 </w:t>
      </w:r>
      <w:r>
        <w:rPr>
          <w:rFonts w:ascii="Times New Roman" w:cs="Times New Roman" w:eastAsia="Times New Roman" w:hAnsi="Times New Roman"/>
          <w:sz w:val="22"/>
          <w:szCs w:val="22"/>
          <w:b w:val="1"/>
          <w:bCs w:val="1"/>
          <w:color w:val="auto"/>
        </w:rPr>
        <w:t>Reductions</w:t>
      </w:r>
    </w:p>
    <w:p>
      <w:pPr>
        <w:spacing w:after="0" w:line="197" w:lineRule="exact"/>
        <w:rPr>
          <w:sz w:val="20"/>
          <w:szCs w:val="20"/>
          <w:color w:val="auto"/>
        </w:rPr>
      </w:pPr>
    </w:p>
    <w:p>
      <w:pPr>
        <w:jc w:val="both"/>
        <w:ind w:left="1480" w:right="20" w:hanging="719"/>
        <w:spacing w:after="0" w:line="239" w:lineRule="auto"/>
        <w:tabs>
          <w:tab w:leader="none" w:pos="14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Royalty Term, on a country-by-country and Product by Product basis, such Product ceases to be Covered by a Valid Claim in the country of manufacture, use, sale, offer for sale or import but does contain, incorporate or use any Product Know-How, the applicable royalty rate will thereafter be reduced to [***] of the applicable royalty rate set forth in Section 8.5.</w:t>
      </w:r>
    </w:p>
    <w:p>
      <w:pPr>
        <w:spacing w:after="0" w:line="153" w:lineRule="exact"/>
        <w:rPr>
          <w:rFonts w:ascii="Times New Roman" w:cs="Times New Roman" w:eastAsia="Times New Roman" w:hAnsi="Times New Roman"/>
          <w:sz w:val="22"/>
          <w:szCs w:val="22"/>
          <w:color w:val="auto"/>
        </w:rPr>
      </w:pPr>
    </w:p>
    <w:p>
      <w:pPr>
        <w:jc w:val="both"/>
        <w:ind w:left="1480" w:hanging="719"/>
        <w:spacing w:after="0" w:line="245" w:lineRule="auto"/>
        <w:tabs>
          <w:tab w:leader="none" w:pos="14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during the Royalty Term, on a country-by-country and Product by Product basis, one (1) or more Generic Versions of the Product are marketed and sold in such country in a given [***] during the Royalty Term, and </w:t>
      </w:r>
      <w:r>
        <w:rPr>
          <w:rFonts w:ascii="Times New Roman" w:cs="Times New Roman" w:eastAsia="Times New Roman" w:hAnsi="Times New Roman"/>
          <w:sz w:val="19"/>
          <w:szCs w:val="19"/>
          <w:color w:val="auto"/>
        </w:rPr>
        <w:t xml:space="preserve">such that Generic Versions of the Product sold in such country equal or exceed in the aggregate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of the total units sold of such Product or Generic Version(s) in such country, then the royalty rate for such Product in such country will thereafter be reduced to </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of the applicable royalty rate set forth in Section 8.5 for so long as such reduction in units sold persists.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718820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195" w:name="page196"/>
    <w:bookmarkEnd w:id="195"/>
    <w:p>
      <w:pPr>
        <w:spacing w:after="0" w:line="185" w:lineRule="exact"/>
        <w:rPr>
          <w:sz w:val="20"/>
          <w:szCs w:val="20"/>
          <w:color w:val="auto"/>
        </w:rPr>
      </w:pPr>
    </w:p>
    <w:p>
      <w:pPr>
        <w:jc w:val="both"/>
        <w:ind w:left="1480" w:hanging="719"/>
        <w:spacing w:after="0" w:line="247" w:lineRule="auto"/>
        <w:tabs>
          <w:tab w:leader="none" w:pos="148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during the Royalty Term, Mereo pays Third Party Payments with respect to a Product, Mereo may credit [***] of such Third Party Payments paid against the royalties otherwise due to AstraZeneca on the Net Sales of that particular Product in that [***] provided, however that the royalties paid to AstraZeneca on such Net Sales after application of such credit shall not be less than [***] of those otherwise due above without such credit. Such credit for Third Party Payments allowed hereunder shall apply on a [***] basis, provided that Mereo shall be entitled to carry forward any amount of Third Party Payments which it is not entitled to credit from the royalties due to AstraZeneca in accordance with this Section 8.5.3 by reason of such limitation from one (1) Calendar Year to the following Calendar Year until such amount is fully credited.</w:t>
      </w:r>
    </w:p>
    <w:p>
      <w:pPr>
        <w:spacing w:after="0" w:line="15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8.6</w:t>
      </w:r>
      <w:r>
        <w:rPr>
          <w:sz w:val="20"/>
          <w:szCs w:val="20"/>
          <w:color w:val="auto"/>
        </w:rPr>
        <w:tab/>
      </w:r>
      <w:r>
        <w:rPr>
          <w:rFonts w:ascii="Times New Roman" w:cs="Times New Roman" w:eastAsia="Times New Roman" w:hAnsi="Times New Roman"/>
          <w:sz w:val="21"/>
          <w:szCs w:val="21"/>
          <w:b w:val="1"/>
          <w:bCs w:val="1"/>
          <w:color w:val="auto"/>
        </w:rPr>
        <w:t>Royalty Payments and Reports</w:t>
      </w:r>
    </w:p>
    <w:p>
      <w:pPr>
        <w:spacing w:after="0" w:line="183" w:lineRule="exact"/>
        <w:rPr>
          <w:sz w:val="20"/>
          <w:szCs w:val="20"/>
          <w:color w:val="auto"/>
        </w:rPr>
      </w:pPr>
    </w:p>
    <w:p>
      <w:pPr>
        <w:jc w:val="both"/>
        <w:ind w:left="760" w:right="20" w:hanging="9"/>
        <w:spacing w:after="0" w:line="235" w:lineRule="auto"/>
        <w:rPr>
          <w:sz w:val="20"/>
          <w:szCs w:val="20"/>
          <w:color w:val="auto"/>
        </w:rPr>
      </w:pPr>
      <w:r>
        <w:rPr>
          <w:rFonts w:ascii="Times New Roman" w:cs="Times New Roman" w:eastAsia="Times New Roman" w:hAnsi="Times New Roman"/>
          <w:sz w:val="22"/>
          <w:szCs w:val="22"/>
          <w:color w:val="auto"/>
        </w:rPr>
        <w:t>Mereo shall calculate all amounts payable to AstraZeneca pursuant to Section 8.5 at the end of each Calendar Quarter, which amounts shall be converted to United States Dollars, in accordance with Section 8.7. Mereo shall pay to AstraZeneca the royalty amounts due with respect to a given Calendar Quarter within [***] days after the end of such Calendar Quarter. Each payment of royalties due to AstraZeneca shall be accompanied by a statement specifying the amount of Net Sales and deductions taken to arrive at Net Sales attributable to each Product in each country the Territory during the applicable Calendar Quarter (including such amounts expressed in local currency and as converted to United States Dollars using the Currency Conversion Policy and a calculation of the amount of royalty payment due on such Net Sales for such Calendar Quarter.</w:t>
      </w:r>
    </w:p>
    <w:p>
      <w:pPr>
        <w:spacing w:after="0" w:line="16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8.7</w:t>
      </w:r>
      <w:r>
        <w:rPr>
          <w:sz w:val="20"/>
          <w:szCs w:val="20"/>
          <w:color w:val="auto"/>
        </w:rPr>
        <w:tab/>
      </w:r>
      <w:r>
        <w:rPr>
          <w:rFonts w:ascii="Times New Roman" w:cs="Times New Roman" w:eastAsia="Times New Roman" w:hAnsi="Times New Roman"/>
          <w:sz w:val="21"/>
          <w:szCs w:val="21"/>
          <w:b w:val="1"/>
          <w:bCs w:val="1"/>
          <w:color w:val="auto"/>
        </w:rPr>
        <w:t>Maximum deduction</w:t>
      </w:r>
    </w:p>
    <w:p>
      <w:pPr>
        <w:spacing w:after="0" w:line="183" w:lineRule="exact"/>
        <w:rPr>
          <w:sz w:val="20"/>
          <w:szCs w:val="20"/>
          <w:color w:val="auto"/>
        </w:rPr>
      </w:pPr>
    </w:p>
    <w:p>
      <w:pPr>
        <w:jc w:val="both"/>
        <w:ind w:left="760" w:right="20" w:hanging="9"/>
        <w:spacing w:after="0" w:line="254" w:lineRule="auto"/>
        <w:rPr>
          <w:sz w:val="20"/>
          <w:szCs w:val="20"/>
          <w:color w:val="auto"/>
        </w:rPr>
      </w:pPr>
      <w:r>
        <w:rPr>
          <w:rFonts w:ascii="Times New Roman" w:cs="Times New Roman" w:eastAsia="Times New Roman" w:hAnsi="Times New Roman"/>
          <w:sz w:val="22"/>
          <w:szCs w:val="22"/>
          <w:color w:val="auto"/>
        </w:rPr>
        <w:t>The maximum cumulative royalty reduction pursuant to Section 8.5.3 shall not in any circumstances exceed [***] in any [***].</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8.8</w:t>
      </w:r>
      <w:r>
        <w:rPr>
          <w:sz w:val="20"/>
          <w:szCs w:val="20"/>
          <w:color w:val="auto"/>
        </w:rPr>
        <w:tab/>
      </w:r>
      <w:r>
        <w:rPr>
          <w:rFonts w:ascii="Times New Roman" w:cs="Times New Roman" w:eastAsia="Times New Roman" w:hAnsi="Times New Roman"/>
          <w:sz w:val="21"/>
          <w:szCs w:val="21"/>
          <w:b w:val="1"/>
          <w:bCs w:val="1"/>
          <w:color w:val="auto"/>
        </w:rPr>
        <w:t>Mode of Payment</w:t>
      </w:r>
    </w:p>
    <w:p>
      <w:pPr>
        <w:spacing w:after="0" w:line="197" w:lineRule="exact"/>
        <w:rPr>
          <w:sz w:val="20"/>
          <w:szCs w:val="20"/>
          <w:color w:val="auto"/>
        </w:rPr>
      </w:pPr>
    </w:p>
    <w:p>
      <w:pPr>
        <w:jc w:val="both"/>
        <w:ind w:left="720" w:right="20" w:hanging="723"/>
        <w:spacing w:after="0" w:line="239" w:lineRule="auto"/>
        <w:tabs>
          <w:tab w:leader="none" w:pos="700" w:val="left"/>
        </w:tabs>
        <w:rPr>
          <w:sz w:val="20"/>
          <w:szCs w:val="20"/>
          <w:color w:val="auto"/>
        </w:rPr>
      </w:pPr>
      <w:r>
        <w:rPr>
          <w:rFonts w:ascii="Times New Roman" w:cs="Times New Roman" w:eastAsia="Times New Roman" w:hAnsi="Times New Roman"/>
          <w:sz w:val="22"/>
          <w:szCs w:val="22"/>
          <w:color w:val="auto"/>
        </w:rPr>
        <w:t>8.8.1</w:t>
        <w:tab/>
        <w:t>All payments to AstraZeneca under this Agreement shall be made in Dollars. All amounts payable to AstraZeneca pursuant to Section 8.5 shall be made in United States Dollars. All payments to AstraZeneca under this Agreement shall be made by deposit in the requisite amount to such bank account as AstraZeneca may from time to time designate by notice to Mereo.</w:t>
      </w:r>
    </w:p>
    <w:p>
      <w:pPr>
        <w:spacing w:after="0" w:line="153" w:lineRule="exact"/>
        <w:rPr>
          <w:sz w:val="20"/>
          <w:szCs w:val="20"/>
          <w:color w:val="auto"/>
        </w:rPr>
      </w:pPr>
    </w:p>
    <w:p>
      <w:pPr>
        <w:jc w:val="both"/>
        <w:ind w:left="720" w:right="20" w:hanging="723"/>
        <w:spacing w:after="0" w:line="236" w:lineRule="auto"/>
        <w:tabs>
          <w:tab w:leader="none" w:pos="700" w:val="left"/>
        </w:tabs>
        <w:rPr>
          <w:sz w:val="20"/>
          <w:szCs w:val="20"/>
          <w:color w:val="auto"/>
        </w:rPr>
      </w:pPr>
      <w:r>
        <w:rPr>
          <w:rFonts w:ascii="Times New Roman" w:cs="Times New Roman" w:eastAsia="Times New Roman" w:hAnsi="Times New Roman"/>
          <w:sz w:val="22"/>
          <w:szCs w:val="22"/>
          <w:color w:val="auto"/>
        </w:rPr>
        <w:t>8.8.2</w:t>
        <w:tab/>
        <w:t>Other than in respect of amounts payable to AstraZeneca pursuant to Section 8.5, for the purpose of calculating any sums due under, or otherwise reimbursable pursuant to, this Agreement, Mereo shall convert any amount expressed in a foreign currency into Dollar equivalents using the Currency Conversion Policy. For the purpose of calculating any sums payable to AstraZeneca pursuant to Section 8.5 (including the calculation of Net Sales expressed in currencies other than United States Dollars), Mereo shall convert any amount expressed in a foreign currency into United States Dollars equivalents the Currency Conversion Policy.</w:t>
      </w:r>
    </w:p>
    <w:p>
      <w:pPr>
        <w:spacing w:after="0" w:line="218"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8.9</w:t>
      </w:r>
      <w:r>
        <w:rPr>
          <w:sz w:val="20"/>
          <w:szCs w:val="20"/>
          <w:color w:val="auto"/>
        </w:rPr>
        <w:tab/>
      </w:r>
      <w:r>
        <w:rPr>
          <w:rFonts w:ascii="Times New Roman" w:cs="Times New Roman" w:eastAsia="Times New Roman" w:hAnsi="Times New Roman"/>
          <w:sz w:val="21"/>
          <w:szCs w:val="21"/>
          <w:b w:val="1"/>
          <w:bCs w:val="1"/>
          <w:color w:val="auto"/>
        </w:rPr>
        <w:t>Sublicensing Consideration [***]</w:t>
      </w:r>
    </w:p>
    <w:p>
      <w:pPr>
        <w:spacing w:after="0" w:line="197" w:lineRule="exact"/>
        <w:rPr>
          <w:sz w:val="20"/>
          <w:szCs w:val="20"/>
          <w:color w:val="auto"/>
        </w:rPr>
      </w:pPr>
    </w:p>
    <w:p>
      <w:pPr>
        <w:jc w:val="both"/>
        <w:ind w:left="720" w:right="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8.9.1</w:t>
        <w:tab/>
        <w:t>If Mereo sublicenses a Product to a Third Party (other than AstraZeneca) at any time then Mereo shall pay AstraZeneca [***] of all Sublicensing Consideration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705485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196" w:name="page197"/>
    <w:bookmarkEnd w:id="196"/>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pursuant to such sublicense.</w:t>
      </w:r>
    </w:p>
    <w:p>
      <w:pPr>
        <w:spacing w:after="0" w:line="179" w:lineRule="exact"/>
        <w:rPr>
          <w:sz w:val="20"/>
          <w:szCs w:val="20"/>
          <w:color w:val="auto"/>
        </w:rPr>
      </w:pPr>
    </w:p>
    <w:p>
      <w:pPr>
        <w:ind w:left="700" w:hanging="723"/>
        <w:spacing w:after="0" w:line="258" w:lineRule="auto"/>
        <w:tabs>
          <w:tab w:leader="none" w:pos="680" w:val="left"/>
        </w:tabs>
        <w:rPr>
          <w:sz w:val="20"/>
          <w:szCs w:val="20"/>
          <w:color w:val="auto"/>
        </w:rPr>
      </w:pPr>
      <w:r>
        <w:rPr>
          <w:rFonts w:ascii="Times New Roman" w:cs="Times New Roman" w:eastAsia="Times New Roman" w:hAnsi="Times New Roman"/>
          <w:sz w:val="22"/>
          <w:szCs w:val="22"/>
          <w:color w:val="auto"/>
        </w:rPr>
        <w:t>8.9.2</w:t>
        <w:tab/>
        <w:t>Mereo shall not, and shall not permit its Affiliates to, [***] any Sublicensing Consideration, enter into any agreement with a Sublicensee under which the payments thereunder are (a) [***] and (b) [***]</w:t>
      </w:r>
    </w:p>
    <w:p>
      <w:pPr>
        <w:spacing w:after="0" w:line="14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8.10</w:t>
      </w:r>
      <w:r>
        <w:rPr>
          <w:sz w:val="20"/>
          <w:szCs w:val="20"/>
          <w:color w:val="auto"/>
        </w:rPr>
        <w:tab/>
      </w:r>
      <w:r>
        <w:rPr>
          <w:rFonts w:ascii="Times New Roman" w:cs="Times New Roman" w:eastAsia="Times New Roman" w:hAnsi="Times New Roman"/>
          <w:sz w:val="21"/>
          <w:szCs w:val="21"/>
          <w:b w:val="1"/>
          <w:bCs w:val="1"/>
          <w:color w:val="auto"/>
        </w:rPr>
        <w:t>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8.10.1  </w:t>
      </w:r>
      <w:r>
        <w:rPr>
          <w:rFonts w:ascii="Times New Roman" w:cs="Times New Roman" w:eastAsia="Times New Roman" w:hAnsi="Times New Roman"/>
          <w:sz w:val="22"/>
          <w:szCs w:val="22"/>
          <w:b w:val="1"/>
          <w:bCs w:val="1"/>
          <w:color w:val="auto"/>
        </w:rPr>
        <w:t>General</w:t>
      </w:r>
    </w:p>
    <w:p>
      <w:pPr>
        <w:spacing w:after="0" w:line="193" w:lineRule="exact"/>
        <w:rPr>
          <w:sz w:val="20"/>
          <w:szCs w:val="20"/>
          <w:color w:val="auto"/>
        </w:rPr>
      </w:pPr>
    </w:p>
    <w:p>
      <w:pPr>
        <w:jc w:val="both"/>
        <w:ind w:left="740" w:hanging="9"/>
        <w:spacing w:after="0" w:line="243" w:lineRule="auto"/>
        <w:rPr>
          <w:sz w:val="20"/>
          <w:szCs w:val="20"/>
          <w:color w:val="auto"/>
        </w:rPr>
      </w:pPr>
      <w:r>
        <w:rPr>
          <w:rFonts w:ascii="Times New Roman" w:cs="Times New Roman" w:eastAsia="Times New Roman" w:hAnsi="Times New Roman"/>
          <w:sz w:val="21"/>
          <w:szCs w:val="21"/>
          <w:color w:val="auto"/>
        </w:rPr>
        <w:t>All payments required to be made pursuant to this Agreement (each, a “</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shall be paid free and clear of any deduction or withholding for or on account of Tax, except for any withholding or deduction required by Applicable Law. Except as provided in this Section 8.10, AstraZeneca shall be solely responsible for paying any and all taxes (other than withholding taxes required by Applicable Law to be deducted from Payments) levied on account of, or measured in whole or in part by reference to, any Payments it receives. Mereo shall deduct or withhold from the Payments any Taxes that it is required by Applicable Law to deduct or withhold. Notwithstanding the foregoing, if AstraZeneca is entitled under any applicable tax treaty to a reduction of the rate of, or the elimination of, applicable withholding tax, it may deliver to Mereo or the appropriate governmental authority (with the assistance of Mereo to the extent that this is reasonably required and is requested in writing) the prescribed forms necessary to reduce the applicable rate of withholding or to relieve Mereo of its obligation to withhold such Tax and Mereo shall apply the reduced rate of withholding or dispense with withholding, as the case may be; provided that Mereo has received evidence of AstraZeneca’s delivery of all applicable forms (and, if necessary, Mereo’s receipt of appropriate governmental authorization) at least [***] days prior to the time that the Payments are due. If, in accordance with the foregoing, Mereo withholds any amount, it shall pay to AstraZeneca the balance when due, make timely payment to the proper taxing authority of the withheld amount and send to AstraZeneca proof of such payment within [***] days following such payment. Notwithstanding the foregoing, in the event a Party assigns its rights or obligations under this Agreement or otherwise makes Payments from a jurisdiction other than the jurisdiction in which such party is organised (each an “Assignment”), and immediately after such Assignment the amount of Tax Deductions in respect of any Payment it makes are greater than the amount of Tax Deductions that would have been required by Applicable Law absent such Assignment, then such increased Tax shall be borne by the party making such Assignment.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8.10.2  </w:t>
      </w:r>
      <w:r>
        <w:rPr>
          <w:rFonts w:ascii="Times New Roman" w:cs="Times New Roman" w:eastAsia="Times New Roman" w:hAnsi="Times New Roman"/>
          <w:sz w:val="22"/>
          <w:szCs w:val="22"/>
          <w:b w:val="1"/>
          <w:bCs w:val="1"/>
          <w:color w:val="auto"/>
        </w:rPr>
        <w:t>Value Added Tax</w:t>
      </w:r>
    </w:p>
    <w:p>
      <w:pPr>
        <w:spacing w:after="0" w:line="183" w:lineRule="exact"/>
        <w:rPr>
          <w:sz w:val="20"/>
          <w:szCs w:val="20"/>
          <w:color w:val="auto"/>
        </w:rPr>
      </w:pPr>
    </w:p>
    <w:p>
      <w:pPr>
        <w:jc w:val="both"/>
        <w:ind w:left="740" w:hanging="9"/>
        <w:spacing w:after="0" w:line="235" w:lineRule="auto"/>
        <w:rPr>
          <w:sz w:val="20"/>
          <w:szCs w:val="20"/>
          <w:color w:val="auto"/>
        </w:rPr>
      </w:pPr>
      <w:r>
        <w:rPr>
          <w:rFonts w:ascii="Times New Roman" w:cs="Times New Roman" w:eastAsia="Times New Roman" w:hAnsi="Times New Roman"/>
          <w:sz w:val="22"/>
          <w:szCs w:val="22"/>
          <w:color w:val="auto"/>
        </w:rPr>
        <w:t>Notwithstanding anything contained in Section 8.10.1, this Section 8.10.2 shall apply with respect to value added tax (“</w:t>
      </w:r>
      <w:r>
        <w:rPr>
          <w:rFonts w:ascii="Times New Roman" w:cs="Times New Roman" w:eastAsia="Times New Roman" w:hAnsi="Times New Roman"/>
          <w:sz w:val="22"/>
          <w:szCs w:val="22"/>
          <w:b w:val="1"/>
          <w:bCs w:val="1"/>
          <w:color w:val="auto"/>
        </w:rPr>
        <w:t>VAT</w:t>
      </w:r>
      <w:r>
        <w:rPr>
          <w:rFonts w:ascii="Times New Roman" w:cs="Times New Roman" w:eastAsia="Times New Roman" w:hAnsi="Times New Roman"/>
          <w:sz w:val="22"/>
          <w:szCs w:val="22"/>
          <w:color w:val="auto"/>
        </w:rPr>
        <w:t>”). All Payments are exclusive of VAT. If any VAT is chargeable in respect of any Payments and AstraZeneca is required to account to the relevant Tax Authority for that VAT, Mereo shall pay an amount equal to the VAT at the applicable rate in respect of any such Payments following the receipt of a VAT invoice in the appropriate form issued by AstraZeneca in respect of those Payments. The Parties shall issue invoices for all goods and services supplied under this Agreement consistent with VAT requirements, and to the extent any invoice is not initially issued in an appropriate form, shall cooperate and provide such information or assistance as may be reasonably necessary to enable the issuance of such invoice consistent with VAT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718185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440" w:right="499" w:bottom="1440" w:gutter="0" w:footer="0" w:header="0"/>
        </w:sectPr>
      </w:pPr>
    </w:p>
    <w:bookmarkStart w:id="197" w:name="page198"/>
    <w:bookmarkEnd w:id="197"/>
    <w:p>
      <w:pPr>
        <w:spacing w:after="0" w:line="113"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8.11</w:t>
      </w:r>
      <w:r>
        <w:rPr>
          <w:sz w:val="20"/>
          <w:szCs w:val="20"/>
          <w:color w:val="auto"/>
        </w:rPr>
        <w:tab/>
      </w:r>
      <w:r>
        <w:rPr>
          <w:rFonts w:ascii="Times New Roman" w:cs="Times New Roman" w:eastAsia="Times New Roman" w:hAnsi="Times New Roman"/>
          <w:sz w:val="21"/>
          <w:szCs w:val="21"/>
          <w:b w:val="1"/>
          <w:bCs w:val="1"/>
          <w:color w:val="auto"/>
        </w:rPr>
        <w:t>Interest on Late Payments</w:t>
      </w:r>
    </w:p>
    <w:p>
      <w:pPr>
        <w:spacing w:after="0" w:line="183" w:lineRule="exact"/>
        <w:rPr>
          <w:sz w:val="20"/>
          <w:szCs w:val="20"/>
          <w:color w:val="auto"/>
        </w:rPr>
      </w:pPr>
    </w:p>
    <w:p>
      <w:pPr>
        <w:jc w:val="both"/>
        <w:ind w:left="760" w:hanging="9"/>
        <w:spacing w:after="0" w:line="238" w:lineRule="auto"/>
        <w:rPr>
          <w:sz w:val="20"/>
          <w:szCs w:val="20"/>
          <w:color w:val="auto"/>
        </w:rPr>
      </w:pPr>
      <w:r>
        <w:rPr>
          <w:rFonts w:ascii="Times New Roman" w:cs="Times New Roman" w:eastAsia="Times New Roman" w:hAnsi="Times New Roman"/>
          <w:sz w:val="22"/>
          <w:szCs w:val="22"/>
          <w:color w:val="auto"/>
        </w:rPr>
        <w:t>If any payment due to either Party under this Agreement is not paid when due, then such paying Party shall pay interest thereon (before and after any judgment) at an annual rate (but with interest accruing on a daily basis) equal to the greater of: (i) the United States prime rate of interest as reported by Citibank, New York, New York, as of the date such payment was due and payable, plus [***], and (ii) the maximum applicable legal rate of interest, such interest to run from the date on which payment of such sum became due until payment thereof in full.</w:t>
      </w:r>
    </w:p>
    <w:p>
      <w:pPr>
        <w:spacing w:after="0" w:line="1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8.12</w:t>
      </w:r>
      <w:r>
        <w:rPr>
          <w:sz w:val="20"/>
          <w:szCs w:val="20"/>
          <w:color w:val="auto"/>
        </w:rPr>
        <w:tab/>
      </w:r>
      <w:r>
        <w:rPr>
          <w:rFonts w:ascii="Times New Roman" w:cs="Times New Roman" w:eastAsia="Times New Roman" w:hAnsi="Times New Roman"/>
          <w:sz w:val="21"/>
          <w:szCs w:val="21"/>
          <w:b w:val="1"/>
          <w:bCs w:val="1"/>
          <w:color w:val="auto"/>
        </w:rPr>
        <w:t>Financial Records</w:t>
      </w:r>
    </w:p>
    <w:p>
      <w:pPr>
        <w:spacing w:after="0" w:line="197" w:lineRule="exact"/>
        <w:rPr>
          <w:sz w:val="20"/>
          <w:szCs w:val="20"/>
          <w:color w:val="auto"/>
        </w:rPr>
      </w:pPr>
    </w:p>
    <w:p>
      <w:pPr>
        <w:jc w:val="both"/>
        <w:ind w:left="760" w:hanging="9"/>
        <w:spacing w:after="0" w:line="235" w:lineRule="auto"/>
        <w:rPr>
          <w:sz w:val="20"/>
          <w:szCs w:val="20"/>
          <w:color w:val="auto"/>
        </w:rPr>
      </w:pPr>
      <w:r>
        <w:rPr>
          <w:rFonts w:ascii="Times New Roman" w:cs="Times New Roman" w:eastAsia="Times New Roman" w:hAnsi="Times New Roman"/>
          <w:sz w:val="22"/>
          <w:szCs w:val="22"/>
          <w:color w:val="auto"/>
        </w:rPr>
        <w:t>Mereo shall and shall cause its Affiliates and its and their Sublicensees to, keep complete and accurate financial books and records pertaining to the Commercialization of Products hereunder, including books and records of Invoiced Sales and Net Sales of Products, in sufficient detail to calculate and verify all amounts payable hereunder. Mereo shall and shall cause its Affiliates and its and their Sublicensees to, retain such books and records until the later of (i) [***] years after the end of the period to which such books and records pertain, (ii) the expiration of the applicable tax statute of limitations (or any extensions thereof) and (iii) for such period as may be required by Applicable Law.</w:t>
      </w:r>
    </w:p>
    <w:p>
      <w:pPr>
        <w:spacing w:after="0" w:line="1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8.13</w:t>
      </w:r>
      <w:r>
        <w:rPr>
          <w:sz w:val="20"/>
          <w:szCs w:val="20"/>
          <w:color w:val="auto"/>
        </w:rPr>
        <w:tab/>
      </w:r>
      <w:r>
        <w:rPr>
          <w:rFonts w:ascii="Times New Roman" w:cs="Times New Roman" w:eastAsia="Times New Roman" w:hAnsi="Times New Roman"/>
          <w:sz w:val="21"/>
          <w:szCs w:val="21"/>
          <w:b w:val="1"/>
          <w:bCs w:val="1"/>
          <w:color w:val="auto"/>
        </w:rPr>
        <w:t>Audit</w:t>
      </w:r>
    </w:p>
    <w:p>
      <w:pPr>
        <w:spacing w:after="0" w:line="183" w:lineRule="exact"/>
        <w:rPr>
          <w:sz w:val="20"/>
          <w:szCs w:val="20"/>
          <w:color w:val="auto"/>
        </w:rPr>
      </w:pPr>
    </w:p>
    <w:p>
      <w:pPr>
        <w:jc w:val="both"/>
        <w:ind w:left="760" w:hanging="9"/>
        <w:spacing w:after="0" w:line="243" w:lineRule="auto"/>
        <w:rPr>
          <w:sz w:val="20"/>
          <w:szCs w:val="20"/>
          <w:color w:val="auto"/>
        </w:rPr>
      </w:pPr>
      <w:r>
        <w:rPr>
          <w:rFonts w:ascii="Times New Roman" w:cs="Times New Roman" w:eastAsia="Times New Roman" w:hAnsi="Times New Roman"/>
          <w:sz w:val="21"/>
          <w:szCs w:val="21"/>
          <w:color w:val="auto"/>
        </w:rPr>
        <w:t>At the request of AstraZeneca, Mereo shall and shall cause its Affiliates and its and their Sublicensees to, permit an independent auditor designated by AstraZeneca and reasonably acceptable to Mereo, at reasonable times and upon reasonable notice, no more than once per Calendar Year, to audit the books and records maintained pursuant to Section 8.12 relating to the preceding [***] Calendar Years only, solely for the purposes of ensuring the accuracy of the reports and payments made hereunder. An audit shall not cover any time period previously audited. Except as provided below, the cost of this audit shall be borne by AstraZeneca, unless the audit reveals, with respect to a period, an underpayment of amounts due hereunder of more than [***] from the reported amounts for such period, in which case Mereo shall bear [***] costs of the audit. Unless disputed pursuant to Section 8.14 below, if such audit concludes that (i) additional amounts were owed by Mereo, Mereo shall pay the additional amounts or (ii) excess payments were made by Mereo, AstraZeneca shall reimburse such excess payments, in either case ((i) or (ii)), within</w:t>
      </w:r>
    </w:p>
    <w:p>
      <w:pPr>
        <w:spacing w:after="0" w:line="9" w:lineRule="exact"/>
        <w:rPr>
          <w:sz w:val="20"/>
          <w:szCs w:val="20"/>
          <w:color w:val="auto"/>
        </w:rPr>
      </w:pPr>
    </w:p>
    <w:p>
      <w:pPr>
        <w:ind w:left="760" w:firstLine="3"/>
        <w:spacing w:after="0" w:line="237" w:lineRule="auto"/>
        <w:tabs>
          <w:tab w:leader="none" w:pos="12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on which such audit is completed by AstraZeneca. Mereo may require the auditor to sign a customary non-disclosure agreement before providing access to its books and records.</w:t>
      </w:r>
    </w:p>
    <w:p>
      <w:pPr>
        <w:spacing w:after="0" w:line="161"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8.14</w:t>
      </w:r>
      <w:r>
        <w:rPr>
          <w:sz w:val="20"/>
          <w:szCs w:val="20"/>
          <w:color w:val="auto"/>
        </w:rPr>
        <w:tab/>
      </w:r>
      <w:r>
        <w:rPr>
          <w:rFonts w:ascii="Times New Roman" w:cs="Times New Roman" w:eastAsia="Times New Roman" w:hAnsi="Times New Roman"/>
          <w:sz w:val="21"/>
          <w:szCs w:val="21"/>
          <w:b w:val="1"/>
          <w:bCs w:val="1"/>
          <w:color w:val="auto"/>
        </w:rPr>
        <w:t>Audit Dispute</w:t>
      </w:r>
    </w:p>
    <w:p>
      <w:pPr>
        <w:spacing w:after="0" w:line="183"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In the event of a dispute with respect to any audit under Section 8.13, AstraZeneca and Mereo shall work in good faith to resolve the disagreement. If the Parties are unable to reach a mutually acceptable resolution of any such dispute within [***] days, the dispute shall be submitted for resolution to one (1) of the big four (4) public accounting firms, jointly selected by each Party’s certified public accountants or to such other Person as the Parties shall mutually agree (the “Auditor”). The decision of the Auditor shall be final and the costs of such arbitration as well as the initial audit shall be borne between the Parties in such manner as the Auditor shall determine. Not later than [***] after such decision and in accordance with such decision, Mereo shall pay the additional amounts or AstraZeneca shall reimburse the excess payments,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718185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198" w:name="page199"/>
    <w:bookmarkEnd w:id="198"/>
    <w:p>
      <w:pPr>
        <w:spacing w:after="0" w:line="100"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2"/>
          <w:szCs w:val="22"/>
          <w:b w:val="1"/>
          <w:bCs w:val="1"/>
          <w:color w:val="auto"/>
        </w:rPr>
        <w:t>8.15 Adjustment of [***] Payments</w:t>
      </w:r>
    </w:p>
    <w:p>
      <w:pPr>
        <w:spacing w:after="0" w:line="197" w:lineRule="exact"/>
        <w:rPr>
          <w:sz w:val="20"/>
          <w:szCs w:val="20"/>
          <w:color w:val="auto"/>
        </w:rPr>
      </w:pPr>
    </w:p>
    <w:p>
      <w:pPr>
        <w:jc w:val="both"/>
        <w:ind w:left="722" w:hanging="723"/>
        <w:spacing w:after="0" w:line="244" w:lineRule="auto"/>
        <w:tabs>
          <w:tab w:leader="none" w:pos="702" w:val="left"/>
        </w:tabs>
        <w:rPr>
          <w:sz w:val="20"/>
          <w:szCs w:val="20"/>
          <w:color w:val="auto"/>
        </w:rPr>
      </w:pPr>
      <w:r>
        <w:rPr>
          <w:rFonts w:ascii="Times New Roman" w:cs="Times New Roman" w:eastAsia="Times New Roman" w:hAnsi="Times New Roman"/>
          <w:sz w:val="22"/>
          <w:szCs w:val="22"/>
          <w:color w:val="auto"/>
        </w:rPr>
        <w:t>8.15.1</w:t>
        <w:tab/>
        <w:t>In partial consideration of the rights granted by AstraZeneca to Mereo hereunder, in the event that after the date of this Agreement and before the [***], which has a [***] to the [***], the [***] by [***] to the [***] of the [***] or [***] that [***] of the [***] in the [***] on the [***] date for the [***] or [***].</w:t>
      </w:r>
    </w:p>
    <w:p>
      <w:pPr>
        <w:spacing w:after="0" w:line="160" w:lineRule="exact"/>
        <w:rPr>
          <w:sz w:val="20"/>
          <w:szCs w:val="20"/>
          <w:color w:val="auto"/>
        </w:rPr>
      </w:pPr>
    </w:p>
    <w:p>
      <w:pPr>
        <w:jc w:val="both"/>
        <w:ind w:left="722" w:hanging="723"/>
        <w:spacing w:after="0" w:line="244" w:lineRule="auto"/>
        <w:tabs>
          <w:tab w:leader="none" w:pos="702" w:val="left"/>
        </w:tabs>
        <w:rPr>
          <w:sz w:val="20"/>
          <w:szCs w:val="20"/>
          <w:color w:val="auto"/>
        </w:rPr>
      </w:pPr>
      <w:r>
        <w:rPr>
          <w:rFonts w:ascii="Times New Roman" w:cs="Times New Roman" w:eastAsia="Times New Roman" w:hAnsi="Times New Roman"/>
          <w:sz w:val="22"/>
          <w:szCs w:val="22"/>
          <w:color w:val="auto"/>
        </w:rPr>
        <w:t>8.15.2</w:t>
        <w:tab/>
        <w:t>In partial consideration of the rights granted by AstraZeneca to Mereo hereunder, in the event that after the date of this Agreement and before the [***], which has a [***] to the [***], the [***] by [***] to the [***] of the [***] or [***] that [***] of the [***] in the [***] on the [***] for the [***] or [***].</w:t>
      </w:r>
    </w:p>
    <w:p>
      <w:pPr>
        <w:spacing w:after="0" w:line="11" w:lineRule="exact"/>
        <w:rPr>
          <w:sz w:val="20"/>
          <w:szCs w:val="20"/>
          <w:color w:val="auto"/>
        </w:rPr>
      </w:pPr>
    </w:p>
    <w:p>
      <w:pPr>
        <w:jc w:val="both"/>
        <w:ind w:left="722" w:hanging="723"/>
        <w:spacing w:after="0" w:line="244" w:lineRule="auto"/>
        <w:tabs>
          <w:tab w:leader="none" w:pos="702" w:val="left"/>
        </w:tabs>
        <w:rPr>
          <w:sz w:val="20"/>
          <w:szCs w:val="20"/>
          <w:color w:val="auto"/>
        </w:rPr>
      </w:pPr>
      <w:r>
        <w:rPr>
          <w:rFonts w:ascii="Times New Roman" w:cs="Times New Roman" w:eastAsia="Times New Roman" w:hAnsi="Times New Roman"/>
          <w:sz w:val="22"/>
          <w:szCs w:val="22"/>
          <w:color w:val="auto"/>
        </w:rPr>
        <w:t>8.15.3</w:t>
        <w:tab/>
        <w:t>In partial consideration of the rights granted by AstraZeneca to Mereo hereunder, in the event that after the date of this Agreement and before the [***], which has a [***] to the [***], the [***] by [***] of the [***] or [***] that [***] of the [***] in the [***] on the [***] for the relevant [***] or [***].</w:t>
      </w:r>
    </w:p>
    <w:p>
      <w:pPr>
        <w:spacing w:after="0" w:line="142" w:lineRule="exact"/>
        <w:rPr>
          <w:sz w:val="20"/>
          <w:szCs w:val="20"/>
          <w:color w:val="auto"/>
        </w:rPr>
      </w:pPr>
    </w:p>
    <w:p>
      <w:pPr>
        <w:ind w:left="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8.16</w:t>
      </w:r>
      <w:r>
        <w:rPr>
          <w:sz w:val="20"/>
          <w:szCs w:val="20"/>
          <w:color w:val="auto"/>
        </w:rPr>
        <w:tab/>
      </w:r>
      <w:r>
        <w:rPr>
          <w:rFonts w:ascii="Times New Roman" w:cs="Times New Roman" w:eastAsia="Times New Roman" w:hAnsi="Times New Roman"/>
          <w:sz w:val="21"/>
          <w:szCs w:val="21"/>
          <w:b w:val="1"/>
          <w:bCs w:val="1"/>
          <w:color w:val="auto"/>
        </w:rPr>
        <w:t>Skipped Payments</w:t>
      </w:r>
    </w:p>
    <w:p>
      <w:pPr>
        <w:spacing w:after="0" w:line="210" w:lineRule="exact"/>
        <w:rPr>
          <w:sz w:val="20"/>
          <w:szCs w:val="20"/>
          <w:color w:val="auto"/>
        </w:rPr>
      </w:pPr>
    </w:p>
    <w:p>
      <w:pPr>
        <w:ind w:left="742"/>
        <w:spacing w:after="0" w:line="258" w:lineRule="auto"/>
        <w:rPr>
          <w:sz w:val="20"/>
          <w:szCs w:val="20"/>
          <w:color w:val="auto"/>
        </w:rPr>
      </w:pPr>
      <w:r>
        <w:rPr>
          <w:rFonts w:ascii="Times New Roman" w:cs="Times New Roman" w:eastAsia="Times New Roman" w:hAnsi="Times New Roman"/>
          <w:sz w:val="22"/>
          <w:szCs w:val="22"/>
          <w:color w:val="auto"/>
        </w:rPr>
        <w:t>In the event that the milestone under Section 8.3.5 is skipped for any reason, then within [***] days following the first submission of an NDA or MAA for a Product, such skipped milestone shall become due and payable.</w:t>
      </w:r>
    </w:p>
    <w:p>
      <w:pPr>
        <w:spacing w:after="0" w:line="127" w:lineRule="exact"/>
        <w:rPr>
          <w:sz w:val="20"/>
          <w:szCs w:val="20"/>
          <w:color w:val="auto"/>
        </w:rPr>
      </w:pPr>
    </w:p>
    <w:p>
      <w:pPr>
        <w:ind w:left="782" w:hanging="782"/>
        <w:spacing w:after="0"/>
        <w:tabs>
          <w:tab w:leader="none" w:pos="782"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INTELLECTUAL PROPERTY</w:t>
      </w:r>
    </w:p>
    <w:p>
      <w:pPr>
        <w:spacing w:after="0" w:line="179" w:lineRule="exact"/>
        <w:rPr>
          <w:sz w:val="20"/>
          <w:szCs w:val="20"/>
          <w:color w:val="auto"/>
        </w:rPr>
      </w:pPr>
    </w:p>
    <w:p>
      <w:pPr>
        <w:ind w:left="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Ownership of Intellectual Property</w:t>
      </w:r>
    </w:p>
    <w:p>
      <w:pPr>
        <w:spacing w:after="0" w:line="1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b w:val="1"/>
          <w:bCs w:val="1"/>
          <w:color w:val="auto"/>
        </w:rPr>
        <w:t>Ownership of Inventions</w:t>
      </w:r>
    </w:p>
    <w:p>
      <w:pPr>
        <w:spacing w:after="0" w:line="183" w:lineRule="exact"/>
        <w:rPr>
          <w:sz w:val="20"/>
          <w:szCs w:val="20"/>
          <w:color w:val="auto"/>
        </w:rPr>
      </w:pPr>
    </w:p>
    <w:p>
      <w:pPr>
        <w:jc w:val="both"/>
        <w:ind w:left="762" w:hanging="9"/>
        <w:spacing w:after="0" w:line="255" w:lineRule="auto"/>
        <w:rPr>
          <w:sz w:val="20"/>
          <w:szCs w:val="20"/>
          <w:color w:val="auto"/>
        </w:rPr>
      </w:pPr>
      <w:r>
        <w:rPr>
          <w:rFonts w:ascii="Times New Roman" w:cs="Times New Roman" w:eastAsia="Times New Roman" w:hAnsi="Times New Roman"/>
          <w:sz w:val="21"/>
          <w:szCs w:val="21"/>
          <w:color w:val="auto"/>
        </w:rPr>
        <w:t>Subject to Section 9.1.2, as between the Parties, each Party shall own all right, title and interest in and to any and all Inventions that are conceived, discovered, developed or otherwise made by or on behalf of such Party or its Affiliates or its or their (sub)licensees (or Sublicensee(s)), as applicable, under or in connection with this Agreement, whether or not patented or patentable and any and all Patents and other intellectual property rights with respect thereto.</w:t>
      </w:r>
    </w:p>
    <w:p>
      <w:pPr>
        <w:spacing w:after="0" w:line="1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b w:val="1"/>
          <w:bCs w:val="1"/>
          <w:color w:val="auto"/>
        </w:rPr>
        <w:t>United States Law</w:t>
      </w:r>
    </w:p>
    <w:p>
      <w:pPr>
        <w:spacing w:after="0" w:line="183" w:lineRule="exact"/>
        <w:rPr>
          <w:sz w:val="20"/>
          <w:szCs w:val="20"/>
          <w:color w:val="auto"/>
        </w:rPr>
      </w:pPr>
    </w:p>
    <w:p>
      <w:pPr>
        <w:jc w:val="both"/>
        <w:ind w:left="762" w:hanging="9"/>
        <w:spacing w:after="0" w:line="233" w:lineRule="auto"/>
        <w:rPr>
          <w:sz w:val="20"/>
          <w:szCs w:val="20"/>
          <w:color w:val="auto"/>
        </w:rPr>
      </w:pPr>
      <w:r>
        <w:rPr>
          <w:rFonts w:ascii="Times New Roman" w:cs="Times New Roman" w:eastAsia="Times New Roman" w:hAnsi="Times New Roman"/>
          <w:sz w:val="22"/>
          <w:szCs w:val="22"/>
          <w:color w:val="auto"/>
        </w:rPr>
        <w:t>The determination of whether Inventions are conceived, discovered, developed or otherwise made by a Party for the purpose of allocating proprietary rights (including Patent, copyright or other intellectual property rights) therein, shall, for purposes of this Agreement, be made in accordance with Applicable Law in the United States as such law exists as of the Effective Date irrespective of where such conception, discovery, development or making occurs. The Parties shall jointly own any Inventions and intellectual property rights therein that are made, conceived, reduced to practice, authored, or otherwise discovered jointly by the Parties or any of their employees, Affiliates, licensees, Sublicensees (where permitted), independent contractors, or agents, whether simultaneously or successively, including any Patent on such jointly owned Invention. Each Party shall have the right to use and license jointly owned Inventions and all intellectual property rights therein for any and all purposes without the need to account to or seek permission from the other Party (subject, in all cases, to any other applicable terms of this Agreement); provided, however, that for clarity, the foregoing shall not be construed as granting or conveying to either Party any license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721995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1440" w:right="499" w:bottom="1440" w:gutter="0" w:footer="0" w:header="0"/>
        </w:sectPr>
      </w:pPr>
    </w:p>
    <w:bookmarkStart w:id="199" w:name="page200"/>
    <w:bookmarkEnd w:id="199"/>
    <w:p>
      <w:pPr>
        <w:spacing w:after="0" w:line="117"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other rights to the other Party’s other intellectual property rights, unless otherwise expressly set forth in this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9.1.3 </w:t>
      </w:r>
      <w:r>
        <w:rPr>
          <w:rFonts w:ascii="Times New Roman" w:cs="Times New Roman" w:eastAsia="Times New Roman" w:hAnsi="Times New Roman"/>
          <w:sz w:val="22"/>
          <w:szCs w:val="22"/>
          <w:b w:val="1"/>
          <w:bCs w:val="1"/>
          <w:color w:val="auto"/>
        </w:rPr>
        <w:t>Assignment Obligation</w:t>
      </w:r>
    </w:p>
    <w:p>
      <w:pPr>
        <w:spacing w:after="0" w:line="183" w:lineRule="exact"/>
        <w:rPr>
          <w:sz w:val="20"/>
          <w:szCs w:val="20"/>
          <w:color w:val="auto"/>
        </w:rPr>
      </w:pPr>
    </w:p>
    <w:p>
      <w:pPr>
        <w:jc w:val="both"/>
        <w:ind w:left="760" w:hanging="9"/>
        <w:spacing w:after="0" w:line="256" w:lineRule="auto"/>
        <w:rPr>
          <w:sz w:val="20"/>
          <w:szCs w:val="20"/>
          <w:color w:val="auto"/>
        </w:rPr>
      </w:pPr>
      <w:r>
        <w:rPr>
          <w:rFonts w:ascii="Times New Roman" w:cs="Times New Roman" w:eastAsia="Times New Roman" w:hAnsi="Times New Roman"/>
          <w:sz w:val="22"/>
          <w:szCs w:val="22"/>
          <w:color w:val="auto"/>
        </w:rPr>
        <w:t>Each Party shall cause all Persons who perform activities for such Party under this Agreement or who conceive, discover, develop or otherwise make any Inventions by or</w:t>
      </w: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on behalf of either Party or its Affiliates or its or their (sub)licensees (or Sublicensees) under or in connection with this Agreement to be under an obligation to assign (or, if such Party is unable to cause such Person to agree to such assignment obligation despite such Party’s using commercially reasonable efforts to negotiate such assignment obligation, then to grant an exclusive license under) their rights in any Inventions resulting therefrom to such Party, except where Applicable Law requires otherwise and except in the case of governmental, not-for-profit and public institutions that have standard policies against such an assignment (in which case, a suitable license or right to obtain such a license, shall be obtained).</w:t>
      </w:r>
    </w:p>
    <w:p>
      <w:pPr>
        <w:spacing w:after="0" w:line="16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Maintenance and Prosecution of Patents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9.2.1 </w:t>
      </w:r>
      <w:r>
        <w:rPr>
          <w:rFonts w:ascii="Times New Roman" w:cs="Times New Roman" w:eastAsia="Times New Roman" w:hAnsi="Times New Roman"/>
          <w:sz w:val="22"/>
          <w:szCs w:val="22"/>
          <w:b w:val="1"/>
          <w:bCs w:val="1"/>
          <w:color w:val="auto"/>
        </w:rPr>
        <w:t>In General</w:t>
      </w:r>
    </w:p>
    <w:p>
      <w:pPr>
        <w:spacing w:after="0" w:line="183" w:lineRule="exact"/>
        <w:rPr>
          <w:sz w:val="20"/>
          <w:szCs w:val="20"/>
          <w:color w:val="auto"/>
        </w:rPr>
      </w:pPr>
    </w:p>
    <w:p>
      <w:pPr>
        <w:jc w:val="both"/>
        <w:ind w:left="760" w:hanging="9"/>
        <w:spacing w:after="0" w:line="232" w:lineRule="auto"/>
        <w:rPr>
          <w:sz w:val="20"/>
          <w:szCs w:val="20"/>
          <w:color w:val="auto"/>
        </w:rPr>
      </w:pPr>
      <w:r>
        <w:rPr>
          <w:rFonts w:ascii="Times New Roman" w:cs="Times New Roman" w:eastAsia="Times New Roman" w:hAnsi="Times New Roman"/>
          <w:sz w:val="22"/>
          <w:szCs w:val="22"/>
          <w:color w:val="auto"/>
        </w:rPr>
        <w:t>As between the Parties Mereo shall through counsel of its choice, prepare, file, prosecute, extend, apply for supplementary protection certificates relating thereto, and maintain the Option Patents, including any related interference, re-issuance, reexamination and opposition proceedings with respect thereto, in the Territory, in each case, [***] Prior to the Option Exercise Date, Mereo, as prosecuting Party shall periodically inform AstraZeneca of all material steps with regard to the preparation, filing, prosecution and maintenance of the Option Patents, in the Territory, including by providing AstraZeneca with a copy of material communications to and from any patent authority in the Territory regarding such Patents and by providing AstraZeneca drafts of any material filings or responses to be made to such patent authorities in the Territory sufficiently in advance of submitting such filings or responses so as to allow for a reasonable opportunity for AstraZeneca to review and comment thereon. Prior to the Option Exercise Date, Mereo shall consider in good faith the requests and suggestions of AstraZeneca with respect to such drafts and with respect to strategies for filing and prosecuting such Patents in the Territory and [***]. If, as between the Parties, Mereo decides, prior to the Option Exercise Date, not to prepare, file, prosecute or maintain an Option Patent in a country in the Territory, Mereo shall provide reasonable prior written notice to AstraZeneca of such intention, AstraZeneca shall thereupon have the right, in its sole discretion, to assume the control and direction of the preparation, filing, prosecution and maintenance of such Option Patent [***], whereupon AstraZeneca shall be deemed the prosecuting Party and Mereo the non-prosecuting Party with respect to such Patent for the purposes of Section 9.2.2. Notwithstanding the foregoing, if Mereo exercises the Option, AstraZeneca shall have no right to prepare, file, prosecute, extend, apply for supplementary protection certificates relating thereto, and maintain the Option Patents from and including the Option Exercise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9.2.2 </w:t>
      </w:r>
      <w:r>
        <w:rPr>
          <w:rFonts w:ascii="Times New Roman" w:cs="Times New Roman" w:eastAsia="Times New Roman" w:hAnsi="Times New Roman"/>
          <w:sz w:val="22"/>
          <w:szCs w:val="22"/>
          <w:b w:val="1"/>
          <w:bCs w:val="1"/>
          <w:color w:val="auto"/>
        </w:rPr>
        <w:t>Cooperation</w:t>
      </w:r>
    </w:p>
    <w:p>
      <w:pPr>
        <w:spacing w:after="0" w:line="183" w:lineRule="exact"/>
        <w:rPr>
          <w:sz w:val="20"/>
          <w:szCs w:val="20"/>
          <w:color w:val="auto"/>
        </w:rPr>
      </w:pPr>
    </w:p>
    <w:p>
      <w:pPr>
        <w:jc w:val="both"/>
        <w:ind w:left="760" w:hanging="9"/>
        <w:spacing w:after="0" w:line="244" w:lineRule="auto"/>
        <w:rPr>
          <w:sz w:val="20"/>
          <w:szCs w:val="20"/>
          <w:color w:val="auto"/>
        </w:rPr>
      </w:pPr>
      <w:r>
        <w:rPr>
          <w:rFonts w:ascii="Times New Roman" w:cs="Times New Roman" w:eastAsia="Times New Roman" w:hAnsi="Times New Roman"/>
          <w:sz w:val="22"/>
          <w:szCs w:val="22"/>
          <w:color w:val="auto"/>
        </w:rPr>
        <w:t>The non-prosecuting Party (as set forth in Section 9.2.1) shall, and shall cause its Affiliates to, assist and cooperate with the prosecuting Party (as set forth in Section 9.2.1), as the prosecuting Party may reasonably request from time to time,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715010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00" w:name="page201"/>
    <w:bookmarkEnd w:id="200"/>
    <w:p>
      <w:pPr>
        <w:spacing w:after="0" w:line="117"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2"/>
          <w:szCs w:val="22"/>
          <w:color w:val="auto"/>
        </w:rPr>
        <w:t>preparation, filing, prosecution and maintenance of the Option Patents in the Territory under this Section 9.2, including that the non-prosecuting Party shall, and shall ensure</w:t>
      </w: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 xml:space="preserve">that its Affiliates, (i) offer its comments, if any, promptly, (ii) provide access to relevant documents and other evidence and make its employees available at reasonable business hours;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neither Party shall be required to provide legally privileged information with respect to such intellectual property unless and until procedures reasonably acceptable to such Party are in place to protect such privilege);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the prosecuting Party shall reimburse the non-prosecuting Party for its [***] costs and expenses incurred in connection therewith.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9.2.3 </w:t>
      </w:r>
      <w:r>
        <w:rPr>
          <w:rFonts w:ascii="Times New Roman" w:cs="Times New Roman" w:eastAsia="Times New Roman" w:hAnsi="Times New Roman"/>
          <w:sz w:val="22"/>
          <w:szCs w:val="22"/>
          <w:b w:val="1"/>
          <w:bCs w:val="1"/>
          <w:color w:val="auto"/>
        </w:rPr>
        <w:t>Patent Listings</w:t>
      </w:r>
    </w:p>
    <w:p>
      <w:pPr>
        <w:spacing w:after="0" w:line="183" w:lineRule="exact"/>
        <w:rPr>
          <w:sz w:val="20"/>
          <w:szCs w:val="20"/>
          <w:color w:val="auto"/>
        </w:rPr>
      </w:pPr>
    </w:p>
    <w:p>
      <w:pPr>
        <w:jc w:val="both"/>
        <w:ind w:left="760" w:hanging="9"/>
        <w:spacing w:after="0" w:line="239" w:lineRule="auto"/>
        <w:rPr>
          <w:sz w:val="20"/>
          <w:szCs w:val="20"/>
          <w:color w:val="auto"/>
        </w:rPr>
      </w:pPr>
      <w:r>
        <w:rPr>
          <w:rFonts w:ascii="Times New Roman" w:cs="Times New Roman" w:eastAsia="Times New Roman" w:hAnsi="Times New Roman"/>
          <w:sz w:val="22"/>
          <w:szCs w:val="22"/>
          <w:color w:val="auto"/>
        </w:rPr>
        <w:t>As between the Parties, Mereo shall have the right in its good faith determination to make all filings with Regulatory Authorities in the Territory with respect to the Option Patents, including as required or allowed (i) in the United States, in the FDA’s Orange Book and (ii) in the European Union, under the national implementations of Section 10.1(a)(iii) of Directive 2001/EC/83 or other international equivalents.</w:t>
      </w:r>
    </w:p>
    <w:p>
      <w:pPr>
        <w:spacing w:after="0" w:line="271"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Enforcement of Patents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9.3.1 </w:t>
      </w:r>
      <w:r>
        <w:rPr>
          <w:rFonts w:ascii="Times New Roman" w:cs="Times New Roman" w:eastAsia="Times New Roman" w:hAnsi="Times New Roman"/>
          <w:sz w:val="22"/>
          <w:szCs w:val="22"/>
          <w:b w:val="1"/>
          <w:bCs w:val="1"/>
          <w:color w:val="auto"/>
        </w:rPr>
        <w:t>Notice</w:t>
      </w:r>
    </w:p>
    <w:p>
      <w:pPr>
        <w:spacing w:after="0" w:line="183" w:lineRule="exact"/>
        <w:rPr>
          <w:sz w:val="20"/>
          <w:szCs w:val="20"/>
          <w:color w:val="auto"/>
        </w:rPr>
      </w:pPr>
    </w:p>
    <w:p>
      <w:pPr>
        <w:jc w:val="both"/>
        <w:ind w:left="760" w:hanging="9"/>
        <w:spacing w:after="0" w:line="236" w:lineRule="auto"/>
        <w:rPr>
          <w:sz w:val="20"/>
          <w:szCs w:val="20"/>
          <w:color w:val="auto"/>
        </w:rPr>
      </w:pPr>
      <w:r>
        <w:rPr>
          <w:rFonts w:ascii="Times New Roman" w:cs="Times New Roman" w:eastAsia="Times New Roman" w:hAnsi="Times New Roman"/>
          <w:sz w:val="22"/>
          <w:szCs w:val="22"/>
          <w:color w:val="auto"/>
        </w:rPr>
        <w:t>Each Party shall promptly notify the other Party in writing of (i) any alleged or threatened infringement of the Option Patents in any jurisdiction in the Territory or (ii) any certification filed under the Hatch-Waxman Act claiming that any of the Option Patents are invalid or unenforceable or claiming that any of the Option Patents would not be infringed by the making, use, offer for sale, sale or import of a product for which an application under the Hatch-Waxman Act is filed or any equivalent or similar certification or notice in any other jurisdiction, in each case ((i) and (ii)) of which such Party becomes aware (an “</w:t>
      </w:r>
      <w:r>
        <w:rPr>
          <w:rFonts w:ascii="Times New Roman" w:cs="Times New Roman" w:eastAsia="Times New Roman" w:hAnsi="Times New Roman"/>
          <w:sz w:val="22"/>
          <w:szCs w:val="22"/>
          <w:b w:val="1"/>
          <w:bCs w:val="1"/>
          <w:color w:val="auto"/>
        </w:rPr>
        <w:t>Infringement</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9.3.2 </w:t>
      </w:r>
      <w:r>
        <w:rPr>
          <w:rFonts w:ascii="Times New Roman" w:cs="Times New Roman" w:eastAsia="Times New Roman" w:hAnsi="Times New Roman"/>
          <w:sz w:val="22"/>
          <w:szCs w:val="22"/>
          <w:b w:val="1"/>
          <w:bCs w:val="1"/>
          <w:color w:val="auto"/>
        </w:rPr>
        <w:t>Enforcement of Patents</w:t>
      </w:r>
    </w:p>
    <w:p>
      <w:pPr>
        <w:spacing w:after="0" w:line="183" w:lineRule="exact"/>
        <w:rPr>
          <w:sz w:val="20"/>
          <w:szCs w:val="20"/>
          <w:color w:val="auto"/>
        </w:rPr>
      </w:pPr>
    </w:p>
    <w:p>
      <w:pPr>
        <w:jc w:val="both"/>
        <w:ind w:left="760" w:hanging="9"/>
        <w:spacing w:after="0" w:line="244" w:lineRule="auto"/>
        <w:rPr>
          <w:sz w:val="20"/>
          <w:szCs w:val="20"/>
          <w:color w:val="auto"/>
        </w:rPr>
      </w:pPr>
      <w:r>
        <w:rPr>
          <w:rFonts w:ascii="Times New Roman" w:cs="Times New Roman" w:eastAsia="Times New Roman" w:hAnsi="Times New Roman"/>
          <w:sz w:val="21"/>
          <w:szCs w:val="21"/>
          <w:color w:val="auto"/>
        </w:rPr>
        <w:t>As between the Parties, Mereo shall have the first right, but not the obligation, to prosecute any Infringement with respect to the Option Patents, including as a defense or counterclaim in connection with any Third Party Infringement Claim, [***], using counsel of Mereo’s choice. If, prior to the Option Exercise Date, Mereo declines to prosecute any Infringement with respect to an Option Patent, AstraZeneca may prosecute such infringement [***]. For purposes of this Section 9.3.2, the Party prosecuting any Infringement pursuant to the foregoing sentences with respect to a Patent shall be the “</w:t>
      </w:r>
      <w:r>
        <w:rPr>
          <w:rFonts w:ascii="Times New Roman" w:cs="Times New Roman" w:eastAsia="Times New Roman" w:hAnsi="Times New Roman"/>
          <w:sz w:val="21"/>
          <w:szCs w:val="21"/>
          <w:b w:val="1"/>
          <w:bCs w:val="1"/>
          <w:color w:val="auto"/>
        </w:rPr>
        <w:t>Enforcing Party.</w:t>
      </w:r>
      <w:r>
        <w:rPr>
          <w:rFonts w:ascii="Times New Roman" w:cs="Times New Roman" w:eastAsia="Times New Roman" w:hAnsi="Times New Roman"/>
          <w:sz w:val="21"/>
          <w:szCs w:val="21"/>
          <w:color w:val="auto"/>
        </w:rPr>
        <w:t xml:space="preserve">” In the event AstraZeneca prosecutes any such Infringement in the Field in the Territory, Mereo shall have the right to join as a party to such claim, suit or proceeding and participate with its own counsel [***];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AstraZeneca shall retain control of the prosecution of such claim, suit or proceeding, including the response to any defense or defense of any counterclaim raised in connection therewith. In the event Mereo prosecutes any such Infringement in the Field in the Territory, AstraZeneca shall have the right to join as a party to such claim, suit or proceeding and participate with its own counsel [***]; provided that Mereo shall retain control of the prosecution of such claim, suit or proceeding, including the response to any defense or defense of any counterclaim raised in connection therewith. If Mereo exercises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721360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01" w:name="page202"/>
    <w:bookmarkEnd w:id="201"/>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Option, AstraZeneca shall have no right to prosecute any Infringement relating to the Option Patents from and including the relevant Option Exercise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9.3.3 </w:t>
      </w:r>
      <w:r>
        <w:rPr>
          <w:rFonts w:ascii="Times New Roman" w:cs="Times New Roman" w:eastAsia="Times New Roman" w:hAnsi="Times New Roman"/>
          <w:sz w:val="22"/>
          <w:szCs w:val="22"/>
          <w:b w:val="1"/>
          <w:bCs w:val="1"/>
          <w:color w:val="auto"/>
        </w:rPr>
        <w:t>Cooperation</w:t>
      </w:r>
    </w:p>
    <w:p>
      <w:pPr>
        <w:spacing w:after="0" w:line="183" w:lineRule="exact"/>
        <w:rPr>
          <w:sz w:val="20"/>
          <w:szCs w:val="20"/>
          <w:color w:val="auto"/>
        </w:rPr>
      </w:pPr>
    </w:p>
    <w:p>
      <w:pPr>
        <w:jc w:val="both"/>
        <w:ind w:left="760" w:hanging="9"/>
        <w:spacing w:after="0" w:line="232" w:lineRule="auto"/>
        <w:rPr>
          <w:sz w:val="20"/>
          <w:szCs w:val="20"/>
          <w:color w:val="auto"/>
        </w:rPr>
      </w:pPr>
      <w:r>
        <w:rPr>
          <w:rFonts w:ascii="Times New Roman" w:cs="Times New Roman" w:eastAsia="Times New Roman" w:hAnsi="Times New Roman"/>
          <w:sz w:val="22"/>
          <w:szCs w:val="22"/>
          <w:color w:val="auto"/>
        </w:rPr>
        <w:t>The Parties agree to cooperate fully in any Infringement action pursuant to this Section 9.3.3, including by making the inventors, applicable records and documents (including laboratory notebooks) with respect to the relevant Patents available to the Enforcing Party on the Enforcing Party’s request. With respect to an action controlled by the applicable Enforcing Party, the other Party shall, and shall cause its Affiliates to, assist and cooperate with the Enforcing Party, as the Enforcing Party may reasonably request from time to time, in connection with its activities set forth in this Section 9.3.3, including where necessary, furnishing a power of attorney solely for such purpose or joining in, or being named as a necessary party to, such action, providing access to relevant documents and other evidence and making its employees available at reasonable business hours; provided that the Enforcing Party shall reimburse such other Party for its [***] costs and expenses incurred in connection therewith. Unless otherwise set forth herein, the Enforcing Party shall have the right to settle such claim; provided that neither Party shall have the right to settle any Infringement litigation under this Section 9.3.3 in a manner that has a material adverse effect on the rights or interest of the other Party or in a manner that imposes any costs or liability on or involves any admission by, the other Party, without the express written consent of such other Party (which consent shall not be unreasonably withheld, conditioned or delayed). In connection with any activities with respect to an Infringement action prosecuted by the applicable Enforcing Party pursuant to this Section 9.3.3 involving Patents owned or Controlled by or licensed under Section 2 to the other Party, the Enforcing Party shall (i) consult with the other Party as to the strategy for the prosecution of such claim, suit or proceeding, (ii) consider in good faith any comments from the other Party with respect thereto and (iii) keep the other Party reasonably informed of any material steps taken and provide copies of all material documents filed, in connection with such 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9.3.4 </w:t>
      </w:r>
      <w:r>
        <w:rPr>
          <w:rFonts w:ascii="Times New Roman" w:cs="Times New Roman" w:eastAsia="Times New Roman" w:hAnsi="Times New Roman"/>
          <w:sz w:val="22"/>
          <w:szCs w:val="22"/>
          <w:b w:val="1"/>
          <w:bCs w:val="1"/>
          <w:color w:val="auto"/>
        </w:rPr>
        <w:t>Recovery</w:t>
      </w:r>
    </w:p>
    <w:p>
      <w:pPr>
        <w:spacing w:after="0" w:line="183" w:lineRule="exact"/>
        <w:rPr>
          <w:sz w:val="20"/>
          <w:szCs w:val="20"/>
          <w:color w:val="auto"/>
        </w:rPr>
      </w:pPr>
    </w:p>
    <w:p>
      <w:pPr>
        <w:jc w:val="both"/>
        <w:ind w:left="760" w:hanging="9"/>
        <w:spacing w:after="0" w:line="249" w:lineRule="auto"/>
        <w:rPr>
          <w:sz w:val="20"/>
          <w:szCs w:val="20"/>
          <w:color w:val="auto"/>
        </w:rPr>
      </w:pPr>
      <w:r>
        <w:rPr>
          <w:rFonts w:ascii="Times New Roman" w:cs="Times New Roman" w:eastAsia="Times New Roman" w:hAnsi="Times New Roman"/>
          <w:sz w:val="21"/>
          <w:szCs w:val="21"/>
          <w:color w:val="auto"/>
        </w:rPr>
        <w:t>Except as otherwise agreed by the Parties in connection with a cost sharing arrangement, any recovery realized as a result of such litigation described above in this Section 9.3.4 (whether by way of settlement or otherwise) shall be first, allocated to reimburse the Parties for their costs and expenses in making such recovery (which [***] if [***] to</w:t>
      </w:r>
    </w:p>
    <w:p>
      <w:pPr>
        <w:spacing w:after="0" w:line="1" w:lineRule="exact"/>
        <w:rPr>
          <w:sz w:val="20"/>
          <w:szCs w:val="20"/>
          <w:color w:val="auto"/>
        </w:rPr>
      </w:pPr>
    </w:p>
    <w:p>
      <w:pPr>
        <w:jc w:val="both"/>
        <w:ind w:left="760" w:firstLine="3"/>
        <w:spacing w:after="0" w:line="235" w:lineRule="auto"/>
        <w:tabs>
          <w:tab w:leader="none" w:pos="128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 of [***]). Any remainder after such reimbursement is made shall be [***];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to the extent that [***] or [***] (whether by [***] or [***]) with respect to an [***] is [***] to [***] of [***] or [***] with respect to [***] such [***] or [***] shall be [***] and [***].</w:t>
      </w:r>
    </w:p>
    <w:p>
      <w:pPr>
        <w:spacing w:after="0" w:line="160"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9.4</w:t>
      </w:r>
      <w:r>
        <w:rPr>
          <w:sz w:val="20"/>
          <w:szCs w:val="20"/>
          <w:color w:val="auto"/>
        </w:rPr>
        <w:tab/>
      </w:r>
      <w:r>
        <w:rPr>
          <w:rFonts w:ascii="Times New Roman" w:cs="Times New Roman" w:eastAsia="Times New Roman" w:hAnsi="Times New Roman"/>
          <w:sz w:val="21"/>
          <w:szCs w:val="21"/>
          <w:b w:val="1"/>
          <w:bCs w:val="1"/>
          <w:color w:val="auto"/>
        </w:rPr>
        <w:t>Infringement Claims by Third Parties</w:t>
      </w:r>
    </w:p>
    <w:p>
      <w:pPr>
        <w:spacing w:after="0" w:line="183" w:lineRule="exact"/>
        <w:rPr>
          <w:sz w:val="20"/>
          <w:szCs w:val="20"/>
          <w:color w:val="auto"/>
        </w:rPr>
      </w:pPr>
    </w:p>
    <w:p>
      <w:pPr>
        <w:jc w:val="both"/>
        <w:ind w:left="760" w:hanging="9"/>
        <w:spacing w:after="0" w:line="244" w:lineRule="auto"/>
        <w:rPr>
          <w:sz w:val="20"/>
          <w:szCs w:val="20"/>
          <w:color w:val="auto"/>
        </w:rPr>
      </w:pPr>
      <w:r>
        <w:rPr>
          <w:rFonts w:ascii="Times New Roman" w:cs="Times New Roman" w:eastAsia="Times New Roman" w:hAnsi="Times New Roman"/>
          <w:sz w:val="22"/>
          <w:szCs w:val="22"/>
          <w:color w:val="auto"/>
        </w:rPr>
        <w:t>If the Exploitation of a Product in the Territory pursuant to this Agreement results in, or is reasonably expected to result in, any claim, suit or proceeding by a Third Party alleging infringement by Mereo or any of its Affiliates or its or their Sublicensees, (a</w:t>
      </w:r>
    </w:p>
    <w:p>
      <w:pPr>
        <w:spacing w:after="0" w:line="21" w:lineRule="exact"/>
        <w:rPr>
          <w:sz w:val="20"/>
          <w:szCs w:val="20"/>
          <w:color w:val="auto"/>
        </w:rPr>
      </w:pPr>
    </w:p>
    <w:p>
      <w:pPr>
        <w:jc w:val="both"/>
        <w:ind w:left="76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Infringement Claim</w:t>
      </w:r>
      <w:r>
        <w:rPr>
          <w:rFonts w:ascii="Times New Roman" w:cs="Times New Roman" w:eastAsia="Times New Roman" w:hAnsi="Times New Roman"/>
          <w:sz w:val="22"/>
          <w:szCs w:val="22"/>
          <w:color w:val="auto"/>
        </w:rPr>
        <w:t>”), including any defense or counterclaim in connection with an Infringement action initiated pursuant to this Section 9.4, the Party first becoming aware of such alleged infringement shall promptly notify the other Party thereof in writing. As between the Parties, Mereo shall be responsible for defending any such claim, suit or proceeding [***], using counsel of Mereo’s choice.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708025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08" w:right="499" w:bottom="1440" w:gutter="0" w:footer="0" w:header="0"/>
        </w:sectPr>
      </w:pPr>
    </w:p>
    <w:bookmarkStart w:id="202" w:name="page203"/>
    <w:bookmarkEnd w:id="202"/>
    <w:p>
      <w:pPr>
        <w:jc w:val="both"/>
        <w:ind w:left="740" w:right="20"/>
        <w:spacing w:after="0" w:line="233" w:lineRule="auto"/>
        <w:rPr>
          <w:sz w:val="20"/>
          <w:szCs w:val="20"/>
          <w:color w:val="auto"/>
        </w:rPr>
      </w:pPr>
      <w:r>
        <w:rPr>
          <w:rFonts w:ascii="Times New Roman" w:cs="Times New Roman" w:eastAsia="Times New Roman" w:hAnsi="Times New Roman"/>
          <w:sz w:val="22"/>
          <w:szCs w:val="22"/>
          <w:color w:val="auto"/>
        </w:rPr>
        <w:t>Option Exercise Date, AstraZeneca may participate in any such claim, suit or proceeding with counsel of its choice [***]; provided that Mereo shall retain the right to control such claim, suit or proceeding. If Mereo exercises the Option, AstraZeneca shall have no right participate in any such claim, suit or proceeding relating to the Option Patents from and including the Option Exercise Date. AstraZeneca shall, and shall cause its Affiliates to, assist and cooperate with Mereo, as Mereo may reasonably request from time to time, in connection with its activities set forth in this Section 9.4, including where necessary, furnishing a power of attorney solely for such purpose or joining in, or being named as a necessary party to, such action, providing access to relevant documents and other evidence and making its employees available at reasonable business hours; provided that Mereo shall reimburse AstraZeneca for its [***] costs and expenses incurred in connection therewith. Mereo shall keep AstraZeneca reasonably informed of all material developments in connection with any such claim, suit or proceeding. Mereo agrees to provide AstraZeneca with copies of all material pleadings filed in such action and to allow AstraZeneca reasonable opportunity to participate in the defense of the claims. Any damages, or awards, including royalties incurred or awarded in connection with any Third Party Infringement Claim defended under this Section 9.4 shall be [***]. For clarity, if Mereo is required to make any payment to a Third Party to settle such Third Party Infringement Claim, such Third Party Payment shall be a Third Party Payment for the purposes of Section 8.5.3(c).</w:t>
      </w:r>
    </w:p>
    <w:p>
      <w:pPr>
        <w:spacing w:after="0" w:line="17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9.5</w:t>
      </w:r>
      <w:r>
        <w:rPr>
          <w:sz w:val="20"/>
          <w:szCs w:val="20"/>
          <w:color w:val="auto"/>
        </w:rPr>
        <w:tab/>
      </w:r>
      <w:r>
        <w:rPr>
          <w:rFonts w:ascii="Times New Roman" w:cs="Times New Roman" w:eastAsia="Times New Roman" w:hAnsi="Times New Roman"/>
          <w:sz w:val="21"/>
          <w:szCs w:val="21"/>
          <w:b w:val="1"/>
          <w:bCs w:val="1"/>
          <w:color w:val="auto"/>
        </w:rPr>
        <w:t>Invalidity or Unenforceability Defenses or Actions</w:t>
      </w:r>
    </w:p>
    <w:p>
      <w:pPr>
        <w:spacing w:after="0" w:line="183" w:lineRule="exact"/>
        <w:rPr>
          <w:sz w:val="20"/>
          <w:szCs w:val="20"/>
          <w:color w:val="auto"/>
        </w:rPr>
      </w:pPr>
    </w:p>
    <w:p>
      <w:pPr>
        <w:jc w:val="both"/>
        <w:ind w:left="740" w:hanging="9"/>
        <w:spacing w:after="0" w:line="243" w:lineRule="auto"/>
        <w:rPr>
          <w:sz w:val="20"/>
          <w:szCs w:val="20"/>
          <w:color w:val="auto"/>
        </w:rPr>
      </w:pPr>
      <w:r>
        <w:rPr>
          <w:rFonts w:ascii="Times New Roman" w:cs="Times New Roman" w:eastAsia="Times New Roman" w:hAnsi="Times New Roman"/>
          <w:sz w:val="21"/>
          <w:szCs w:val="21"/>
          <w:color w:val="auto"/>
        </w:rPr>
        <w:t>Each Party shall promptly notify the other Party in writing of any alleged or threatened assertion of invalidity or unenforceability of any of the Option Patents by a Third Party and of which such Party becomes aware. As between the Parties, Mereo shall have the first right, but not the obligation, to defend and control the defense of the validity and enforceability of the Option Patents [***]. If, prior to the Option Exercise Date, Mereo declines to defend any such invalidity claim with respect to an Option Patent, AstraZeneca may defend such invalidity claim [***]. For purposes of this Section 9.5, the Party defending any action pursuant to the foregoing sentence with respect to a Patent shall be the “</w:t>
      </w:r>
      <w:r>
        <w:rPr>
          <w:rFonts w:ascii="Times New Roman" w:cs="Times New Roman" w:eastAsia="Times New Roman" w:hAnsi="Times New Roman"/>
          <w:sz w:val="21"/>
          <w:szCs w:val="21"/>
          <w:b w:val="1"/>
          <w:bCs w:val="1"/>
          <w:color w:val="auto"/>
        </w:rPr>
        <w:t>Controlling Party</w:t>
      </w:r>
      <w:r>
        <w:rPr>
          <w:rFonts w:ascii="Times New Roman" w:cs="Times New Roman" w:eastAsia="Times New Roman" w:hAnsi="Times New Roman"/>
          <w:sz w:val="21"/>
          <w:szCs w:val="21"/>
          <w:color w:val="auto"/>
        </w:rPr>
        <w:t>.” If the Controlling Party or its designee elects not to defend or control the defense of the applicable Patents in a suit brought in the Territory or otherwise fails to initiate and maintain the defense of any such claim, suit or proceeding, then subject to any rights of Third Parties under any applicable Third Party agreements existing as of the Effective Date, the non-Controlling Party may conduct and control the defense of any such claim, suit or proceeding [***]. If Mereo exercises the Option, AstraZeneca shall have no right to defend or control the defense of for the relevant Option Patents from and including the relevant Option Exercise Date. The non-Controlling Party in such an action shall, and shall cause its Affiliates to, assist and cooperate with the Controlling Party, as such Controlling Party may reasonably request from time to time in connection with its activities set forth in this Section 9.5, including where necessary, furnishing a power of attorney solely for such purpose or joining in, or being named as a necessary party to, such action, providing access to relevant documents and other evidence and making its employees available at reasonable business hours; provided that the Controlling Party shall reimburse the non-Controlling Party for its [***] costs and expenses incurred in connection therewith. In connection with any activities with respect to a defense, claim or counterclaim relating to the Option Patents pursuant to this Section 9.5, the Controlling Party shall (x) consult with the non-Controlling Party as to the strategy for such activities, (y) consider in good faith any comments from the non-Controlling Party and (z) keep the non-Controlling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721995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1408" w:right="479" w:bottom="1440" w:gutter="0" w:footer="0" w:header="0"/>
        </w:sectPr>
      </w:pPr>
    </w:p>
    <w:bookmarkStart w:id="203" w:name="page204"/>
    <w:bookmarkEnd w:id="203"/>
    <w:p>
      <w:pPr>
        <w:spacing w:after="0" w:line="117" w:lineRule="exact"/>
        <w:rPr>
          <w:sz w:val="20"/>
          <w:szCs w:val="20"/>
          <w:color w:val="auto"/>
        </w:rPr>
      </w:pPr>
    </w:p>
    <w:p>
      <w:pPr>
        <w:jc w:val="both"/>
        <w:ind w:left="748"/>
        <w:spacing w:after="0" w:line="258" w:lineRule="auto"/>
        <w:rPr>
          <w:sz w:val="20"/>
          <w:szCs w:val="20"/>
          <w:color w:val="auto"/>
        </w:rPr>
      </w:pPr>
      <w:r>
        <w:rPr>
          <w:rFonts w:ascii="Times New Roman" w:cs="Times New Roman" w:eastAsia="Times New Roman" w:hAnsi="Times New Roman"/>
          <w:sz w:val="22"/>
          <w:szCs w:val="22"/>
          <w:color w:val="auto"/>
        </w:rPr>
        <w:t>Party reasonably informed of any material steps taken and provide copies of all material documents filed, in connection with such defense, claim or counterclaim.</w:t>
      </w:r>
    </w:p>
    <w:p>
      <w:pPr>
        <w:spacing w:after="0" w:line="127" w:lineRule="exact"/>
        <w:rPr>
          <w:sz w:val="20"/>
          <w:szCs w:val="20"/>
          <w:color w:val="auto"/>
        </w:rPr>
      </w:pPr>
    </w:p>
    <w:p>
      <w:pPr>
        <w:ind w:left="8"/>
        <w:spacing w:after="0"/>
        <w:tabs>
          <w:tab w:leader="none" w:pos="727"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color w:val="auto"/>
        </w:rPr>
        <w:t>Third Party Patent Rights</w:t>
      </w:r>
    </w:p>
    <w:p>
      <w:pPr>
        <w:spacing w:after="0" w:line="197" w:lineRule="exact"/>
        <w:rPr>
          <w:sz w:val="20"/>
          <w:szCs w:val="20"/>
          <w:color w:val="auto"/>
        </w:rPr>
      </w:pPr>
    </w:p>
    <w:p>
      <w:pPr>
        <w:jc w:val="both"/>
        <w:ind w:left="748" w:hanging="9"/>
        <w:spacing w:after="0" w:line="249" w:lineRule="auto"/>
        <w:rPr>
          <w:sz w:val="20"/>
          <w:szCs w:val="20"/>
          <w:color w:val="auto"/>
        </w:rPr>
      </w:pPr>
      <w:r>
        <w:rPr>
          <w:rFonts w:ascii="Times New Roman" w:cs="Times New Roman" w:eastAsia="Times New Roman" w:hAnsi="Times New Roman"/>
          <w:sz w:val="21"/>
          <w:szCs w:val="21"/>
          <w:color w:val="auto"/>
        </w:rPr>
        <w:t>If, at any time during the Term, [***], the Exploitation of the Compounds or Product in the Field and in the Territory by Mereo, any of its Affiliates or any of its or their Sublicensees infringes or is reasonably expected to infringe any Patent of a Third Party in any country in the Territory (such right, a “</w:t>
      </w:r>
      <w:r>
        <w:rPr>
          <w:rFonts w:ascii="Times New Roman" w:cs="Times New Roman" w:eastAsia="Times New Roman" w:hAnsi="Times New Roman"/>
          <w:sz w:val="21"/>
          <w:szCs w:val="21"/>
          <w:b w:val="1"/>
          <w:bCs w:val="1"/>
          <w:color w:val="auto"/>
        </w:rPr>
        <w:t>Third Party Patent Right</w:t>
      </w:r>
      <w:r>
        <w:rPr>
          <w:rFonts w:ascii="Times New Roman" w:cs="Times New Roman" w:eastAsia="Times New Roman" w:hAnsi="Times New Roman"/>
          <w:sz w:val="21"/>
          <w:szCs w:val="21"/>
          <w:color w:val="auto"/>
        </w:rPr>
        <w:t xml:space="preserve">”), then, as between the Parties, Mereo shall have the right, but not the obligation, to negotiate and obtain a license from such Third Party to such Third Party Patent Right as necessary or desirable for Mereo or its Affiliates or its or their Sublicensees to Exploit the Compounds and Products in the Field in such country;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subject to [***].</w:t>
      </w:r>
    </w:p>
    <w:p>
      <w:pPr>
        <w:spacing w:after="0" w:line="207" w:lineRule="exact"/>
        <w:rPr>
          <w:sz w:val="20"/>
          <w:szCs w:val="20"/>
          <w:color w:val="auto"/>
        </w:rPr>
      </w:pPr>
    </w:p>
    <w:p>
      <w:pPr>
        <w:ind w:left="8" w:right="5540" w:hanging="8"/>
        <w:spacing w:after="0" w:line="418" w:lineRule="auto"/>
        <w:tabs>
          <w:tab w:leader="none" w:pos="786"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 AND NON-DISCLOSURE 10.1 Confidentiality Obligations</w:t>
      </w:r>
    </w:p>
    <w:p>
      <w:pPr>
        <w:jc w:val="both"/>
        <w:ind w:left="748" w:hanging="9"/>
        <w:spacing w:after="0" w:line="243" w:lineRule="auto"/>
        <w:rPr>
          <w:sz w:val="20"/>
          <w:szCs w:val="20"/>
          <w:color w:val="auto"/>
        </w:rPr>
      </w:pPr>
      <w:r>
        <w:rPr>
          <w:rFonts w:ascii="Times New Roman" w:cs="Times New Roman" w:eastAsia="Times New Roman" w:hAnsi="Times New Roman"/>
          <w:sz w:val="21"/>
          <w:szCs w:val="21"/>
          <w:color w:val="auto"/>
        </w:rPr>
        <w:t>At all times during the Term and for a period of [***] years following termination or expiration hereof in its entirety (except that Confidential Information consisting of trade secrets shall be subject to the terms and conditions of this Section 10 beyond such [***] year period until such Confidential Information no longer constitutes a trade secret except where due to a breach by the receiving Party of this Agreement or other obligation of confidentiality owed to the disclosing Party), each Party shall and shall cause its officers, directors, employees and agents to, keep confidential and not publish or otherwise disclose to a Third Party and not use, directly or indirectly, for any purpose, any Confidential Information furnished or otherwise made known to it, directly or indirectly, by the other Party, except to the extent such disclosure or use is expressly permitted by the terms of this Agreement. “</w:t>
      </w:r>
      <w:r>
        <w:rPr>
          <w:rFonts w:ascii="Times New Roman" w:cs="Times New Roman" w:eastAsia="Times New Roman" w:hAnsi="Times New Roman"/>
          <w:sz w:val="21"/>
          <w:szCs w:val="21"/>
          <w:b w:val="1"/>
          <w:bCs w:val="1"/>
          <w:color w:val="auto"/>
        </w:rPr>
        <w:t>Confidential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Information</w:t>
      </w:r>
      <w:r>
        <w:rPr>
          <w:rFonts w:ascii="Times New Roman" w:cs="Times New Roman" w:eastAsia="Times New Roman" w:hAnsi="Times New Roman"/>
          <w:sz w:val="21"/>
          <w:szCs w:val="21"/>
          <w:color w:val="auto"/>
        </w:rPr>
        <w:t>” means any technical, business or other information or data provided by or on behalf of one Party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other Party regardless of form including a formula, pattern, compilation, program, method, technique, process, inventory, chemical, physical material, chemical structure or activity, design, prototype, drawings, samples, source code, business plan, business opportunity, customer or personnel list, or financial statement proprietary to a Party or its Affiliate, including information relating to the terms of this Agreement (subject to Section 10.4), information relating to the Compound(s) or any Product(s) (including the Regulatory Documentation), any Development or Commercialization of the Compounds or any Product(s), any know-how with respect thereto developed by or on behalf of the disclosing Party or its Affiliates or the scientific, regulatory or business affairs or other activities of either Party. Notwithstanding the foregoing, the terms of this Agreement shall be deemed to be the Confidential Information of both Parties and both Parties shall be deemed to be the receiving Party and the disclosing Party with respect thereto. Notwithstanding the foregoing, the confidentiality and non-use obligations under this Section 10.1 with respect to any Confidential Information shall not include any information or portion thereof that:</w:t>
      </w:r>
    </w:p>
    <w:p>
      <w:pPr>
        <w:spacing w:after="0" w:line="172" w:lineRule="exact"/>
        <w:rPr>
          <w:sz w:val="20"/>
          <w:szCs w:val="20"/>
          <w:color w:val="auto"/>
        </w:rPr>
      </w:pPr>
    </w:p>
    <w:p>
      <w:pPr>
        <w:jc w:val="both"/>
        <w:ind w:left="708" w:hanging="722"/>
        <w:spacing w:after="0" w:line="258" w:lineRule="auto"/>
        <w:tabs>
          <w:tab w:leader="none" w:pos="687" w:val="left"/>
        </w:tabs>
        <w:rPr>
          <w:sz w:val="20"/>
          <w:szCs w:val="20"/>
          <w:color w:val="auto"/>
        </w:rPr>
      </w:pPr>
      <w:r>
        <w:rPr>
          <w:rFonts w:ascii="Times New Roman" w:cs="Times New Roman" w:eastAsia="Times New Roman" w:hAnsi="Times New Roman"/>
          <w:sz w:val="22"/>
          <w:szCs w:val="22"/>
          <w:color w:val="auto"/>
        </w:rPr>
        <w:t>10.1.1</w:t>
        <w:tab/>
        <w:t>is or hereafter becomes part of the public domain by public use, publication, general knowledge or the like through no breach of this Agreement by the receiving Party;</w:t>
      </w:r>
    </w:p>
    <w:p>
      <w:pPr>
        <w:spacing w:after="0" w:line="131" w:lineRule="exact"/>
        <w:rPr>
          <w:sz w:val="20"/>
          <w:szCs w:val="20"/>
          <w:color w:val="auto"/>
        </w:rPr>
      </w:pPr>
    </w:p>
    <w:p>
      <w:pPr>
        <w:jc w:val="both"/>
        <w:ind w:left="708" w:hanging="723"/>
        <w:spacing w:after="0" w:line="244" w:lineRule="auto"/>
        <w:tabs>
          <w:tab w:leader="none" w:pos="687" w:val="left"/>
        </w:tabs>
        <w:rPr>
          <w:sz w:val="20"/>
          <w:szCs w:val="20"/>
          <w:color w:val="auto"/>
        </w:rPr>
      </w:pPr>
      <w:r>
        <w:rPr>
          <w:rFonts w:ascii="Times New Roman" w:cs="Times New Roman" w:eastAsia="Times New Roman" w:hAnsi="Times New Roman"/>
          <w:sz w:val="22"/>
          <w:szCs w:val="22"/>
          <w:color w:val="auto"/>
        </w:rPr>
        <w:t>10.1.2</w:t>
        <w:tab/>
        <w:t>can be demonstrated by documentation or other competent proof to have been known by or in the receiving Party’s possession prior to disclosure by the disclosing Party without any obligation of confidentiality with respect to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715010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92" w:top="1440" w:right="499" w:bottom="1440" w:gutter="0" w:footer="0" w:header="0"/>
        </w:sectPr>
      </w:pPr>
    </w:p>
    <w:bookmarkStart w:id="204" w:name="page205"/>
    <w:bookmarkEnd w:id="204"/>
    <w:p>
      <w:pPr>
        <w:spacing w:after="0" w:line="117" w:lineRule="exact"/>
        <w:rPr>
          <w:sz w:val="20"/>
          <w:szCs w:val="20"/>
          <w:color w:val="auto"/>
        </w:rPr>
      </w:pPr>
    </w:p>
    <w:p>
      <w:pPr>
        <w:ind w:left="720" w:right="20" w:hanging="722"/>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10.1.3</w:t>
        <w:tab/>
        <w:t>is subsequently received by the receiving Party from a Third Party who is not bound by any obligation of confidentiality with respect to such information and who otherwise has the right to make such disclosure;</w:t>
      </w:r>
    </w:p>
    <w:p>
      <w:pPr>
        <w:spacing w:after="0" w:line="131" w:lineRule="exact"/>
        <w:rPr>
          <w:sz w:val="20"/>
          <w:szCs w:val="20"/>
          <w:color w:val="auto"/>
        </w:rPr>
      </w:pPr>
    </w:p>
    <w:p>
      <w:pPr>
        <w:ind w:left="720" w:right="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10.1.4</w:t>
        <w:tab/>
        <w:t>has been or is published by a Third Party or otherwise enters the public domain through no fault of the receiving Party in breach of this Agreement; or</w:t>
      </w:r>
    </w:p>
    <w:p>
      <w:pPr>
        <w:spacing w:after="0" w:line="145" w:lineRule="exact"/>
        <w:rPr>
          <w:sz w:val="20"/>
          <w:szCs w:val="20"/>
          <w:color w:val="auto"/>
        </w:rPr>
      </w:pPr>
    </w:p>
    <w:p>
      <w:pPr>
        <w:ind w:left="720" w:right="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10.1.5</w:t>
        <w:tab/>
        <w:t>can be demonstrated by documentation or other competent evidence to have been independently developed by or for the receiving Party without reference to the disclosing Party’s Confidential Information.</w:t>
      </w:r>
    </w:p>
    <w:p>
      <w:pPr>
        <w:spacing w:after="0" w:line="131" w:lineRule="exact"/>
        <w:rPr>
          <w:sz w:val="20"/>
          <w:szCs w:val="20"/>
          <w:color w:val="auto"/>
        </w:rPr>
      </w:pPr>
    </w:p>
    <w:p>
      <w:pPr>
        <w:jc w:val="both"/>
        <w:ind w:left="760" w:right="20" w:hanging="9"/>
        <w:spacing w:after="0" w:line="235" w:lineRule="auto"/>
        <w:rPr>
          <w:sz w:val="20"/>
          <w:szCs w:val="20"/>
          <w:color w:val="auto"/>
        </w:rPr>
      </w:pPr>
      <w:r>
        <w:rPr>
          <w:rFonts w:ascii="Times New Roman" w:cs="Times New Roman" w:eastAsia="Times New Roman" w:hAnsi="Times New Roman"/>
          <w:sz w:val="22"/>
          <w:szCs w:val="22"/>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66"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Permitted Disclosures</w:t>
      </w:r>
    </w:p>
    <w:p>
      <w:pPr>
        <w:spacing w:after="0" w:line="1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Each Party may disclose Confidential Information to the extent that such disclosure is:</w:t>
      </w:r>
    </w:p>
    <w:p>
      <w:pPr>
        <w:spacing w:after="0" w:line="193" w:lineRule="exact"/>
        <w:rPr>
          <w:sz w:val="20"/>
          <w:szCs w:val="20"/>
          <w:color w:val="auto"/>
        </w:rPr>
      </w:pPr>
    </w:p>
    <w:p>
      <w:pPr>
        <w:jc w:val="both"/>
        <w:ind w:left="720" w:hanging="723"/>
        <w:spacing w:after="0" w:line="235" w:lineRule="auto"/>
        <w:tabs>
          <w:tab w:leader="none" w:pos="700" w:val="left"/>
        </w:tabs>
        <w:rPr>
          <w:sz w:val="20"/>
          <w:szCs w:val="20"/>
          <w:color w:val="auto"/>
        </w:rPr>
      </w:pPr>
      <w:r>
        <w:rPr>
          <w:rFonts w:ascii="Times New Roman" w:cs="Times New Roman" w:eastAsia="Times New Roman" w:hAnsi="Times New Roman"/>
          <w:sz w:val="22"/>
          <w:szCs w:val="22"/>
          <w:color w:val="auto"/>
        </w:rPr>
        <w:t>10.2.1</w:t>
        <w:tab/>
        <w:t xml:space="preserve">made in response to a valid order of a court of competent jurisdiction or other supranational, federal, national, regional, state, provincial and local governmental or regulatory body of competent jurisdiction or, if in the reasonable opinion of the receiving Party’s legal counsel, such disclosure is otherwise required by law, including by reason of filing with securities regulators or rules of an applicable securities exchange;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receiving Party shall first where practicable have given notice to the disclosing Party and given the disclosing Party a reasonable opportunity to quash such order or to obtain a protective order or confidential treatment requiring that the Confidential Information and documents that are the subject of such order be held in confidence by such court or agency or, if disclosed, be used only for</w:t>
      </w:r>
    </w:p>
    <w:p>
      <w:pPr>
        <w:spacing w:after="0" w:line="26" w:lineRule="exact"/>
        <w:rPr>
          <w:sz w:val="20"/>
          <w:szCs w:val="20"/>
          <w:color w:val="auto"/>
        </w:rPr>
      </w:pPr>
    </w:p>
    <w:p>
      <w:pPr>
        <w:jc w:val="both"/>
        <w:ind w:left="740" w:right="20"/>
        <w:spacing w:after="0" w:line="246" w:lineRule="auto"/>
        <w:rPr>
          <w:sz w:val="20"/>
          <w:szCs w:val="20"/>
          <w:color w:val="auto"/>
        </w:rPr>
      </w:pPr>
      <w:r>
        <w:rPr>
          <w:rFonts w:ascii="Times New Roman" w:cs="Times New Roman" w:eastAsia="Times New Roman" w:hAnsi="Times New Roman"/>
          <w:sz w:val="22"/>
          <w:szCs w:val="22"/>
          <w:color w:val="auto"/>
        </w:rPr>
        <w:t xml:space="preserve">the purposes for which the order was issued;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Confidential Information disclosed in response to such court or governmental order shall be limited to that information which is legally required to be disclosed in response to such court or governmental order;</w:t>
      </w:r>
    </w:p>
    <w:p>
      <w:pPr>
        <w:spacing w:after="0" w:line="144" w:lineRule="exact"/>
        <w:rPr>
          <w:sz w:val="20"/>
          <w:szCs w:val="20"/>
          <w:color w:val="auto"/>
        </w:rPr>
      </w:pPr>
    </w:p>
    <w:p>
      <w:pPr>
        <w:jc w:val="both"/>
        <w:ind w:left="720" w:right="20" w:hanging="723"/>
        <w:spacing w:after="0" w:line="244" w:lineRule="auto"/>
        <w:tabs>
          <w:tab w:leader="none" w:pos="700" w:val="left"/>
        </w:tabs>
        <w:rPr>
          <w:sz w:val="20"/>
          <w:szCs w:val="20"/>
          <w:color w:val="auto"/>
        </w:rPr>
      </w:pPr>
      <w:r>
        <w:rPr>
          <w:rFonts w:ascii="Times New Roman" w:cs="Times New Roman" w:eastAsia="Times New Roman" w:hAnsi="Times New Roman"/>
          <w:sz w:val="22"/>
          <w:szCs w:val="22"/>
          <w:color w:val="auto"/>
        </w:rPr>
        <w:t>10.2.2</w:t>
        <w:tab/>
        <w:t xml:space="preserve">made by or on behalf of the receiving Party to the Regulatory Authorities as required in connection with any filing, application or request for Regulatory Approval;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reasonable measures shall be taken to assure confidential treatment of such information to the extent practicable and consistent with Applicable Law;</w:t>
      </w:r>
    </w:p>
    <w:p>
      <w:pPr>
        <w:spacing w:after="0" w:line="160" w:lineRule="exact"/>
        <w:rPr>
          <w:sz w:val="20"/>
          <w:szCs w:val="20"/>
          <w:color w:val="auto"/>
        </w:rPr>
      </w:pPr>
    </w:p>
    <w:p>
      <w:pPr>
        <w:jc w:val="both"/>
        <w:ind w:left="720" w:right="20" w:hanging="723"/>
        <w:spacing w:after="0" w:line="244" w:lineRule="auto"/>
        <w:tabs>
          <w:tab w:leader="none" w:pos="700" w:val="left"/>
        </w:tabs>
        <w:rPr>
          <w:sz w:val="20"/>
          <w:szCs w:val="20"/>
          <w:color w:val="auto"/>
        </w:rPr>
      </w:pPr>
      <w:r>
        <w:rPr>
          <w:rFonts w:ascii="Times New Roman" w:cs="Times New Roman" w:eastAsia="Times New Roman" w:hAnsi="Times New Roman"/>
          <w:sz w:val="22"/>
          <w:szCs w:val="22"/>
          <w:color w:val="auto"/>
        </w:rPr>
        <w:t>10.2.3</w:t>
        <w:tab/>
        <w:t xml:space="preserve">made by or on behalf of the receiving Party to a patent authority as may be reasonably necessary or useful for purposes of obtaining or enforcing a Patent;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reasonable measures shall be taken to assure confidential treatment of such information, to the extent such protection is available;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10.2.4  made by or on behalf of Mereo or its Affiliate to an actual or potential Sublicensee; or</w:t>
      </w:r>
    </w:p>
    <w:p>
      <w:pPr>
        <w:spacing w:after="0" w:line="1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10.2.5</w:t>
      </w:r>
      <w:r>
        <w:rPr>
          <w:sz w:val="20"/>
          <w:szCs w:val="20"/>
          <w:color w:val="auto"/>
        </w:rPr>
        <w:tab/>
      </w:r>
      <w:r>
        <w:rPr>
          <w:rFonts w:ascii="Times New Roman" w:cs="Times New Roman" w:eastAsia="Times New Roman" w:hAnsi="Times New Roman"/>
          <w:sz w:val="21"/>
          <w:szCs w:val="21"/>
          <w:color w:val="auto"/>
        </w:rPr>
        <w:t>made by or on behalf of Mereo to (a) legal, financial and investment banking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735330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05" w:name="page206"/>
    <w:bookmarkEnd w:id="205"/>
    <w:p>
      <w:pPr>
        <w:spacing w:after="0" w:line="117" w:lineRule="exact"/>
        <w:rPr>
          <w:sz w:val="20"/>
          <w:szCs w:val="20"/>
          <w:color w:val="auto"/>
        </w:rPr>
      </w:pPr>
    </w:p>
    <w:p>
      <w:pPr>
        <w:jc w:val="both"/>
        <w:ind w:left="720" w:right="20"/>
        <w:spacing w:after="0" w:line="233" w:lineRule="auto"/>
        <w:rPr>
          <w:sz w:val="20"/>
          <w:szCs w:val="20"/>
          <w:color w:val="auto"/>
        </w:rPr>
      </w:pPr>
      <w:r>
        <w:rPr>
          <w:rFonts w:ascii="Times New Roman" w:cs="Times New Roman" w:eastAsia="Times New Roman" w:hAnsi="Times New Roman"/>
          <w:sz w:val="22"/>
          <w:szCs w:val="22"/>
          <w:color w:val="auto"/>
        </w:rPr>
        <w:t xml:space="preserve">and potential or actual sources of financing, investors or acquirers as may be necessary in connection with their evaluation of such potential or actual investment or acquisition and counsel for the foregoing and (b) in connection with disclosure obligations that arise in connection with potential financing;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persons shall be subject to obligations of confidentiality and non-use with respect to such Confidential Information that are customary in such circumstances. In addition, if legally required, a copy of this Agreement, the Subscription Deed and Parent Company Guarantee may be filed by Mereo with the U.S. Securities and Exchange Commission (or relevant ex- U.S. counterpart). In that case, Mereo shall notify AstraZeneca and provide AstraZeneca a reasonable period of time of no more than [***] to request Mereo to diligently seek confidential treatment for terms of this Agreement for which confidential treatment is reasonably available, and shall provide AstraZeneca reasonable advance notice of the terms proposed for redactions and a reasonable opportunity to request that Mereo make additional redactions of financial or other information to the extent confidential treatment is reasonably available under the law.</w:t>
      </w:r>
    </w:p>
    <w:p>
      <w:pPr>
        <w:spacing w:after="0" w:line="16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color w:val="auto"/>
        </w:rPr>
        <w:t>Use of Name</w:t>
      </w:r>
    </w:p>
    <w:p>
      <w:pPr>
        <w:spacing w:after="0" w:line="183" w:lineRule="exact"/>
        <w:rPr>
          <w:sz w:val="20"/>
          <w:szCs w:val="20"/>
          <w:color w:val="auto"/>
        </w:rPr>
      </w:pPr>
    </w:p>
    <w:p>
      <w:pPr>
        <w:jc w:val="both"/>
        <w:ind w:left="760" w:hanging="9"/>
        <w:spacing w:after="0" w:line="235" w:lineRule="auto"/>
        <w:rPr>
          <w:sz w:val="20"/>
          <w:szCs w:val="20"/>
          <w:color w:val="auto"/>
        </w:rPr>
      </w:pPr>
      <w:r>
        <w:rPr>
          <w:rFonts w:ascii="Times New Roman" w:cs="Times New Roman" w:eastAsia="Times New Roman" w:hAnsi="Times New Roman"/>
          <w:sz w:val="22"/>
          <w:szCs w:val="22"/>
          <w:color w:val="auto"/>
        </w:rPr>
        <w:t>Except as expressly provided herein, neither Party shall mention or otherwise use the name, logo or Trademark of the other Party or any of its Affiliates or any of its or their (sub)licensees (or Sublicensees) (or any abbreviation or adaptation thereof) in any publication, press release, marketing and promotional material or other form of publicity without the prior written approval of such other Party in each instance. The restrictions imposed by this Section 10.3 shall not prohibit (i) either Party from making any disclosure identifying the other Party to the extent required in connection with its exercise of its rights or obligations under this Agreement and (ii) either Party from making any disclosure identifying the other Party that is required by Applicable Law or the rules of a stock exchange on which the securities of the disclosing Party are listed (or to which an application for listing has been submitted).</w:t>
      </w:r>
    </w:p>
    <w:p>
      <w:pPr>
        <w:spacing w:after="0" w:line="2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color w:val="auto"/>
        </w:rPr>
        <w:t>Public Announcements</w:t>
      </w:r>
    </w:p>
    <w:p>
      <w:pPr>
        <w:spacing w:after="0" w:line="183" w:lineRule="exact"/>
        <w:rPr>
          <w:sz w:val="20"/>
          <w:szCs w:val="20"/>
          <w:color w:val="auto"/>
        </w:rPr>
      </w:pPr>
    </w:p>
    <w:p>
      <w:pPr>
        <w:jc w:val="both"/>
        <w:ind w:left="760" w:right="20" w:hanging="9"/>
        <w:spacing w:after="0" w:line="244" w:lineRule="auto"/>
        <w:rPr>
          <w:sz w:val="20"/>
          <w:szCs w:val="20"/>
          <w:color w:val="auto"/>
        </w:rPr>
      </w:pPr>
      <w:r>
        <w:rPr>
          <w:rFonts w:ascii="Times New Roman" w:cs="Times New Roman" w:eastAsia="Times New Roman" w:hAnsi="Times New Roman"/>
          <w:sz w:val="21"/>
          <w:szCs w:val="21"/>
          <w:color w:val="auto"/>
        </w:rPr>
        <w:t>The Parties have agreed to make an announcement in the form set out in Schedule 10.4 on the date of execution of this Agreement. Subject to the foregoing and Section 10.2.5, the Parties have agreed that neither Party shall issue any public announcement, press release or other public disclosure regarding this Agreement or its subject matter without the other Party’s prior written consent, except for any such disclosure that is, in the opinion of the disclosing Party’s counsel, required to be disclosed by the disclosing Party (or any of its Affiliates) by Applicable Law or the rules of a stock exchange on which the securities of the disclosing Party (or any of its Affiliates) are listed or admitted to trading (or to which an application for listing or admission to trading has been submitted). In the event a Party (or any of its Affiliates) is, in the opinion of its counsel, required by Applicable Law or the rules of a stock exchange on which its securities are listed or admitted to trading (or to which an application for listing or admission to trading has been submitted) to make such a public disclosure, such Party (or its relevant Affiliate) shall submit the proposed disclosure in writing to the other Party as far in advance as reasonably practicable (and in no event less than [***] prior to the anticipated date of disclosure or such shorter period as required to ensure compliance with Applicable Law) so as to provide a reasonable opportunity to comment thereon. Neither Party shall be required to seek the permission of the other Party to repeat any information regarding the terms of this Agreement or any amendment hereto that has already been publicly disclosed by such Party or by the other Party,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718185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06" w:name="page207"/>
    <w:bookmarkEnd w:id="206"/>
    <w:p>
      <w:pPr>
        <w:spacing w:after="0" w:line="117" w:lineRule="exact"/>
        <w:rPr>
          <w:sz w:val="20"/>
          <w:szCs w:val="20"/>
          <w:color w:val="auto"/>
        </w:rPr>
      </w:pPr>
    </w:p>
    <w:p>
      <w:pPr>
        <w:jc w:val="both"/>
        <w:ind w:left="760" w:right="20"/>
        <w:spacing w:after="0" w:line="258" w:lineRule="auto"/>
        <w:rPr>
          <w:sz w:val="20"/>
          <w:szCs w:val="20"/>
          <w:color w:val="auto"/>
        </w:rPr>
      </w:pPr>
      <w:r>
        <w:rPr>
          <w:rFonts w:ascii="Times New Roman" w:cs="Times New Roman" w:eastAsia="Times New Roman" w:hAnsi="Times New Roman"/>
          <w:sz w:val="22"/>
          <w:szCs w:val="22"/>
          <w:color w:val="auto"/>
        </w:rPr>
        <w:t>this Section 10.4; provided that such information remains accurate as of such time and provided the frequency and form of such disclosure are reasonable.</w:t>
      </w:r>
    </w:p>
    <w:p>
      <w:pPr>
        <w:spacing w:after="0" w:line="141"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color w:val="auto"/>
        </w:rPr>
        <w:t>Publications</w:t>
      </w:r>
    </w:p>
    <w:p>
      <w:pPr>
        <w:spacing w:after="0" w:line="183" w:lineRule="exact"/>
        <w:rPr>
          <w:sz w:val="20"/>
          <w:szCs w:val="20"/>
          <w:color w:val="auto"/>
        </w:rPr>
      </w:pPr>
    </w:p>
    <w:p>
      <w:pPr>
        <w:jc w:val="both"/>
        <w:ind w:left="760" w:hanging="9"/>
        <w:spacing w:after="0" w:line="244" w:lineRule="auto"/>
        <w:rPr>
          <w:sz w:val="20"/>
          <w:szCs w:val="20"/>
          <w:color w:val="auto"/>
        </w:rPr>
      </w:pPr>
      <w:r>
        <w:rPr>
          <w:rFonts w:ascii="Times New Roman" w:cs="Times New Roman" w:eastAsia="Times New Roman" w:hAnsi="Times New Roman"/>
          <w:sz w:val="21"/>
          <w:szCs w:val="21"/>
          <w:color w:val="auto"/>
        </w:rPr>
        <w:t>The Parties recognize the desirability of publishing and publicly disclosing the results of and information regarding, activities under this Agreement. Accordingly, Mereo shall be free to publicly disclose the results of and information regarding, activities under this Agreement, subject to prior review by AstraZeneca of any disclosure of AstraZeneca’s Confidential Information for issues of patentability and protection of such Confidential Information, in a manner consistent with Applicable Law and industry practices, as provided in this Section 10.5. Accordingly, prior to publishing or disclosing any Confidential Information of AstraZeneca, Mereo shall provide AstraZeneca with drafts of proposed abstracts, manuscripts or summaries of presentations that cover such Confidential Information. AstraZeneca shall respond promptly through its designated representative and in any event no later than [***] after receipt of such proposed publication or presentation or such shorter period as may be required by the publication or presentation. Mereo agrees to allow a reasonable period (not to exceed [***]) to permit filings for patent protection and to otherwise address issues of Confidential Information or related competitive harm to the reasonable satisfaction of AstraZeneca. In addition, Mereo shall give due regard to comments furnished by AstraZeneca. Notwithstanding the foregoing, Mereo shall be free to include scientific and clinical data relating solely to the Compounds in publications on Mereo’s activities under this Agreement, and such scientific and clinical data relating solely to the Compounds will not be considered Confidential Information of AstraZeneca for such purpose.</w:t>
      </w:r>
    </w:p>
    <w:p>
      <w:pPr>
        <w:spacing w:after="0" w:line="1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10.6</w:t>
      </w:r>
      <w:r>
        <w:rPr>
          <w:sz w:val="20"/>
          <w:szCs w:val="20"/>
          <w:color w:val="auto"/>
        </w:rPr>
        <w:tab/>
      </w:r>
      <w:r>
        <w:rPr>
          <w:rFonts w:ascii="Times New Roman" w:cs="Times New Roman" w:eastAsia="Times New Roman" w:hAnsi="Times New Roman"/>
          <w:sz w:val="21"/>
          <w:szCs w:val="21"/>
          <w:b w:val="1"/>
          <w:bCs w:val="1"/>
          <w:color w:val="auto"/>
        </w:rPr>
        <w:t>Return of Confidential Information</w:t>
      </w:r>
    </w:p>
    <w:p>
      <w:pPr>
        <w:spacing w:after="0" w:line="197" w:lineRule="exact"/>
        <w:rPr>
          <w:sz w:val="20"/>
          <w:szCs w:val="20"/>
          <w:color w:val="auto"/>
        </w:rPr>
      </w:pPr>
    </w:p>
    <w:p>
      <w:pPr>
        <w:jc w:val="both"/>
        <w:ind w:left="760" w:right="20" w:hanging="9"/>
        <w:spacing w:after="0" w:line="233" w:lineRule="auto"/>
        <w:rPr>
          <w:sz w:val="20"/>
          <w:szCs w:val="20"/>
          <w:color w:val="auto"/>
        </w:rPr>
      </w:pPr>
      <w:r>
        <w:rPr>
          <w:rFonts w:ascii="Times New Roman" w:cs="Times New Roman" w:eastAsia="Times New Roman" w:hAnsi="Times New Roman"/>
          <w:sz w:val="22"/>
          <w:szCs w:val="22"/>
          <w:color w:val="auto"/>
        </w:rPr>
        <w:t>Upon the effective date of the expiration or termination of this Agreement for any reason, either Party may request in writing and the non-requesting Party shall, with respect to Confidential Information to which such non-requesting Party does not retain rights under the surviving provisions of this Agreement, promptly destroy all copies of such Confidential Information in the possession or control of the non-requesting Party and confirm such destruction in writing to the requesting Party. Notwithstanding the foregoing, the non-requesting Party shall be permitted to retain such Confidential Information (x) to the extent necessary or useful for purposes of performing any continuing obligations or exercising any ongoing rights hereunder and, in any event, a single copy of such Confidential Information for archival purposes and (y) any computer records or files containing such Confidential Information that have been created solely by such non-requesting Party’s automatic archiving and back-up procedures, to the extent created and retained in a manner consistent with such non-requesting Party’s standard archiving and back-up procedures, but not for any other uses or purposes. All Confidential Information shall continue to be subject to the terms of this Agreement for the period set forth in Section 10.1.</w:t>
      </w:r>
    </w:p>
    <w:p>
      <w:pPr>
        <w:spacing w:after="0" w:line="16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color w:val="auto"/>
        </w:rPr>
        <w:t>Privileged Communications</w:t>
      </w:r>
    </w:p>
    <w:p>
      <w:pPr>
        <w:spacing w:after="0" w:line="183" w:lineRule="exact"/>
        <w:rPr>
          <w:sz w:val="20"/>
          <w:szCs w:val="20"/>
          <w:color w:val="auto"/>
        </w:rPr>
      </w:pPr>
    </w:p>
    <w:p>
      <w:pPr>
        <w:jc w:val="both"/>
        <w:ind w:left="760" w:right="20" w:hanging="9"/>
        <w:spacing w:after="0" w:line="238" w:lineRule="auto"/>
        <w:rPr>
          <w:sz w:val="20"/>
          <w:szCs w:val="20"/>
          <w:color w:val="auto"/>
        </w:rPr>
      </w:pPr>
      <w:r>
        <w:rPr>
          <w:rFonts w:ascii="Times New Roman" w:cs="Times New Roman" w:eastAsia="Times New Roman" w:hAnsi="Times New Roman"/>
          <w:sz w:val="22"/>
          <w:szCs w:val="22"/>
          <w:color w:val="auto"/>
        </w:rPr>
        <w:t>In furtherance of this Agreement, it is expected that the Parties may, from time to time, disclose to one another privileged communications with counsel, including opinions, memoranda, letters and other written, electronic and verbal communications. Such disclosures are made with the understanding that they shall remain confidential in accordance with this Section 10, that they will not be deemed to waive any applicable attorney-client or attorney work product or other privilege and that they are made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716915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07" w:name="page208"/>
    <w:bookmarkEnd w:id="207"/>
    <w:p>
      <w:pPr>
        <w:spacing w:after="0" w:line="117" w:lineRule="exact"/>
        <w:rPr>
          <w:sz w:val="20"/>
          <w:szCs w:val="20"/>
          <w:color w:val="auto"/>
        </w:rPr>
      </w:pPr>
    </w:p>
    <w:p>
      <w:pPr>
        <w:jc w:val="both"/>
        <w:ind w:left="762" w:right="20"/>
        <w:spacing w:after="0" w:line="233" w:lineRule="auto"/>
        <w:rPr>
          <w:sz w:val="20"/>
          <w:szCs w:val="20"/>
          <w:color w:val="auto"/>
        </w:rPr>
      </w:pPr>
      <w:r>
        <w:rPr>
          <w:rFonts w:ascii="Times New Roman" w:cs="Times New Roman" w:eastAsia="Times New Roman" w:hAnsi="Times New Roman"/>
          <w:sz w:val="22"/>
          <w:szCs w:val="22"/>
          <w:color w:val="auto"/>
        </w:rPr>
        <w:t>connection with the shared community of legal interests existing between AstraZeneca and Mereo, including the community of legal interests in avoiding infringement of any valid, enforceable patents of Third Parties and maintaining the validity of any patents owned or controlled by the Parties. In the event of any litigation (or potential litigation) with a Third Party related to this Agreement or the subject matter hereof, the Parties shall, upon either Party’s request, enter into a reasonable and customary joint defense agreement. In any event, each Party shall consult in a timely manner with the other Party before engaging in any conduct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producing information or documents) in connection with litigation or other proceedings that could conceivably implicate privileges maintained by the other Party. Notwithstanding anything contained in this Section 10.7, nothing in this Agreement shall prejudice a Party’s ability to take discovery of the other Party in disputes between them relating to the Agreement and no information otherwise admissible or discoverable by a Party shall become inadmissible or immune from discovery solely by this Section 10.7.</w:t>
      </w:r>
    </w:p>
    <w:p>
      <w:pPr>
        <w:spacing w:after="0" w:line="170" w:lineRule="exact"/>
        <w:rPr>
          <w:sz w:val="20"/>
          <w:szCs w:val="20"/>
          <w:color w:val="auto"/>
        </w:rPr>
      </w:pPr>
    </w:p>
    <w:p>
      <w:pPr>
        <w:ind w:left="2" w:right="5940" w:hanging="2"/>
        <w:spacing w:after="0" w:line="438" w:lineRule="auto"/>
        <w:tabs>
          <w:tab w:leader="none" w:pos="812" w:val="left"/>
        </w:tabs>
        <w:numPr>
          <w:ilvl w:val="0"/>
          <w:numId w:val="1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REPRESENTATIONS AND WARRANTIES 11.1 Mutual Representations and Warranties</w:t>
      </w:r>
    </w:p>
    <w:p>
      <w:pPr>
        <w:jc w:val="center"/>
        <w:ind w:right="-41"/>
        <w:spacing w:after="0"/>
        <w:rPr>
          <w:sz w:val="20"/>
          <w:szCs w:val="20"/>
          <w:color w:val="auto"/>
        </w:rPr>
      </w:pPr>
      <w:r>
        <w:rPr>
          <w:rFonts w:ascii="Times New Roman" w:cs="Times New Roman" w:eastAsia="Times New Roman" w:hAnsi="Times New Roman"/>
          <w:sz w:val="22"/>
          <w:szCs w:val="22"/>
          <w:color w:val="auto"/>
        </w:rPr>
        <w:t>AstraZeneca and Mereo each represent and warrant to the other, as of the Effective Date, and covenants, that:</w:t>
      </w:r>
    </w:p>
    <w:p>
      <w:pPr>
        <w:spacing w:after="0" w:line="44" w:lineRule="exact"/>
        <w:rPr>
          <w:sz w:val="20"/>
          <w:szCs w:val="20"/>
          <w:color w:val="auto"/>
        </w:rPr>
      </w:pPr>
    </w:p>
    <w:p>
      <w:pPr>
        <w:jc w:val="both"/>
        <w:ind w:left="722" w:right="20" w:hanging="723"/>
        <w:spacing w:after="0" w:line="244" w:lineRule="auto"/>
        <w:tabs>
          <w:tab w:leader="none" w:pos="702" w:val="left"/>
        </w:tabs>
        <w:rPr>
          <w:sz w:val="20"/>
          <w:szCs w:val="20"/>
          <w:color w:val="auto"/>
        </w:rPr>
      </w:pPr>
      <w:r>
        <w:rPr>
          <w:rFonts w:ascii="Times New Roman" w:cs="Times New Roman" w:eastAsia="Times New Roman" w:hAnsi="Times New Roman"/>
          <w:sz w:val="22"/>
          <w:szCs w:val="22"/>
          <w:color w:val="auto"/>
        </w:rPr>
        <w:t>11.1.1</w:t>
        <w:tab/>
        <w:t>it is a corporation duly organized, validly existing and in good standing under the laws of the jurisdiction of its organization and has all requisite power and authority, corporate or otherwise, to execute, deliver and perform this Agreement;</w:t>
      </w:r>
    </w:p>
    <w:p>
      <w:pPr>
        <w:spacing w:after="0" w:line="146" w:lineRule="exact"/>
        <w:rPr>
          <w:sz w:val="20"/>
          <w:szCs w:val="20"/>
          <w:color w:val="auto"/>
        </w:rPr>
      </w:pPr>
    </w:p>
    <w:p>
      <w:pPr>
        <w:jc w:val="both"/>
        <w:ind w:left="722" w:hanging="723"/>
        <w:spacing w:after="0" w:line="251" w:lineRule="auto"/>
        <w:tabs>
          <w:tab w:leader="none" w:pos="702" w:val="left"/>
        </w:tabs>
        <w:rPr>
          <w:sz w:val="20"/>
          <w:szCs w:val="20"/>
          <w:color w:val="auto"/>
        </w:rPr>
      </w:pPr>
      <w:r>
        <w:rPr>
          <w:rFonts w:ascii="Times New Roman" w:cs="Times New Roman" w:eastAsia="Times New Roman" w:hAnsi="Times New Roman"/>
          <w:sz w:val="22"/>
          <w:szCs w:val="22"/>
          <w:color w:val="auto"/>
        </w:rPr>
        <w:t>11.1.2</w:t>
      </w:r>
      <w:r>
        <w:rPr>
          <w:sz w:val="20"/>
          <w:szCs w:val="20"/>
          <w:color w:val="auto"/>
        </w:rPr>
        <w:tab/>
      </w:r>
      <w:r>
        <w:rPr>
          <w:rFonts w:ascii="Times New Roman" w:cs="Times New Roman" w:eastAsia="Times New Roman" w:hAnsi="Times New Roman"/>
          <w:sz w:val="21"/>
          <w:szCs w:val="21"/>
          <w:color w:val="auto"/>
        </w:rPr>
        <w:t>the execution and delivery of this Agreement and the performance by it of the transactions contemplated hereby have been duly authorized by all necessary corporate action and do not violate: (i) such Party’s charter documents, bylaws or other organizational documents; (ii) in any material respect, any agreement, instrument or contractual obligation to which such Party is bound; (iii) any requirement of any Applicable Law; or (iv) any order, writ, judgment, injunction, decree, determination or award of any court or governmental agency presently in effect applicable to such Party;</w:t>
      </w:r>
    </w:p>
    <w:p>
      <w:pPr>
        <w:spacing w:after="0" w:line="155" w:lineRule="exact"/>
        <w:rPr>
          <w:sz w:val="20"/>
          <w:szCs w:val="20"/>
          <w:color w:val="auto"/>
        </w:rPr>
      </w:pPr>
    </w:p>
    <w:p>
      <w:pPr>
        <w:jc w:val="both"/>
        <w:ind w:left="722" w:right="20" w:hanging="723"/>
        <w:spacing w:after="0" w:line="239" w:lineRule="auto"/>
        <w:tabs>
          <w:tab w:leader="none" w:pos="702" w:val="left"/>
        </w:tabs>
        <w:rPr>
          <w:sz w:val="20"/>
          <w:szCs w:val="20"/>
          <w:color w:val="auto"/>
        </w:rPr>
      </w:pPr>
      <w:r>
        <w:rPr>
          <w:rFonts w:ascii="Times New Roman" w:cs="Times New Roman" w:eastAsia="Times New Roman" w:hAnsi="Times New Roman"/>
          <w:sz w:val="22"/>
          <w:szCs w:val="22"/>
          <w:color w:val="auto"/>
        </w:rPr>
        <w:t>11.1.3</w:t>
        <w:tab/>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53" w:lineRule="exact"/>
        <w:rPr>
          <w:sz w:val="20"/>
          <w:szCs w:val="20"/>
          <w:color w:val="auto"/>
        </w:rPr>
      </w:pPr>
    </w:p>
    <w:p>
      <w:pPr>
        <w:jc w:val="both"/>
        <w:ind w:left="722" w:right="20" w:hanging="723"/>
        <w:spacing w:after="0" w:line="244" w:lineRule="auto"/>
        <w:tabs>
          <w:tab w:leader="none" w:pos="702" w:val="left"/>
        </w:tabs>
        <w:rPr>
          <w:sz w:val="20"/>
          <w:szCs w:val="20"/>
          <w:color w:val="auto"/>
        </w:rPr>
      </w:pPr>
      <w:r>
        <w:rPr>
          <w:rFonts w:ascii="Times New Roman" w:cs="Times New Roman" w:eastAsia="Times New Roman" w:hAnsi="Times New Roman"/>
          <w:sz w:val="22"/>
          <w:szCs w:val="22"/>
          <w:color w:val="auto"/>
        </w:rPr>
        <w:t>11.1.4</w:t>
        <w:tab/>
        <w:t>it is not under any obligation, contractual or otherwise, to any Person that conflicts with or is inconsistent in any material respect with the terms of this Agreement or that would impede the diligent and complete fulfilment of its obligations hereunder; and</w:t>
      </w:r>
    </w:p>
    <w:p>
      <w:pPr>
        <w:spacing w:after="0" w:line="160" w:lineRule="exact"/>
        <w:rPr>
          <w:sz w:val="20"/>
          <w:szCs w:val="20"/>
          <w:color w:val="auto"/>
        </w:rPr>
      </w:pPr>
    </w:p>
    <w:p>
      <w:pPr>
        <w:jc w:val="both"/>
        <w:ind w:left="722" w:right="20" w:hanging="723"/>
        <w:spacing w:after="0" w:line="235" w:lineRule="auto"/>
        <w:tabs>
          <w:tab w:leader="none" w:pos="702" w:val="left"/>
        </w:tabs>
        <w:rPr>
          <w:sz w:val="20"/>
          <w:szCs w:val="20"/>
          <w:color w:val="auto"/>
        </w:rPr>
      </w:pPr>
      <w:r>
        <w:rPr>
          <w:rFonts w:ascii="Times New Roman" w:cs="Times New Roman" w:eastAsia="Times New Roman" w:hAnsi="Times New Roman"/>
          <w:sz w:val="22"/>
          <w:szCs w:val="22"/>
          <w:color w:val="auto"/>
        </w:rPr>
        <w:t>11.1.5</w:t>
        <w:tab/>
        <w:t>neither it nor any of its Affiliates has been debarred or is subject to debarment and neither it nor any of its Affiliates has used or will use in any capacity, in connection with the services to be performed under this Agreement, any Person who has been debarred pursuant to Section 306 of the FFDCA or who is the subject of a conviction described in such section. It will inform the other Party in writing promptly if it or any such Person who is performing services hereunder is debarred or is the subject of a conviction described in Section 306 or if any action, suit, claim, investigation or legal or administrative proceeding is pending or, to the best of its or its Affiliates’ Knowledge, is threatened, relating to the debarment or conviction of it or any such Person 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721360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2"/>
          </w:cols>
          <w:pgMar w:left="478" w:top="1440" w:right="479" w:bottom="1440" w:gutter="0" w:footer="0" w:header="0"/>
        </w:sectPr>
      </w:pPr>
    </w:p>
    <w:bookmarkStart w:id="208" w:name="page209"/>
    <w:bookmarkEnd w:id="208"/>
    <w:p>
      <w:pPr>
        <w:spacing w:after="0" w:line="1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services hereunder.</w:t>
      </w:r>
    </w:p>
    <w:p>
      <w:pPr>
        <w:spacing w:after="0" w:line="189"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Additional Representations and Warranties of AstraZeneca</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AstraZeneca further represents and warrants to Mereo, as of the Effective Date, that:</w:t>
      </w:r>
    </w:p>
    <w:p>
      <w:pPr>
        <w:spacing w:after="0" w:line="193" w:lineRule="exact"/>
        <w:rPr>
          <w:sz w:val="20"/>
          <w:szCs w:val="20"/>
          <w:color w:val="auto"/>
        </w:rPr>
      </w:pPr>
    </w:p>
    <w:p>
      <w:pPr>
        <w:jc w:val="both"/>
        <w:ind w:left="720" w:hanging="723"/>
        <w:spacing w:after="0" w:line="244" w:lineRule="auto"/>
        <w:tabs>
          <w:tab w:leader="none" w:pos="700" w:val="left"/>
        </w:tabs>
        <w:rPr>
          <w:sz w:val="20"/>
          <w:szCs w:val="20"/>
          <w:color w:val="auto"/>
        </w:rPr>
      </w:pPr>
      <w:r>
        <w:rPr>
          <w:rFonts w:ascii="Times New Roman" w:cs="Times New Roman" w:eastAsia="Times New Roman" w:hAnsi="Times New Roman"/>
          <w:sz w:val="22"/>
          <w:szCs w:val="22"/>
          <w:color w:val="auto"/>
        </w:rPr>
        <w:t>11.2.1</w:t>
        <w:tab/>
        <w:t>to AstraZeneca’s Knowledge, other than the Option Intellectual Property, there are no intellectual property rights: (a) which are owned by AstraZeneca or any of its Affiliates as of the Effective Date or at any time during the time of the Agreement and that (b) relate [***] to the Compounds or Products;</w:t>
      </w:r>
    </w:p>
    <w:p>
      <w:pPr>
        <w:spacing w:after="0" w:line="146" w:lineRule="exact"/>
        <w:rPr>
          <w:sz w:val="20"/>
          <w:szCs w:val="20"/>
          <w:color w:val="auto"/>
        </w:rPr>
      </w:pPr>
    </w:p>
    <w:p>
      <w:pPr>
        <w:jc w:val="both"/>
        <w:ind w:left="720" w:hanging="723"/>
        <w:spacing w:after="0" w:line="282" w:lineRule="auto"/>
        <w:tabs>
          <w:tab w:leader="none" w:pos="700" w:val="left"/>
        </w:tabs>
        <w:rPr>
          <w:sz w:val="20"/>
          <w:szCs w:val="20"/>
          <w:color w:val="auto"/>
        </w:rPr>
      </w:pPr>
      <w:r>
        <w:rPr>
          <w:rFonts w:ascii="Times New Roman" w:cs="Times New Roman" w:eastAsia="Times New Roman" w:hAnsi="Times New Roman"/>
          <w:sz w:val="22"/>
          <w:szCs w:val="22"/>
          <w:color w:val="auto"/>
        </w:rPr>
        <w:t>11.2.2</w:t>
      </w:r>
      <w:r>
        <w:rPr>
          <w:sz w:val="20"/>
          <w:szCs w:val="20"/>
          <w:color w:val="auto"/>
        </w:rPr>
        <w:tab/>
      </w:r>
      <w:r>
        <w:rPr>
          <w:rFonts w:ascii="Times New Roman" w:cs="Times New Roman" w:eastAsia="Times New Roman" w:hAnsi="Times New Roman"/>
          <w:sz w:val="21"/>
          <w:szCs w:val="21"/>
          <w:color w:val="auto"/>
        </w:rPr>
        <w:t>AstraZeneca owns the Option Know-How and, subject to any restrictions in the Transferring Contracts or Additional Studies, has the right to grant the licenses and sublicenses specified thereunder without liens or other encumbrances;</w:t>
      </w:r>
    </w:p>
    <w:p>
      <w:pPr>
        <w:spacing w:after="0" w:line="121" w:lineRule="exact"/>
        <w:rPr>
          <w:sz w:val="20"/>
          <w:szCs w:val="20"/>
          <w:color w:val="auto"/>
        </w:rPr>
      </w:pPr>
    </w:p>
    <w:p>
      <w:pPr>
        <w:jc w:val="both"/>
        <w:ind w:left="720" w:hanging="723"/>
        <w:spacing w:after="0" w:line="256" w:lineRule="auto"/>
        <w:tabs>
          <w:tab w:leader="none" w:pos="700" w:val="left"/>
        </w:tabs>
        <w:rPr>
          <w:sz w:val="20"/>
          <w:szCs w:val="20"/>
          <w:color w:val="auto"/>
        </w:rPr>
      </w:pPr>
      <w:r>
        <w:rPr>
          <w:rFonts w:ascii="Times New Roman" w:cs="Times New Roman" w:eastAsia="Times New Roman" w:hAnsi="Times New Roman"/>
          <w:sz w:val="22"/>
          <w:szCs w:val="22"/>
          <w:color w:val="auto"/>
        </w:rPr>
        <w:t>11.2.3</w:t>
        <w:tab/>
        <w:t>AstraZeneca owns the Option Patents set forth in Schedule 1.79 and has the right to grant the licenses and sublicenses specified thereunder without liens or other encumbrances;</w:t>
      </w: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11.2.4</w:t>
      </w:r>
      <w:r>
        <w:rPr>
          <w:sz w:val="20"/>
          <w:szCs w:val="20"/>
          <w:color w:val="auto"/>
        </w:rPr>
        <w:tab/>
      </w:r>
      <w:r>
        <w:rPr>
          <w:rFonts w:ascii="Times New Roman" w:cs="Times New Roman" w:eastAsia="Times New Roman" w:hAnsi="Times New Roman"/>
          <w:sz w:val="21"/>
          <w:szCs w:val="21"/>
          <w:color w:val="auto"/>
        </w:rPr>
        <w:t>the list of Option Patents set forth in Schedule 1.79 is true, complete and accurate as of the Effective Date;</w:t>
      </w:r>
    </w:p>
    <w:p>
      <w:pPr>
        <w:spacing w:after="0" w:line="179" w:lineRule="exact"/>
        <w:rPr>
          <w:sz w:val="20"/>
          <w:szCs w:val="20"/>
          <w:color w:val="auto"/>
        </w:rPr>
      </w:pPr>
    </w:p>
    <w:p>
      <w:pPr>
        <w:jc w:val="both"/>
        <w:ind w:left="720" w:hanging="723"/>
        <w:spacing w:after="0" w:line="244" w:lineRule="auto"/>
        <w:tabs>
          <w:tab w:leader="none" w:pos="700" w:val="left"/>
        </w:tabs>
        <w:rPr>
          <w:sz w:val="20"/>
          <w:szCs w:val="20"/>
          <w:color w:val="auto"/>
        </w:rPr>
      </w:pPr>
      <w:r>
        <w:rPr>
          <w:rFonts w:ascii="Times New Roman" w:cs="Times New Roman" w:eastAsia="Times New Roman" w:hAnsi="Times New Roman"/>
          <w:sz w:val="22"/>
          <w:szCs w:val="22"/>
          <w:color w:val="auto"/>
        </w:rPr>
        <w:t>11.2.5</w:t>
        <w:tab/>
        <w:t>AstraZeneca has obtained all necessary consents, approvals and authorizations of all governmental Authorities and / or Regulatory Authorities and other Persons or entities required to be obtained by it in connection with the execution and delivery of this Agreement;</w:t>
      </w:r>
    </w:p>
    <w:p>
      <w:pPr>
        <w:spacing w:after="0" w:line="160" w:lineRule="exact"/>
        <w:rPr>
          <w:sz w:val="20"/>
          <w:szCs w:val="20"/>
          <w:color w:val="auto"/>
        </w:rPr>
      </w:pPr>
    </w:p>
    <w:p>
      <w:pPr>
        <w:jc w:val="both"/>
        <w:ind w:left="7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11.2.6</w:t>
        <w:tab/>
        <w:t>AstraZeneca is in compliance with all Applicable Law to the extent relevant to the licenses granted hereunder and the Product Intellectual Property, including the BayhDole Act;</w:t>
      </w:r>
    </w:p>
    <w:p>
      <w:pPr>
        <w:spacing w:after="0" w:line="131" w:lineRule="exact"/>
        <w:rPr>
          <w:sz w:val="20"/>
          <w:szCs w:val="20"/>
          <w:color w:val="auto"/>
        </w:rPr>
      </w:pPr>
    </w:p>
    <w:p>
      <w:pPr>
        <w:jc w:val="both"/>
        <w:ind w:left="720" w:hanging="723"/>
        <w:spacing w:after="0" w:line="244" w:lineRule="auto"/>
        <w:tabs>
          <w:tab w:leader="none" w:pos="700" w:val="left"/>
        </w:tabs>
        <w:rPr>
          <w:sz w:val="20"/>
          <w:szCs w:val="20"/>
          <w:color w:val="auto"/>
        </w:rPr>
      </w:pPr>
      <w:r>
        <w:rPr>
          <w:rFonts w:ascii="Times New Roman" w:cs="Times New Roman" w:eastAsia="Times New Roman" w:hAnsi="Times New Roman"/>
          <w:sz w:val="22"/>
          <w:szCs w:val="22"/>
          <w:color w:val="auto"/>
        </w:rPr>
        <w:t>11.2.7</w:t>
        <w:tab/>
        <w:t>AstraZeneca has not received any written claim or demand alleging that (a) the Option Patents are invalid or unenforceable or (b) the Development or Commercialization of the Products as contemplated herein infringes any Patent owned by any Third Party;</w:t>
      </w:r>
    </w:p>
    <w:p>
      <w:pPr>
        <w:spacing w:after="0" w:line="173" w:lineRule="exact"/>
        <w:rPr>
          <w:sz w:val="20"/>
          <w:szCs w:val="20"/>
          <w:color w:val="auto"/>
        </w:rPr>
      </w:pPr>
    </w:p>
    <w:p>
      <w:pPr>
        <w:jc w:val="both"/>
        <w:ind w:left="7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11.2.8</w:t>
        <w:tab/>
        <w:t>to AstraZeneca’s Knowledge, there are no ongoing proceedings in court as to infringement, misappropriation or invalidity of any of the Option Patents, including any inter partes proceedings or oppositions;</w:t>
      </w:r>
    </w:p>
    <w:p>
      <w:pPr>
        <w:spacing w:after="0" w:line="172" w:lineRule="exact"/>
        <w:rPr>
          <w:sz w:val="20"/>
          <w:szCs w:val="20"/>
          <w:color w:val="auto"/>
        </w:rPr>
      </w:pPr>
    </w:p>
    <w:p>
      <w:pPr>
        <w:jc w:val="both"/>
        <w:ind w:left="7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11.2.9</w:t>
        <w:tab/>
        <w:t>to AstraZeneca’s Knowledge, no Person is infringing or threatening to infringe the Option Patents in the Field; and no facts exist that would render the Option Patents invalid or unenforceable;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11.2.10 the Option Patents have been prosecuted in accordance with all Applicable Law including the duty of candor;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11.2.11 AstraZeneca has received no regulatory warnings or complaint letters in connection with the Compounds or Products;</w:t>
      </w:r>
    </w:p>
    <w:p>
      <w:pPr>
        <w:spacing w:after="0" w:line="204" w:lineRule="exact"/>
        <w:rPr>
          <w:sz w:val="20"/>
          <w:szCs w:val="20"/>
          <w:color w:val="auto"/>
        </w:rPr>
      </w:pPr>
    </w:p>
    <w:p>
      <w:pPr>
        <w:jc w:val="both"/>
        <w:ind w:left="720" w:hanging="723"/>
        <w:spacing w:after="0" w:line="239" w:lineRule="auto"/>
        <w:rPr>
          <w:sz w:val="20"/>
          <w:szCs w:val="20"/>
          <w:color w:val="auto"/>
        </w:rPr>
      </w:pPr>
      <w:r>
        <w:rPr>
          <w:rFonts w:ascii="Times New Roman" w:cs="Times New Roman" w:eastAsia="Times New Roman" w:hAnsi="Times New Roman"/>
          <w:sz w:val="22"/>
          <w:szCs w:val="22"/>
          <w:color w:val="auto"/>
        </w:rPr>
        <w:t>11.2.12 solely in relation to the services carried out in its conduct of the Transfer Activities: (i) none of its Third Party suppliers and no employees or contractors of AstraZeneca who has been involved in the development of the Compounds and Products has, to AstraZeneca’s Knowledge, been debarred or is subject to debarment; and (ii) neither it nor any of its Affiliates has used, does use or will use in any capacity,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719455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09" w:name="page210"/>
    <w:bookmarkEnd w:id="209"/>
    <w:p>
      <w:pPr>
        <w:spacing w:after="0" w:line="117" w:lineRule="exact"/>
        <w:rPr>
          <w:sz w:val="20"/>
          <w:szCs w:val="20"/>
          <w:color w:val="auto"/>
        </w:rPr>
      </w:pPr>
    </w:p>
    <w:p>
      <w:pPr>
        <w:ind w:left="720"/>
        <w:spacing w:after="0" w:line="258" w:lineRule="auto"/>
        <w:rPr>
          <w:sz w:val="20"/>
          <w:szCs w:val="20"/>
          <w:color w:val="auto"/>
        </w:rPr>
      </w:pPr>
      <w:r>
        <w:rPr>
          <w:rFonts w:ascii="Times New Roman" w:cs="Times New Roman" w:eastAsia="Times New Roman" w:hAnsi="Times New Roman"/>
          <w:sz w:val="22"/>
          <w:szCs w:val="22"/>
          <w:color w:val="auto"/>
        </w:rPr>
        <w:t>connection with the services to be performed under this Agreement, any Person who has been debarred pursuant to Section 306 of the FFDCA or who is the subject of a conviction described in such section;</w:t>
      </w:r>
    </w:p>
    <w:p>
      <w:pPr>
        <w:spacing w:after="0" w:line="131" w:lineRule="exact"/>
        <w:rPr>
          <w:sz w:val="20"/>
          <w:szCs w:val="20"/>
          <w:color w:val="auto"/>
        </w:rPr>
      </w:pPr>
    </w:p>
    <w:p>
      <w:pPr>
        <w:jc w:val="both"/>
        <w:ind w:left="720" w:hanging="723"/>
        <w:spacing w:after="0" w:line="258" w:lineRule="auto"/>
        <w:rPr>
          <w:sz w:val="20"/>
          <w:szCs w:val="20"/>
          <w:color w:val="auto"/>
        </w:rPr>
      </w:pPr>
      <w:r>
        <w:rPr>
          <w:rFonts w:ascii="Times New Roman" w:cs="Times New Roman" w:eastAsia="Times New Roman" w:hAnsi="Times New Roman"/>
          <w:sz w:val="22"/>
          <w:szCs w:val="22"/>
          <w:color w:val="auto"/>
        </w:rPr>
        <w:t>11.2.13 all API, Compounds, and the Products, as applicable, have been manufactured in compliance with all Applicable Law and applicable good manufacturing practice;</w:t>
      </w:r>
    </w:p>
    <w:p>
      <w:pPr>
        <w:spacing w:after="0" w:line="145" w:lineRule="exact"/>
        <w:rPr>
          <w:sz w:val="20"/>
          <w:szCs w:val="20"/>
          <w:color w:val="auto"/>
        </w:rPr>
      </w:pPr>
    </w:p>
    <w:p>
      <w:pPr>
        <w:ind w:left="720" w:hanging="723"/>
        <w:spacing w:after="0" w:line="258" w:lineRule="auto"/>
        <w:rPr>
          <w:sz w:val="20"/>
          <w:szCs w:val="20"/>
          <w:color w:val="auto"/>
        </w:rPr>
      </w:pPr>
      <w:r>
        <w:rPr>
          <w:rFonts w:ascii="Times New Roman" w:cs="Times New Roman" w:eastAsia="Times New Roman" w:hAnsi="Times New Roman"/>
          <w:sz w:val="22"/>
          <w:szCs w:val="22"/>
          <w:color w:val="auto"/>
        </w:rPr>
        <w:t>11.2.14 AstraZeneca has not had any and is not in material dispute with any Third Party supplier in connection with the supply of the Compounds, or Products;</w:t>
      </w:r>
    </w:p>
    <w:p>
      <w:pPr>
        <w:spacing w:after="0" w:line="131" w:lineRule="exact"/>
        <w:rPr>
          <w:sz w:val="20"/>
          <w:szCs w:val="20"/>
          <w:color w:val="auto"/>
        </w:rPr>
      </w:pPr>
    </w:p>
    <w:p>
      <w:pPr>
        <w:jc w:val="both"/>
        <w:ind w:left="720" w:hanging="723"/>
        <w:spacing w:after="0" w:line="256" w:lineRule="auto"/>
        <w:rPr>
          <w:sz w:val="20"/>
          <w:szCs w:val="20"/>
          <w:color w:val="auto"/>
        </w:rPr>
      </w:pPr>
      <w:r>
        <w:rPr>
          <w:rFonts w:ascii="Times New Roman" w:cs="Times New Roman" w:eastAsia="Times New Roman" w:hAnsi="Times New Roman"/>
          <w:sz w:val="22"/>
          <w:szCs w:val="22"/>
          <w:color w:val="auto"/>
        </w:rPr>
        <w:t>11.2.15 AstraZeneca is not conducting, nor planning to conduct in the immediate future, any Development with a neutrophil elastase inhibitor, other than as contemplated by this Agreement;</w:t>
      </w:r>
    </w:p>
    <w:p>
      <w:pPr>
        <w:jc w:val="both"/>
        <w:ind w:left="720" w:right="20" w:hanging="722"/>
        <w:spacing w:after="0" w:line="244" w:lineRule="auto"/>
        <w:rPr>
          <w:sz w:val="20"/>
          <w:szCs w:val="20"/>
          <w:color w:val="auto"/>
        </w:rPr>
      </w:pPr>
      <w:r>
        <w:rPr>
          <w:rFonts w:ascii="Times New Roman" w:cs="Times New Roman" w:eastAsia="Times New Roman" w:hAnsi="Times New Roman"/>
          <w:sz w:val="22"/>
          <w:szCs w:val="22"/>
          <w:color w:val="auto"/>
        </w:rPr>
        <w:t>11.2.16 With the exception of the Additional Studies and the Ongoing Research Agreements, to AstraZeneca’s Knowledge neither AstraZeneca nor its Affiliates is a party to an upstream agreement which relates to any of the Product Intellectual Property;</w:t>
      </w:r>
    </w:p>
    <w:p>
      <w:pPr>
        <w:spacing w:after="0" w:line="160"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22"/>
          <w:szCs w:val="22"/>
          <w:color w:val="auto"/>
        </w:rPr>
        <w:t>11.2.17</w:t>
      </w:r>
      <w:r>
        <w:rPr>
          <w:sz w:val="20"/>
          <w:szCs w:val="20"/>
          <w:color w:val="auto"/>
        </w:rPr>
        <w:tab/>
      </w:r>
      <w:r>
        <w:rPr>
          <w:rFonts w:ascii="Times New Roman" w:cs="Times New Roman" w:eastAsia="Times New Roman" w:hAnsi="Times New Roman"/>
          <w:sz w:val="21"/>
          <w:szCs w:val="21"/>
          <w:color w:val="auto"/>
        </w:rPr>
        <w:t>to AstraZeneca’s Knowledge, the list of Transferring Contracts set forth in Schedule</w:t>
      </w:r>
    </w:p>
    <w:p>
      <w:pPr>
        <w:spacing w:after="0" w:line="28" w:lineRule="exact"/>
        <w:rPr>
          <w:sz w:val="20"/>
          <w:szCs w:val="20"/>
          <w:color w:val="auto"/>
        </w:rPr>
      </w:pPr>
    </w:p>
    <w:p>
      <w:pPr>
        <w:jc w:val="both"/>
        <w:ind w:left="740"/>
        <w:spacing w:after="0" w:line="234" w:lineRule="auto"/>
        <w:rPr>
          <w:sz w:val="20"/>
          <w:szCs w:val="20"/>
          <w:color w:val="auto"/>
        </w:rPr>
      </w:pPr>
      <w:r>
        <w:rPr>
          <w:rFonts w:ascii="Times New Roman" w:cs="Times New Roman" w:eastAsia="Times New Roman" w:hAnsi="Times New Roman"/>
          <w:sz w:val="22"/>
          <w:szCs w:val="22"/>
          <w:color w:val="auto"/>
        </w:rPr>
        <w:t>1.129 is a true, complete and accurate list as of the Effective Date of all written or oral legally binding contracts, agreements, instruments, commitments, obligations, understandings, or undertakings of any nature (including leases, licenses, mortgages, notes, guarantees, sublicenses, subcontracts, covenants not to compete, covenants not to sue, confidentiality agreements, options and warranties) which are exclusively related to the Business; and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11.2.18 to AstraZeneca’s Knowledge, AstraZeneca is in compliance with the terms of all Transferring Contracts.</w:t>
      </w:r>
    </w:p>
    <w:p>
      <w:pPr>
        <w:spacing w:after="0" w:line="175"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Additional Representation, Warranty and Covenant of AstraZeneca</w:t>
      </w:r>
    </w:p>
    <w:p>
      <w:pPr>
        <w:spacing w:after="0" w:line="197" w:lineRule="exact"/>
        <w:rPr>
          <w:sz w:val="20"/>
          <w:szCs w:val="20"/>
          <w:color w:val="auto"/>
        </w:rPr>
      </w:pPr>
    </w:p>
    <w:p>
      <w:pPr>
        <w:jc w:val="both"/>
        <w:ind w:left="760" w:right="20" w:hanging="9"/>
        <w:spacing w:after="0" w:line="258" w:lineRule="auto"/>
        <w:rPr>
          <w:sz w:val="20"/>
          <w:szCs w:val="20"/>
          <w:color w:val="auto"/>
        </w:rPr>
      </w:pPr>
      <w:r>
        <w:rPr>
          <w:rFonts w:ascii="Times New Roman" w:cs="Times New Roman" w:eastAsia="Times New Roman" w:hAnsi="Times New Roman"/>
          <w:sz w:val="22"/>
          <w:szCs w:val="22"/>
          <w:color w:val="auto"/>
        </w:rPr>
        <w:t>AstraZeneca further represents and warrants to Mereo on an ongoing basis that, subject to any restrictions contained in the Transferring Contracts or Additional Studies:</w:t>
      </w:r>
    </w:p>
    <w:p>
      <w:pPr>
        <w:spacing w:after="0" w:line="131" w:lineRule="exact"/>
        <w:rPr>
          <w:sz w:val="20"/>
          <w:szCs w:val="20"/>
          <w:color w:val="auto"/>
        </w:rPr>
      </w:pPr>
    </w:p>
    <w:p>
      <w:pPr>
        <w:jc w:val="both"/>
        <w:ind w:left="7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color w:val="auto"/>
        </w:rPr>
        <w:t>11.3.1</w:t>
        <w:tab/>
        <w:t>AstraZeneca will not grant any security, liens or other encumbrance over the Option Intellectual Property prior to the Option Exercise Date; and</w:t>
      </w:r>
    </w:p>
    <w:p>
      <w:pPr>
        <w:spacing w:after="0" w:line="145" w:lineRule="exact"/>
        <w:rPr>
          <w:sz w:val="20"/>
          <w:szCs w:val="20"/>
          <w:color w:val="auto"/>
        </w:rPr>
      </w:pPr>
    </w:p>
    <w:p>
      <w:pPr>
        <w:jc w:val="both"/>
        <w:ind w:left="720" w:hanging="723"/>
        <w:spacing w:after="0" w:line="244" w:lineRule="auto"/>
        <w:tabs>
          <w:tab w:leader="none" w:pos="700" w:val="left"/>
        </w:tabs>
        <w:rPr>
          <w:sz w:val="20"/>
          <w:szCs w:val="20"/>
          <w:color w:val="auto"/>
        </w:rPr>
      </w:pPr>
      <w:r>
        <w:rPr>
          <w:rFonts w:ascii="Times New Roman" w:cs="Times New Roman" w:eastAsia="Times New Roman" w:hAnsi="Times New Roman"/>
          <w:sz w:val="22"/>
          <w:szCs w:val="22"/>
          <w:color w:val="auto"/>
        </w:rPr>
        <w:t>11.3.2</w:t>
        <w:tab/>
        <w:t>AstraZeneca will not grant any security, liens or other encumbrance over the Option Intellectual Property on or following to the Option Exercise Date that would prevent AstraZeneca granting the licenses and sublicenses specified hereunder.</w:t>
      </w:r>
    </w:p>
    <w:p>
      <w:pPr>
        <w:spacing w:after="0" w:line="14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b w:val="1"/>
          <w:bCs w:val="1"/>
          <w:color w:val="auto"/>
        </w:rPr>
        <w:t>DISCLAIMER OF WARRANTIES</w:t>
      </w:r>
    </w:p>
    <w:p>
      <w:pPr>
        <w:spacing w:after="0" w:line="183" w:lineRule="exact"/>
        <w:rPr>
          <w:sz w:val="20"/>
          <w:szCs w:val="20"/>
          <w:color w:val="auto"/>
        </w:rPr>
      </w:pPr>
    </w:p>
    <w:p>
      <w:pPr>
        <w:jc w:val="both"/>
        <w:ind w:left="760" w:hanging="9"/>
        <w:spacing w:after="0" w:line="235" w:lineRule="auto"/>
        <w:rPr>
          <w:sz w:val="20"/>
          <w:szCs w:val="20"/>
          <w:color w:val="auto"/>
        </w:rPr>
      </w:pPr>
      <w:r>
        <w:rPr>
          <w:rFonts w:ascii="Times New Roman" w:cs="Times New Roman" w:eastAsia="Times New Roman" w:hAnsi="Times New Roman"/>
          <w:sz w:val="22"/>
          <w:szCs w:val="22"/>
          <w:color w:val="auto"/>
        </w:rPr>
        <w:t>EXCEPT FOR THE EXPRESS WARRANTIES SET FORTH HEREIN, 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w:t>
      </w:r>
    </w:p>
    <w:p>
      <w:pPr>
        <w:spacing w:after="0" w:line="166" w:lineRule="exact"/>
        <w:rPr>
          <w:sz w:val="20"/>
          <w:szCs w:val="20"/>
          <w:color w:val="auto"/>
        </w:rPr>
      </w:pPr>
    </w:p>
    <w:p>
      <w:pPr>
        <w:ind w:left="740" w:hanging="728"/>
        <w:spacing w:after="0"/>
        <w:tabs>
          <w:tab w:leader="none" w:pos="74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ANTI-BRIBERY AND ANTI-CORRUPTION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737870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10" w:name="page211"/>
    <w:bookmarkEnd w:id="210"/>
    <w:p>
      <w:pPr>
        <w:spacing w:after="0" w:line="113" w:lineRule="exact"/>
        <w:rPr>
          <w:sz w:val="20"/>
          <w:szCs w:val="20"/>
          <w:color w:val="auto"/>
        </w:rPr>
      </w:pPr>
    </w:p>
    <w:p>
      <w:pPr>
        <w:jc w:val="both"/>
        <w:ind w:hanging="723"/>
        <w:spacing w:after="0" w:line="244" w:lineRule="auto"/>
        <w:rPr>
          <w:sz w:val="20"/>
          <w:szCs w:val="20"/>
          <w:color w:val="auto"/>
        </w:rPr>
      </w:pPr>
      <w:r>
        <w:rPr>
          <w:rFonts w:ascii="Times New Roman" w:cs="Times New Roman" w:eastAsia="Times New Roman" w:hAnsi="Times New Roman"/>
          <w:sz w:val="22"/>
          <w:szCs w:val="22"/>
          <w:b w:val="1"/>
          <w:bCs w:val="1"/>
          <w:color w:val="auto"/>
        </w:rPr>
        <w:t>12.1</w:t>
      </w:r>
      <w:r>
        <w:rPr>
          <w:sz w:val="20"/>
          <w:szCs w:val="20"/>
          <w:color w:val="auto"/>
        </w:rPr>
        <w:t xml:space="preserve"> </w:t>
      </w:r>
      <w:r>
        <w:rPr>
          <w:rFonts w:ascii="Times New Roman" w:cs="Times New Roman" w:eastAsia="Times New Roman" w:hAnsi="Times New Roman"/>
          <w:sz w:val="22"/>
          <w:szCs w:val="22"/>
          <w:color w:val="auto"/>
        </w:rPr>
        <w:t>Mereo agrees, on behalf of itself, its officers, directors and employees and on behalf of its Affiliates, agents, representatives, consultants and subcontractors hired in connection with the subject matter of this Agreement (together with Mereo, the “</w:t>
      </w:r>
      <w:r>
        <w:rPr>
          <w:rFonts w:ascii="Times New Roman" w:cs="Times New Roman" w:eastAsia="Times New Roman" w:hAnsi="Times New Roman"/>
          <w:sz w:val="22"/>
          <w:szCs w:val="22"/>
          <w:b w:val="1"/>
          <w:bCs w:val="1"/>
          <w:color w:val="auto"/>
        </w:rPr>
        <w:t>Mereo Representatives</w:t>
      </w:r>
      <w:r>
        <w:rPr>
          <w:rFonts w:ascii="Times New Roman" w:cs="Times New Roman" w:eastAsia="Times New Roman" w:hAnsi="Times New Roman"/>
          <w:sz w:val="22"/>
          <w:szCs w:val="22"/>
          <w:color w:val="auto"/>
        </w:rPr>
        <w:t>”) that for the performance of its obligations hereunder:</w:t>
      </w:r>
    </w:p>
    <w:p>
      <w:pPr>
        <w:spacing w:after="0" w:line="150" w:lineRule="exact"/>
        <w:rPr>
          <w:sz w:val="20"/>
          <w:szCs w:val="20"/>
          <w:color w:val="auto"/>
        </w:rPr>
      </w:pPr>
    </w:p>
    <w:p>
      <w:pPr>
        <w:jc w:val="both"/>
        <w:ind w:right="20" w:hanging="723"/>
        <w:spacing w:after="0" w:line="239" w:lineRule="auto"/>
        <w:rPr>
          <w:sz w:val="20"/>
          <w:szCs w:val="20"/>
          <w:color w:val="auto"/>
        </w:rPr>
      </w:pPr>
      <w:r>
        <w:rPr>
          <w:rFonts w:ascii="Times New Roman" w:cs="Times New Roman" w:eastAsia="Times New Roman" w:hAnsi="Times New Roman"/>
          <w:sz w:val="22"/>
          <w:szCs w:val="22"/>
          <w:color w:val="auto"/>
        </w:rPr>
        <w:t>12.1.1</w:t>
      </w:r>
      <w:r>
        <w:rPr>
          <w:sz w:val="20"/>
          <w:szCs w:val="20"/>
          <w:color w:val="auto"/>
        </w:rPr>
        <w:t xml:space="preserve"> </w:t>
      </w:r>
      <w:r>
        <w:rPr>
          <w:rFonts w:ascii="Times New Roman" w:cs="Times New Roman" w:eastAsia="Times New Roman" w:hAnsi="Times New Roman"/>
          <w:sz w:val="22"/>
          <w:szCs w:val="22"/>
          <w:color w:val="auto"/>
        </w:rPr>
        <w:t>the Mereo Representatives shall not directly or indirectly pay, offer or promise to pay or authorize the payment of any money or give, offer or promise to give or authorize the giving of anything else of value, to: (a) any Government Official in order to improperly influence official action; (b) any Person (whether or not a Government Official) (i) to improperly influence such Person to act in breach of a duty of good faith, impartiality</w:t>
      </w:r>
    </w:p>
    <w:p>
      <w:pPr>
        <w:spacing w:after="0" w:line="32" w:lineRule="exact"/>
        <w:rPr>
          <w:sz w:val="20"/>
          <w:szCs w:val="20"/>
          <w:color w:val="auto"/>
        </w:rPr>
      </w:pPr>
    </w:p>
    <w:p>
      <w:pPr>
        <w:jc w:val="both"/>
        <w:ind w:left="20" w:right="20"/>
        <w:spacing w:after="0" w:line="249" w:lineRule="auto"/>
        <w:rPr>
          <w:sz w:val="20"/>
          <w:szCs w:val="20"/>
          <w:color w:val="auto"/>
        </w:rPr>
      </w:pPr>
      <w:r>
        <w:rPr>
          <w:rFonts w:ascii="Times New Roman" w:cs="Times New Roman" w:eastAsia="Times New Roman" w:hAnsi="Times New Roman"/>
          <w:sz w:val="21"/>
          <w:szCs w:val="21"/>
          <w:color w:val="auto"/>
        </w:rPr>
        <w:t>or trust (“acting improperly”), (ii) to reward such Person for acting improperly or (iii) where such Person would be acting improperly by receiving the money or other thing of value; (c) any Person (whether or not a Government Official) while knowing or having reason to know that all or any portion of the money or other thing of value will be paid, offered, promised or given to or will otherwise benefit, a Government Official in order to improperly influence official action for or against either Party in connection with this Agreement; or (d) any Person (whether or not a Government Official) to reward that Person for acting improperly or to induce that Person to act improperly; and</w:t>
      </w:r>
    </w:p>
    <w:p>
      <w:pPr>
        <w:spacing w:after="0" w:line="211" w:lineRule="exact"/>
        <w:rPr>
          <w:sz w:val="20"/>
          <w:szCs w:val="20"/>
          <w:color w:val="auto"/>
        </w:rPr>
      </w:pPr>
    </w:p>
    <w:p>
      <w:pPr>
        <w:jc w:val="both"/>
        <w:ind w:right="20" w:hanging="723"/>
        <w:spacing w:after="0" w:line="258" w:lineRule="auto"/>
        <w:rPr>
          <w:sz w:val="20"/>
          <w:szCs w:val="20"/>
          <w:color w:val="auto"/>
        </w:rPr>
      </w:pPr>
      <w:r>
        <w:rPr>
          <w:rFonts w:ascii="Times New Roman" w:cs="Times New Roman" w:eastAsia="Times New Roman" w:hAnsi="Times New Roman"/>
          <w:sz w:val="22"/>
          <w:szCs w:val="22"/>
          <w:color w:val="auto"/>
        </w:rPr>
        <w:t>12.1.2</w:t>
      </w:r>
      <w:r>
        <w:rPr>
          <w:sz w:val="20"/>
          <w:szCs w:val="20"/>
          <w:color w:val="auto"/>
        </w:rPr>
        <w:t xml:space="preserve"> </w:t>
      </w:r>
      <w:r>
        <w:rPr>
          <w:rFonts w:ascii="Times New Roman" w:cs="Times New Roman" w:eastAsia="Times New Roman" w:hAnsi="Times New Roman"/>
          <w:sz w:val="22"/>
          <w:szCs w:val="22"/>
          <w:color w:val="auto"/>
        </w:rPr>
        <w:t>the Mereo Representatives shall not, directly or indirectly, solicit, receive or agree to accept any payment of money or anything else of value in violation of the AntiCorruption Laws.</w:t>
      </w:r>
    </w:p>
    <w:p>
      <w:pPr>
        <w:spacing w:after="0" w:line="127" w:lineRule="exact"/>
        <w:rPr>
          <w:sz w:val="20"/>
          <w:szCs w:val="20"/>
          <w:color w:val="auto"/>
        </w:rPr>
      </w:pPr>
    </w:p>
    <w:p>
      <w:pPr>
        <w:jc w:val="both"/>
        <w:ind w:hanging="723"/>
        <w:spacing w:after="0" w:line="238" w:lineRule="auto"/>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 xml:space="preserve"> </w:t>
      </w:r>
      <w:r>
        <w:rPr>
          <w:rFonts w:ascii="Times New Roman" w:cs="Times New Roman" w:eastAsia="Times New Roman" w:hAnsi="Times New Roman"/>
          <w:sz w:val="22"/>
          <w:szCs w:val="22"/>
          <w:color w:val="auto"/>
        </w:rPr>
        <w:t>Mereo shall and shall cause the Mereo Representatives to comply with (a) such applicable Anti-Corruption Laws; (b) their own internal policies relating to anticorruption; and (c) in connection with activities under this Agreement, AZ’s Global Ethical Interactions Policy. If AstraZeneca makes any material change to AZ’s Global Ethical Interactions Policy, it shall notify Mereo of such change in writing and Mereo and the Mereo Representatives shall be under no obligation to comply with such change until such time as Mereo has received such notice of the same.</w:t>
      </w:r>
    </w:p>
    <w:p>
      <w:pPr>
        <w:spacing w:after="0" w:line="163" w:lineRule="exact"/>
        <w:rPr>
          <w:sz w:val="20"/>
          <w:szCs w:val="20"/>
          <w:color w:val="auto"/>
        </w:rPr>
      </w:pPr>
    </w:p>
    <w:p>
      <w:pPr>
        <w:jc w:val="both"/>
        <w:ind w:right="20" w:hanging="723"/>
        <w:spacing w:after="0" w:line="244" w:lineRule="auto"/>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 xml:space="preserve"> </w:t>
      </w:r>
      <w:r>
        <w:rPr>
          <w:rFonts w:ascii="Times New Roman" w:cs="Times New Roman" w:eastAsia="Times New Roman" w:hAnsi="Times New Roman"/>
          <w:sz w:val="22"/>
          <w:szCs w:val="22"/>
          <w:color w:val="auto"/>
        </w:rPr>
        <w:t>Mereo, on behalf of itself and the other Mereo Representatives shall promptly inform AstraZeneca upon receipt by Mereo of a formal notification that it or any of the Mereo Representatives is the target of a formal investigation by a Regulatory Authority for a Material Anti-Corruption Law Violation.</w:t>
      </w:r>
    </w:p>
    <w:p>
      <w:pPr>
        <w:spacing w:after="0" w:line="146" w:lineRule="exact"/>
        <w:rPr>
          <w:sz w:val="20"/>
          <w:szCs w:val="20"/>
          <w:color w:val="auto"/>
        </w:rPr>
      </w:pPr>
    </w:p>
    <w:p>
      <w:pPr>
        <w:jc w:val="both"/>
        <w:ind w:hanging="723"/>
        <w:spacing w:after="0" w:line="233" w:lineRule="auto"/>
        <w:rPr>
          <w:sz w:val="20"/>
          <w:szCs w:val="20"/>
          <w:color w:val="auto"/>
        </w:rPr>
      </w:pPr>
      <w:r>
        <w:rPr>
          <w:rFonts w:ascii="Times New Roman" w:cs="Times New Roman" w:eastAsia="Times New Roman" w:hAnsi="Times New Roman"/>
          <w:sz w:val="22"/>
          <w:szCs w:val="22"/>
          <w:b w:val="1"/>
          <w:bCs w:val="1"/>
          <w:color w:val="auto"/>
        </w:rPr>
        <w:t>12.4</w:t>
      </w:r>
      <w:r>
        <w:rPr>
          <w:sz w:val="20"/>
          <w:szCs w:val="20"/>
          <w:color w:val="auto"/>
        </w:rPr>
        <w:t xml:space="preserve"> </w:t>
      </w:r>
      <w:r>
        <w:rPr>
          <w:rFonts w:ascii="Times New Roman" w:cs="Times New Roman" w:eastAsia="Times New Roman" w:hAnsi="Times New Roman"/>
          <w:sz w:val="22"/>
          <w:szCs w:val="22"/>
          <w:color w:val="auto"/>
        </w:rPr>
        <w:t>For the purpose of auditing and monitoring the performance of its compliance with this Section 12, Mereo will during the Term, subject to the terms of this Section 12.4 and not more than [***] in each Calendar Year, permit any reasonably acceptable independent auditor appointed by AstraZeneca for such purpose and any Regulatory Authority to have access to any premises of Mereo or other Mereo Representatives used in connection with this Agreement (such access to be at reasonable times and on reasonable notice), together with a right to access personnel and records that relate to this Agreement (“</w:t>
      </w:r>
      <w:r>
        <w:rPr>
          <w:rFonts w:ascii="Times New Roman" w:cs="Times New Roman" w:eastAsia="Times New Roman" w:hAnsi="Times New Roman"/>
          <w:sz w:val="22"/>
          <w:szCs w:val="22"/>
          <w:b w:val="1"/>
          <w:bCs w:val="1"/>
          <w:color w:val="auto"/>
        </w:rPr>
        <w:t>Compliance Audit</w:t>
      </w:r>
      <w:r>
        <w:rPr>
          <w:rFonts w:ascii="Times New Roman" w:cs="Times New Roman" w:eastAsia="Times New Roman" w:hAnsi="Times New Roman"/>
          <w:sz w:val="22"/>
          <w:szCs w:val="22"/>
          <w:color w:val="auto"/>
        </w:rPr>
        <w:t>”). To the extent that any Compliance Audit by AstraZeneca requires access and review of any commercially or strategically sensitive information or agreements of Mereo or Mereo Representatives, such independent auditor shall only report back to AstraZeneca such information as is directly relevant to informing AstraZeneca on Mereo’s compliance with the particular provisions of this Agreement or the agreement being audited. Mereo shall, and shall cause the Mereo Representatives to, provide all cooperation and assistance during normal working hours as reasonably requested by its independent auditor for the purposes of a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724535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200" w:top="1440" w:right="479" w:bottom="1440" w:gutter="0" w:footer="0" w:header="0"/>
        </w:sectPr>
      </w:pPr>
    </w:p>
    <w:bookmarkStart w:id="211" w:name="page212"/>
    <w:bookmarkEnd w:id="211"/>
    <w:p>
      <w:pPr>
        <w:spacing w:after="0" w:line="117" w:lineRule="exact"/>
        <w:rPr>
          <w:sz w:val="20"/>
          <w:szCs w:val="20"/>
          <w:color w:val="auto"/>
        </w:rPr>
      </w:pPr>
    </w:p>
    <w:p>
      <w:pPr>
        <w:jc w:val="both"/>
        <w:ind w:left="720"/>
        <w:spacing w:after="0" w:line="244" w:lineRule="auto"/>
        <w:rPr>
          <w:sz w:val="20"/>
          <w:szCs w:val="20"/>
          <w:color w:val="auto"/>
        </w:rPr>
      </w:pPr>
      <w:r>
        <w:rPr>
          <w:rFonts w:ascii="Times New Roman" w:cs="Times New Roman" w:eastAsia="Times New Roman" w:hAnsi="Times New Roman"/>
          <w:sz w:val="22"/>
          <w:szCs w:val="22"/>
          <w:color w:val="auto"/>
        </w:rPr>
        <w:t>Audit. AstraZeneca shall cause any such auditor to enter into a confidentiality agreement substantially consistent with the applicable requirements of Section 10 hereof, and to cause the minimum amount of disruption to the business of Mereo and the Mereo Representatives and to comply with relevant building and security regulations.</w:t>
      </w:r>
    </w:p>
    <w:p>
      <w:pPr>
        <w:spacing w:after="0" w:line="156" w:lineRule="exact"/>
        <w:rPr>
          <w:sz w:val="20"/>
          <w:szCs w:val="20"/>
          <w:color w:val="auto"/>
        </w:rPr>
      </w:pPr>
    </w:p>
    <w:p>
      <w:pPr>
        <w:jc w:val="both"/>
        <w:ind w:left="720" w:hanging="723"/>
        <w:spacing w:after="0" w:line="256" w:lineRule="auto"/>
        <w:tabs>
          <w:tab w:leader="none" w:pos="70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2"/>
          <w:szCs w:val="22"/>
          <w:color w:val="auto"/>
        </w:rPr>
        <w:t>The costs and fees of any Compliance Audit shall be paid by [***] and [***] of rendering assistance under this Section 12.</w:t>
      </w:r>
    </w:p>
    <w:p>
      <w:pPr>
        <w:jc w:val="both"/>
        <w:ind w:left="720" w:hanging="723"/>
        <w:spacing w:after="0" w:line="233" w:lineRule="auto"/>
        <w:tabs>
          <w:tab w:leader="none" w:pos="70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2"/>
          <w:szCs w:val="22"/>
          <w:color w:val="auto"/>
        </w:rPr>
        <w:t>If AstraZeneca becomes aware that Mereo (or any other Mereo Representative) has or comes to reasonably believe that Mereo (or any other Mereo Representative) has (and provides written evidence of the same to Mereo) committed a Material Anti-Corruption Law Violation, AstraZeneca shall have the right, in addition to any other rights or remedies under this Agreement or to which it may be entitled in law or equity, to terminate this Agreement immediately and in its entirety upon written notice to Mereo if Mereo does not cure such Material Anti-Corruption Law Violation or demonstrate that such Material Anti-Corruption Law Violation did not occur within [***] days of learning of, or notice from AstraZeneca alleging, such Material Anti-Corruption Law Violation. To cure such Material Anti-Corruption Law Violation, Mereo shall take such steps, additional measures, representations, warranties, undertakings and other provisions, in each case, as AstraZeneca believes in good faith are reasonably necessary in order to avoid a subsequent Material Anti-Corruption Law Violation or continuing violation of Anti-Corruption Laws.</w:t>
      </w:r>
    </w:p>
    <w:p>
      <w:pPr>
        <w:spacing w:after="0" w:line="174" w:lineRule="exact"/>
        <w:rPr>
          <w:sz w:val="20"/>
          <w:szCs w:val="20"/>
          <w:color w:val="auto"/>
        </w:rPr>
      </w:pPr>
    </w:p>
    <w:p>
      <w:pPr>
        <w:jc w:val="both"/>
        <w:ind w:left="7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b w:val="1"/>
          <w:bCs w:val="1"/>
          <w:color w:val="auto"/>
        </w:rPr>
        <w:t>12.7</w:t>
      </w:r>
      <w:r>
        <w:rPr>
          <w:sz w:val="20"/>
          <w:szCs w:val="20"/>
          <w:color w:val="auto"/>
        </w:rPr>
        <w:tab/>
      </w:r>
      <w:r>
        <w:rPr>
          <w:rFonts w:ascii="Times New Roman" w:cs="Times New Roman" w:eastAsia="Times New Roman" w:hAnsi="Times New Roman"/>
          <w:sz w:val="22"/>
          <w:szCs w:val="22"/>
          <w:color w:val="auto"/>
        </w:rPr>
        <w:t>Any termination of this Agreement pursuant to Section 12 shall be treated as a termination by AstraZeneca for Mereo’s breach and the applicable consequences of termination set forth in Section 15 shall apply.</w:t>
      </w:r>
    </w:p>
    <w:p>
      <w:pPr>
        <w:spacing w:after="0" w:line="131" w:lineRule="exact"/>
        <w:rPr>
          <w:sz w:val="20"/>
          <w:szCs w:val="20"/>
          <w:color w:val="auto"/>
        </w:rPr>
      </w:pPr>
    </w:p>
    <w:p>
      <w:pPr>
        <w:jc w:val="both"/>
        <w:ind w:left="720" w:hanging="723"/>
        <w:spacing w:after="0" w:line="239" w:lineRule="auto"/>
        <w:tabs>
          <w:tab w:leader="none" w:pos="700" w:val="left"/>
        </w:tabs>
        <w:rPr>
          <w:sz w:val="20"/>
          <w:szCs w:val="20"/>
          <w:color w:val="auto"/>
        </w:rPr>
      </w:pPr>
      <w:r>
        <w:rPr>
          <w:rFonts w:ascii="Times New Roman" w:cs="Times New Roman" w:eastAsia="Times New Roman" w:hAnsi="Times New Roman"/>
          <w:sz w:val="22"/>
          <w:szCs w:val="22"/>
          <w:b w:val="1"/>
          <w:bCs w:val="1"/>
          <w:color w:val="auto"/>
        </w:rPr>
        <w:t>12.8</w:t>
      </w:r>
      <w:r>
        <w:rPr>
          <w:sz w:val="20"/>
          <w:szCs w:val="20"/>
          <w:color w:val="auto"/>
        </w:rPr>
        <w:tab/>
      </w:r>
      <w:r>
        <w:rPr>
          <w:rFonts w:ascii="Times New Roman" w:cs="Times New Roman" w:eastAsia="Times New Roman" w:hAnsi="Times New Roman"/>
          <w:sz w:val="22"/>
          <w:szCs w:val="22"/>
          <w:color w:val="auto"/>
        </w:rPr>
        <w:t>AstraZeneca may disclose the terms of this Agreement or any action taken under this Section 12 to prevent a potential violation or continuing violation of applicable AntiCorruption Laws, including the identity of Mereo or a Mereo Representative and the payment terms, to any Regulatory Authority if AstraZeneca determines, upon advice of counsel, that such disclosure is necessary.</w:t>
      </w:r>
    </w:p>
    <w:p>
      <w:pPr>
        <w:spacing w:after="0" w:line="234" w:lineRule="exact"/>
        <w:rPr>
          <w:sz w:val="20"/>
          <w:szCs w:val="20"/>
          <w:color w:val="auto"/>
        </w:rPr>
      </w:pPr>
    </w:p>
    <w:p>
      <w:pPr>
        <w:jc w:val="both"/>
        <w:ind w:left="720" w:hanging="723"/>
        <w:spacing w:after="0" w:line="258" w:lineRule="auto"/>
        <w:tabs>
          <w:tab w:leader="none" w:pos="700" w:val="left"/>
        </w:tabs>
        <w:rPr>
          <w:sz w:val="20"/>
          <w:szCs w:val="20"/>
          <w:color w:val="auto"/>
        </w:rPr>
      </w:pPr>
      <w:r>
        <w:rPr>
          <w:rFonts w:ascii="Times New Roman" w:cs="Times New Roman" w:eastAsia="Times New Roman" w:hAnsi="Times New Roman"/>
          <w:sz w:val="22"/>
          <w:szCs w:val="22"/>
          <w:b w:val="1"/>
          <w:bCs w:val="1"/>
          <w:color w:val="auto"/>
        </w:rPr>
        <w:t>12.9</w:t>
      </w:r>
      <w:r>
        <w:rPr>
          <w:sz w:val="20"/>
          <w:szCs w:val="20"/>
          <w:color w:val="auto"/>
        </w:rPr>
        <w:tab/>
      </w:r>
      <w:r>
        <w:rPr>
          <w:rFonts w:ascii="Times New Roman" w:cs="Times New Roman" w:eastAsia="Times New Roman" w:hAnsi="Times New Roman"/>
          <w:sz w:val="22"/>
          <w:szCs w:val="22"/>
          <w:color w:val="auto"/>
        </w:rPr>
        <w:t>Nothing in this Section 12 shall require Mereo or any Mereo Representative to breach any applicable laws or regulations.</w:t>
      </w:r>
    </w:p>
    <w:p>
      <w:pPr>
        <w:spacing w:after="0" w:line="145" w:lineRule="exact"/>
        <w:rPr>
          <w:sz w:val="20"/>
          <w:szCs w:val="20"/>
          <w:color w:val="auto"/>
        </w:rPr>
      </w:pPr>
    </w:p>
    <w:p>
      <w:pPr>
        <w:ind w:left="780" w:hanging="767"/>
        <w:spacing w:after="0"/>
        <w:tabs>
          <w:tab w:leader="none" w:pos="78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INDEMNITY</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13.1</w:t>
      </w:r>
      <w:r>
        <w:rPr>
          <w:sz w:val="20"/>
          <w:szCs w:val="20"/>
          <w:color w:val="auto"/>
        </w:rPr>
        <w:tab/>
      </w:r>
      <w:r>
        <w:rPr>
          <w:rFonts w:ascii="Times New Roman" w:cs="Times New Roman" w:eastAsia="Times New Roman" w:hAnsi="Times New Roman"/>
          <w:sz w:val="21"/>
          <w:szCs w:val="21"/>
          <w:b w:val="1"/>
          <w:bCs w:val="1"/>
          <w:color w:val="auto"/>
        </w:rPr>
        <w:t>Indemnification of AstraZeneca</w:t>
      </w:r>
    </w:p>
    <w:p>
      <w:pPr>
        <w:spacing w:after="0" w:line="197" w:lineRule="exact"/>
        <w:rPr>
          <w:sz w:val="20"/>
          <w:szCs w:val="20"/>
          <w:color w:val="auto"/>
        </w:rPr>
      </w:pPr>
    </w:p>
    <w:p>
      <w:pPr>
        <w:ind w:left="760" w:right="140"/>
        <w:spacing w:after="0" w:line="234" w:lineRule="auto"/>
        <w:rPr>
          <w:sz w:val="20"/>
          <w:szCs w:val="20"/>
          <w:color w:val="auto"/>
        </w:rPr>
      </w:pPr>
      <w:r>
        <w:rPr>
          <w:rFonts w:ascii="Times New Roman" w:cs="Times New Roman" w:eastAsia="Times New Roman" w:hAnsi="Times New Roman"/>
          <w:sz w:val="22"/>
          <w:szCs w:val="22"/>
          <w:color w:val="auto"/>
        </w:rPr>
        <w:t>Mereo shall indemnify AstraZeneca, its Affiliates, its or their (sub)licensees and its and their respective directors, officers, employees and agents and defend and save each of them harmless, from and against any and all losses, damages, liabilities, costs and expenses (including reasonable attorneys’ fees and expenses) (collectively,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in connection with: (a) the employment or termination of employment of or other obligations to any employee of Mereo whose contract of employment is claimed or is deemed to transfer to AstraZeneca or its Affiliates (each an “AZ Transferee” for the purposes of this Section 13.1) pursuant to TUPE, provided that the relevant employee is dismissed within [***] of the AZ Transferee becoming aware of the claimed or deemed transfer; and (b) any and all suits, investigations, claims or demands of Third Parties (collectively, “</w:t>
      </w:r>
      <w:r>
        <w:rPr>
          <w:rFonts w:ascii="Times New Roman" w:cs="Times New Roman" w:eastAsia="Times New Roman" w:hAnsi="Times New Roman"/>
          <w:sz w:val="22"/>
          <w:szCs w:val="22"/>
          <w:b w:val="1"/>
          <w:bCs w:val="1"/>
          <w:color w:val="auto"/>
        </w:rPr>
        <w:t>Third Party Claims</w:t>
      </w:r>
      <w:r>
        <w:rPr>
          <w:rFonts w:ascii="Times New Roman" w:cs="Times New Roman" w:eastAsia="Times New Roman" w:hAnsi="Times New Roman"/>
          <w:sz w:val="22"/>
          <w:szCs w:val="22"/>
          <w:color w:val="auto"/>
        </w:rPr>
        <w:t>”) arising from or occurring as a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721360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12" w:name="page213"/>
    <w:bookmarkEnd w:id="212"/>
    <w:p>
      <w:pPr>
        <w:jc w:val="both"/>
        <w:ind w:left="740" w:right="20" w:firstLine="6"/>
        <w:spacing w:after="0" w:line="236" w:lineRule="auto"/>
        <w:tabs>
          <w:tab w:leader="none" w:pos="100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Mereo of this Agreement; (ii) the gross negligence or willful misconduct on the part of Mereo or its Affiliates or its or their Sublicensees or its or their distributors or contractors or its or their respective directors, officers, employees or agents in performing its or their obligations under this Agreement; or (iii) the Exploitation by Mereo or any of its Affiliates or its or their Sublicensees or its or their distributors or contractors of any Product or the Compounds in or for the Territory, except, in each case ((i), (ii) and (iii)), for those Losses for which AstraZeneca has an</w:t>
      </w:r>
    </w:p>
    <w:p>
      <w:pPr>
        <w:spacing w:after="0" w:line="19" w:lineRule="exact"/>
        <w:rPr>
          <w:sz w:val="20"/>
          <w:szCs w:val="20"/>
          <w:color w:val="auto"/>
        </w:rPr>
      </w:pPr>
    </w:p>
    <w:p>
      <w:pPr>
        <w:ind w:left="740" w:right="40"/>
        <w:spacing w:after="0" w:line="258" w:lineRule="auto"/>
        <w:rPr>
          <w:sz w:val="20"/>
          <w:szCs w:val="20"/>
          <w:color w:val="auto"/>
        </w:rPr>
      </w:pPr>
      <w:r>
        <w:rPr>
          <w:rFonts w:ascii="Times New Roman" w:cs="Times New Roman" w:eastAsia="Times New Roman" w:hAnsi="Times New Roman"/>
          <w:sz w:val="22"/>
          <w:szCs w:val="22"/>
          <w:color w:val="auto"/>
        </w:rPr>
        <w:t>obligation to indemnify Mereo pursuant to Section 13.2 hereof, as to which Losses each Party shall indemnify the other to the extent of their respective liability for the Losses.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13.2 Indemnification of Mereo</w:t>
      </w:r>
    </w:p>
    <w:p>
      <w:pPr>
        <w:spacing w:after="0" w:line="170" w:lineRule="exact"/>
        <w:rPr>
          <w:sz w:val="20"/>
          <w:szCs w:val="20"/>
          <w:color w:val="auto"/>
        </w:rPr>
      </w:pPr>
    </w:p>
    <w:p>
      <w:pPr>
        <w:jc w:val="both"/>
        <w:ind w:left="740" w:hanging="9"/>
        <w:spacing w:after="0" w:line="235" w:lineRule="auto"/>
        <w:rPr>
          <w:sz w:val="20"/>
          <w:szCs w:val="20"/>
          <w:color w:val="auto"/>
        </w:rPr>
      </w:pPr>
      <w:r>
        <w:rPr>
          <w:rFonts w:ascii="Times New Roman" w:cs="Times New Roman" w:eastAsia="Times New Roman" w:hAnsi="Times New Roman"/>
          <w:sz w:val="22"/>
          <w:szCs w:val="22"/>
          <w:color w:val="auto"/>
        </w:rPr>
        <w:t>AstraZeneca shall indemnify Mereo, its Affiliates, its or their (sub)licensees and its and their respective directors, officers, employees and agents and defend and save each of them harmless, from and against any and all Losses in connection with: (a) the employment or termination of employment of or other obligations to any employee of AstraZeneca or its Affiliates whose contract of employment is claimed or is deemed to transfer to Mereo or its Affiliates (each a “Mereo Transferee” for the purposes of this Section 13.2) pursuant to TUPE provided that the relevant employee is dismissed within [***] of the Mereo Transferee becoming aware of the claimed or deemed transfer; and (b) any and all Third Party Claims arising from or occurring as a result of:</w:t>
      </w:r>
    </w:p>
    <w:p>
      <w:pPr>
        <w:spacing w:after="0" w:line="5" w:lineRule="exact"/>
        <w:rPr>
          <w:sz w:val="20"/>
          <w:szCs w:val="20"/>
          <w:color w:val="auto"/>
        </w:rPr>
      </w:pPr>
    </w:p>
    <w:p>
      <w:pPr>
        <w:jc w:val="both"/>
        <w:ind w:left="740" w:right="20" w:hanging="5"/>
        <w:spacing w:after="0" w:line="232" w:lineRule="auto"/>
        <w:tabs>
          <w:tab w:leader="none" w:pos="102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AstraZeneca of this Agreement; (ii) the gross negligence or willful misconduct on the part of AstraZeneca or its Affiliates or its or their Sublicensees or its or their respective directors, officers, employees or agents in performing its obligations under this Agreement; and (iii) the Exploitation by AstraZeneca or any of its Affiliates or its or their sublicensees or its or their distributors or contractors of any Product or the Compounds in or for the Territory prior to the Effective Date, except, in each case (i) through (iii), for those Losses for which Mereo has an obligation to indemnify AstraZeneca pursuant to Section 13.1 hereof, as to which Losses each Party shall indemnify the other to the extent of their respective liability for the Losses.</w:t>
      </w:r>
    </w:p>
    <w:p>
      <w:pPr>
        <w:spacing w:after="0" w:line="16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13.3</w:t>
      </w:r>
      <w:r>
        <w:rPr>
          <w:sz w:val="20"/>
          <w:szCs w:val="20"/>
          <w:color w:val="auto"/>
        </w:rPr>
        <w:tab/>
      </w:r>
      <w:r>
        <w:rPr>
          <w:rFonts w:ascii="Times New Roman" w:cs="Times New Roman" w:eastAsia="Times New Roman" w:hAnsi="Times New Roman"/>
          <w:sz w:val="21"/>
          <w:szCs w:val="21"/>
          <w:b w:val="1"/>
          <w:bCs w:val="1"/>
          <w:color w:val="auto"/>
        </w:rPr>
        <w:t>Indemnification Procedures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13.3.1  </w:t>
      </w:r>
      <w:r>
        <w:rPr>
          <w:rFonts w:ascii="Times New Roman" w:cs="Times New Roman" w:eastAsia="Times New Roman" w:hAnsi="Times New Roman"/>
          <w:sz w:val="22"/>
          <w:szCs w:val="22"/>
          <w:b w:val="1"/>
          <w:bCs w:val="1"/>
          <w:color w:val="auto"/>
        </w:rPr>
        <w:t>Notice of Claim</w:t>
      </w:r>
    </w:p>
    <w:p>
      <w:pPr>
        <w:spacing w:after="0" w:line="183" w:lineRule="exact"/>
        <w:rPr>
          <w:sz w:val="20"/>
          <w:szCs w:val="20"/>
          <w:color w:val="auto"/>
        </w:rPr>
      </w:pPr>
    </w:p>
    <w:p>
      <w:pPr>
        <w:jc w:val="both"/>
        <w:ind w:left="740" w:right="20" w:hanging="9"/>
        <w:spacing w:after="0" w:line="234" w:lineRule="auto"/>
        <w:rPr>
          <w:sz w:val="20"/>
          <w:szCs w:val="20"/>
          <w:color w:val="auto"/>
        </w:rPr>
      </w:pPr>
      <w:r>
        <w:rPr>
          <w:rFonts w:ascii="Times New Roman" w:cs="Times New Roman" w:eastAsia="Times New Roman" w:hAnsi="Times New Roman"/>
          <w:sz w:val="22"/>
          <w:szCs w:val="22"/>
          <w:color w:val="auto"/>
        </w:rPr>
        <w:t>All indemnification claims in respect of a Party, its Affiliates or its or their (sub)licensees or their respective directors, officers, employees and agents shall be made solely by such Party to this Agreement (the “</w:t>
      </w:r>
      <w:r>
        <w:rPr>
          <w:rFonts w:ascii="Times New Roman" w:cs="Times New Roman" w:eastAsia="Times New Roman" w:hAnsi="Times New Roman"/>
          <w:sz w:val="22"/>
          <w:szCs w:val="22"/>
          <w:b w:val="1"/>
          <w:bCs w:val="1"/>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The Indemnified Party shall give the indemnifying Party prompt written notice (an “</w:t>
      </w:r>
      <w:r>
        <w:rPr>
          <w:rFonts w:ascii="Times New Roman" w:cs="Times New Roman" w:eastAsia="Times New Roman" w:hAnsi="Times New Roman"/>
          <w:sz w:val="22"/>
          <w:szCs w:val="22"/>
          <w:b w:val="1"/>
          <w:bCs w:val="1"/>
          <w:color w:val="auto"/>
        </w:rPr>
        <w:t>Indemnification Claim Notice</w:t>
      </w:r>
      <w:r>
        <w:rPr>
          <w:rFonts w:ascii="Times New Roman" w:cs="Times New Roman" w:eastAsia="Times New Roman" w:hAnsi="Times New Roman"/>
          <w:sz w:val="22"/>
          <w:szCs w:val="22"/>
          <w:color w:val="auto"/>
        </w:rPr>
        <w:t>”) of any Losses or discovery of fact upon which such indemnified Party intends to base a request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indemnification under this Section 13, but in no event shall the indemnifying Party be liable for any Losses that result from any delay in providing such notice. Each Indemnification Claim Notice must contain a description of the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13.3.2  </w:t>
      </w:r>
      <w:r>
        <w:rPr>
          <w:rFonts w:ascii="Times New Roman" w:cs="Times New Roman" w:eastAsia="Times New Roman" w:hAnsi="Times New Roman"/>
          <w:sz w:val="22"/>
          <w:szCs w:val="22"/>
          <w:b w:val="1"/>
          <w:bCs w:val="1"/>
          <w:color w:val="auto"/>
        </w:rPr>
        <w:t>Control of Defense</w:t>
      </w:r>
    </w:p>
    <w:p>
      <w:pPr>
        <w:spacing w:after="0" w:line="183" w:lineRule="exact"/>
        <w:rPr>
          <w:sz w:val="20"/>
          <w:szCs w:val="20"/>
          <w:color w:val="auto"/>
        </w:rPr>
      </w:pPr>
    </w:p>
    <w:p>
      <w:pPr>
        <w:jc w:val="both"/>
        <w:ind w:left="740" w:right="20" w:hanging="9"/>
        <w:spacing w:after="0" w:line="258" w:lineRule="auto"/>
        <w:rPr>
          <w:sz w:val="20"/>
          <w:szCs w:val="20"/>
          <w:color w:val="auto"/>
        </w:rPr>
      </w:pPr>
      <w:r>
        <w:rPr>
          <w:rFonts w:ascii="Times New Roman" w:cs="Times New Roman" w:eastAsia="Times New Roman" w:hAnsi="Times New Roman"/>
          <w:sz w:val="22"/>
          <w:szCs w:val="22"/>
          <w:color w:val="auto"/>
        </w:rPr>
        <w:t>The indemnifying Party shall have the right to assume the defense of any Third Party Claim by giving written notice to the Indemnified Party within [***] days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705485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1354" w:right="479" w:bottom="1440" w:gutter="0" w:footer="0" w:header="0"/>
        </w:sectPr>
      </w:pPr>
    </w:p>
    <w:bookmarkStart w:id="213" w:name="page214"/>
    <w:bookmarkEnd w:id="213"/>
    <w:p>
      <w:pPr>
        <w:spacing w:after="0" w:line="117" w:lineRule="exact"/>
        <w:rPr>
          <w:sz w:val="20"/>
          <w:szCs w:val="20"/>
          <w:color w:val="auto"/>
        </w:rPr>
      </w:pPr>
    </w:p>
    <w:p>
      <w:pPr>
        <w:jc w:val="both"/>
        <w:ind w:left="740" w:right="20"/>
        <w:spacing w:after="0" w:line="239" w:lineRule="auto"/>
        <w:rPr>
          <w:sz w:val="20"/>
          <w:szCs w:val="20"/>
          <w:color w:val="auto"/>
        </w:rPr>
      </w:pPr>
      <w:r>
        <w:rPr>
          <w:rFonts w:ascii="Times New Roman" w:cs="Times New Roman" w:eastAsia="Times New Roman" w:hAnsi="Times New Roman"/>
          <w:sz w:val="22"/>
          <w:szCs w:val="22"/>
          <w:color w:val="auto"/>
        </w:rPr>
        <w:t>indemnifying Party’s receipt of an Indemnification Claim Notice; provided that the indemnifying Party expressly agrees to defend the claim against the Indemnified Party with respect to such Third Party Claim. The assumption of the defense of a Third Party Claim by the indemnifying Party shall not be construed as an acknowledgment that the indemnifying Party is liable to indemnify the Indemnified Party in respect of the Third</w:t>
      </w:r>
    </w:p>
    <w:p>
      <w:pPr>
        <w:spacing w:after="0" w:line="18" w:lineRule="exact"/>
        <w:rPr>
          <w:sz w:val="20"/>
          <w:szCs w:val="20"/>
          <w:color w:val="auto"/>
        </w:rPr>
      </w:pPr>
    </w:p>
    <w:p>
      <w:pPr>
        <w:jc w:val="both"/>
        <w:ind w:left="740"/>
        <w:spacing w:after="0" w:line="233" w:lineRule="auto"/>
        <w:rPr>
          <w:sz w:val="20"/>
          <w:szCs w:val="20"/>
          <w:color w:val="auto"/>
        </w:rPr>
      </w:pPr>
      <w:r>
        <w:rPr>
          <w:rFonts w:ascii="Times New Roman" w:cs="Times New Roman" w:eastAsia="Times New Roman" w:hAnsi="Times New Roman"/>
          <w:sz w:val="22"/>
          <w:szCs w:val="22"/>
          <w:color w:val="auto"/>
        </w:rPr>
        <w:t>Party Claim, nor shall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provided that it obtains the prior written consent of the Indemnified Party (which consent shall not be unreasonably withheld, conditioned or delayed). In the event the indemnifying Party assumes the defense of a Third Party Claim, the Indemnified Party shall immediately deliver to the indemnifying Party all original notices and documents (including court papers) received by the Indemnified Party in connection with the Third Party Claim. Should the indemnifying Party assume the defense of a Third Party Claim, except as provided in Section 13.3.3, the indemnifying Party shall not be liable to the Indemnified Party for any legal expenses subsequently incurred by such Indemnified Party in connection with the analysis, defense or settlement of the Third Party Claim unless specifically requested in writing by the indemnifying Party. In the event that it is ultimately determined that the indemnifying Party is not obligated to indemnify, defend or hold harmless the Indemnified Party from and against the Third Party Claim, the Indemnified Party shall reimburse the indemnifying Party for any and all [***] costs and expenses (including attorneys’ fees and costs of suit) and any Losses incurred by the indemnifying Party in accordance with this Section 13 in its defense of the Third Party Claim.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13.3.3  </w:t>
      </w:r>
      <w:r>
        <w:rPr>
          <w:rFonts w:ascii="Times New Roman" w:cs="Times New Roman" w:eastAsia="Times New Roman" w:hAnsi="Times New Roman"/>
          <w:sz w:val="22"/>
          <w:szCs w:val="22"/>
          <w:b w:val="1"/>
          <w:bCs w:val="1"/>
          <w:color w:val="auto"/>
        </w:rPr>
        <w:t>Right to Participate in Defense</w:t>
      </w:r>
    </w:p>
    <w:p>
      <w:pPr>
        <w:spacing w:after="0" w:line="197" w:lineRule="exact"/>
        <w:rPr>
          <w:sz w:val="20"/>
          <w:szCs w:val="20"/>
          <w:color w:val="auto"/>
        </w:rPr>
      </w:pPr>
    </w:p>
    <w:p>
      <w:pPr>
        <w:jc w:val="both"/>
        <w:ind w:left="740" w:right="20" w:hanging="9"/>
        <w:spacing w:after="0" w:line="234" w:lineRule="auto"/>
        <w:rPr>
          <w:sz w:val="20"/>
          <w:szCs w:val="20"/>
          <w:color w:val="auto"/>
        </w:rPr>
      </w:pPr>
      <w:r>
        <w:rPr>
          <w:rFonts w:ascii="Times New Roman" w:cs="Times New Roman" w:eastAsia="Times New Roman" w:hAnsi="Times New Roman"/>
          <w:sz w:val="22"/>
          <w:szCs w:val="22"/>
          <w:color w:val="auto"/>
        </w:rPr>
        <w:t xml:space="preserve">Any Indemnified Party shall be entitled to participate in the defense of such Third Party Claim and to employ counsel of its choice for such purpose;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employment shall be at the Indemnified Party’s sole cost and expense unless (i) the employment thereof has been specifically authorized in writing by the indemnifying Party in writing (in which case, the defense shall be controlled as provided in Section 13.3.2), (ii) the indemnifying Party has failed to assume the defense and employ counsel in accordance with Section 13.3.2 (in which case the Indemnified Party shall control the defense) or (iii) the interests of the indemnitee and the indemnifying Party with respect to such Third Party Claim are sufficiently adverse to prohibit the representation by the same counsel of both Parties under Applicable Law, ethical rules or equitable principles (in which case, the Indemnified Party shall control its defense).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13.3.4  </w:t>
      </w:r>
      <w:r>
        <w:rPr>
          <w:rFonts w:ascii="Times New Roman" w:cs="Times New Roman" w:eastAsia="Times New Roman" w:hAnsi="Times New Roman"/>
          <w:sz w:val="22"/>
          <w:szCs w:val="22"/>
          <w:b w:val="1"/>
          <w:bCs w:val="1"/>
          <w:color w:val="auto"/>
        </w:rPr>
        <w:t>Settlement</w:t>
      </w:r>
    </w:p>
    <w:p>
      <w:pPr>
        <w:spacing w:after="0" w:line="197" w:lineRule="exact"/>
        <w:rPr>
          <w:sz w:val="20"/>
          <w:szCs w:val="20"/>
          <w:color w:val="auto"/>
        </w:rPr>
      </w:pPr>
    </w:p>
    <w:p>
      <w:pPr>
        <w:jc w:val="both"/>
        <w:ind w:left="740" w:right="20" w:hanging="9"/>
        <w:spacing w:after="0" w:line="235" w:lineRule="auto"/>
        <w:rPr>
          <w:sz w:val="20"/>
          <w:szCs w:val="20"/>
          <w:color w:val="auto"/>
        </w:rPr>
      </w:pPr>
      <w:r>
        <w:rPr>
          <w:rFonts w:ascii="Times New Roman" w:cs="Times New Roman" w:eastAsia="Times New Roman" w:hAnsi="Times New Roman"/>
          <w:sz w:val="22"/>
          <w:szCs w:val="22"/>
          <w:color w:val="auto"/>
        </w:rPr>
        <w:t>With respect to any Losses relating solely to the payment of money damages in connection with a Third Party Claim and that shall not result in the applicable indemnitee(s) becoming subject to injunctive or other relief or otherwise adversely affecting the business of the Indemnified Party in any manner and as to which the indemnifying Party shall have acknowledged in writing the obligation to indemnify the applicable indemnitee hereunder, the indemnifying Party shall have the sole right to consent to the entry of any judgment, enter into any settlement or otherwise dispose of such Loss, on such terms as the indemnifying Party, in its sole discretion, shall deem appropriate. With respect to all other Losses in connection with Third Party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721360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1440" w:right="479" w:bottom="1440" w:gutter="0" w:footer="0" w:header="0"/>
        </w:sectPr>
      </w:pPr>
    </w:p>
    <w:bookmarkStart w:id="214" w:name="page215"/>
    <w:bookmarkEnd w:id="214"/>
    <w:p>
      <w:pPr>
        <w:spacing w:after="0" w:line="117" w:lineRule="exact"/>
        <w:rPr>
          <w:sz w:val="20"/>
          <w:szCs w:val="20"/>
          <w:color w:val="auto"/>
        </w:rPr>
      </w:pPr>
    </w:p>
    <w:p>
      <w:pPr>
        <w:jc w:val="both"/>
        <w:ind w:left="740" w:right="20"/>
        <w:spacing w:after="0" w:line="244" w:lineRule="auto"/>
        <w:rPr>
          <w:sz w:val="20"/>
          <w:szCs w:val="20"/>
          <w:color w:val="auto"/>
        </w:rPr>
      </w:pPr>
      <w:r>
        <w:rPr>
          <w:rFonts w:ascii="Times New Roman" w:cs="Times New Roman" w:eastAsia="Times New Roman" w:hAnsi="Times New Roman"/>
          <w:sz w:val="22"/>
          <w:szCs w:val="22"/>
          <w:color w:val="auto"/>
        </w:rPr>
        <w:t>where the indemnifying Party has assumed the defense of the Third Party Claim in accordance with Section 13.3.2, the indemnifying Party shall have authority to consent to the entry of any judgment, enter into any settlement or otherwise dispose of such</w:t>
      </w:r>
    </w:p>
    <w:p>
      <w:pPr>
        <w:spacing w:after="0" w:line="7" w:lineRule="exact"/>
        <w:rPr>
          <w:sz w:val="20"/>
          <w:szCs w:val="20"/>
          <w:color w:val="auto"/>
        </w:rPr>
      </w:pPr>
    </w:p>
    <w:p>
      <w:pPr>
        <w:jc w:val="both"/>
        <w:ind w:left="740"/>
        <w:spacing w:after="0" w:line="238" w:lineRule="auto"/>
        <w:rPr>
          <w:sz w:val="20"/>
          <w:szCs w:val="20"/>
          <w:color w:val="auto"/>
        </w:rPr>
      </w:pPr>
      <w:r>
        <w:rPr>
          <w:rFonts w:ascii="Times New Roman" w:cs="Times New Roman" w:eastAsia="Times New Roman" w:hAnsi="Times New Roman"/>
          <w:sz w:val="22"/>
          <w:szCs w:val="22"/>
          <w:color w:val="auto"/>
        </w:rPr>
        <w:t xml:space="preserve">Loss;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it obtains the prior written consent of the Indemnified Party (which consent shall not be unreasonably withheld, conditioned or delayed). If the indemnifying Party does not assume and conduct the defense of a Third Party Claim as provided above, the Indemnified Party may defend against such Third Party Claim;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Indemnified Party shall not settle any Third Party Claim without the prior written consent of the indemnifying Party (which consent shall not be unreasonably withheld, conditioned or delayed).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13.3.5  </w:t>
      </w:r>
      <w:r>
        <w:rPr>
          <w:rFonts w:ascii="Times New Roman" w:cs="Times New Roman" w:eastAsia="Times New Roman" w:hAnsi="Times New Roman"/>
          <w:sz w:val="22"/>
          <w:szCs w:val="22"/>
          <w:b w:val="1"/>
          <w:bCs w:val="1"/>
          <w:color w:val="auto"/>
        </w:rPr>
        <w:t>Cooperation</w:t>
      </w:r>
    </w:p>
    <w:p>
      <w:pPr>
        <w:spacing w:after="0" w:line="197" w:lineRule="exact"/>
        <w:rPr>
          <w:sz w:val="20"/>
          <w:szCs w:val="20"/>
          <w:color w:val="auto"/>
        </w:rPr>
      </w:pPr>
    </w:p>
    <w:p>
      <w:pPr>
        <w:jc w:val="both"/>
        <w:ind w:left="740" w:right="20" w:hanging="9"/>
        <w:spacing w:after="0" w:line="246" w:lineRule="auto"/>
        <w:rPr>
          <w:sz w:val="20"/>
          <w:szCs w:val="20"/>
          <w:color w:val="auto"/>
        </w:rPr>
      </w:pPr>
      <w:r>
        <w:rPr>
          <w:rFonts w:ascii="Times New Roman" w:cs="Times New Roman" w:eastAsia="Times New Roman" w:hAnsi="Times New Roman"/>
          <w:sz w:val="21"/>
          <w:szCs w:val="21"/>
          <w:color w:val="auto"/>
        </w:rPr>
        <w:t>Regardless of whether the indemnifying Party chooses to defend or prosecute any Third Party Claim,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shall reimburse the Indemnified Party for all its, its Affiliates’ and its and their (sub)licensees’ or their respective directors’, officers’, employees’ and agents’, as applicable, reasonable and verifiable out-of-pocket expenses in connection therewith.</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13.3.6  </w:t>
      </w:r>
      <w:r>
        <w:rPr>
          <w:rFonts w:ascii="Times New Roman" w:cs="Times New Roman" w:eastAsia="Times New Roman" w:hAnsi="Times New Roman"/>
          <w:sz w:val="22"/>
          <w:szCs w:val="22"/>
          <w:b w:val="1"/>
          <w:bCs w:val="1"/>
          <w:color w:val="auto"/>
        </w:rPr>
        <w:t>Expenses</w:t>
      </w:r>
    </w:p>
    <w:p>
      <w:pPr>
        <w:spacing w:after="0" w:line="183" w:lineRule="exact"/>
        <w:rPr>
          <w:sz w:val="20"/>
          <w:szCs w:val="20"/>
          <w:color w:val="auto"/>
        </w:rPr>
      </w:pPr>
    </w:p>
    <w:p>
      <w:pPr>
        <w:jc w:val="both"/>
        <w:ind w:left="740" w:right="20" w:hanging="9"/>
        <w:spacing w:after="0" w:line="244" w:lineRule="auto"/>
        <w:rPr>
          <w:sz w:val="20"/>
          <w:szCs w:val="20"/>
          <w:color w:val="auto"/>
        </w:rPr>
      </w:pPr>
      <w:r>
        <w:rPr>
          <w:rFonts w:ascii="Times New Roman" w:cs="Times New Roman" w:eastAsia="Times New Roman" w:hAnsi="Times New Roman"/>
          <w:sz w:val="22"/>
          <w:szCs w:val="22"/>
          <w:color w:val="auto"/>
        </w:rPr>
        <w:t>Except as provided above, [***] and [***], [***] of [***] the [***] and [***] and [***] and [***] and [***] and [***], as applicable, [***] on a [***] by the [***], without prejudice to the [***] to [***] the [***] to [***] and [***] to [***] in the event the [***] is [***] to be [***] to [***] the [***].</w:t>
      </w:r>
    </w:p>
    <w:p>
      <w:pPr>
        <w:spacing w:after="0" w:line="15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13.4</w:t>
      </w:r>
      <w:r>
        <w:rPr>
          <w:sz w:val="20"/>
          <w:szCs w:val="20"/>
          <w:color w:val="auto"/>
        </w:rPr>
        <w:tab/>
      </w:r>
      <w:r>
        <w:rPr>
          <w:rFonts w:ascii="Times New Roman" w:cs="Times New Roman" w:eastAsia="Times New Roman" w:hAnsi="Times New Roman"/>
          <w:sz w:val="21"/>
          <w:szCs w:val="21"/>
          <w:b w:val="1"/>
          <w:bCs w:val="1"/>
          <w:color w:val="auto"/>
        </w:rPr>
        <w:t>Special, Indirect and Other Losses</w:t>
      </w:r>
    </w:p>
    <w:p>
      <w:pPr>
        <w:spacing w:after="0" w:line="183" w:lineRule="exact"/>
        <w:rPr>
          <w:sz w:val="20"/>
          <w:szCs w:val="20"/>
          <w:color w:val="auto"/>
        </w:rPr>
      </w:pPr>
    </w:p>
    <w:p>
      <w:pPr>
        <w:ind w:left="740" w:right="60"/>
        <w:spacing w:after="0" w:line="234" w:lineRule="auto"/>
        <w:rPr>
          <w:sz w:val="20"/>
          <w:szCs w:val="20"/>
          <w:color w:val="auto"/>
        </w:rPr>
      </w:pPr>
      <w:r>
        <w:rPr>
          <w:rFonts w:ascii="Times New Roman" w:cs="Times New Roman" w:eastAsia="Times New Roman" w:hAnsi="Times New Roman"/>
          <w:sz w:val="22"/>
          <w:szCs w:val="22"/>
          <w:color w:val="auto"/>
        </w:rPr>
        <w:t>EXCEPT (i) IN THE EVENT THE GROSS NEGLIGENCE, WILLFUL MISCONDUCT OR FRAUD OF A PARTY OR IT’S AFFILIATES OR OF A PARTY’S BREACH OF ITS OBLIGATIONS UNDER SECTION 10, (ii) AS PROVIDED UNDER SECTION 16.11, (iii) TO THE EXTENT ANY SUCH DAMAGES ARE REQUIRED TO BE PAID TO A THIRD PARTY AS PART OF A CLAIM FOR WHICH A PARTY PROVIDES INDEMNIFICATION UNDER THIS SECTION 13, NEITHER PARTY NOR ANY OF ITS AFFILIATES OR (SUB)LICENSEES SHALL BE LIABLE IN CONTRACT, TORT,</w:t>
      </w:r>
    </w:p>
    <w:p>
      <w:pPr>
        <w:spacing w:after="0" w:line="2" w:lineRule="exact"/>
        <w:rPr>
          <w:sz w:val="20"/>
          <w:szCs w:val="20"/>
          <w:color w:val="auto"/>
        </w:rPr>
      </w:pPr>
    </w:p>
    <w:p>
      <w:pPr>
        <w:ind w:left="740" w:right="780"/>
        <w:spacing w:after="0" w:line="234" w:lineRule="auto"/>
        <w:rPr>
          <w:sz w:val="20"/>
          <w:szCs w:val="20"/>
          <w:color w:val="auto"/>
        </w:rPr>
      </w:pPr>
      <w:r>
        <w:rPr>
          <w:rFonts w:ascii="Times New Roman" w:cs="Times New Roman" w:eastAsia="Times New Roman" w:hAnsi="Times New Roman"/>
          <w:sz w:val="22"/>
          <w:szCs w:val="22"/>
          <w:color w:val="auto"/>
        </w:rPr>
        <w:t>NEGLIGENCE, BREACH OF STATUTORY DUTY OR OTHERWISE FOR ANY SPECIAL, PUNITIVE, INCIDENTAL, EXEMPLARY OR CONSEQUENTIAL DAMAGES (INCLUDING LOST PROFITS OR REVENUES) OR FOR LOSS OF PROFITS OR REVENUES SUFFERED BY THE OTHER PARTY, REGARDLESS OF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717550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1440" w:right="479" w:bottom="1440" w:gutter="0" w:footer="0" w:header="0"/>
        </w:sectPr>
      </w:pPr>
    </w:p>
    <w:bookmarkStart w:id="215" w:name="page216"/>
    <w:bookmarkEnd w:id="215"/>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ARISING FROM BREACH OF CONTRACT, WARRANTY, TORT ,STRICT LIABILITY OR OTHERWISE, EVEN IF SUCH PARTY IS ADVISED OF THE POSSIBILITY OF SUCH LOSS OR DAMAGE OR IF SUCH LOSS OR DAMAGE COULD HAVE BEEN REASONABLY FORESEEN.</w:t>
      </w:r>
    </w:p>
    <w:p>
      <w:pPr>
        <w:spacing w:after="0" w:line="210"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13.5</w:t>
      </w:r>
      <w:r>
        <w:rPr>
          <w:sz w:val="20"/>
          <w:szCs w:val="20"/>
          <w:color w:val="auto"/>
        </w:rPr>
        <w:tab/>
      </w:r>
      <w:r>
        <w:rPr>
          <w:rFonts w:ascii="Times New Roman" w:cs="Times New Roman" w:eastAsia="Times New Roman" w:hAnsi="Times New Roman"/>
          <w:sz w:val="21"/>
          <w:szCs w:val="21"/>
          <w:b w:val="1"/>
          <w:bCs w:val="1"/>
          <w:color w:val="auto"/>
        </w:rPr>
        <w:t>Insurance</w:t>
      </w:r>
    </w:p>
    <w:p>
      <w:pPr>
        <w:spacing w:after="0" w:line="183" w:lineRule="exact"/>
        <w:rPr>
          <w:sz w:val="20"/>
          <w:szCs w:val="20"/>
          <w:color w:val="auto"/>
        </w:rPr>
      </w:pPr>
    </w:p>
    <w:p>
      <w:pPr>
        <w:jc w:val="both"/>
        <w:ind w:left="760" w:hanging="9"/>
        <w:spacing w:after="0" w:line="239" w:lineRule="auto"/>
        <w:rPr>
          <w:sz w:val="20"/>
          <w:szCs w:val="20"/>
          <w:color w:val="auto"/>
        </w:rPr>
      </w:pPr>
      <w:r>
        <w:rPr>
          <w:rFonts w:ascii="Times New Roman" w:cs="Times New Roman" w:eastAsia="Times New Roman" w:hAnsi="Times New Roman"/>
          <w:sz w:val="22"/>
          <w:szCs w:val="22"/>
          <w:color w:val="auto"/>
        </w:rPr>
        <w:t>Mereo shall have and maintain such types and amounts of insurance covering its Exploitation of the Compounds and Products as is (i) normal and customary in the pharmaceutical industry generally for parties similarly situated and (ii) otherwise required by Applicable Law. Upon request by AstraZeneca, Mereo shall provide to AstraZeneca evidence of its insurance coverage, including copies of applicable insurance policies.</w:t>
      </w:r>
    </w:p>
    <w:p>
      <w:pPr>
        <w:spacing w:after="0" w:line="163" w:lineRule="exact"/>
        <w:rPr>
          <w:sz w:val="20"/>
          <w:szCs w:val="20"/>
          <w:color w:val="auto"/>
        </w:rPr>
      </w:pPr>
    </w:p>
    <w:p>
      <w:pPr>
        <w:ind w:right="7300" w:firstLine="12"/>
        <w:spacing w:after="0" w:line="438" w:lineRule="auto"/>
        <w:tabs>
          <w:tab w:leader="none" w:pos="794" w:val="left"/>
        </w:tabs>
        <w:numPr>
          <w:ilvl w:val="0"/>
          <w:numId w:val="1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 AND TERMINATION 14.1 Term and Expiration</w:t>
      </w:r>
    </w:p>
    <w:p>
      <w:pPr>
        <w:jc w:val="both"/>
        <w:ind w:left="760" w:hanging="9"/>
        <w:spacing w:after="0" w:line="251" w:lineRule="auto"/>
        <w:rPr>
          <w:sz w:val="20"/>
          <w:szCs w:val="20"/>
          <w:color w:val="auto"/>
        </w:rPr>
      </w:pPr>
      <w:r>
        <w:rPr>
          <w:rFonts w:ascii="Times New Roman" w:cs="Times New Roman" w:eastAsia="Times New Roman" w:hAnsi="Times New Roman"/>
          <w:sz w:val="21"/>
          <w:szCs w:val="21"/>
          <w:color w:val="auto"/>
        </w:rPr>
        <w:t>This Agreement shall commence on the Effective Date and, unless earlier terminated in accordance herewith, shall continue in force and effect until the date of expiration of the last Royalty Term for the last Product (such period,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Following the expiration of the Royalty Term for a Product in a country, the grants in Section 2.1 shall become fully-paid, royalty-free, and irrevocable for such Product in such country. For clarity, upon the expiration of the Term, the grants in Section 2.1 shall become fully paid, royalty-free, and irrevocable in their entirety.</w:t>
      </w:r>
    </w:p>
    <w:p>
      <w:pPr>
        <w:spacing w:after="0" w:line="15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b w:val="1"/>
          <w:bCs w:val="1"/>
          <w:color w:val="auto"/>
        </w:rPr>
        <w:t>Termination</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14.2.1  </w:t>
      </w:r>
      <w:r>
        <w:rPr>
          <w:rFonts w:ascii="Times New Roman" w:cs="Times New Roman" w:eastAsia="Times New Roman" w:hAnsi="Times New Roman"/>
          <w:sz w:val="22"/>
          <w:szCs w:val="22"/>
          <w:b w:val="1"/>
          <w:bCs w:val="1"/>
          <w:color w:val="auto"/>
        </w:rPr>
        <w:t>Termination for Material Breach</w:t>
      </w:r>
    </w:p>
    <w:p>
      <w:pPr>
        <w:spacing w:after="0" w:line="220" w:lineRule="exact"/>
        <w:rPr>
          <w:sz w:val="20"/>
          <w:szCs w:val="20"/>
          <w:color w:val="auto"/>
        </w:rPr>
      </w:pPr>
    </w:p>
    <w:p>
      <w:pPr>
        <w:jc w:val="both"/>
        <w:ind w:left="760" w:hanging="9"/>
        <w:spacing w:after="0" w:line="246" w:lineRule="auto"/>
        <w:rPr>
          <w:sz w:val="20"/>
          <w:szCs w:val="20"/>
          <w:color w:val="auto"/>
        </w:rPr>
      </w:pPr>
      <w:r>
        <w:rPr>
          <w:rFonts w:ascii="Times New Roman" w:cs="Times New Roman" w:eastAsia="Times New Roman" w:hAnsi="Times New Roman"/>
          <w:sz w:val="21"/>
          <w:szCs w:val="21"/>
          <w:color w:val="auto"/>
        </w:rPr>
        <w:t>In the event that either Party (the “</w:t>
      </w:r>
      <w:r>
        <w:rPr>
          <w:rFonts w:ascii="Times New Roman" w:cs="Times New Roman" w:eastAsia="Times New Roman" w:hAnsi="Times New Roman"/>
          <w:sz w:val="21"/>
          <w:szCs w:val="21"/>
          <w:b w:val="1"/>
          <w:bCs w:val="1"/>
          <w:color w:val="auto"/>
        </w:rPr>
        <w:t>Breaching Party</w:t>
      </w:r>
      <w:r>
        <w:rPr>
          <w:rFonts w:ascii="Times New Roman" w:cs="Times New Roman" w:eastAsia="Times New Roman" w:hAnsi="Times New Roman"/>
          <w:sz w:val="21"/>
          <w:szCs w:val="21"/>
          <w:color w:val="auto"/>
        </w:rPr>
        <w:t>”) shall be in material breach in the performance of any of its obligations under this Agreement prior to or after the Option Exercise Date, in addition to any other right and remedy the other Party (the “</w:t>
      </w:r>
      <w:r>
        <w:rPr>
          <w:rFonts w:ascii="Times New Roman" w:cs="Times New Roman" w:eastAsia="Times New Roman" w:hAnsi="Times New Roman"/>
          <w:sz w:val="21"/>
          <w:szCs w:val="21"/>
          <w:b w:val="1"/>
          <w:bCs w:val="1"/>
          <w:color w:val="auto"/>
        </w:rPr>
        <w:t>Non-Breaching Party</w:t>
      </w:r>
      <w:r>
        <w:rPr>
          <w:rFonts w:ascii="Times New Roman" w:cs="Times New Roman" w:eastAsia="Times New Roman" w:hAnsi="Times New Roman"/>
          <w:sz w:val="21"/>
          <w:szCs w:val="21"/>
          <w:color w:val="auto"/>
        </w:rPr>
        <w:t>”) may have, the Non-Breaching Party may terminate this Agreement in its entirety by providing sixty (60) days (the “</w:t>
      </w:r>
      <w:r>
        <w:rPr>
          <w:rFonts w:ascii="Times New Roman" w:cs="Times New Roman" w:eastAsia="Times New Roman" w:hAnsi="Times New Roman"/>
          <w:sz w:val="21"/>
          <w:szCs w:val="21"/>
          <w:b w:val="1"/>
          <w:bCs w:val="1"/>
          <w:color w:val="auto"/>
        </w:rPr>
        <w:t>Notice Period</w:t>
      </w:r>
      <w:r>
        <w:rPr>
          <w:rFonts w:ascii="Times New Roman" w:cs="Times New Roman" w:eastAsia="Times New Roman" w:hAnsi="Times New Roman"/>
          <w:sz w:val="21"/>
          <w:szCs w:val="21"/>
          <w:color w:val="auto"/>
        </w:rPr>
        <w:t>”) prior written notice (the “</w:t>
      </w:r>
      <w:r>
        <w:rPr>
          <w:rFonts w:ascii="Times New Roman" w:cs="Times New Roman" w:eastAsia="Times New Roman" w:hAnsi="Times New Roman"/>
          <w:sz w:val="21"/>
          <w:szCs w:val="21"/>
          <w:b w:val="1"/>
          <w:bCs w:val="1"/>
          <w:color w:val="auto"/>
        </w:rPr>
        <w:t>Termination Notice</w:t>
      </w:r>
      <w:r>
        <w:rPr>
          <w:rFonts w:ascii="Times New Roman" w:cs="Times New Roman" w:eastAsia="Times New Roman" w:hAnsi="Times New Roman"/>
          <w:sz w:val="21"/>
          <w:szCs w:val="21"/>
          <w:color w:val="auto"/>
        </w:rPr>
        <w:t>”) to the Breaching Party and specifying the breach and provided such termination shall not become effective at the end of the Notice Period if the Breaching Party cures the breach specified in the Termination Notice during the Notice Period (or, if such default cannot be cured within the Notice Period, if the Breaching Party commences actions to cure such breach within the Notice Period and thereafter diligently continues such actions). For the purposes of this Section 14.2.1, Mereo shall be deemed to be in material breach of the performance of its obligations under this Agreement if MBGP is in material breach of the performance of any of its obligations under the Subscription Deed.</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14.2.2  </w:t>
      </w:r>
      <w:r>
        <w:rPr>
          <w:rFonts w:ascii="Times New Roman" w:cs="Times New Roman" w:eastAsia="Times New Roman" w:hAnsi="Times New Roman"/>
          <w:sz w:val="22"/>
          <w:szCs w:val="22"/>
          <w:b w:val="1"/>
          <w:bCs w:val="1"/>
          <w:color w:val="auto"/>
        </w:rPr>
        <w:t>Termination by Mereo</w:t>
      </w:r>
    </w:p>
    <w:p>
      <w:pPr>
        <w:spacing w:after="0" w:line="197" w:lineRule="exact"/>
        <w:rPr>
          <w:sz w:val="20"/>
          <w:szCs w:val="20"/>
          <w:color w:val="auto"/>
        </w:rPr>
      </w:pPr>
    </w:p>
    <w:p>
      <w:pPr>
        <w:jc w:val="both"/>
        <w:ind w:left="760" w:hanging="9"/>
        <w:spacing w:after="0" w:line="254" w:lineRule="auto"/>
        <w:rPr>
          <w:sz w:val="20"/>
          <w:szCs w:val="20"/>
          <w:color w:val="auto"/>
        </w:rPr>
      </w:pPr>
      <w:r>
        <w:rPr>
          <w:rFonts w:ascii="Times New Roman" w:cs="Times New Roman" w:eastAsia="Times New Roman" w:hAnsi="Times New Roman"/>
          <w:sz w:val="22"/>
          <w:szCs w:val="22"/>
          <w:color w:val="auto"/>
        </w:rPr>
        <w:t>Prior to the Option Exercise Date, Mereo shall have the right to terminate this Agreement in its entirety, without cause, upon sixty (60) days’ prior written notice, such termination to be effective at the end of such notice period.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14.2.3  </w:t>
      </w:r>
      <w:r>
        <w:rPr>
          <w:rFonts w:ascii="Times New Roman" w:cs="Times New Roman" w:eastAsia="Times New Roman" w:hAnsi="Times New Roman"/>
          <w:sz w:val="22"/>
          <w:szCs w:val="22"/>
          <w:b w:val="1"/>
          <w:bCs w:val="1"/>
          <w:color w:val="auto"/>
        </w:rPr>
        <w:t>Termination for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737870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08" w:right="499" w:bottom="1440" w:gutter="0" w:footer="0" w:header="0"/>
        </w:sectPr>
      </w:pPr>
    </w:p>
    <w:bookmarkStart w:id="216" w:name="page217"/>
    <w:bookmarkEnd w:id="216"/>
    <w:p>
      <w:pPr>
        <w:spacing w:after="0" w:line="117" w:lineRule="exact"/>
        <w:rPr>
          <w:sz w:val="20"/>
          <w:szCs w:val="20"/>
          <w:color w:val="auto"/>
        </w:rPr>
      </w:pPr>
    </w:p>
    <w:p>
      <w:pPr>
        <w:jc w:val="both"/>
        <w:ind w:left="762" w:hanging="9"/>
        <w:spacing w:after="0" w:line="234" w:lineRule="auto"/>
        <w:rPr>
          <w:sz w:val="20"/>
          <w:szCs w:val="20"/>
          <w:color w:val="auto"/>
        </w:rPr>
      </w:pPr>
      <w:r>
        <w:rPr>
          <w:rFonts w:ascii="Times New Roman" w:cs="Times New Roman" w:eastAsia="Times New Roman" w:hAnsi="Times New Roman"/>
          <w:sz w:val="22"/>
          <w:szCs w:val="22"/>
          <w:color w:val="auto"/>
        </w:rPr>
        <w:t>In the event that either Party (or, in the case of Mereo, MBGP or any other person who controls (as defined in Section 1.4) Mereo: (i) files for protection under bankruptcy or insolvency laws, (ii) makes an assignment for the benefit of creditors, (iii) appoints or suffers appointment of an administrator, liquidator, receiver or trustee over it or substantially all of its property that is not discharged within ninety (90) days after such filing, (iv) proposes a written agreement of composition or extension of its debts, (v) proposes or is a party to any dissolution or liquidation, (vi) files a petition under any bankruptcy or insolvency act or has any such petition filed against that is not discharged within sixty (60) days of the filing thereof or (vii) admits in writing its inability generally to meet its obligations as they fall due in the general course, then the other Party may terminate this Agreement in its entirety effective immediately upon written notice to such Party.</w:t>
      </w:r>
    </w:p>
    <w:p>
      <w:pPr>
        <w:spacing w:after="0" w:line="166" w:lineRule="exact"/>
        <w:rPr>
          <w:sz w:val="20"/>
          <w:szCs w:val="20"/>
          <w:color w:val="auto"/>
        </w:rPr>
      </w:pPr>
    </w:p>
    <w:p>
      <w:pPr>
        <w:ind w:left="22"/>
        <w:spacing w:after="0"/>
        <w:tabs>
          <w:tab w:leader="none" w:pos="742" w:val="left"/>
        </w:tabs>
        <w:rPr>
          <w:sz w:val="20"/>
          <w:szCs w:val="20"/>
          <w:color w:val="auto"/>
        </w:rPr>
      </w:pPr>
      <w:r>
        <w:rPr>
          <w:rFonts w:ascii="Times New Roman" w:cs="Times New Roman" w:eastAsia="Times New Roman" w:hAnsi="Times New Roman"/>
          <w:sz w:val="22"/>
          <w:szCs w:val="22"/>
          <w:b w:val="1"/>
          <w:bCs w:val="1"/>
          <w:color w:val="auto"/>
        </w:rPr>
        <w:t>14.3</w:t>
      </w:r>
      <w:r>
        <w:rPr>
          <w:sz w:val="20"/>
          <w:szCs w:val="20"/>
          <w:color w:val="auto"/>
        </w:rPr>
        <w:tab/>
      </w:r>
      <w:r>
        <w:rPr>
          <w:rFonts w:ascii="Times New Roman" w:cs="Times New Roman" w:eastAsia="Times New Roman" w:hAnsi="Times New Roman"/>
          <w:sz w:val="21"/>
          <w:szCs w:val="21"/>
          <w:b w:val="1"/>
          <w:bCs w:val="1"/>
          <w:color w:val="auto"/>
        </w:rPr>
        <w:t>Rights in Bankruptcy</w:t>
      </w:r>
    </w:p>
    <w:p>
      <w:pPr>
        <w:spacing w:after="0" w:line="183" w:lineRule="exact"/>
        <w:rPr>
          <w:sz w:val="20"/>
          <w:szCs w:val="20"/>
          <w:color w:val="auto"/>
        </w:rPr>
      </w:pPr>
    </w:p>
    <w:p>
      <w:pPr>
        <w:jc w:val="both"/>
        <w:ind w:left="762" w:hanging="9"/>
        <w:spacing w:after="0" w:line="244" w:lineRule="auto"/>
        <w:rPr>
          <w:sz w:val="20"/>
          <w:szCs w:val="20"/>
          <w:color w:val="auto"/>
        </w:rPr>
      </w:pPr>
      <w:r>
        <w:rPr>
          <w:rFonts w:ascii="Times New Roman" w:cs="Times New Roman" w:eastAsia="Times New Roman" w:hAnsi="Times New Roman"/>
          <w:sz w:val="21"/>
          <w:szCs w:val="21"/>
          <w:color w:val="auto"/>
        </w:rPr>
        <w:t>All rights and licenses granted under or pursuant to this Agreement by Mereo or AstraZeneca are and shall otherwise be deemed to be, for purposes of Section 365(n) of the U.S. Bankruptcy Code or any analogous provisions in any other country or jurisdiction, licenses of right to “intellectual property” as defined under Section 101 of the U.S. Bankruptcy Code. The Parties agree that the Parties, as 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(i) upon any such commencement of a bankruptcy proceeding upon the non-subject Party’s written request therefor, unless the Party subject to such proceeding elects to continue to perform all of its obligations under this Agreement or (ii) if not delivered under clause (i) above, following the rejection of this Agreement by or on behalf of the Party subject to such proceeding upon written request therefor by the non-subject Party.</w:t>
      </w:r>
    </w:p>
    <w:p>
      <w:pPr>
        <w:spacing w:after="0" w:line="163" w:lineRule="exact"/>
        <w:rPr>
          <w:sz w:val="20"/>
          <w:szCs w:val="20"/>
          <w:color w:val="auto"/>
        </w:rPr>
      </w:pPr>
    </w:p>
    <w:p>
      <w:pPr>
        <w:ind w:left="822" w:hanging="822"/>
        <w:spacing w:after="0"/>
        <w:tabs>
          <w:tab w:leader="none" w:pos="822"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Consequences of Termination of this Agreement in its entirety</w:t>
      </w:r>
    </w:p>
    <w:p>
      <w:pPr>
        <w:spacing w:after="0" w:line="183"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2"/>
          <w:szCs w:val="22"/>
          <w:color w:val="auto"/>
        </w:rPr>
        <w:t>15.1.1  In the event of a termination of this Agreement in its entirety for any reason:</w:t>
      </w:r>
    </w:p>
    <w:p>
      <w:pPr>
        <w:spacing w:after="0" w:line="206" w:lineRule="exact"/>
        <w:rPr>
          <w:sz w:val="20"/>
          <w:szCs w:val="20"/>
          <w:color w:val="auto"/>
        </w:rPr>
      </w:pPr>
    </w:p>
    <w:p>
      <w:pPr>
        <w:jc w:val="both"/>
        <w:ind w:left="1502" w:hanging="725"/>
        <w:spacing w:after="0" w:line="238" w:lineRule="auto"/>
        <w:tabs>
          <w:tab w:leader="none" w:pos="150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grants in Section 2.1 shall become fully-paid, royalty-free, and irrevocable for such Product in their entirety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xml:space="preserve"> that if AstraZeneca terminates pursuant to Section 14.2.1 (</w:t>
      </w:r>
      <w:r>
        <w:rPr>
          <w:rFonts w:ascii="Times New Roman" w:cs="Times New Roman" w:eastAsia="Times New Roman" w:hAnsi="Times New Roman"/>
          <w:sz w:val="22"/>
          <w:szCs w:val="22"/>
          <w:i w:val="1"/>
          <w:iCs w:val="1"/>
          <w:color w:val="auto"/>
        </w:rPr>
        <w:t>Termination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Material Breach</w:t>
      </w:r>
      <w:r>
        <w:rPr>
          <w:rFonts w:ascii="Times New Roman" w:cs="Times New Roman" w:eastAsia="Times New Roman" w:hAnsi="Times New Roman"/>
          <w:sz w:val="22"/>
          <w:szCs w:val="22"/>
          <w:color w:val="auto"/>
        </w:rPr>
        <w:t>) or</w:t>
      </w:r>
    </w:p>
    <w:p>
      <w:pPr>
        <w:jc w:val="both"/>
        <w:ind w:left="1502"/>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14.2.3 (</w:t>
      </w:r>
      <w:r>
        <w:rPr>
          <w:rFonts w:ascii="Times New Roman" w:cs="Times New Roman" w:eastAsia="Times New Roman" w:hAnsi="Times New Roman"/>
          <w:sz w:val="22"/>
          <w:szCs w:val="22"/>
          <w:i w:val="1"/>
          <w:iCs w:val="1"/>
          <w:color w:val="auto"/>
        </w:rPr>
        <w:t>Termination for Insolvency</w:t>
      </w:r>
      <w:r>
        <w:rPr>
          <w:rFonts w:ascii="Times New Roman" w:cs="Times New Roman" w:eastAsia="Times New Roman" w:hAnsi="Times New Roman"/>
          <w:sz w:val="22"/>
          <w:szCs w:val="22"/>
          <w:color w:val="auto"/>
        </w:rPr>
        <w:t>) or where Mereo terminates pursuant to Section 14.2.2 (</w:t>
      </w:r>
      <w:r>
        <w:rPr>
          <w:rFonts w:ascii="Times New Roman" w:cs="Times New Roman" w:eastAsia="Times New Roman" w:hAnsi="Times New Roman"/>
          <w:sz w:val="22"/>
          <w:szCs w:val="22"/>
          <w:i w:val="1"/>
          <w:iCs w:val="1"/>
          <w:color w:val="auto"/>
        </w:rPr>
        <w:t>Termination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Mereo</w:t>
      </w:r>
      <w:r>
        <w:rPr>
          <w:rFonts w:ascii="Times New Roman" w:cs="Times New Roman" w:eastAsia="Times New Roman" w:hAnsi="Times New Roman"/>
          <w:sz w:val="22"/>
          <w:szCs w:val="22"/>
          <w:color w:val="auto"/>
        </w:rPr>
        <w:t>), then all rights and licenses granted by AstraZeneca hereunder shall immediately terminate,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for clarity, any sublicense granted by Mereo pursuant to Section 2.2; and</w:t>
      </w:r>
    </w:p>
    <w:p>
      <w:pPr>
        <w:spacing w:after="0" w:line="15" w:lineRule="exact"/>
        <w:rPr>
          <w:rFonts w:ascii="Times New Roman" w:cs="Times New Roman" w:eastAsia="Times New Roman" w:hAnsi="Times New Roman"/>
          <w:sz w:val="22"/>
          <w:szCs w:val="22"/>
          <w:color w:val="auto"/>
        </w:rPr>
      </w:pPr>
    </w:p>
    <w:p>
      <w:pPr>
        <w:ind w:left="1482" w:hanging="719"/>
        <w:spacing w:after="0" w:line="258" w:lineRule="auto"/>
        <w:tabs>
          <w:tab w:leader="none" w:pos="148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15.1.1(a), nothing in the Agreement will be construed to release either Party from any obligation that matured before the effective date of termination.</w:t>
      </w:r>
    </w:p>
    <w:p>
      <w:pPr>
        <w:spacing w:after="0" w:line="131" w:lineRule="exact"/>
        <w:rPr>
          <w:sz w:val="20"/>
          <w:szCs w:val="20"/>
          <w:color w:val="auto"/>
        </w:rPr>
      </w:pPr>
    </w:p>
    <w:p>
      <w:pPr>
        <w:ind w:left="722" w:hanging="723"/>
        <w:spacing w:after="0" w:line="258" w:lineRule="auto"/>
        <w:tabs>
          <w:tab w:leader="none" w:pos="702" w:val="left"/>
        </w:tabs>
        <w:rPr>
          <w:sz w:val="20"/>
          <w:szCs w:val="20"/>
          <w:color w:val="auto"/>
        </w:rPr>
      </w:pPr>
      <w:r>
        <w:rPr>
          <w:rFonts w:ascii="Times New Roman" w:cs="Times New Roman" w:eastAsia="Times New Roman" w:hAnsi="Times New Roman"/>
          <w:sz w:val="22"/>
          <w:szCs w:val="22"/>
          <w:color w:val="auto"/>
        </w:rPr>
        <w:t>15.1.2</w:t>
        <w:tab/>
        <w:t>In addition to the provisions of Section 15.1.1, on a termination of this Agreement in its entirety by Mereo pursuant to Section 14.2.2 (</w:t>
      </w:r>
      <w:r>
        <w:rPr>
          <w:rFonts w:ascii="Times New Roman" w:cs="Times New Roman" w:eastAsia="Times New Roman" w:hAnsi="Times New Roman"/>
          <w:sz w:val="22"/>
          <w:szCs w:val="22"/>
          <w:i w:val="1"/>
          <w:iCs w:val="1"/>
          <w:color w:val="auto"/>
        </w:rPr>
        <w:t>Termination by Mereo</w:t>
      </w:r>
      <w:r>
        <w:rPr>
          <w:rFonts w:ascii="Times New Roman" w:cs="Times New Roman" w:eastAsia="Times New Roman" w:hAnsi="Times New Roman"/>
          <w:sz w:val="22"/>
          <w:szCs w:val="22"/>
          <w:color w:val="auto"/>
        </w:rPr>
        <w:t>) or by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705485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1440" w:right="499" w:bottom="1440" w:gutter="0" w:footer="0" w:header="0"/>
        </w:sectPr>
      </w:pPr>
    </w:p>
    <w:bookmarkStart w:id="217" w:name="page218"/>
    <w:bookmarkEnd w:id="217"/>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pursuant to Section 14.2.1 (</w:t>
      </w:r>
      <w:r>
        <w:rPr>
          <w:rFonts w:ascii="Times New Roman" w:cs="Times New Roman" w:eastAsia="Times New Roman" w:hAnsi="Times New Roman"/>
          <w:sz w:val="22"/>
          <w:szCs w:val="22"/>
          <w:i w:val="1"/>
          <w:iCs w:val="1"/>
          <w:color w:val="auto"/>
        </w:rPr>
        <w:t>Termination for Material Breach</w:t>
      </w:r>
      <w:r>
        <w:rPr>
          <w:rFonts w:ascii="Times New Roman" w:cs="Times New Roman" w:eastAsia="Times New Roman" w:hAnsi="Times New Roman"/>
          <w:sz w:val="22"/>
          <w:szCs w:val="22"/>
          <w:color w:val="auto"/>
        </w:rPr>
        <w:t>) or 14.2.3 (</w:t>
      </w:r>
      <w:r>
        <w:rPr>
          <w:rFonts w:ascii="Times New Roman" w:cs="Times New Roman" w:eastAsia="Times New Roman" w:hAnsi="Times New Roman"/>
          <w:sz w:val="22"/>
          <w:szCs w:val="22"/>
          <w:i w:val="1"/>
          <w:iCs w:val="1"/>
          <w:color w:val="auto"/>
        </w:rPr>
        <w:t>Termination for Insolvency</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1460" w:hanging="719"/>
        <w:spacing w:after="0" w:line="234" w:lineRule="auto"/>
        <w:tabs>
          <w:tab w:leader="none" w:pos="14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Mereo shall and hereby does, and shall cause its Affiliates and its and their Sublicensees to, when and as requested by AstraZeneca, assign to AstraZeneca [***] of its right, title and interest in and to (a) all Regulatory Documentation (including any Regulatory Approvals) applicable to any Compound(s) or Product(s) then owned or Controlled by Mereo or any of its Affiliates; provided that if any such Regulatory Documentation or Regulatory Approval is not immediately transferable in a country, Mereo shall provide AstraZeneca with [***] benefit of such Regulatory Documentation or Regulatory Approval, as applicable, and such assistance and cooperation as necessary or reasonably requested by AstraZeneca to timely transfer such Regulatory Documentation or Regulatory Approval, as applicable, to AstraZeneca or its designee [***];</w:t>
      </w:r>
    </w:p>
    <w:p>
      <w:pPr>
        <w:spacing w:after="0" w:line="210" w:lineRule="exact"/>
        <w:rPr>
          <w:rFonts w:ascii="Times New Roman" w:cs="Times New Roman" w:eastAsia="Times New Roman" w:hAnsi="Times New Roman"/>
          <w:sz w:val="22"/>
          <w:szCs w:val="22"/>
          <w:color w:val="auto"/>
        </w:rPr>
      </w:pPr>
    </w:p>
    <w:p>
      <w:pPr>
        <w:ind w:left="1460" w:right="40" w:hanging="719"/>
        <w:spacing w:after="0" w:line="241" w:lineRule="auto"/>
        <w:tabs>
          <w:tab w:leader="none" w:pos="14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expressly prohibited by any Regulatory Authority, at AstraZeneca’s written request, Mereo shall and hereby does, and shall cause its Affiliates to,</w:t>
      </w:r>
    </w:p>
    <w:p>
      <w:pPr>
        <w:spacing w:after="0" w:line="1" w:lineRule="exact"/>
        <w:rPr>
          <w:rFonts w:ascii="Times New Roman" w:cs="Times New Roman" w:eastAsia="Times New Roman" w:hAnsi="Times New Roman"/>
          <w:sz w:val="22"/>
          <w:szCs w:val="22"/>
          <w:color w:val="auto"/>
        </w:rPr>
      </w:pPr>
    </w:p>
    <w:p>
      <w:pPr>
        <w:jc w:val="both"/>
        <w:ind w:left="1480" w:hanging="5"/>
        <w:spacing w:after="0" w:line="233" w:lineRule="auto"/>
        <w:tabs>
          <w:tab w:leader="none" w:pos="1863"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control to AstraZeneca of [***] clinical studies involving Products thereto being conducted by or on behalf of Mereo, an Affiliate as of the effective date of termination and (b) continue to conduct such clinical studies, [***], for up to [***] days to enable such transfer to be completed without interruption of any such clinical study; provided that AstraZeneca shall not have any obligation to continue any clinical study unless required by Applicable Law;</w:t>
      </w:r>
    </w:p>
    <w:p>
      <w:pPr>
        <w:spacing w:after="0" w:line="165" w:lineRule="exact"/>
        <w:rPr>
          <w:rFonts w:ascii="Times New Roman" w:cs="Times New Roman" w:eastAsia="Times New Roman" w:hAnsi="Times New Roman"/>
          <w:sz w:val="22"/>
          <w:szCs w:val="22"/>
          <w:color w:val="auto"/>
        </w:rPr>
      </w:pPr>
    </w:p>
    <w:p>
      <w:pPr>
        <w:jc w:val="both"/>
        <w:ind w:left="1460" w:hanging="719"/>
        <w:spacing w:after="0" w:line="235" w:lineRule="auto"/>
        <w:tabs>
          <w:tab w:leader="none" w:pos="14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AstraZeneca’s written request, Mereo shall, and cause its Affiliates to, assign to AstraZeneca all Product Agreements, unless, with respect to any such Product Agreement, such Product Agreement expressly prohibits such assignment, in which case Mereo (or such Affiliate) shall cooperate with AstraZeneca in all reasonable respects to secure the consent of the applicable Third Party to such assignment and if any such consent cannot be obtained with respect to a Product Agreement, Mereo shall, and cause its Affiliates to, obtain for AstraZeneca [***] of the practical benefit and burden under such Product Agreement, including by (a) [***] and (b) [***]; and</w:t>
      </w:r>
    </w:p>
    <w:p>
      <w:pPr>
        <w:spacing w:after="0" w:line="21" w:lineRule="exact"/>
        <w:rPr>
          <w:rFonts w:ascii="Times New Roman" w:cs="Times New Roman" w:eastAsia="Times New Roman" w:hAnsi="Times New Roman"/>
          <w:sz w:val="22"/>
          <w:szCs w:val="22"/>
          <w:color w:val="auto"/>
        </w:rPr>
      </w:pPr>
    </w:p>
    <w:p>
      <w:pPr>
        <w:jc w:val="both"/>
        <w:ind w:left="1480" w:right="20" w:hanging="725"/>
        <w:spacing w:after="0" w:line="238" w:lineRule="auto"/>
        <w:tabs>
          <w:tab w:leader="none" w:pos="148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AstraZeneca’s written request, Mereo shall supply to AstraZeneca such quantities of the Compound(s) and Product(s) as [***] from time to time [***] to Manufacture such Compound(s) and Product(s) until the earlier of</w:t>
      </w:r>
    </w:p>
    <w:p>
      <w:pPr>
        <w:jc w:val="both"/>
        <w:ind w:left="1480" w:right="20" w:firstLine="10"/>
        <w:spacing w:after="0" w:line="235" w:lineRule="auto"/>
        <w:tabs>
          <w:tab w:leader="none" w:pos="1849" w:val="left"/>
        </w:tabs>
        <w:numPr>
          <w:ilvl w:val="3"/>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time as AstraZeneca has established an alternate, validated source of supply for the Compound(s) and Product(s) and AstraZeneca is receiving supply from such alternative source and (b) the [***] of the effective date of termination of this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15.1.3  In addition to the provisions of Sections 15.1.1 and 15.1.2:</w:t>
      </w:r>
    </w:p>
    <w:p>
      <w:pPr>
        <w:spacing w:after="0" w:line="193" w:lineRule="exact"/>
        <w:rPr>
          <w:sz w:val="20"/>
          <w:szCs w:val="20"/>
          <w:color w:val="auto"/>
        </w:rPr>
      </w:pPr>
    </w:p>
    <w:p>
      <w:pPr>
        <w:jc w:val="both"/>
        <w:ind w:left="1460" w:right="20" w:hanging="719"/>
        <w:spacing w:after="0" w:line="236" w:lineRule="auto"/>
        <w:tabs>
          <w:tab w:leader="none" w:pos="14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Mereo exercises its right to terminate this Agreement in its entirety pursuant Section 14.2.1 (Termination for Material Breach) or 14.2.3 (Termination for Insolvency):AstraZeneca shall have the [***] option for a period of [***] days after such termination to negotiate for an exclusive license for all Confidential Information and Patents Controlled by Mereo and its Affiliates claiming Inventions developed under the Agreement by Mereo and its Affiliates claiming the composition or methods of use or Manufacture of Compounds 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720090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00" w:top="1440" w:right="479" w:bottom="1440" w:gutter="0" w:footer="0" w:header="0"/>
        </w:sectPr>
      </w:pPr>
    </w:p>
    <w:bookmarkStart w:id="218" w:name="page219"/>
    <w:bookmarkEnd w:id="218"/>
    <w:p>
      <w:pPr>
        <w:spacing w:after="0" w:line="11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jc w:val="both"/>
        <w:ind w:left="1480" w:right="20" w:hanging="719"/>
        <w:spacing w:after="0" w:line="244" w:lineRule="auto"/>
        <w:tabs>
          <w:tab w:leader="none" w:pos="148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Mereo exercises its right to terminate this Agreement in its entirety pursuant to Section 14.2.2 (</w:t>
      </w:r>
      <w:r>
        <w:rPr>
          <w:rFonts w:ascii="Times New Roman" w:cs="Times New Roman" w:eastAsia="Times New Roman" w:hAnsi="Times New Roman"/>
          <w:sz w:val="22"/>
          <w:szCs w:val="22"/>
          <w:i w:val="1"/>
          <w:iCs w:val="1"/>
          <w:color w:val="auto"/>
        </w:rPr>
        <w:t>Termination by Mereo</w:t>
      </w:r>
      <w:r>
        <w:rPr>
          <w:rFonts w:ascii="Times New Roman" w:cs="Times New Roman" w:eastAsia="Times New Roman" w:hAnsi="Times New Roman"/>
          <w:sz w:val="22"/>
          <w:szCs w:val="22"/>
          <w:color w:val="auto"/>
        </w:rPr>
        <w:t>), or AstraZeneca exercises its right to terminate this Agreement in its entirety pursuant to Section 14.2.1 (</w:t>
      </w:r>
      <w:r>
        <w:rPr>
          <w:rFonts w:ascii="Times New Roman" w:cs="Times New Roman" w:eastAsia="Times New Roman" w:hAnsi="Times New Roman"/>
          <w:sz w:val="22"/>
          <w:szCs w:val="22"/>
          <w:i w:val="1"/>
          <w:iCs w:val="1"/>
          <w:color w:val="auto"/>
        </w:rPr>
        <w:t>Termination for Material Breach</w:t>
      </w:r>
      <w:r>
        <w:rPr>
          <w:rFonts w:ascii="Times New Roman" w:cs="Times New Roman" w:eastAsia="Times New Roman" w:hAnsi="Times New Roman"/>
          <w:sz w:val="22"/>
          <w:szCs w:val="22"/>
          <w:color w:val="auto"/>
        </w:rPr>
        <w:t>) or 14.2.3 (</w:t>
      </w:r>
      <w:r>
        <w:rPr>
          <w:rFonts w:ascii="Times New Roman" w:cs="Times New Roman" w:eastAsia="Times New Roman" w:hAnsi="Times New Roman"/>
          <w:sz w:val="22"/>
          <w:szCs w:val="22"/>
          <w:i w:val="1"/>
          <w:iCs w:val="1"/>
          <w:color w:val="auto"/>
        </w:rPr>
        <w:t>Termination for Insolvency</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2220" w:hanging="725"/>
        <w:spacing w:after="0" w:line="258" w:lineRule="auto"/>
        <w:tabs>
          <w:tab w:leader="none" w:pos="222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Mereo shall and hereby does, and shall cause its Affiliates to, grant to AstraZeneca solely for the Exploitation in the Territory in the Field of any Compound(s) or Product(s):</w:t>
      </w:r>
    </w:p>
    <w:p>
      <w:pPr>
        <w:spacing w:after="0" w:line="144" w:lineRule="exact"/>
        <w:rPr>
          <w:rFonts w:ascii="Times New Roman" w:cs="Times New Roman" w:eastAsia="Times New Roman" w:hAnsi="Times New Roman"/>
          <w:sz w:val="22"/>
          <w:szCs w:val="22"/>
          <w:color w:val="auto"/>
        </w:rPr>
      </w:pPr>
    </w:p>
    <w:p>
      <w:pPr>
        <w:jc w:val="both"/>
        <w:ind w:left="2960" w:right="20" w:hanging="732"/>
        <w:spacing w:after="0" w:line="244" w:lineRule="auto"/>
        <w:tabs>
          <w:tab w:leader="none" w:pos="2960"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royalty-free license with the right to grant multiple tiers of sublicenses, in and to all Confidential Information of Mereo and its Affiliates [***] to the Compound(s) or any Product(s); and</w:t>
      </w:r>
    </w:p>
    <w:p>
      <w:pPr>
        <w:spacing w:after="0" w:line="146" w:lineRule="exact"/>
        <w:rPr>
          <w:rFonts w:ascii="Times New Roman" w:cs="Times New Roman" w:eastAsia="Times New Roman" w:hAnsi="Times New Roman"/>
          <w:sz w:val="22"/>
          <w:szCs w:val="22"/>
          <w:color w:val="auto"/>
        </w:rPr>
      </w:pPr>
    </w:p>
    <w:p>
      <w:pPr>
        <w:jc w:val="both"/>
        <w:ind w:left="2960" w:right="20" w:hanging="732"/>
        <w:spacing w:after="0" w:line="239" w:lineRule="auto"/>
        <w:tabs>
          <w:tab w:leader="none" w:pos="2960" w:val="left"/>
        </w:tabs>
        <w:numPr>
          <w:ilvl w:val="2"/>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license with the right to grant multiple tiers of sublicenses, in and to all Confidential Information of Mereo and its Affiliates [***] of any Compound(s) or any Product(s). In the interest of clarity, the non-exclusive license would only to Exploit Compounds or Product(s); and</w:t>
      </w:r>
    </w:p>
    <w:p>
      <w:pPr>
        <w:spacing w:after="0" w:line="166" w:lineRule="exact"/>
        <w:rPr>
          <w:rFonts w:ascii="Times New Roman" w:cs="Times New Roman" w:eastAsia="Times New Roman" w:hAnsi="Times New Roman"/>
          <w:sz w:val="22"/>
          <w:szCs w:val="22"/>
          <w:color w:val="auto"/>
        </w:rPr>
      </w:pPr>
    </w:p>
    <w:p>
      <w:pPr>
        <w:jc w:val="both"/>
        <w:ind w:left="2220" w:right="20" w:hanging="725"/>
        <w:spacing w:after="0" w:line="244" w:lineRule="auto"/>
        <w:tabs>
          <w:tab w:leader="none" w:pos="222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Mereo shall and hereby does, and shall cause its Affiliates to, effective as of the effective date of termination, grant AstraZeneca solely for the Exploitation in the Territory of any Compound(s) or Product(s) in the Field:</w:t>
      </w:r>
    </w:p>
    <w:p>
      <w:pPr>
        <w:spacing w:after="0" w:line="146" w:lineRule="exact"/>
        <w:rPr>
          <w:rFonts w:ascii="Times New Roman" w:cs="Times New Roman" w:eastAsia="Times New Roman" w:hAnsi="Times New Roman"/>
          <w:sz w:val="22"/>
          <w:szCs w:val="22"/>
          <w:color w:val="auto"/>
        </w:rPr>
      </w:pPr>
    </w:p>
    <w:p>
      <w:pPr>
        <w:ind w:left="2960" w:hanging="732"/>
        <w:spacing w:after="0"/>
        <w:tabs>
          <w:tab w:leader="none" w:pos="2960" w:val="left"/>
        </w:tabs>
        <w:numPr>
          <w:ilvl w:val="2"/>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royalty-free license, with the right to grant multiple tiers of sublicenses, in and to all:</w:t>
      </w:r>
    </w:p>
    <w:p>
      <w:pPr>
        <w:spacing w:after="0" w:line="55" w:lineRule="exact"/>
        <w:rPr>
          <w:rFonts w:ascii="Times New Roman" w:cs="Times New Roman" w:eastAsia="Times New Roman" w:hAnsi="Times New Roman"/>
          <w:sz w:val="21"/>
          <w:szCs w:val="21"/>
          <w:color w:val="auto"/>
        </w:rPr>
      </w:pPr>
    </w:p>
    <w:p>
      <w:pPr>
        <w:ind w:left="3700" w:right="20" w:hanging="723"/>
        <w:spacing w:after="0" w:line="258" w:lineRule="auto"/>
        <w:tabs>
          <w:tab w:leader="none" w:pos="3700" w:val="left"/>
        </w:tabs>
        <w:numPr>
          <w:ilvl w:val="3"/>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Patents Controlled by Mereo or its Affiliates claiming Inventions [***] to the [***] of Compounds or Products; and</w:t>
      </w:r>
    </w:p>
    <w:p>
      <w:pPr>
        <w:spacing w:after="0" w:line="145" w:lineRule="exact"/>
        <w:rPr>
          <w:sz w:val="20"/>
          <w:szCs w:val="20"/>
          <w:color w:val="auto"/>
        </w:rPr>
      </w:pPr>
    </w:p>
    <w:p>
      <w:pPr>
        <w:ind w:left="3700" w:hanging="723"/>
        <w:spacing w:after="0" w:line="258" w:lineRule="auto"/>
        <w:tabs>
          <w:tab w:leader="none" w:pos="37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Know-How Controlled by Mereo or its Affiliates [***] of Compounds or Products; and</w:t>
      </w:r>
    </w:p>
    <w:p>
      <w:pPr>
        <w:spacing w:after="0" w:line="131" w:lineRule="exact"/>
        <w:rPr>
          <w:rFonts w:ascii="Times New Roman" w:cs="Times New Roman" w:eastAsia="Times New Roman" w:hAnsi="Times New Roman"/>
          <w:sz w:val="22"/>
          <w:szCs w:val="22"/>
          <w:color w:val="auto"/>
        </w:rPr>
      </w:pPr>
    </w:p>
    <w:p>
      <w:pPr>
        <w:ind w:left="2960" w:hanging="732"/>
        <w:spacing w:after="0"/>
        <w:tabs>
          <w:tab w:leader="none" w:pos="29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license, with the right to grant multiple tiers of sublicenses, in and to all:</w:t>
      </w:r>
    </w:p>
    <w:p>
      <w:pPr>
        <w:spacing w:after="0" w:line="192" w:lineRule="exact"/>
        <w:rPr>
          <w:rFonts w:ascii="Times New Roman" w:cs="Times New Roman" w:eastAsia="Times New Roman" w:hAnsi="Times New Roman"/>
          <w:sz w:val="22"/>
          <w:szCs w:val="22"/>
          <w:color w:val="auto"/>
        </w:rPr>
      </w:pPr>
    </w:p>
    <w:p>
      <w:pPr>
        <w:ind w:left="3700" w:right="20" w:hanging="723"/>
        <w:spacing w:after="0" w:line="258" w:lineRule="auto"/>
        <w:tabs>
          <w:tab w:leader="none" w:pos="370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Patents Controlled by Mereo or its Affiliates claiming Inventions [***] of Compounds or Products by Mereo or its Affiliates; and</w:t>
      </w:r>
    </w:p>
    <w:p>
      <w:pPr>
        <w:spacing w:after="0" w:line="131" w:lineRule="exact"/>
        <w:rPr>
          <w:sz w:val="20"/>
          <w:szCs w:val="20"/>
          <w:color w:val="auto"/>
        </w:rPr>
      </w:pPr>
    </w:p>
    <w:p>
      <w:pPr>
        <w:ind w:left="3700" w:right="40" w:hanging="723"/>
        <w:spacing w:after="0" w:line="258" w:lineRule="auto"/>
        <w:tabs>
          <w:tab w:leader="none" w:pos="3700"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Know-How Controlled by Mereo or its Affiliates [***] of Compounds or Products by Mereo or its Affiliates; and</w:t>
      </w:r>
    </w:p>
    <w:p>
      <w:pPr>
        <w:spacing w:after="0" w:line="144" w:lineRule="exact"/>
        <w:rPr>
          <w:rFonts w:ascii="Times New Roman" w:cs="Times New Roman" w:eastAsia="Times New Roman" w:hAnsi="Times New Roman"/>
          <w:sz w:val="22"/>
          <w:szCs w:val="22"/>
          <w:color w:val="auto"/>
        </w:rPr>
      </w:pPr>
    </w:p>
    <w:p>
      <w:pPr>
        <w:jc w:val="both"/>
        <w:ind w:left="2960" w:right="20" w:hanging="732"/>
        <w:spacing w:after="0" w:line="244" w:lineRule="auto"/>
        <w:tabs>
          <w:tab w:leader="none" w:pos="29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royalty-free license, with the right to grant multiple tiers of sublicenses, in and to all, together with a right of reference, Regulatory Documentation (including any Regulatory Approvals) then Controlled by Mereo or any of its Affiliates.</w:t>
      </w:r>
    </w:p>
    <w:p>
      <w:pPr>
        <w:spacing w:after="0" w:line="15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15.2</w:t>
      </w:r>
      <w:r>
        <w:rPr>
          <w:sz w:val="20"/>
          <w:szCs w:val="20"/>
          <w:color w:val="auto"/>
        </w:rPr>
        <w:tab/>
      </w:r>
      <w:r>
        <w:rPr>
          <w:rFonts w:ascii="Times New Roman" w:cs="Times New Roman" w:eastAsia="Times New Roman" w:hAnsi="Times New Roman"/>
          <w:sz w:val="21"/>
          <w:szCs w:val="21"/>
          <w:b w:val="1"/>
          <w:bCs w:val="1"/>
          <w:color w:val="auto"/>
        </w:rPr>
        <w:t>Remedies</w:t>
      </w:r>
    </w:p>
    <w:p>
      <w:pPr>
        <w:spacing w:after="0" w:line="183" w:lineRule="exact"/>
        <w:rPr>
          <w:sz w:val="20"/>
          <w:szCs w:val="20"/>
          <w:color w:val="auto"/>
        </w:rPr>
      </w:pPr>
    </w:p>
    <w:p>
      <w:pPr>
        <w:ind w:left="760" w:right="20" w:hanging="9"/>
        <w:spacing w:after="0" w:line="258" w:lineRule="auto"/>
        <w:rPr>
          <w:sz w:val="20"/>
          <w:szCs w:val="20"/>
          <w:color w:val="auto"/>
        </w:rPr>
      </w:pPr>
      <w:r>
        <w:rPr>
          <w:rFonts w:ascii="Times New Roman" w:cs="Times New Roman" w:eastAsia="Times New Roman" w:hAnsi="Times New Roman"/>
          <w:sz w:val="22"/>
          <w:szCs w:val="22"/>
          <w:color w:val="auto"/>
        </w:rPr>
        <w:t>Except as otherwise expressly provided herein, termination of this Agreement in accordance with the provisions hereof shall not limit any remedies that may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705485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19" w:name="page220"/>
    <w:bookmarkEnd w:id="219"/>
    <w:p>
      <w:pPr>
        <w:spacing w:after="0" w:line="117"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be available in law or equity and shall be without prejudice to the rights of either Party against the other then accruing or accrued under this Agreement. For clarity, on any expiry or termination of this Agreement on or after the Option Exercise Date, each Party shall retain all rights that may otherwise be available in law or equity to pursue any remedy available to such Party for the material breach of the other Party.</w:t>
      </w:r>
    </w:p>
    <w:p>
      <w:pPr>
        <w:spacing w:after="0" w:line="190"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15.3</w:t>
      </w:r>
      <w:r>
        <w:rPr>
          <w:sz w:val="20"/>
          <w:szCs w:val="20"/>
          <w:color w:val="auto"/>
        </w:rPr>
        <w:tab/>
      </w:r>
      <w:r>
        <w:rPr>
          <w:rFonts w:ascii="Times New Roman" w:cs="Times New Roman" w:eastAsia="Times New Roman" w:hAnsi="Times New Roman"/>
          <w:sz w:val="21"/>
          <w:szCs w:val="21"/>
          <w:b w:val="1"/>
          <w:bCs w:val="1"/>
          <w:color w:val="auto"/>
        </w:rPr>
        <w:t>Accrued Rights; Surviving Obligations</w:t>
      </w:r>
    </w:p>
    <w:p>
      <w:pPr>
        <w:spacing w:after="0" w:line="197" w:lineRule="exact"/>
        <w:rPr>
          <w:sz w:val="20"/>
          <w:szCs w:val="20"/>
          <w:color w:val="auto"/>
        </w:rPr>
      </w:pPr>
    </w:p>
    <w:p>
      <w:pPr>
        <w:jc w:val="both"/>
        <w:ind w:left="760" w:hanging="9"/>
        <w:spacing w:after="0" w:line="236" w:lineRule="auto"/>
        <w:rPr>
          <w:sz w:val="20"/>
          <w:szCs w:val="20"/>
          <w:color w:val="auto"/>
        </w:rPr>
      </w:pPr>
      <w:r>
        <w:rPr>
          <w:rFonts w:ascii="Times New Roman" w:cs="Times New Roman" w:eastAsia="Times New Roman" w:hAnsi="Times New Roman"/>
          <w:sz w:val="22"/>
          <w:szCs w:val="22"/>
          <w:color w:val="auto"/>
        </w:rPr>
        <w:t>Termination or expiration of this Agreement for any reason shall be without prejudice to any rights that shall have accrued to the benefit of a Party prior to such termination or expiration. Such termination or expiration shall not relieve a Party from obligations that are expressly indicated to survive the termination or expiration of this Agreement. Without limiting the foregoing, (a) Sections 1, 2.5, 2.6, 3.4, 5.3, 7.3, 8.10, 8.12, 8.13,</w:t>
      </w:r>
    </w:p>
    <w:p>
      <w:pPr>
        <w:spacing w:after="0" w:line="1"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8.14, 9.1, 10, 13.1 to 13.4, 14.1, 15, 16.5 to 16.8 and 16.9 to 16.18 of this Agreement shall survive the termination or expiration of this Agreement for any reason and (b) the grants in Section 2.1 shall survive the expiration of the Term in accordance with Section 14.1.</w:t>
      </w:r>
    </w:p>
    <w:p>
      <w:pPr>
        <w:spacing w:after="0" w:line="12" w:lineRule="exact"/>
        <w:rPr>
          <w:sz w:val="20"/>
          <w:szCs w:val="20"/>
          <w:color w:val="auto"/>
        </w:rPr>
      </w:pPr>
    </w:p>
    <w:p>
      <w:pPr>
        <w:ind w:left="780" w:hanging="767"/>
        <w:spacing w:after="0"/>
        <w:tabs>
          <w:tab w:leader="none" w:pos="78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92" w:lineRule="exact"/>
        <w:rPr>
          <w:rFonts w:ascii="Times New Roman" w:cs="Times New Roman" w:eastAsia="Times New Roman" w:hAnsi="Times New Roman"/>
          <w:sz w:val="22"/>
          <w:szCs w:val="22"/>
          <w:b w:val="1"/>
          <w:bCs w:val="1"/>
          <w:color w:val="auto"/>
        </w:rPr>
      </w:pPr>
    </w:p>
    <w:p>
      <w:pPr>
        <w:ind w:left="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16.1   Force Majeure</w:t>
      </w:r>
    </w:p>
    <w:p>
      <w:pPr>
        <w:spacing w:after="0" w:line="183" w:lineRule="exact"/>
        <w:rPr>
          <w:sz w:val="20"/>
          <w:szCs w:val="20"/>
          <w:color w:val="auto"/>
        </w:rPr>
      </w:pPr>
    </w:p>
    <w:p>
      <w:pPr>
        <w:jc w:val="both"/>
        <w:ind w:left="760" w:hanging="9"/>
        <w:spacing w:after="0" w:line="244" w:lineRule="auto"/>
        <w:rPr>
          <w:sz w:val="20"/>
          <w:szCs w:val="20"/>
          <w:color w:val="auto"/>
        </w:rPr>
      </w:pPr>
      <w:r>
        <w:rPr>
          <w:rFonts w:ascii="Times New Roman" w:cs="Times New Roman" w:eastAsia="Times New Roman" w:hAnsi="Times New Roman"/>
          <w:sz w:val="21"/>
          <w:szCs w:val="21"/>
          <w:color w:val="auto"/>
        </w:rPr>
        <w:t>Neither Party shall be held liable or responsible to the other Party or be deemed to have defaulted under or breached this Agreement for failure or delay in fulfilling or performing any term of this Agreement (other than an obligation to make payments) when such failure or delay is caused by or results from events beyond the reasonable control of the non-performing Party, including fires, floods, earthquakes, hurricanes, embargoes, shortages, epidemics, quarantines, war, acts of war (whether war be declared or not), terrorist acts, insurrections, riots, civil commotion, strikes, lockouts or other labor disturbances (other than a labor disturbance involving the workforce of the non-performing Party where such event is within the reasonable control of the non-performing Party), acts of God or acts, omissions or delays in acting by any governmental authority (except to the extent such delay results from the breach by the non-performing Party or any of its Affiliates of any term or condition of this Agreement). The non-performing Party shall notify the other Party of such force majeure within [***]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166"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16.2</w:t>
      </w:r>
      <w:r>
        <w:rPr>
          <w:sz w:val="20"/>
          <w:szCs w:val="20"/>
          <w:color w:val="auto"/>
        </w:rPr>
        <w:tab/>
      </w:r>
      <w:r>
        <w:rPr>
          <w:rFonts w:ascii="Times New Roman" w:cs="Times New Roman" w:eastAsia="Times New Roman" w:hAnsi="Times New Roman"/>
          <w:sz w:val="21"/>
          <w:szCs w:val="21"/>
          <w:b w:val="1"/>
          <w:bCs w:val="1"/>
          <w:color w:val="auto"/>
        </w:rPr>
        <w:t>Export Control</w:t>
      </w:r>
    </w:p>
    <w:p>
      <w:pPr>
        <w:spacing w:after="0" w:line="197" w:lineRule="exact"/>
        <w:rPr>
          <w:sz w:val="20"/>
          <w:szCs w:val="20"/>
          <w:color w:val="auto"/>
        </w:rPr>
      </w:pPr>
    </w:p>
    <w:p>
      <w:pPr>
        <w:jc w:val="both"/>
        <w:ind w:left="760" w:hanging="9"/>
        <w:spacing w:after="0" w:line="236" w:lineRule="auto"/>
        <w:rPr>
          <w:sz w:val="20"/>
          <w:szCs w:val="20"/>
          <w:color w:val="auto"/>
        </w:rPr>
      </w:pPr>
      <w:r>
        <w:rPr>
          <w:rFonts w:ascii="Times New Roman" w:cs="Times New Roman" w:eastAsia="Times New Roman" w:hAnsi="Times New Roman"/>
          <w:sz w:val="22"/>
          <w:szCs w:val="22"/>
          <w:color w:val="auto"/>
        </w:rPr>
        <w:t>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5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16.3</w:t>
      </w:r>
      <w:r>
        <w:rPr>
          <w:sz w:val="20"/>
          <w:szCs w:val="20"/>
          <w:color w:val="auto"/>
        </w:rPr>
        <w:tab/>
      </w:r>
      <w:r>
        <w:rPr>
          <w:rFonts w:ascii="Times New Roman" w:cs="Times New Roman" w:eastAsia="Times New Roman" w:hAnsi="Times New Roman"/>
          <w:sz w:val="21"/>
          <w:szCs w:val="21"/>
          <w:b w:val="1"/>
          <w:bCs w:val="1"/>
          <w:color w:val="auto"/>
        </w:rPr>
        <w:t>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737870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20" w:name="page221"/>
    <w:bookmarkEnd w:id="220"/>
    <w:p>
      <w:pPr>
        <w:spacing w:after="0" w:line="117" w:lineRule="exact"/>
        <w:rPr>
          <w:sz w:val="20"/>
          <w:szCs w:val="20"/>
          <w:color w:val="auto"/>
        </w:rPr>
      </w:pPr>
    </w:p>
    <w:p>
      <w:pPr>
        <w:jc w:val="both"/>
        <w:ind w:left="720" w:right="20" w:hanging="723"/>
        <w:spacing w:after="0" w:line="238" w:lineRule="auto"/>
        <w:tabs>
          <w:tab w:leader="none" w:pos="700" w:val="left"/>
        </w:tabs>
        <w:rPr>
          <w:sz w:val="20"/>
          <w:szCs w:val="20"/>
          <w:color w:val="auto"/>
        </w:rPr>
      </w:pPr>
      <w:r>
        <w:rPr>
          <w:rFonts w:ascii="Times New Roman" w:cs="Times New Roman" w:eastAsia="Times New Roman" w:hAnsi="Times New Roman"/>
          <w:sz w:val="22"/>
          <w:szCs w:val="22"/>
          <w:color w:val="auto"/>
        </w:rPr>
        <w:t>16.3.1</w:t>
        <w:tab/>
        <w:t>Neither Party may assign its rights or delegate its obligations under this Agreement, whether by operation of law or otherwise, in whole or in part without the prior written consent of the other Party, which consent shall not be unreasonably withheld, conditioned or delayed, except that each Party shall have the right, without such consent,</w:t>
      </w:r>
    </w:p>
    <w:p>
      <w:pPr>
        <w:jc w:val="both"/>
        <w:ind w:left="740" w:right="20" w:hanging="2"/>
        <w:spacing w:after="0" w:line="232" w:lineRule="auto"/>
        <w:tabs>
          <w:tab w:leader="none" w:pos="1002"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perform any or all of its obligations and exercise any or all of its rights under this Agreement through any of its Affiliates or its or their (sub)licensees, and (ii) assign any or all of its rights and delegate any or all of its obligations hereunder to any of its Affiliates or its or their (sub)licensees or to any successor in interest (whether by merger, acquisition, asset purchase or otherwise) to all or substantially all of the business to which this Agreement relates; provided that such assigning Party shall provide written notice to the other Party within [***] days after such assignment or delegation, and [***].</w:t>
      </w:r>
    </w:p>
    <w:p>
      <w:pPr>
        <w:spacing w:after="0" w:line="21" w:lineRule="exact"/>
        <w:rPr>
          <w:sz w:val="20"/>
          <w:szCs w:val="20"/>
          <w:color w:val="auto"/>
        </w:rPr>
      </w:pPr>
    </w:p>
    <w:p>
      <w:pPr>
        <w:jc w:val="both"/>
        <w:ind w:left="720" w:right="20" w:hanging="723"/>
        <w:spacing w:after="0" w:line="238" w:lineRule="auto"/>
        <w:tabs>
          <w:tab w:leader="none" w:pos="700" w:val="left"/>
        </w:tabs>
        <w:rPr>
          <w:sz w:val="20"/>
          <w:szCs w:val="20"/>
          <w:color w:val="auto"/>
        </w:rPr>
      </w:pPr>
      <w:r>
        <w:rPr>
          <w:rFonts w:ascii="Times New Roman" w:cs="Times New Roman" w:eastAsia="Times New Roman" w:hAnsi="Times New Roman"/>
          <w:sz w:val="22"/>
          <w:szCs w:val="22"/>
          <w:color w:val="auto"/>
        </w:rPr>
        <w:t>16.3.2</w:t>
        <w:tab/>
        <w:t>In the event that Mereo assigns (or otherwise transfers) the Option Intellectual Property to any Third Party (following Mereo’s exercise of the Option), Mereo shall assign its rights and obligations under this Agreement to the assignee of the Option Intellectual Property such that the assignee shall be bound by such obligations in place of Mereo, provided that such [***] to [***] under Section [***] in the event: (i) such assignment or transfer [***]; and (ii) [***]. Mereo shall provide written notice to AstraZeneca within [***] days after any such assignment.</w:t>
      </w:r>
    </w:p>
    <w:p>
      <w:pPr>
        <w:spacing w:after="0" w:line="190" w:lineRule="exact"/>
        <w:rPr>
          <w:sz w:val="20"/>
          <w:szCs w:val="20"/>
          <w:color w:val="auto"/>
        </w:rPr>
      </w:pPr>
    </w:p>
    <w:p>
      <w:pPr>
        <w:jc w:val="both"/>
        <w:ind w:left="720" w:hanging="723"/>
        <w:spacing w:after="0" w:line="247" w:lineRule="auto"/>
        <w:tabs>
          <w:tab w:leader="none" w:pos="700" w:val="left"/>
        </w:tabs>
        <w:rPr>
          <w:sz w:val="20"/>
          <w:szCs w:val="20"/>
          <w:color w:val="auto"/>
        </w:rPr>
      </w:pPr>
      <w:r>
        <w:rPr>
          <w:rFonts w:ascii="Times New Roman" w:cs="Times New Roman" w:eastAsia="Times New Roman" w:hAnsi="Times New Roman"/>
          <w:sz w:val="22"/>
          <w:szCs w:val="22"/>
          <w:color w:val="auto"/>
        </w:rPr>
        <w:t>16.3.3</w:t>
      </w:r>
      <w:r>
        <w:rPr>
          <w:sz w:val="20"/>
          <w:szCs w:val="20"/>
          <w:color w:val="auto"/>
        </w:rPr>
        <w:tab/>
      </w:r>
      <w:r>
        <w:rPr>
          <w:rFonts w:ascii="Times New Roman" w:cs="Times New Roman" w:eastAsia="Times New Roman" w:hAnsi="Times New Roman"/>
          <w:sz w:val="21"/>
          <w:szCs w:val="21"/>
          <w:color w:val="auto"/>
        </w:rPr>
        <w:t>Any successor of a Party or any assignee of all of a Party’s rights under this Agreement pursuant to this Section 16.3 that has also assumed all of such Party’s obligations hereunder in writing shall, upon any such succession or assignment and assumption, be deemed to be a party to this Agreement as though named herein in substitution for the assigning Party, whereupon the assigning Party shall cease to be a party to this Agreement and shall cease to have any rights or obligations under this Agreement. All validly assigned rights of a Party shall inure to the benefit of and be enforceable by, and all validly delegated obligations of such Party shall be binding on and be enforceable against, the successors and assigns of such Party pursuant to this Section 16.3; provided that such Party, if it survives, shall remain jointly and severally liable for the performance of such delegated obligations under this Agreement.</w:t>
      </w:r>
    </w:p>
    <w:p>
      <w:pPr>
        <w:spacing w:after="0" w:line="158" w:lineRule="exact"/>
        <w:rPr>
          <w:sz w:val="20"/>
          <w:szCs w:val="20"/>
          <w:color w:val="auto"/>
        </w:rPr>
      </w:pPr>
    </w:p>
    <w:p>
      <w:pPr>
        <w:jc w:val="both"/>
        <w:ind w:left="720" w:right="20" w:hanging="723"/>
        <w:spacing w:after="0" w:line="251" w:lineRule="auto"/>
        <w:tabs>
          <w:tab w:leader="none" w:pos="700" w:val="left"/>
        </w:tabs>
        <w:rPr>
          <w:sz w:val="20"/>
          <w:szCs w:val="20"/>
          <w:color w:val="auto"/>
        </w:rPr>
      </w:pPr>
      <w:r>
        <w:rPr>
          <w:rFonts w:ascii="Times New Roman" w:cs="Times New Roman" w:eastAsia="Times New Roman" w:hAnsi="Times New Roman"/>
          <w:sz w:val="22"/>
          <w:szCs w:val="22"/>
          <w:color w:val="auto"/>
        </w:rPr>
        <w:t>16.3.4</w:t>
      </w:r>
      <w:r>
        <w:rPr>
          <w:sz w:val="20"/>
          <w:szCs w:val="20"/>
          <w:color w:val="auto"/>
        </w:rPr>
        <w:tab/>
      </w:r>
      <w:r>
        <w:rPr>
          <w:rFonts w:ascii="Times New Roman" w:cs="Times New Roman" w:eastAsia="Times New Roman" w:hAnsi="Times New Roman"/>
          <w:sz w:val="21"/>
          <w:szCs w:val="21"/>
          <w:color w:val="auto"/>
        </w:rPr>
        <w:t>In the event that Mereo wishes to assign (or otherwise transfer) part, but not all, of the Option Intellectual Property to any Third Party (following Mereo’s exercise of the Option) (i) the Parties shall in good faith agree any amendments to this Agreement that may be necessary to reflect such partial assignment and (ii) following such amendment, Mereo shall assign such Option Intellectual Property together with applicable rights and obligations under this Agreement to the assignee of the Option Intellectual Property such that the assignee shall be bound by such obligations.</w:t>
      </w:r>
    </w:p>
    <w:p>
      <w:pPr>
        <w:spacing w:after="0" w:line="1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16.3.5</w:t>
      </w:r>
      <w:r>
        <w:rPr>
          <w:sz w:val="20"/>
          <w:szCs w:val="20"/>
          <w:color w:val="auto"/>
        </w:rPr>
        <w:tab/>
      </w:r>
      <w:r>
        <w:rPr>
          <w:rFonts w:ascii="Times New Roman" w:cs="Times New Roman" w:eastAsia="Times New Roman" w:hAnsi="Times New Roman"/>
          <w:sz w:val="21"/>
          <w:szCs w:val="21"/>
          <w:color w:val="auto"/>
        </w:rPr>
        <w:t>Any attempted assignment or delegation in violation of this Section 16.3 shall be void and of no effect.</w:t>
      </w:r>
    </w:p>
    <w:p>
      <w:pPr>
        <w:spacing w:after="0" w:line="17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16.4</w:t>
      </w:r>
      <w:r>
        <w:rPr>
          <w:sz w:val="20"/>
          <w:szCs w:val="20"/>
          <w:color w:val="auto"/>
        </w:rPr>
        <w:tab/>
      </w:r>
      <w:r>
        <w:rPr>
          <w:rFonts w:ascii="Times New Roman" w:cs="Times New Roman" w:eastAsia="Times New Roman" w:hAnsi="Times New Roman"/>
          <w:sz w:val="21"/>
          <w:szCs w:val="21"/>
          <w:b w:val="1"/>
          <w:bCs w:val="1"/>
          <w:color w:val="auto"/>
        </w:rPr>
        <w:t>Subcontracting</w:t>
      </w:r>
    </w:p>
    <w:p>
      <w:pPr>
        <w:spacing w:after="0" w:line="183" w:lineRule="exact"/>
        <w:rPr>
          <w:sz w:val="20"/>
          <w:szCs w:val="20"/>
          <w:color w:val="auto"/>
        </w:rPr>
      </w:pPr>
    </w:p>
    <w:p>
      <w:pPr>
        <w:jc w:val="both"/>
        <w:ind w:left="760" w:right="20" w:hanging="9"/>
        <w:spacing w:after="0" w:line="239" w:lineRule="auto"/>
        <w:rPr>
          <w:sz w:val="20"/>
          <w:szCs w:val="20"/>
          <w:color w:val="auto"/>
        </w:rPr>
      </w:pPr>
      <w:r>
        <w:rPr>
          <w:rFonts w:ascii="Times New Roman" w:cs="Times New Roman" w:eastAsia="Times New Roman" w:hAnsi="Times New Roman"/>
          <w:sz w:val="22"/>
          <w:szCs w:val="22"/>
          <w:color w:val="auto"/>
        </w:rPr>
        <w:t>Subject to Section 2.2, Mereo may subcontract with a Third Party to perform any or all of its obligations hereunder (including by appointing one or more distributors). Mereo shall remain at all times responsible for the performance of its subcontractors and the appointment of a subcontractor shall not relieve Mereo of its obligations under this Agreement, except to the extent they are satisfactorily performed by such subcontractor.</w:t>
      </w:r>
    </w:p>
    <w:p>
      <w:pPr>
        <w:spacing w:after="0" w:line="163"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16.5</w:t>
      </w:r>
      <w:r>
        <w:rPr>
          <w:sz w:val="20"/>
          <w:szCs w:val="20"/>
          <w:color w:val="auto"/>
        </w:rPr>
        <w:tab/>
      </w:r>
      <w:r>
        <w:rPr>
          <w:rFonts w:ascii="Times New Roman" w:cs="Times New Roman" w:eastAsia="Times New Roman" w:hAnsi="Times New Roman"/>
          <w:sz w:val="21"/>
          <w:szCs w:val="21"/>
          <w:b w:val="1"/>
          <w:bCs w:val="1"/>
          <w:color w:val="auto"/>
        </w:rPr>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737870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21" w:name="page222"/>
    <w:bookmarkEnd w:id="221"/>
    <w:p>
      <w:pPr>
        <w:spacing w:after="0" w:line="117" w:lineRule="exact"/>
        <w:rPr>
          <w:sz w:val="20"/>
          <w:szCs w:val="20"/>
          <w:color w:val="auto"/>
        </w:rPr>
      </w:pPr>
    </w:p>
    <w:p>
      <w:pPr>
        <w:jc w:val="both"/>
        <w:ind w:left="760" w:hanging="9"/>
        <w:spacing w:after="0" w:line="253" w:lineRule="auto"/>
        <w:rPr>
          <w:sz w:val="20"/>
          <w:szCs w:val="20"/>
          <w:color w:val="auto"/>
        </w:rPr>
      </w:pPr>
      <w:r>
        <w:rPr>
          <w:rFonts w:ascii="Times New Roman" w:cs="Times New Roman" w:eastAsia="Times New Roman" w:hAnsi="Times New Roman"/>
          <w:sz w:val="21"/>
          <w:szCs w:val="21"/>
          <w:color w:val="auto"/>
        </w:rPr>
        <w:t>If any provision of this Agreement is held to be illegal, invalid or unenforceable under any present or future law and if the rights or obligations of either Party under this Agreement will not be materially and adversely affected thereby,</w:t>
      </w:r>
    </w:p>
    <w:p>
      <w:pPr>
        <w:spacing w:after="0" w:line="1" w:lineRule="exact"/>
        <w:rPr>
          <w:sz w:val="20"/>
          <w:szCs w:val="20"/>
          <w:color w:val="auto"/>
        </w:rPr>
      </w:pPr>
    </w:p>
    <w:p>
      <w:pPr>
        <w:jc w:val="both"/>
        <w:ind w:left="760" w:firstLine="3"/>
        <w:spacing w:after="0" w:line="234" w:lineRule="auto"/>
        <w:tabs>
          <w:tab w:leader="none" w:pos="104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provision shall be fully severable, (ii) this Agreement shall be construed and enforced as if such illegal, invalid or unenforceable provision had never comprised a part hereof, (iii) the remaining provisions of this Agreement shall remain in full force and effect and shall not be affected by the illegal, invalid or unenforceable provision or by its severance</w:t>
      </w:r>
    </w:p>
    <w:p>
      <w:pPr>
        <w:spacing w:after="0" w:line="15"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here from and (iv)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4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16.6</w:t>
      </w:r>
      <w:r>
        <w:rPr>
          <w:sz w:val="20"/>
          <w:szCs w:val="20"/>
          <w:color w:val="auto"/>
        </w:rPr>
        <w:tab/>
      </w:r>
      <w:r>
        <w:rPr>
          <w:rFonts w:ascii="Times New Roman" w:cs="Times New Roman" w:eastAsia="Times New Roman" w:hAnsi="Times New Roman"/>
          <w:sz w:val="21"/>
          <w:szCs w:val="21"/>
          <w:b w:val="1"/>
          <w:bCs w:val="1"/>
          <w:color w:val="auto"/>
        </w:rPr>
        <w:t>Dispute Resolution</w:t>
      </w:r>
    </w:p>
    <w:p>
      <w:pPr>
        <w:spacing w:after="0" w:line="197" w:lineRule="exact"/>
        <w:rPr>
          <w:sz w:val="20"/>
          <w:szCs w:val="20"/>
          <w:color w:val="auto"/>
        </w:rPr>
      </w:pPr>
    </w:p>
    <w:p>
      <w:pPr>
        <w:jc w:val="both"/>
        <w:ind w:left="720" w:hanging="723"/>
        <w:spacing w:after="0" w:line="235" w:lineRule="auto"/>
        <w:tabs>
          <w:tab w:leader="none" w:pos="700" w:val="left"/>
        </w:tabs>
        <w:rPr>
          <w:sz w:val="20"/>
          <w:szCs w:val="20"/>
          <w:color w:val="auto"/>
        </w:rPr>
      </w:pPr>
      <w:r>
        <w:rPr>
          <w:rFonts w:ascii="Times New Roman" w:cs="Times New Roman" w:eastAsia="Times New Roman" w:hAnsi="Times New Roman"/>
          <w:sz w:val="22"/>
          <w:szCs w:val="22"/>
          <w:color w:val="auto"/>
        </w:rPr>
        <w:t>16.6.1</w:t>
        <w:tab/>
        <w:t>If a dispute arises between the Parties in connection with or relating to this (a) Agreement or (b) any document or instrument delivered in connection herewith (collectively, (a) and (b),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then either Party shall have the right to refer such Dispute to the Senior Officers for attempted resolution by good faith negotiations during a period of [***]. Any final decision mutually agreed to by the Senior Officers shall be conclusive and binding on the Parties. For purposes of referrals under this Section 16.6.1, it will be sufficient for a Party to send notice (a “Notice of Arbitration”) of the Dispute to the Senior Officers of the other Party, and no meeting among the Senior Officers shall be required.</w:t>
      </w:r>
    </w:p>
    <w:p>
      <w:pPr>
        <w:spacing w:after="0" w:line="170" w:lineRule="exact"/>
        <w:rPr>
          <w:sz w:val="20"/>
          <w:szCs w:val="20"/>
          <w:color w:val="auto"/>
        </w:rPr>
      </w:pPr>
    </w:p>
    <w:p>
      <w:pPr>
        <w:jc w:val="both"/>
        <w:ind w:left="720" w:hanging="723"/>
        <w:spacing w:after="0" w:line="232" w:lineRule="auto"/>
        <w:tabs>
          <w:tab w:leader="none" w:pos="700" w:val="left"/>
        </w:tabs>
        <w:rPr>
          <w:sz w:val="20"/>
          <w:szCs w:val="20"/>
          <w:color w:val="auto"/>
        </w:rPr>
      </w:pPr>
      <w:r>
        <w:rPr>
          <w:rFonts w:ascii="Times New Roman" w:cs="Times New Roman" w:eastAsia="Times New Roman" w:hAnsi="Times New Roman"/>
          <w:sz w:val="22"/>
          <w:szCs w:val="22"/>
          <w:color w:val="auto"/>
        </w:rPr>
        <w:t>16.6.2</w:t>
        <w:tab/>
        <w:t>Any Dispute not resolved by the Senior Officers within such [***] period, shall be determined by arbitration administered by the [***] in accordance with its International Arbitration Rules. The number of arbitrators (each, an “Arbitrator”) shall be three (3). Each of the Arbitrators must have experience with disputes related to the pharmaceutical industry. Within [***] days after the filing of the Notice of Arbitration, each of Mereo and AstraZeneca shall simultaneously appoint one (1) Arbitrator. Within [***] days after the appointment of the two party-appointed Arbitrators, the two party-appointed Arbitrators shall appoint the third Arbitrator, who shall serve as the chair of the tribunal. Any Arbitrator not appointed within these time limits shall be appointed by the [***]. The place of arbitration shall be [***]. Judgment may be entered upon any award in [***] (to the jurisdiction of which the Parties irrevocably and unconditionally submit for themselves and their property, and waive any jurisdictional objection or challenge to such courts, including without limitation the defense of inconvenient forum), or any other court of competent jurisdiction. The parties undertake to keep confidential all awards in their arbitration, together with all materials in the proceedings created for the purpose of the arbitration and all other documents produced by another party in the proceedings not otherwise in the public domain, save and to the extent that disclosure may be required of a party by legal duty, to protect or pursue a legal right or to enforce or challenge an award in legal proceedings before a court or other judicial authority. The Arbitrators shall award to the prevailing party, if any, as determined by the Arbitrators, its reasonable attorneys’ fees and costs. Unless the Parties otherwise agree in writing, during the period of time that any arbitration proceeding described in this Section 16.6.2 is pending under this Agreement, the Parties shall continue to comply with all those terms and provisions of this Agreement that are not the subject of such pending arbitration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723265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22" w:name="page223"/>
    <w:bookmarkEnd w:id="222"/>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16.7</w:t>
      </w:r>
      <w:r>
        <w:rPr>
          <w:sz w:val="20"/>
          <w:szCs w:val="20"/>
          <w:color w:val="auto"/>
        </w:rPr>
        <w:tab/>
      </w:r>
      <w:r>
        <w:rPr>
          <w:rFonts w:ascii="Times New Roman" w:cs="Times New Roman" w:eastAsia="Times New Roman" w:hAnsi="Times New Roman"/>
          <w:sz w:val="21"/>
          <w:szCs w:val="21"/>
          <w:b w:val="1"/>
          <w:bCs w:val="1"/>
          <w:color w:val="auto"/>
        </w:rPr>
        <w:t>Governing Law, Jurisdiction and Service</w:t>
      </w:r>
    </w:p>
    <w:p>
      <w:pPr>
        <w:spacing w:after="0" w:line="193"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16.7.1</w:t>
      </w:r>
      <w:r>
        <w:rPr>
          <w:sz w:val="20"/>
          <w:szCs w:val="20"/>
          <w:color w:val="auto"/>
        </w:rPr>
        <w:tab/>
      </w:r>
      <w:r>
        <w:rPr>
          <w:rFonts w:ascii="Times New Roman" w:cs="Times New Roman" w:eastAsia="Times New Roman" w:hAnsi="Times New Roman"/>
          <w:sz w:val="21"/>
          <w:szCs w:val="21"/>
          <w:b w:val="1"/>
          <w:bCs w:val="1"/>
          <w:color w:val="auto"/>
        </w:rPr>
        <w:t>Governing Law</w:t>
      </w:r>
    </w:p>
    <w:p>
      <w:pPr>
        <w:spacing w:after="0" w:line="183" w:lineRule="exact"/>
        <w:rPr>
          <w:sz w:val="20"/>
          <w:szCs w:val="20"/>
          <w:color w:val="auto"/>
        </w:rPr>
      </w:pPr>
    </w:p>
    <w:p>
      <w:pPr>
        <w:jc w:val="both"/>
        <w:ind w:left="760" w:hanging="9"/>
        <w:spacing w:after="0" w:line="236"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 The Parties agree to exclude the application to this Agreement of the United Nations Convention on Contracts for the International Sale of Goods. The Federal Arbitration Act shall govern the interpretation, enforcement, and proceedings pursuant to the arbitration clause in this Agreement.</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16.7.2  </w:t>
      </w:r>
      <w:r>
        <w:rPr>
          <w:rFonts w:ascii="Times New Roman" w:cs="Times New Roman" w:eastAsia="Times New Roman" w:hAnsi="Times New Roman"/>
          <w:sz w:val="22"/>
          <w:szCs w:val="22"/>
          <w:b w:val="1"/>
          <w:bCs w:val="1"/>
          <w:color w:val="auto"/>
        </w:rPr>
        <w:t>Service</w:t>
      </w:r>
    </w:p>
    <w:p>
      <w:pPr>
        <w:spacing w:after="0" w:line="183" w:lineRule="exact"/>
        <w:rPr>
          <w:sz w:val="20"/>
          <w:szCs w:val="20"/>
          <w:color w:val="auto"/>
        </w:rPr>
      </w:pPr>
    </w:p>
    <w:p>
      <w:pPr>
        <w:jc w:val="both"/>
        <w:ind w:left="760" w:hanging="9"/>
        <w:spacing w:after="0" w:line="244" w:lineRule="auto"/>
        <w:rPr>
          <w:sz w:val="20"/>
          <w:szCs w:val="20"/>
          <w:color w:val="auto"/>
        </w:rPr>
      </w:pPr>
      <w:r>
        <w:rPr>
          <w:rFonts w:ascii="Times New Roman" w:cs="Times New Roman" w:eastAsia="Times New Roman" w:hAnsi="Times New Roman"/>
          <w:sz w:val="22"/>
          <w:szCs w:val="22"/>
          <w:color w:val="auto"/>
        </w:rPr>
        <w:t>Each Party further agrees that service of any process, summons, notice or document by registered mail to its address set forth in Section 16.8.2 shall be effective service of process for any action, suit or proceeding brought against it under this Agreement in any such court.</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16.8</w:t>
      </w:r>
      <w:r>
        <w:rPr>
          <w:sz w:val="20"/>
          <w:szCs w:val="20"/>
          <w:color w:val="auto"/>
        </w:rPr>
        <w:tab/>
      </w:r>
      <w:r>
        <w:rPr>
          <w:rFonts w:ascii="Times New Roman" w:cs="Times New Roman" w:eastAsia="Times New Roman" w:hAnsi="Times New Roman"/>
          <w:sz w:val="21"/>
          <w:szCs w:val="21"/>
          <w:b w:val="1"/>
          <w:bCs w:val="1"/>
          <w:color w:val="auto"/>
        </w:rPr>
        <w:t>Notices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16.8.1  </w:t>
      </w:r>
      <w:r>
        <w:rPr>
          <w:rFonts w:ascii="Times New Roman" w:cs="Times New Roman" w:eastAsia="Times New Roman" w:hAnsi="Times New Roman"/>
          <w:sz w:val="22"/>
          <w:szCs w:val="22"/>
          <w:b w:val="1"/>
          <w:bCs w:val="1"/>
          <w:color w:val="auto"/>
        </w:rPr>
        <w:t>Notice Requirements</w:t>
      </w:r>
    </w:p>
    <w:p>
      <w:pPr>
        <w:spacing w:after="0" w:line="183" w:lineRule="exact"/>
        <w:rPr>
          <w:sz w:val="20"/>
          <w:szCs w:val="20"/>
          <w:color w:val="auto"/>
        </w:rPr>
      </w:pPr>
    </w:p>
    <w:p>
      <w:pPr>
        <w:jc w:val="both"/>
        <w:ind w:left="760" w:hanging="9"/>
        <w:spacing w:after="0" w:line="234" w:lineRule="auto"/>
        <w:rPr>
          <w:sz w:val="20"/>
          <w:szCs w:val="20"/>
          <w:color w:val="auto"/>
        </w:rPr>
      </w:pPr>
      <w:r>
        <w:rPr>
          <w:rFonts w:ascii="Times New Roman" w:cs="Times New Roman" w:eastAsia="Times New Roman" w:hAnsi="Times New Roman"/>
          <w:sz w:val="22"/>
          <w:szCs w:val="22"/>
          <w:color w:val="auto"/>
        </w:rPr>
        <w:t>Any notice, request, demand, waiver, consent, approval or other communication permitted or required under this Agreement shall be in writing, shall refer specifically to this Agreement and shall be deemed given only if delivered by hand or sent by email transmission (with transmission confirmed) or by internationally recognized overnight delivery service that maintains records of delivery, addressed to the Parties at their respective addresses specified in Section 16.8.2 or to such other address as the Party to whom notice is to be given may have provided to the other Party in accordance with this Section 16.8.1. Such Notice shall be deemed to have been given as of the date delivered by hand or transmitted by email (with transmission confirmed) or on the second Business Day (at the place of delivery) after deposit with an internationally recognized overnight delivery service. Any notice delivered by email shall be confirmed by a hard copy delivered as soon as practicable thereafter. This Section</w:t>
      </w:r>
    </w:p>
    <w:p>
      <w:pPr>
        <w:spacing w:after="0" w:line="5" w:lineRule="exact"/>
        <w:rPr>
          <w:sz w:val="20"/>
          <w:szCs w:val="20"/>
          <w:color w:val="auto"/>
        </w:rPr>
      </w:pPr>
    </w:p>
    <w:p>
      <w:pPr>
        <w:jc w:val="both"/>
        <w:ind w:left="760"/>
        <w:spacing w:after="0" w:line="237" w:lineRule="auto"/>
        <w:rPr>
          <w:sz w:val="20"/>
          <w:szCs w:val="20"/>
          <w:color w:val="auto"/>
        </w:rPr>
      </w:pPr>
      <w:r>
        <w:rPr>
          <w:rFonts w:ascii="Times New Roman" w:cs="Times New Roman" w:eastAsia="Times New Roman" w:hAnsi="Times New Roman"/>
          <w:sz w:val="22"/>
          <w:szCs w:val="22"/>
          <w:color w:val="auto"/>
        </w:rPr>
        <w:t>16.8.1 is not intended to govern the day-to-day business communications necessary between the Parties in performing their obligations under the terms of this Agreement.</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16.8.2</w:t>
      </w:r>
      <w:r>
        <w:rPr>
          <w:rFonts w:ascii="Times New Roman" w:cs="Times New Roman" w:eastAsia="Times New Roman" w:hAnsi="Times New Roman"/>
          <w:sz w:val="22"/>
          <w:szCs w:val="22"/>
          <w:b w:val="1"/>
          <w:bCs w:val="1"/>
          <w:color w:val="auto"/>
        </w:rPr>
        <w:t>Address for Notice</w:t>
      </w:r>
    </w:p>
    <w:p>
      <w:pPr>
        <w:spacing w:after="0" w:line="1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If to Mereo, to:</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Mereo BioPharma 4 Limited 1 Cavendish Place</w:t>
      </w:r>
    </w:p>
    <w:p>
      <w:pPr>
        <w:ind w:left="1480"/>
        <w:spacing w:after="0"/>
        <w:rPr>
          <w:sz w:val="20"/>
          <w:szCs w:val="20"/>
          <w:color w:val="auto"/>
        </w:rPr>
      </w:pPr>
      <w:r>
        <w:rPr>
          <w:rFonts w:ascii="Times New Roman" w:cs="Times New Roman" w:eastAsia="Times New Roman" w:hAnsi="Times New Roman"/>
          <w:sz w:val="22"/>
          <w:szCs w:val="22"/>
          <w:color w:val="auto"/>
        </w:rPr>
        <w:t>London W1G 0QF United Kingdom</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Email: [***]</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Mereo BioPharma Group plc 1 Cavendish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735330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04" w:right="499" w:bottom="1440" w:gutter="0" w:footer="0" w:header="0"/>
        </w:sectPr>
      </w:pPr>
    </w:p>
    <w:bookmarkStart w:id="223" w:name="page224"/>
    <w:bookmarkEnd w:id="223"/>
    <w:p>
      <w:pPr>
        <w:ind w:left="1480"/>
        <w:spacing w:after="0"/>
        <w:rPr>
          <w:sz w:val="20"/>
          <w:szCs w:val="20"/>
          <w:color w:val="auto"/>
        </w:rPr>
      </w:pPr>
      <w:r>
        <w:rPr>
          <w:rFonts w:ascii="Times New Roman" w:cs="Times New Roman" w:eastAsia="Times New Roman" w:hAnsi="Times New Roman"/>
          <w:sz w:val="22"/>
          <w:szCs w:val="22"/>
          <w:color w:val="auto"/>
        </w:rPr>
        <w:t>London W1G 0QF United Kingdom</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Email: [***]</w:t>
      </w:r>
    </w:p>
    <w:p>
      <w:pPr>
        <w:spacing w:after="0" w:line="1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Latham &amp; Watkins LLP 99 Bishopsgate</w:t>
      </w:r>
    </w:p>
    <w:p>
      <w:pPr>
        <w:spacing w:after="0" w:line="1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London, EC2M 3XP United Kingdom</w:t>
      </w:r>
    </w:p>
    <w:p>
      <w:pPr>
        <w:spacing w:after="0" w:line="155" w:lineRule="exact"/>
        <w:rPr>
          <w:sz w:val="20"/>
          <w:szCs w:val="20"/>
          <w:color w:val="auto"/>
        </w:rPr>
      </w:pPr>
    </w:p>
    <w:p>
      <w:pPr>
        <w:ind w:left="1480"/>
        <w:spacing w:after="0"/>
        <w:tabs>
          <w:tab w:leader="none" w:pos="4100" w:val="left"/>
        </w:tabs>
        <w:rPr>
          <w:sz w:val="20"/>
          <w:szCs w:val="20"/>
          <w:color w:val="auto"/>
        </w:rPr>
      </w:pPr>
      <w:r>
        <w:rPr>
          <w:rFonts w:ascii="Times New Roman" w:cs="Times New Roman" w:eastAsia="Times New Roman" w:hAnsi="Times New Roman"/>
          <w:sz w:val="22"/>
          <w:szCs w:val="22"/>
          <w:color w:val="auto"/>
        </w:rPr>
        <w:t>Attention: [***]</w:t>
      </w:r>
      <w:r>
        <w:rPr>
          <w:sz w:val="20"/>
          <w:szCs w:val="20"/>
          <w:color w:val="auto"/>
        </w:rPr>
        <w:tab/>
      </w:r>
      <w:r>
        <w:rPr>
          <w:rFonts w:ascii="Times New Roman" w:cs="Times New Roman" w:eastAsia="Times New Roman" w:hAnsi="Times New Roman"/>
          <w:sz w:val="21"/>
          <w:szCs w:val="21"/>
          <w:color w:val="auto"/>
        </w:rPr>
        <w:t>Email: [***]</w:t>
      </w:r>
    </w:p>
    <w:p>
      <w:pPr>
        <w:spacing w:after="0" w:line="200" w:lineRule="exact"/>
        <w:rPr>
          <w:sz w:val="20"/>
          <w:szCs w:val="20"/>
          <w:color w:val="auto"/>
        </w:rPr>
      </w:pP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to AstraZeneca, to:</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AstraZeneca UK Limited 1 Francis Crick</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Avenue</w:t>
      </w:r>
    </w:p>
    <w:p>
      <w:pPr>
        <w:ind w:left="1480"/>
        <w:spacing w:after="0" w:line="230" w:lineRule="auto"/>
        <w:rPr>
          <w:sz w:val="20"/>
          <w:szCs w:val="20"/>
          <w:color w:val="auto"/>
        </w:rPr>
      </w:pPr>
      <w:r>
        <w:rPr>
          <w:rFonts w:ascii="Times New Roman" w:cs="Times New Roman" w:eastAsia="Times New Roman" w:hAnsi="Times New Roman"/>
          <w:sz w:val="22"/>
          <w:szCs w:val="22"/>
          <w:color w:val="auto"/>
        </w:rPr>
        <w:t>Cambridge Biomedical Campus Cambridge</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CB2 0AA</w:t>
      </w:r>
    </w:p>
    <w:p>
      <w:pPr>
        <w:spacing w:after="0" w:line="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United Kingdom</w:t>
      </w:r>
    </w:p>
    <w:p>
      <w:pPr>
        <w:spacing w:after="0" w:line="250" w:lineRule="exact"/>
        <w:rPr>
          <w:sz w:val="20"/>
          <w:szCs w:val="20"/>
          <w:color w:val="auto"/>
        </w:rPr>
      </w:pPr>
    </w:p>
    <w:p>
      <w:pPr>
        <w:ind w:left="1480"/>
        <w:spacing w:after="0"/>
        <w:tabs>
          <w:tab w:leader="none" w:pos="7080" w:val="left"/>
        </w:tabs>
        <w:rPr>
          <w:sz w:val="20"/>
          <w:szCs w:val="20"/>
          <w:color w:val="auto"/>
        </w:rPr>
      </w:pPr>
      <w:r>
        <w:rPr>
          <w:rFonts w:ascii="Times New Roman" w:cs="Times New Roman" w:eastAsia="Times New Roman" w:hAnsi="Times New Roman"/>
          <w:sz w:val="22"/>
          <w:szCs w:val="22"/>
          <w:color w:val="auto"/>
        </w:rPr>
        <w:t>Attention: [***]</w:t>
      </w:r>
      <w:r>
        <w:rPr>
          <w:sz w:val="20"/>
          <w:szCs w:val="20"/>
          <w:color w:val="auto"/>
        </w:rPr>
        <w:tab/>
      </w:r>
      <w:r>
        <w:rPr>
          <w:rFonts w:ascii="Times New Roman" w:cs="Times New Roman" w:eastAsia="Times New Roman" w:hAnsi="Times New Roman"/>
          <w:sz w:val="21"/>
          <w:szCs w:val="21"/>
          <w:color w:val="auto"/>
        </w:rPr>
        <w:t>Email: [***]</w:t>
      </w:r>
    </w:p>
    <w:p>
      <w:pPr>
        <w:spacing w:after="0" w:line="200" w:lineRule="exact"/>
        <w:rPr>
          <w:sz w:val="20"/>
          <w:szCs w:val="20"/>
          <w:color w:val="auto"/>
        </w:rPr>
      </w:pP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1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Attention: Deputy General Counsel Email: [***]</w:t>
      </w:r>
    </w:p>
    <w:p>
      <w:pPr>
        <w:spacing w:after="0" w:line="229"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16.9</w:t>
      </w:r>
      <w:r>
        <w:rPr>
          <w:sz w:val="20"/>
          <w:szCs w:val="20"/>
          <w:color w:val="auto"/>
        </w:rPr>
        <w:tab/>
      </w:r>
      <w:r>
        <w:rPr>
          <w:rFonts w:ascii="Times New Roman" w:cs="Times New Roman" w:eastAsia="Times New Roman" w:hAnsi="Times New Roman"/>
          <w:sz w:val="21"/>
          <w:szCs w:val="21"/>
          <w:b w:val="1"/>
          <w:bCs w:val="1"/>
          <w:color w:val="auto"/>
        </w:rPr>
        <w:t>Entire Agreement; Amendments</w:t>
      </w:r>
    </w:p>
    <w:p>
      <w:pPr>
        <w:spacing w:after="0" w:line="183" w:lineRule="exact"/>
        <w:rPr>
          <w:sz w:val="20"/>
          <w:szCs w:val="20"/>
          <w:color w:val="auto"/>
        </w:rPr>
      </w:pPr>
    </w:p>
    <w:p>
      <w:pPr>
        <w:jc w:val="both"/>
        <w:ind w:left="760" w:hanging="9"/>
        <w:spacing w:after="0" w:line="235" w:lineRule="auto"/>
        <w:rPr>
          <w:sz w:val="20"/>
          <w:szCs w:val="20"/>
          <w:color w:val="auto"/>
        </w:rPr>
      </w:pPr>
      <w:r>
        <w:rPr>
          <w:rFonts w:ascii="Times New Roman" w:cs="Times New Roman" w:eastAsia="Times New Roman" w:hAnsi="Times New Roman"/>
          <w:sz w:val="22"/>
          <w:szCs w:val="22"/>
          <w:color w:val="auto"/>
        </w:rPr>
        <w:t>This Agreement, together with the Schedules attached hereto, the Subscription Deed and the Parent Company Guarantee, sets forth and constitutes the entire agreement and understanding between the Parties with respect to the subject matter hereof and all prior agreements, understandings, promises and representations, whether written or oral, with respect thereto are superseded hereby. Each Party confirms that it is not relying on any representations or warranties of the other Party except as specifically set forth in this Agreement. No amendment, modification, release or discharge shall be binding on the Parties unless in writing and duly executed by authorized representatives of both Parties. In the event of any inconsistencies between this Agreement and any schedules or other attachments hereto, the terms of this Agreement shall control.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16.10 English Language</w:t>
      </w:r>
    </w:p>
    <w:p>
      <w:pPr>
        <w:spacing w:after="0" w:line="197" w:lineRule="exact"/>
        <w:rPr>
          <w:sz w:val="20"/>
          <w:szCs w:val="20"/>
          <w:color w:val="auto"/>
        </w:rPr>
      </w:pPr>
    </w:p>
    <w:p>
      <w:pPr>
        <w:jc w:val="both"/>
        <w:ind w:left="760" w:hanging="9"/>
        <w:spacing w:after="0" w:line="244" w:lineRule="auto"/>
        <w:rPr>
          <w:sz w:val="20"/>
          <w:szCs w:val="20"/>
          <w:color w:val="auto"/>
        </w:rPr>
      </w:pPr>
      <w:r>
        <w:rPr>
          <w:rFonts w:ascii="Times New Roman" w:cs="Times New Roman" w:eastAsia="Times New Roman" w:hAnsi="Times New Roman"/>
          <w:sz w:val="22"/>
          <w:szCs w:val="22"/>
          <w:color w:val="auto"/>
        </w:rPr>
        <w:t>This Agreement shall be written and executed in and all other communications under or in connection with this Agreement shall be in, the English language. Any translation into any other language shall not be an official version thereof and in the event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715010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354" w:right="499" w:bottom="1440" w:gutter="0" w:footer="0" w:header="0"/>
        </w:sectPr>
      </w:pPr>
    </w:p>
    <w:bookmarkStart w:id="224" w:name="page225"/>
    <w:bookmarkEnd w:id="224"/>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conflict in interpretation between the English version and such translation, the English version shall control.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16.11 Equitable Relief</w:t>
      </w:r>
    </w:p>
    <w:p>
      <w:pPr>
        <w:spacing w:after="0" w:line="183" w:lineRule="exact"/>
        <w:rPr>
          <w:sz w:val="20"/>
          <w:szCs w:val="20"/>
          <w:color w:val="auto"/>
        </w:rPr>
      </w:pPr>
    </w:p>
    <w:p>
      <w:pPr>
        <w:jc w:val="both"/>
        <w:ind w:left="760" w:hanging="9"/>
        <w:spacing w:after="0" w:line="233" w:lineRule="auto"/>
        <w:rPr>
          <w:sz w:val="20"/>
          <w:szCs w:val="20"/>
          <w:color w:val="auto"/>
        </w:rPr>
      </w:pPr>
      <w:r>
        <w:rPr>
          <w:rFonts w:ascii="Times New Roman" w:cs="Times New Roman" w:eastAsia="Times New Roman" w:hAnsi="Times New Roman"/>
          <w:sz w:val="22"/>
          <w:szCs w:val="22"/>
          <w:color w:val="auto"/>
        </w:rPr>
        <w:t>Each Party acknowledges and agrees that the restrictions set forth in Sections 10 and 11 are reasonable and necessary to protect the legitimate interests of the other Party and that such other Party would not have entered into this Agreement in the absence of such restrictions and that any breach or threatened breach of any provision of such Sections may result in irreparable injury to such other Party for which there will be no adequate remedy at law. In the event of a breach or threatened breach of any provision of such Sections, the non-breaching Party shall be authorized and entitled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(i) post a bond or other security as a condition for obtaining any such relief and (ii) show irreparable harm, balancing of harms, consideration of the public interest or inadequacy of monetary damages as a remedy. Nothing in this Section 16.11 is intended or should be construed, to limit either Party’s right to equitable relief or any other remedy for a breach of any other provision of this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16.12 Waiver and Non-Exclusion of Remedies</w:t>
      </w:r>
    </w:p>
    <w:p>
      <w:pPr>
        <w:spacing w:after="0" w:line="183" w:lineRule="exact"/>
        <w:rPr>
          <w:sz w:val="20"/>
          <w:szCs w:val="20"/>
          <w:color w:val="auto"/>
        </w:rPr>
      </w:pPr>
    </w:p>
    <w:p>
      <w:pPr>
        <w:jc w:val="both"/>
        <w:ind w:left="760" w:hanging="9"/>
        <w:spacing w:after="0" w:line="235" w:lineRule="auto"/>
        <w:rPr>
          <w:sz w:val="20"/>
          <w:szCs w:val="20"/>
          <w:color w:val="auto"/>
        </w:rPr>
      </w:pPr>
      <w:r>
        <w:rPr>
          <w:rFonts w:ascii="Times New Roman" w:cs="Times New Roman" w:eastAsia="Times New Roman" w:hAnsi="Times New Roman"/>
          <w:sz w:val="22"/>
          <w:szCs w:val="22"/>
          <w:color w:val="auto"/>
        </w:rPr>
        <w:t>Any term or condition of this Agreement may be waived at any 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16.13 No Benefit to Third Parties</w:t>
      </w:r>
    </w:p>
    <w:p>
      <w:pPr>
        <w:spacing w:after="0" w:line="183" w:lineRule="exact"/>
        <w:rPr>
          <w:sz w:val="20"/>
          <w:szCs w:val="20"/>
          <w:color w:val="auto"/>
        </w:rPr>
      </w:pPr>
    </w:p>
    <w:p>
      <w:pPr>
        <w:jc w:val="both"/>
        <w:ind w:left="760" w:hanging="9"/>
        <w:spacing w:after="0" w:line="258" w:lineRule="auto"/>
        <w:rPr>
          <w:sz w:val="20"/>
          <w:szCs w:val="20"/>
          <w:color w:val="auto"/>
        </w:rPr>
      </w:pPr>
      <w:r>
        <w:rPr>
          <w:rFonts w:ascii="Times New Roman" w:cs="Times New Roman" w:eastAsia="Times New Roman" w:hAnsi="Times New Roman"/>
          <w:sz w:val="22"/>
          <w:szCs w:val="22"/>
          <w:color w:val="auto"/>
        </w:rPr>
        <w:t>The covenants and agreements set forth in this Agreement are for the sole benefit of the Parties hereto and their successors and permitted assigns and they shall not be construed as conferring any rights on any other Persons.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16.14 Further Assurance</w:t>
      </w:r>
    </w:p>
    <w:p>
      <w:pPr>
        <w:spacing w:after="0" w:line="197" w:lineRule="exact"/>
        <w:rPr>
          <w:sz w:val="20"/>
          <w:szCs w:val="20"/>
          <w:color w:val="auto"/>
        </w:rPr>
      </w:pPr>
    </w:p>
    <w:p>
      <w:pPr>
        <w:jc w:val="both"/>
        <w:ind w:left="760" w:hanging="9"/>
        <w:spacing w:after="0" w:line="244" w:lineRule="auto"/>
        <w:rPr>
          <w:sz w:val="20"/>
          <w:szCs w:val="20"/>
          <w:color w:val="auto"/>
        </w:rPr>
      </w:pPr>
      <w:r>
        <w:rPr>
          <w:rFonts w:ascii="Times New Roman" w:cs="Times New Roman" w:eastAsia="Times New Roman" w:hAnsi="Times New Roman"/>
          <w:sz w:val="22"/>
          <w:szCs w:val="22"/>
          <w:color w:val="auto"/>
        </w:rPr>
        <w:t>Each Party shall duly execute and deliver or cause to be duly executed and delivered, such further instruments and do and cause to be done such further acts and things, including the filing of such assignments, agreements, documents and instruments, as</w:t>
      </w:r>
    </w:p>
    <w:p>
      <w:pPr>
        <w:spacing w:after="0" w:line="11"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16.15 Relationship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729615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25" w:name="page226"/>
    <w:bookmarkEnd w:id="225"/>
    <w:p>
      <w:pPr>
        <w:spacing w:after="0" w:line="117" w:lineRule="exact"/>
        <w:rPr>
          <w:sz w:val="20"/>
          <w:szCs w:val="20"/>
          <w:color w:val="auto"/>
        </w:rPr>
      </w:pPr>
    </w:p>
    <w:p>
      <w:pPr>
        <w:jc w:val="both"/>
        <w:ind w:left="760" w:right="20" w:hanging="9"/>
        <w:spacing w:after="0" w:line="235" w:lineRule="auto"/>
        <w:rPr>
          <w:sz w:val="20"/>
          <w:szCs w:val="20"/>
          <w:color w:val="auto"/>
        </w:rPr>
      </w:pPr>
      <w:r>
        <w:rPr>
          <w:rFonts w:ascii="Times New Roman" w:cs="Times New Roman" w:eastAsia="Times New Roman" w:hAnsi="Times New Roman"/>
          <w:sz w:val="22"/>
          <w:szCs w:val="22"/>
          <w:color w:val="auto"/>
        </w:rPr>
        <w:t>It is expressly agreed that AstraZeneca, on the one hand and Mereo, on the other hand, shall be independent contractors and that the relationship between the two Parties shall not constitute a partnership, joint venture or agency. Neither AstraZeneca, on the one hand, nor Mereo, on the other hand, shall have the authority to make any statements, representations or commitments of any kind or to take any action, that will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first Party.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16.16 References</w:t>
      </w:r>
    </w:p>
    <w:p>
      <w:pPr>
        <w:spacing w:after="0" w:line="197" w:lineRule="exact"/>
        <w:rPr>
          <w:sz w:val="20"/>
          <w:szCs w:val="20"/>
          <w:color w:val="auto"/>
        </w:rPr>
      </w:pPr>
    </w:p>
    <w:p>
      <w:pPr>
        <w:jc w:val="both"/>
        <w:ind w:left="760" w:right="20" w:hanging="9"/>
        <w:spacing w:after="0" w:line="236" w:lineRule="auto"/>
        <w:rPr>
          <w:sz w:val="20"/>
          <w:szCs w:val="20"/>
          <w:color w:val="auto"/>
        </w:rPr>
      </w:pPr>
      <w:r>
        <w:rPr>
          <w:rFonts w:ascii="Times New Roman" w:cs="Times New Roman" w:eastAsia="Times New Roman" w:hAnsi="Times New Roman"/>
          <w:sz w:val="22"/>
          <w:szCs w:val="22"/>
          <w:color w:val="auto"/>
        </w:rPr>
        <w:t>Unless otherwise specified, (1) references in this Agreement to any Section or Schedule shall mean references to such Section or Schedule of this Agreement, (ii) references in any Section to any clause are references to such clause of such Section and (iii)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16.17 Construction</w:t>
      </w:r>
    </w:p>
    <w:p>
      <w:pPr>
        <w:spacing w:after="0" w:line="197" w:lineRule="exact"/>
        <w:rPr>
          <w:sz w:val="20"/>
          <w:szCs w:val="20"/>
          <w:color w:val="auto"/>
        </w:rPr>
      </w:pPr>
    </w:p>
    <w:p>
      <w:pPr>
        <w:jc w:val="both"/>
        <w:ind w:left="760" w:hanging="9"/>
        <w:spacing w:after="0" w:line="247" w:lineRule="auto"/>
        <w:rPr>
          <w:sz w:val="20"/>
          <w:szCs w:val="20"/>
          <w:color w:val="auto"/>
        </w:rPr>
      </w:pPr>
      <w:r>
        <w:rPr>
          <w:rFonts w:ascii="Times New Roman" w:cs="Times New Roman" w:eastAsia="Times New Roman" w:hAnsi="Times New Roman"/>
          <w:sz w:val="21"/>
          <w:szCs w:val="21"/>
          <w:color w:val="auto"/>
        </w:rPr>
        <w:t xml:space="preserve">Except where the context otherwise requires, wherever used, the singular shall include the plural, the plural the 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w:t>
      </w:r>
      <w:r>
        <w:rPr>
          <w:rFonts w:ascii="Times New Roman" w:cs="Times New Roman" w:eastAsia="Times New Roman" w:hAnsi="Times New Roman"/>
          <w:sz w:val="19"/>
          <w:szCs w:val="19"/>
          <w:color w:val="202020"/>
        </w:rPr>
        <w:t>provision contained</w:t>
      </w:r>
      <w:r>
        <w:rPr>
          <w:rFonts w:ascii="Times New Roman" w:cs="Times New Roman" w:eastAsia="Times New Roman" w:hAnsi="Times New Roman"/>
          <w:sz w:val="21"/>
          <w:szCs w:val="21"/>
          <w:color w:val="auto"/>
        </w:rPr>
        <w:t xml:space="preserve"> in this Agreement. The term “including,” “include,” or “includes” as used herein shall mean including, without limiting the generality of any description preceding such term. The language of this Agreement shall be deemed to be the language mutually chosen by the Parties and no rule of strict construction shall be applied against either Party hereto.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16.18 Counterparts</w:t>
      </w:r>
    </w:p>
    <w:p>
      <w:pPr>
        <w:spacing w:after="0" w:line="183" w:lineRule="exact"/>
        <w:rPr>
          <w:sz w:val="20"/>
          <w:szCs w:val="20"/>
          <w:color w:val="auto"/>
        </w:rPr>
      </w:pPr>
    </w:p>
    <w:p>
      <w:pPr>
        <w:jc w:val="both"/>
        <w:ind w:left="760" w:right="20" w:hanging="9"/>
        <w:spacing w:after="0" w:line="239" w:lineRule="auto"/>
        <w:rPr>
          <w:sz w:val="20"/>
          <w:szCs w:val="20"/>
          <w:color w:val="auto"/>
        </w:rPr>
      </w:pPr>
      <w:r>
        <w:rPr>
          <w:rFonts w:ascii="Times New Roman" w:cs="Times New Roman" w:eastAsia="Times New Roman" w:hAnsi="Times New Roman"/>
          <w:sz w:val="22"/>
          <w:szCs w:val="22"/>
          <w:color w:val="auto"/>
        </w:rPr>
        <w:t>This Agreement may be executed in two (2) or more counterparts, each of which shall be deemed an original, but all of which together shall constitute one and the same instrument. This Agreement may be executed by PDF format via email or other electronically transmitted signatures and such signatures shall be deemed to bind each Party hereto as if they were original signatures.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737870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26" w:name="page227"/>
    <w:bookmarkEnd w:id="226"/>
    <w:p>
      <w:pPr>
        <w:ind w:left="360"/>
        <w:spacing w:after="0"/>
        <w:rPr>
          <w:sz w:val="20"/>
          <w:szCs w:val="20"/>
          <w:color w:val="auto"/>
        </w:rPr>
      </w:pPr>
      <w:r>
        <w:rPr>
          <w:rFonts w:ascii="Times New Roman" w:cs="Times New Roman" w:eastAsia="Times New Roman" w:hAnsi="Times New Roman"/>
          <w:sz w:val="21"/>
          <w:szCs w:val="21"/>
          <w:b w:val="1"/>
          <w:bCs w:val="1"/>
          <w:color w:val="202020"/>
        </w:rPr>
        <w:t>EXECUTION PAGE TO EXCLUSIVE LICENSE AND OPTION AGREEMENT</w:t>
      </w:r>
    </w:p>
    <w:p>
      <w:pPr>
        <w:spacing w:after="0" w:line="200" w:lineRule="exact"/>
        <w:rPr>
          <w:sz w:val="20"/>
          <w:szCs w:val="20"/>
          <w:color w:val="auto"/>
        </w:rPr>
      </w:pPr>
    </w:p>
    <w:p>
      <w:pPr>
        <w:spacing w:after="0" w:line="220" w:lineRule="exact"/>
        <w:rPr>
          <w:sz w:val="20"/>
          <w:szCs w:val="20"/>
          <w:color w:val="auto"/>
        </w:rPr>
      </w:pPr>
    </w:p>
    <w:p>
      <w:pPr>
        <w:ind w:firstLine="1"/>
        <w:spacing w:after="0" w:line="272" w:lineRule="auto"/>
        <w:rPr>
          <w:sz w:val="20"/>
          <w:szCs w:val="20"/>
          <w:color w:val="auto"/>
        </w:rPr>
      </w:pPr>
      <w:r>
        <w:rPr>
          <w:rFonts w:ascii="Times New Roman" w:cs="Times New Roman" w:eastAsia="Times New Roman" w:hAnsi="Times New Roman"/>
          <w:sz w:val="21"/>
          <w:szCs w:val="21"/>
          <w:b w:val="1"/>
          <w:bCs w:val="1"/>
          <w:color w:val="202020"/>
        </w:rPr>
        <w:t xml:space="preserve">IN WITNESS WHEREOF </w:t>
      </w:r>
      <w:r>
        <w:rPr>
          <w:rFonts w:ascii="Times New Roman" w:cs="Times New Roman" w:eastAsia="Times New Roman" w:hAnsi="Times New Roman"/>
          <w:sz w:val="21"/>
          <w:szCs w:val="21"/>
          <w:color w:val="202020"/>
        </w:rPr>
        <w:t>this Agreement is duly executed by the authorized representatives of the Parties as of the date first</w:t>
      </w:r>
      <w:r>
        <w:rPr>
          <w:rFonts w:ascii="Times New Roman" w:cs="Times New Roman" w:eastAsia="Times New Roman" w:hAnsi="Times New Roman"/>
          <w:sz w:val="21"/>
          <w:szCs w:val="21"/>
          <w:b w:val="1"/>
          <w:bCs w:val="1"/>
          <w:color w:val="202020"/>
        </w:rPr>
        <w:t xml:space="preserve"> </w:t>
      </w:r>
      <w:r>
        <w:rPr>
          <w:rFonts w:ascii="Times New Roman" w:cs="Times New Roman" w:eastAsia="Times New Roman" w:hAnsi="Times New Roman"/>
          <w:sz w:val="21"/>
          <w:szCs w:val="21"/>
          <w:color w:val="202020"/>
        </w:rPr>
        <w:t>written above.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b w:val="1"/>
          <w:bCs w:val="1"/>
          <w:color w:val="202020"/>
        </w:rPr>
        <w:t>ASTRAZENECA AB (publ)</w:t>
      </w:r>
    </w:p>
    <w:p>
      <w:pPr>
        <w:spacing w:after="0" w:line="2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202020"/>
        </w:rPr>
        <w:t>By:</w:t>
      </w: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202020"/>
        </w:rPr>
        <w:t>Name:</w:t>
      </w:r>
    </w:p>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202020"/>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202020"/>
        </w:rPr>
        <w:t>MEREO BIOPHARMA 4 LIMITED</w:t>
      </w:r>
    </w:p>
    <w:p>
      <w:pPr>
        <w:spacing w:after="0" w:line="3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202020"/>
        </w:rPr>
        <w:t>By:</w:t>
      </w: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202020"/>
        </w:rPr>
        <w:t>Name:</w:t>
      </w: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20202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1029335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540" w:top="1428" w:right="819" w:bottom="1440" w:gutter="0" w:footer="0" w:header="0"/>
        </w:sectPr>
      </w:pPr>
    </w:p>
    <w:bookmarkStart w:id="227" w:name="page228"/>
    <w:bookmarkEnd w:id="227"/>
    <w:p>
      <w:pPr>
        <w:ind w:left="3660"/>
        <w:spacing w:after="0"/>
        <w:rPr>
          <w:sz w:val="20"/>
          <w:szCs w:val="20"/>
          <w:color w:val="auto"/>
        </w:rPr>
      </w:pPr>
      <w:r>
        <w:rPr>
          <w:rFonts w:ascii="Times New Roman" w:cs="Times New Roman" w:eastAsia="Times New Roman" w:hAnsi="Times New Roman"/>
          <w:sz w:val="22"/>
          <w:szCs w:val="22"/>
          <w:b w:val="1"/>
          <w:bCs w:val="1"/>
          <w:color w:val="auto"/>
        </w:rPr>
        <w:t>SCHEDULE 1.3</w:t>
      </w:r>
    </w:p>
    <w:p>
      <w:pPr>
        <w:spacing w:after="0" w:line="32"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22"/>
          <w:szCs w:val="22"/>
          <w:b w:val="1"/>
          <w:bCs w:val="1"/>
          <w:color w:val="auto"/>
        </w:rPr>
        <w:t>ADDITIONAL STUDIES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02020"/>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737870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364" w:right="1440" w:bottom="1440" w:gutter="0" w:footer="0" w:header="0"/>
        </w:sectPr>
      </w:pPr>
    </w:p>
    <w:bookmarkStart w:id="228" w:name="page229"/>
    <w:bookmarkEnd w:id="228"/>
    <w:p>
      <w:pPr>
        <w:spacing w:after="0" w:line="200" w:lineRule="exact"/>
        <w:rPr>
          <w:sz w:val="20"/>
          <w:szCs w:val="20"/>
          <w:color w:val="auto"/>
        </w:rPr>
      </w:pPr>
    </w:p>
    <w:p>
      <w:pPr>
        <w:spacing w:after="0" w:line="210" w:lineRule="exact"/>
        <w:rPr>
          <w:sz w:val="20"/>
          <w:szCs w:val="20"/>
          <w:color w:val="auto"/>
        </w:rPr>
      </w:pPr>
    </w:p>
    <w:p>
      <w:pPr>
        <w:jc w:val="right"/>
        <w:ind w:right="4619"/>
        <w:spacing w:after="0"/>
        <w:rPr>
          <w:sz w:val="20"/>
          <w:szCs w:val="20"/>
          <w:color w:val="auto"/>
        </w:rPr>
      </w:pPr>
      <w:r>
        <w:rPr>
          <w:rFonts w:ascii="Times New Roman" w:cs="Times New Roman" w:eastAsia="Times New Roman" w:hAnsi="Times New Roman"/>
          <w:sz w:val="22"/>
          <w:szCs w:val="22"/>
          <w:b w:val="1"/>
          <w:bCs w:val="1"/>
          <w:color w:val="auto"/>
        </w:rPr>
        <w:t>SCHEDULE 1.25</w:t>
      </w:r>
    </w:p>
    <w:p>
      <w:pPr>
        <w:spacing w:after="0" w:line="32" w:lineRule="exact"/>
        <w:rPr>
          <w:sz w:val="20"/>
          <w:szCs w:val="20"/>
          <w:color w:val="auto"/>
        </w:rPr>
      </w:pPr>
    </w:p>
    <w:p>
      <w:pPr>
        <w:jc w:val="right"/>
        <w:ind w:right="4699"/>
        <w:spacing w:after="0"/>
        <w:rPr>
          <w:sz w:val="20"/>
          <w:szCs w:val="20"/>
          <w:color w:val="auto"/>
        </w:rPr>
      </w:pPr>
      <w:r>
        <w:rPr>
          <w:rFonts w:ascii="Times New Roman" w:cs="Times New Roman" w:eastAsia="Times New Roman" w:hAnsi="Times New Roman"/>
          <w:sz w:val="22"/>
          <w:szCs w:val="22"/>
          <w:b w:val="1"/>
          <w:bCs w:val="1"/>
          <w:color w:val="auto"/>
        </w:rPr>
        <w:t>COMPOUNDS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02020"/>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737870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sectPr>
      </w:pPr>
    </w:p>
    <w:bookmarkStart w:id="229" w:name="page230"/>
    <w:bookmarkEnd w:id="229"/>
    <w:p>
      <w:pPr>
        <w:spacing w:after="0" w:line="200" w:lineRule="exact"/>
        <w:rPr>
          <w:sz w:val="20"/>
          <w:szCs w:val="20"/>
          <w:color w:val="auto"/>
        </w:rPr>
      </w:pPr>
    </w:p>
    <w:p>
      <w:pPr>
        <w:spacing w:after="0" w:line="2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SCHEDULE 1.79</w:t>
      </w:r>
    </w:p>
    <w:p>
      <w:pPr>
        <w:spacing w:after="0" w:line="3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b w:val="1"/>
          <w:bCs w:val="1"/>
          <w:color w:val="auto"/>
        </w:rPr>
        <w:t>OPTION PATENTS</w:t>
      </w:r>
    </w:p>
    <w:p>
      <w:pPr>
        <w:spacing w:after="0"/>
        <w:rPr>
          <w:sz w:val="20"/>
          <w:szCs w:val="20"/>
          <w:color w:val="auto"/>
        </w:rPr>
      </w:pPr>
      <w:r>
        <w:rPr>
          <w:rFonts w:ascii="Times New Roman" w:cs="Times New Roman" w:eastAsia="Times New Roman" w:hAnsi="Times New Roman"/>
          <w:sz w:val="21"/>
          <w:szCs w:val="21"/>
          <w:color w:val="202020"/>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722630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sectPr>
      </w:pPr>
    </w:p>
    <w:bookmarkStart w:id="230" w:name="page231"/>
    <w:bookmarkEnd w:id="230"/>
    <w:p>
      <w:pPr>
        <w:ind w:left="3680"/>
        <w:spacing w:after="0"/>
        <w:rPr>
          <w:sz w:val="20"/>
          <w:szCs w:val="20"/>
          <w:color w:val="auto"/>
        </w:rPr>
      </w:pPr>
      <w:r>
        <w:rPr>
          <w:rFonts w:ascii="Times New Roman" w:cs="Times New Roman" w:eastAsia="Times New Roman" w:hAnsi="Times New Roman"/>
          <w:sz w:val="22"/>
          <w:szCs w:val="22"/>
          <w:b w:val="1"/>
          <w:bCs w:val="1"/>
          <w:color w:val="auto"/>
        </w:rPr>
        <w:t>SCHEDULE 1.129</w:t>
      </w:r>
    </w:p>
    <w:p>
      <w:pPr>
        <w:spacing w:after="0" w:line="30"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22"/>
          <w:szCs w:val="22"/>
          <w:b w:val="1"/>
          <w:bCs w:val="1"/>
          <w:color w:val="auto"/>
        </w:rPr>
        <w:t>TRANSFERRING ASSETS</w:t>
      </w:r>
    </w:p>
    <w:p>
      <w:pPr>
        <w:spacing w:after="0"/>
        <w:rPr>
          <w:sz w:val="20"/>
          <w:szCs w:val="20"/>
          <w:color w:val="auto"/>
        </w:rPr>
      </w:pPr>
      <w:r>
        <w:rPr>
          <w:rFonts w:ascii="Times New Roman" w:cs="Times New Roman" w:eastAsia="Times New Roman" w:hAnsi="Times New Roman"/>
          <w:sz w:val="21"/>
          <w:szCs w:val="21"/>
          <w:color w:val="202020"/>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473710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148" w:right="1440" w:bottom="1440" w:gutter="0" w:footer="0" w:header="0"/>
        </w:sectPr>
      </w:pPr>
    </w:p>
    <w:bookmarkStart w:id="231" w:name="page232"/>
    <w:bookmarkEnd w:id="231"/>
    <w:p>
      <w:pPr>
        <w:spacing w:after="0" w:line="8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2"/>
          <w:szCs w:val="22"/>
          <w:b w:val="1"/>
          <w:bCs w:val="1"/>
          <w:color w:val="auto"/>
        </w:rPr>
        <w:t>SCHEDULE 10.4</w:t>
      </w:r>
    </w:p>
    <w:p>
      <w:pPr>
        <w:spacing w:after="0" w:line="1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21"/>
          <w:szCs w:val="21"/>
          <w:b w:val="1"/>
          <w:bCs w:val="1"/>
          <w:color w:val="auto"/>
        </w:rPr>
        <w:t>AGREED PRESS RELEASE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02020"/>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473710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79"/>
          </w:cols>
          <w:pgMar w:left="480" w:top="1440" w:right="1440"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24"/>
          <w:szCs w:val="24"/>
          <w:color w:val="auto"/>
        </w:rPr>
        <w:t>Exhibit 23.1</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CONSENT OF INDEPENDENT REGISTERED PUBLIC ACCOUNTING FIRM</w:t>
      </w:r>
    </w:p>
    <w:p>
      <w:pPr>
        <w:spacing w:after="0" w:line="15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4"/>
          <w:szCs w:val="24"/>
          <w:color w:val="auto"/>
        </w:rPr>
        <w:t>We hereby consent to the incorporation by reference in the Registration Statements on Form S-8 (Nos. 333-284432, 333-276656, 333-231636, 333-236498, 333-252147, 333-262151 and 333-269388) and Form S-3 (Nos 333-283439 and 333-279433) of Mereo BioPharma Group plc of our report dated March 26, 2025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PricewaterhouseCoopers LLP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Reading, United Kingdom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1467485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3" w:name="page234"/>
    <w:bookmarkEnd w:id="233"/>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Denise Scots-Knight, certify that:</w:t>
      </w:r>
    </w:p>
    <w:p>
      <w:pPr>
        <w:spacing w:after="0" w:line="131" w:lineRule="exact"/>
        <w:rPr>
          <w:sz w:val="20"/>
          <w:szCs w:val="20"/>
          <w:color w:val="auto"/>
        </w:rPr>
      </w:pPr>
    </w:p>
    <w:p>
      <w:pPr>
        <w:ind w:left="480" w:hanging="459"/>
        <w:spacing w:after="0"/>
        <w:tabs>
          <w:tab w:leader="none" w:pos="4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Mereo BioPharma Group plc (the “Company”);</w:t>
      </w:r>
    </w:p>
    <w:p>
      <w:pPr>
        <w:spacing w:after="0" w:line="130" w:lineRule="exact"/>
        <w:rPr>
          <w:rFonts w:ascii="Times New Roman" w:cs="Times New Roman" w:eastAsia="Times New Roman" w:hAnsi="Times New Roman"/>
          <w:sz w:val="18"/>
          <w:szCs w:val="18"/>
          <w:color w:val="auto"/>
        </w:rPr>
      </w:pPr>
    </w:p>
    <w:p>
      <w:pPr>
        <w:jc w:val="both"/>
        <w:ind w:left="480" w:right="300" w:hanging="459"/>
        <w:spacing w:after="0" w:line="266" w:lineRule="auto"/>
        <w:tabs>
          <w:tab w:leader="none" w:pos="4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80" w:right="260" w:hanging="459"/>
        <w:spacing w:after="0" w:line="282" w:lineRule="auto"/>
        <w:tabs>
          <w:tab w:leader="none" w:pos="4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80" w:right="260" w:hanging="459"/>
        <w:spacing w:after="0" w:line="266" w:lineRule="auto"/>
        <w:tabs>
          <w:tab w:leader="none" w:pos="4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1040" w:right="180" w:hanging="560"/>
        <w:spacing w:after="0" w:line="266" w:lineRule="auto"/>
        <w:tabs>
          <w:tab w:leader="none" w:pos="10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40" w:right="320" w:hanging="560"/>
        <w:spacing w:after="0" w:line="266" w:lineRule="auto"/>
        <w:tabs>
          <w:tab w:leader="none" w:pos="10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40" w:right="480" w:hanging="560"/>
        <w:spacing w:after="0" w:line="312" w:lineRule="auto"/>
        <w:tabs>
          <w:tab w:leader="none" w:pos="104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jc w:val="both"/>
        <w:ind w:left="1040" w:right="20" w:hanging="560"/>
        <w:spacing w:after="0" w:line="266" w:lineRule="auto"/>
        <w:tabs>
          <w:tab w:leader="none" w:pos="10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80" w:right="220" w:hanging="459"/>
        <w:spacing w:after="0" w:line="312" w:lineRule="auto"/>
        <w:tabs>
          <w:tab w:leader="none" w:pos="48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45" w:lineRule="exact"/>
        <w:rPr>
          <w:rFonts w:ascii="Times New Roman" w:cs="Times New Roman" w:eastAsia="Times New Roman" w:hAnsi="Times New Roman"/>
          <w:sz w:val="17"/>
          <w:szCs w:val="17"/>
          <w:color w:val="auto"/>
        </w:rPr>
      </w:pPr>
    </w:p>
    <w:p>
      <w:pPr>
        <w:ind w:left="1040" w:right="720" w:hanging="560"/>
        <w:spacing w:after="0" w:line="282" w:lineRule="auto"/>
        <w:tabs>
          <w:tab w:leader="none" w:pos="10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40" w:right="380" w:hanging="560"/>
        <w:spacing w:after="0" w:line="282" w:lineRule="auto"/>
        <w:tabs>
          <w:tab w:leader="none" w:pos="10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2025</w:t>
      </w:r>
    </w:p>
    <w:p>
      <w:pPr>
        <w:spacing w:after="0" w:line="200" w:lineRule="exact"/>
        <w:rPr>
          <w:sz w:val="20"/>
          <w:szCs w:val="20"/>
          <w:color w:val="auto"/>
        </w:rPr>
      </w:pPr>
    </w:p>
    <w:p>
      <w:pPr>
        <w:spacing w:after="0" w:line="29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Denise Scots-Knight, Ph.D.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80" w:type="dxa"/>
            <w:vAlign w:val="bottom"/>
          </w:tcPr>
          <w:p>
            <w:pPr>
              <w:spacing w:after="0"/>
              <w:rPr>
                <w:sz w:val="17"/>
                <w:szCs w:val="17"/>
                <w:color w:val="auto"/>
              </w:rPr>
            </w:pPr>
          </w:p>
        </w:tc>
        <w:tc>
          <w:tcPr>
            <w:tcW w:w="6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Denise Scots-Knight, Ph.D.</w:t>
            </w:r>
          </w:p>
        </w:tc>
        <w:tc>
          <w:tcPr>
            <w:tcW w:w="2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 w:type="dxa"/>
            <w:vAlign w:val="bottom"/>
          </w:tcPr>
          <w:p>
            <w:pPr>
              <w:spacing w:after="0"/>
              <w:rPr>
                <w:sz w:val="20"/>
                <w:szCs w:val="20"/>
                <w:color w:val="auto"/>
              </w:rPr>
            </w:pPr>
          </w:p>
        </w:tc>
      </w:tr>
      <w:tr>
        <w:trPr>
          <w:trHeight w:val="1627"/>
        </w:trPr>
        <w:tc>
          <w:tcPr>
            <w:tcW w:w="67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Christine Fox, certify that:</w:t>
      </w:r>
    </w:p>
    <w:p>
      <w:pPr>
        <w:spacing w:after="0" w:line="131" w:lineRule="exact"/>
        <w:rPr>
          <w:sz w:val="20"/>
          <w:szCs w:val="20"/>
          <w:color w:val="auto"/>
        </w:rPr>
      </w:pPr>
    </w:p>
    <w:p>
      <w:pPr>
        <w:ind w:left="480" w:hanging="459"/>
        <w:spacing w:after="0"/>
        <w:tabs>
          <w:tab w:leader="none" w:pos="4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Mereo BioPharma Group plc (the “Company”);</w:t>
      </w:r>
    </w:p>
    <w:p>
      <w:pPr>
        <w:spacing w:after="0" w:line="130" w:lineRule="exact"/>
        <w:rPr>
          <w:rFonts w:ascii="Times New Roman" w:cs="Times New Roman" w:eastAsia="Times New Roman" w:hAnsi="Times New Roman"/>
          <w:sz w:val="18"/>
          <w:szCs w:val="18"/>
          <w:color w:val="auto"/>
        </w:rPr>
      </w:pPr>
    </w:p>
    <w:p>
      <w:pPr>
        <w:jc w:val="both"/>
        <w:ind w:left="480" w:right="300" w:hanging="459"/>
        <w:spacing w:after="0" w:line="266" w:lineRule="auto"/>
        <w:tabs>
          <w:tab w:leader="none" w:pos="4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80" w:right="260" w:hanging="459"/>
        <w:spacing w:after="0" w:line="282" w:lineRule="auto"/>
        <w:tabs>
          <w:tab w:leader="none" w:pos="4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80" w:right="260" w:hanging="459"/>
        <w:spacing w:after="0" w:line="266" w:lineRule="auto"/>
        <w:tabs>
          <w:tab w:leader="none" w:pos="4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1" w:lineRule="exact"/>
        <w:rPr>
          <w:rFonts w:ascii="Times New Roman" w:cs="Times New Roman" w:eastAsia="Times New Roman" w:hAnsi="Times New Roman"/>
          <w:sz w:val="18"/>
          <w:szCs w:val="18"/>
          <w:color w:val="auto"/>
        </w:rPr>
      </w:pPr>
    </w:p>
    <w:p>
      <w:pPr>
        <w:ind w:left="1040" w:right="180" w:hanging="560"/>
        <w:spacing w:after="0" w:line="266" w:lineRule="auto"/>
        <w:tabs>
          <w:tab w:leader="none" w:pos="10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40" w:right="320" w:hanging="560"/>
        <w:spacing w:after="0" w:line="266" w:lineRule="auto"/>
        <w:tabs>
          <w:tab w:leader="none" w:pos="10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40" w:right="480" w:hanging="560"/>
        <w:spacing w:after="0" w:line="312" w:lineRule="auto"/>
        <w:tabs>
          <w:tab w:leader="none" w:pos="104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jc w:val="both"/>
        <w:ind w:left="1040" w:right="20" w:hanging="560"/>
        <w:spacing w:after="0" w:line="266" w:lineRule="auto"/>
        <w:tabs>
          <w:tab w:leader="none" w:pos="10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1" w:lineRule="exact"/>
        <w:rPr>
          <w:rFonts w:ascii="Times New Roman" w:cs="Times New Roman" w:eastAsia="Times New Roman" w:hAnsi="Times New Roman"/>
          <w:sz w:val="18"/>
          <w:szCs w:val="18"/>
          <w:color w:val="auto"/>
        </w:rPr>
      </w:pPr>
    </w:p>
    <w:p>
      <w:pPr>
        <w:ind w:left="480" w:right="220" w:hanging="459"/>
        <w:spacing w:after="0" w:line="312" w:lineRule="auto"/>
        <w:tabs>
          <w:tab w:leader="none" w:pos="48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45" w:lineRule="exact"/>
        <w:rPr>
          <w:rFonts w:ascii="Times New Roman" w:cs="Times New Roman" w:eastAsia="Times New Roman" w:hAnsi="Times New Roman"/>
          <w:sz w:val="17"/>
          <w:szCs w:val="17"/>
          <w:color w:val="auto"/>
        </w:rPr>
      </w:pPr>
    </w:p>
    <w:p>
      <w:pPr>
        <w:ind w:left="1040" w:right="720" w:hanging="560"/>
        <w:spacing w:after="0" w:line="282" w:lineRule="auto"/>
        <w:tabs>
          <w:tab w:leader="none" w:pos="10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40" w:right="380" w:hanging="560"/>
        <w:spacing w:after="0" w:line="282" w:lineRule="auto"/>
        <w:tabs>
          <w:tab w:leader="none" w:pos="10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2025</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Christine Fox</w:t>
            </w:r>
          </w:p>
        </w:tc>
        <w:tc>
          <w:tcPr>
            <w:tcW w:w="20" w:type="dxa"/>
            <w:vAlign w:val="bottom"/>
          </w:tcPr>
          <w:p>
            <w:pPr>
              <w:spacing w:after="0"/>
              <w:rPr>
                <w:sz w:val="20"/>
                <w:szCs w:val="20"/>
                <w:color w:val="auto"/>
              </w:rPr>
            </w:pPr>
          </w:p>
        </w:tc>
      </w:tr>
      <w:tr>
        <w:trPr>
          <w:trHeight w:val="205"/>
        </w:trPr>
        <w:tc>
          <w:tcPr>
            <w:tcW w:w="6100" w:type="dxa"/>
            <w:vAlign w:val="bottom"/>
          </w:tcPr>
          <w:p>
            <w:pPr>
              <w:spacing w:after="0"/>
              <w:rPr>
                <w:sz w:val="17"/>
                <w:szCs w:val="17"/>
                <w:color w:val="auto"/>
              </w:rPr>
            </w:pPr>
          </w:p>
        </w:tc>
        <w:tc>
          <w:tcPr>
            <w:tcW w:w="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440" w:type="dxa"/>
            <w:vAlign w:val="bottom"/>
          </w:tcPr>
          <w:p>
            <w:pPr>
              <w:ind w:left="600"/>
              <w:spacing w:after="0" w:line="205" w:lineRule="exact"/>
              <w:rPr>
                <w:sz w:val="20"/>
                <w:szCs w:val="20"/>
                <w:color w:val="auto"/>
              </w:rPr>
            </w:pPr>
            <w:r>
              <w:rPr>
                <w:rFonts w:ascii="Times New Roman" w:cs="Times New Roman" w:eastAsia="Times New Roman" w:hAnsi="Times New Roman"/>
                <w:sz w:val="18"/>
                <w:szCs w:val="18"/>
                <w:color w:val="auto"/>
              </w:rPr>
              <w:t>Christine Fox</w:t>
            </w:r>
          </w:p>
        </w:tc>
        <w:tc>
          <w:tcPr>
            <w:tcW w:w="20" w:type="dxa"/>
            <w:vAlign w:val="bottom"/>
          </w:tcPr>
          <w:p>
            <w:pPr>
              <w:spacing w:after="0"/>
              <w:rPr>
                <w:sz w:val="17"/>
                <w:szCs w:val="17"/>
                <w:color w:val="auto"/>
              </w:rPr>
            </w:pPr>
          </w:p>
        </w:tc>
      </w:tr>
      <w:tr>
        <w:trPr>
          <w:trHeight w:val="234"/>
        </w:trPr>
        <w:tc>
          <w:tcPr>
            <w:tcW w:w="6780" w:type="dxa"/>
            <w:vAlign w:val="bottom"/>
            <w:gridSpan w:val="2"/>
          </w:tcPr>
          <w:p>
            <w:pPr>
              <w:ind w:left="610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20"/>
                <w:szCs w:val="20"/>
                <w:color w:val="auto"/>
              </w:rPr>
            </w:pPr>
          </w:p>
        </w:tc>
      </w:tr>
      <w:tr>
        <w:trPr>
          <w:trHeight w:val="2302"/>
        </w:trPr>
        <w:tc>
          <w:tcPr>
            <w:tcW w:w="6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Mereo BioPharma Group plc (the “Company”) on Form 10-K for the year ended December 31, 2024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2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26,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Denise Scots-Knight, Ph.D.</w:t>
            </w:r>
          </w:p>
        </w:tc>
        <w:tc>
          <w:tcPr>
            <w:tcW w:w="6760" w:type="dxa"/>
            <w:vAlign w:val="bottom"/>
          </w:tcPr>
          <w:p>
            <w:pPr>
              <w:spacing w:after="0"/>
              <w:rPr>
                <w:sz w:val="20"/>
                <w:szCs w:val="20"/>
                <w:color w:val="auto"/>
              </w:rPr>
            </w:pPr>
          </w:p>
        </w:tc>
      </w:tr>
      <w:tr>
        <w:trPr>
          <w:trHeight w:val="205"/>
        </w:trPr>
        <w:tc>
          <w:tcPr>
            <w:tcW w:w="10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Denise Scots-Knight, Ph.D.</w:t>
            </w:r>
          </w:p>
        </w:tc>
        <w:tc>
          <w:tcPr>
            <w:tcW w:w="6760" w:type="dxa"/>
            <w:vAlign w:val="bottom"/>
          </w:tcPr>
          <w:p>
            <w:pPr>
              <w:spacing w:after="0"/>
              <w:rPr>
                <w:sz w:val="17"/>
                <w:szCs w:val="17"/>
                <w:color w:val="auto"/>
              </w:rPr>
            </w:pPr>
          </w:p>
        </w:tc>
      </w:tr>
      <w:tr>
        <w:trPr>
          <w:trHeight w:val="23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760" w:type="dxa"/>
            <w:vAlign w:val="bottom"/>
          </w:tcPr>
          <w:p>
            <w:pPr>
              <w:spacing w:after="0"/>
              <w:rPr>
                <w:sz w:val="20"/>
                <w:szCs w:val="20"/>
                <w:color w:val="auto"/>
              </w:rPr>
            </w:pPr>
          </w:p>
        </w:tc>
      </w:tr>
      <w:tr>
        <w:trPr>
          <w:trHeight w:val="1843"/>
        </w:trPr>
        <w:tc>
          <w:tcPr>
            <w:tcW w:w="10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Mereo BioPharma Group plc (the “Company”) on Form 10-K for the year ended December 31, 2024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32" w:lineRule="auto"/>
        <w:tabs>
          <w:tab w:leader="none" w:pos="2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26,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Fox</w:t>
            </w:r>
          </w:p>
        </w:tc>
        <w:tc>
          <w:tcPr>
            <w:tcW w:w="6760" w:type="dxa"/>
            <w:vAlign w:val="bottom"/>
          </w:tcPr>
          <w:p>
            <w:pPr>
              <w:spacing w:after="0"/>
              <w:rPr>
                <w:sz w:val="20"/>
                <w:szCs w:val="20"/>
                <w:color w:val="auto"/>
              </w:rPr>
            </w:pPr>
          </w:p>
        </w:tc>
      </w:tr>
      <w:tr>
        <w:trPr>
          <w:trHeight w:val="205"/>
        </w:trPr>
        <w:tc>
          <w:tcPr>
            <w:tcW w:w="9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Christine Fox</w:t>
            </w:r>
          </w:p>
        </w:tc>
        <w:tc>
          <w:tcPr>
            <w:tcW w:w="6760" w:type="dxa"/>
            <w:vAlign w:val="bottom"/>
          </w:tcPr>
          <w:p>
            <w:pPr>
              <w:spacing w:after="0"/>
              <w:rPr>
                <w:sz w:val="17"/>
                <w:szCs w:val="17"/>
                <w:color w:val="auto"/>
              </w:rPr>
            </w:pPr>
          </w:p>
        </w:tc>
      </w:tr>
      <w:tr>
        <w:trPr>
          <w:trHeight w:val="23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6760" w:type="dxa"/>
            <w:vAlign w:val="bottom"/>
          </w:tcPr>
          <w:p>
            <w:pPr>
              <w:spacing w:after="0"/>
              <w:rPr>
                <w:sz w:val="20"/>
                <w:szCs w:val="20"/>
                <w:color w:val="auto"/>
              </w:rPr>
            </w:pPr>
          </w:p>
        </w:tc>
      </w:tr>
      <w:tr>
        <w:trPr>
          <w:trHeight w:val="1843"/>
        </w:trPr>
        <w:tc>
          <w:tcPr>
            <w:tcW w:w="9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7" w:name="page238"/>
    <w:bookmarkEnd w:id="2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1)"/>
      <w:numFmt w:val="lowerLetter"/>
      <w:start w:val="2"/>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1)"/>
      <w:numFmt w:val="lowerRoman"/>
      <w:start w:val="1"/>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1)"/>
      <w:numFmt w:val="lowerRoman"/>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1"/>
      <w:numFmt w:val="decimal"/>
      <w:start w:val="101"/>
    </w:lvl>
  </w:abstractNum>
  <w:abstractNum w:abstractNumId="59">
    <w:nsid w:val="97E1B4E"/>
    <w:multiLevelType w:val="hybridMultilevel"/>
    <w:lvl w:ilvl="0">
      <w:lvlJc w:val="left"/>
      <w:lvlText w:val="*"/>
      <w:numFmt w:val="bullet"/>
      <w:start w:val="1"/>
    </w:lvl>
    <w:lvl w:ilvl="1">
      <w:lvlJc w:val="left"/>
      <w:lvlText w:val="%2"/>
      <w:numFmt w:val="decimal"/>
      <w:start w:val="104"/>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1)"/>
      <w:numFmt w:val="lowerLetter"/>
      <w:start w:val="1"/>
    </w:lvl>
  </w:abstractNum>
  <w:abstractNum w:abstractNumId="62">
    <w:nsid w:val="53584BCB"/>
    <w:multiLevelType w:val="hybridMultilevel"/>
    <w:lvl w:ilvl="0">
      <w:lvlJc w:val="left"/>
      <w:lvlText w:val="-"/>
      <w:numFmt w:val="bullet"/>
      <w:start w:val="1"/>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
      <w:numFmt w:val="bullet"/>
      <w:start w:val="1"/>
    </w:lvl>
  </w:abstractNum>
  <w:abstractNum w:abstractNumId="65">
    <w:nsid w:val="23D86AAC"/>
    <w:multiLevelType w:val="hybridMultilevel"/>
    <w:lvl w:ilvl="0">
      <w:lvlJc w:val="left"/>
      <w:lvlText w:val="•"/>
      <w:numFmt w:val="bullet"/>
      <w:start w:val="1"/>
    </w:lvl>
  </w:abstractNum>
  <w:abstractNum w:abstractNumId="66">
    <w:nsid w:val="45E6D486"/>
    <w:multiLevelType w:val="hybridMultilevel"/>
    <w:lvl w:ilvl="0">
      <w:lvlJc w:val="left"/>
      <w:lvlText w:val="•"/>
      <w:numFmt w:val="bullet"/>
      <w:start w:val="1"/>
    </w:lvl>
  </w:abstractNum>
  <w:abstractNum w:abstractNumId="67">
    <w:nsid w:val="5C10FE21"/>
    <w:multiLevelType w:val="hybridMultilevel"/>
    <w:lvl w:ilvl="0">
      <w:lvlJc w:val="left"/>
      <w:lvlText w:val="(%1)"/>
      <w:numFmt w:val="lowerRoman"/>
      <w:start w:val="2"/>
    </w:lvl>
  </w:abstractNum>
  <w:abstractNum w:abstractNumId="68">
    <w:nsid w:val="E7FFA2B"/>
    <w:multiLevelType w:val="hybridMultilevel"/>
    <w:lvl w:ilvl="0">
      <w:lvlJc w:val="left"/>
      <w:lvlText w:val="(%1)"/>
      <w:numFmt w:val="lowerRoman"/>
      <w:start w:val="2"/>
    </w:lvl>
  </w:abstractNum>
  <w:abstractNum w:abstractNumId="69">
    <w:nsid w:val="3C5991AA"/>
    <w:multiLevelType w:val="hybridMultilevel"/>
    <w:lvl w:ilvl="0">
      <w:lvlJc w:val="left"/>
      <w:lvlText w:val="(%1)"/>
      <w:numFmt w:val="decimal"/>
      <w:start w:val="1"/>
    </w:lvl>
  </w:abstractNum>
  <w:abstractNum w:abstractNumId="70">
    <w:nsid w:val="4BD8591A"/>
    <w:multiLevelType w:val="hybridMultilevel"/>
    <w:lvl w:ilvl="0">
      <w:lvlJc w:val="left"/>
      <w:lvlText w:val="(%1)"/>
      <w:numFmt w:val="upperLetter"/>
      <w:start w:val="1"/>
    </w:lvl>
  </w:abstractNum>
  <w:abstractNum w:abstractNumId="71">
    <w:nsid w:val="78DF6A55"/>
    <w:multiLevelType w:val="hybridMultilevel"/>
    <w:lvl w:ilvl="0">
      <w:lvlJc w:val="left"/>
      <w:lvlText w:val="%1."/>
      <w:numFmt w:val="decimal"/>
      <w:start w:val="1"/>
    </w:lvl>
  </w:abstractNum>
  <w:abstractNum w:abstractNumId="72">
    <w:nsid w:val="39B7AAA2"/>
    <w:multiLevelType w:val="hybridMultilevel"/>
    <w:lvl w:ilvl="0">
      <w:lvlJc w:val="left"/>
      <w:lvlText w:val="%1."/>
      <w:numFmt w:val="decimal"/>
      <w:start w:val="2"/>
    </w:lvl>
  </w:abstractNum>
  <w:abstractNum w:abstractNumId="73">
    <w:nsid w:val="2B0D8DBE"/>
    <w:multiLevelType w:val="hybridMultilevel"/>
    <w:lvl w:ilvl="0">
      <w:lvlJc w:val="left"/>
      <w:lvlText w:val="%1."/>
      <w:numFmt w:val="decimal"/>
      <w:start w:val="3"/>
    </w:lvl>
  </w:abstractNum>
  <w:abstractNum w:abstractNumId="74">
    <w:nsid w:val="6C80EC70"/>
    <w:multiLevelType w:val="hybridMultilevel"/>
    <w:lvl w:ilvl="0">
      <w:lvlJc w:val="left"/>
      <w:lvlText w:val="(%1)"/>
      <w:numFmt w:val="decimal"/>
      <w:start w:val="1"/>
    </w:lvl>
    <w:lvl w:ilvl="1">
      <w:lvlJc w:val="left"/>
      <w:lvlText w:val="(%2)"/>
      <w:numFmt w:val="decimal"/>
      <w:start w:val="2"/>
    </w:lvl>
  </w:abstractNum>
  <w:abstractNum w:abstractNumId="75">
    <w:nsid w:val="379E21B5"/>
    <w:multiLevelType w:val="hybridMultilevel"/>
    <w:lvl w:ilvl="0">
      <w:lvlJc w:val="left"/>
      <w:lvlText w:val="%1."/>
      <w:numFmt w:val="upperLetter"/>
      <w:start w:val="1"/>
    </w:lvl>
    <w:lvl w:ilvl="1">
      <w:lvlJc w:val="left"/>
      <w:lvlText w:val="%2."/>
      <w:numFmt w:val="upperLetter"/>
      <w:start w:val="3"/>
    </w:lvl>
  </w:abstractNum>
  <w:abstractNum w:abstractNumId="76">
    <w:nsid w:val="69E373"/>
    <w:multiLevelType w:val="hybridMultilevel"/>
    <w:lvl w:ilvl="0">
      <w:lvlJc w:val="left"/>
      <w:lvlText w:val="1"/>
      <w:numFmt w:val="bullet"/>
      <w:start w:val="1"/>
    </w:lvl>
  </w:abstractNum>
  <w:abstractNum w:abstractNumId="77">
    <w:nsid w:val="2C27173B"/>
    <w:multiLevelType w:val="hybridMultilevel"/>
    <w:lvl w:ilvl="0">
      <w:lvlJc w:val="left"/>
      <w:lvlText w:val="(%1)"/>
      <w:numFmt w:val="lowerLetter"/>
      <w:start w:val="1"/>
    </w:lvl>
  </w:abstractNum>
  <w:abstractNum w:abstractNumId="78">
    <w:nsid w:val="4C9B0904"/>
    <w:multiLevelType w:val="hybridMultilevel"/>
    <w:lvl w:ilvl="0">
      <w:lvlJc w:val="left"/>
      <w:lvlText w:val="(%1)"/>
      <w:numFmt w:val="lowerLetter"/>
      <w:start w:val="1"/>
    </w:lvl>
  </w:abstractNum>
  <w:abstractNum w:abstractNumId="79">
    <w:nsid w:val="6AA7B75C"/>
    <w:multiLevelType w:val="hybridMultilevel"/>
    <w:lvl w:ilvl="0">
      <w:lvlJc w:val="left"/>
      <w:lvlText w:val="(%1)"/>
      <w:numFmt w:val="lowerLetter"/>
      <w:start w:val="2"/>
    </w:lvl>
  </w:abstractNum>
  <w:abstractNum w:abstractNumId="80">
    <w:nsid w:val="1DF029D3"/>
    <w:multiLevelType w:val="hybridMultilevel"/>
    <w:lvl w:ilvl="0">
      <w:lvlJc w:val="left"/>
      <w:lvlText w:val="(%1)"/>
      <w:numFmt w:val="lowerLetter"/>
      <w:start w:val="1"/>
    </w:lvl>
  </w:abstractNum>
  <w:abstractNum w:abstractNumId="81">
    <w:nsid w:val="5675FF36"/>
    <w:multiLevelType w:val="hybridMultilevel"/>
    <w:lvl w:ilvl="0">
      <w:lvlJc w:val="left"/>
      <w:lvlText w:val="(%1)"/>
      <w:numFmt w:val="lowerLetter"/>
      <w:start w:val="2"/>
    </w:lvl>
  </w:abstractNum>
  <w:abstractNum w:abstractNumId="82">
    <w:nsid w:val="3DD15094"/>
    <w:multiLevelType w:val="hybridMultilevel"/>
    <w:lvl w:ilvl="0">
      <w:lvlJc w:val="left"/>
      <w:lvlText w:val="(%1)"/>
      <w:numFmt w:val="lowerLetter"/>
      <w:start w:val="2"/>
    </w:lvl>
  </w:abstractNum>
  <w:abstractNum w:abstractNumId="83">
    <w:nsid w:val="3DB012B3"/>
    <w:multiLevelType w:val="hybridMultilevel"/>
    <w:lvl w:ilvl="0">
      <w:lvlJc w:val="left"/>
      <w:lvlText w:val="2"/>
      <w:numFmt w:val="bullet"/>
      <w:start w:val="1"/>
    </w:lvl>
  </w:abstractNum>
  <w:abstractNum w:abstractNumId="84">
    <w:nsid w:val="2708C9AF"/>
    <w:multiLevelType w:val="hybridMultilevel"/>
    <w:lvl w:ilvl="0">
      <w:lvlJc w:val="left"/>
      <w:lvlText w:val="3"/>
      <w:numFmt w:val="bullet"/>
      <w:start w:val="1"/>
    </w:lvl>
  </w:abstractNum>
  <w:abstractNum w:abstractNumId="85">
    <w:nsid w:val="5B25ACE2"/>
    <w:multiLevelType w:val="hybridMultilevel"/>
    <w:lvl w:ilvl="0">
      <w:lvlJc w:val="left"/>
      <w:lvlText w:val="(%1)"/>
      <w:numFmt w:val="lowerLetter"/>
      <w:start w:val="1"/>
    </w:lvl>
  </w:abstractNum>
  <w:abstractNum w:abstractNumId="86">
    <w:nsid w:val="175DFCF0"/>
    <w:multiLevelType w:val="hybridMultilevel"/>
    <w:lvl w:ilvl="0">
      <w:lvlJc w:val="left"/>
      <w:lvlText w:val="4"/>
      <w:numFmt w:val="bullet"/>
      <w:start w:val="1"/>
    </w:lvl>
  </w:abstractNum>
  <w:abstractNum w:abstractNumId="87">
    <w:nsid w:val="4F97E3E4"/>
    <w:multiLevelType w:val="hybridMultilevel"/>
    <w:lvl w:ilvl="0">
      <w:lvlJc w:val="left"/>
      <w:lvlText w:val="5"/>
      <w:numFmt w:val="bullet"/>
      <w:start w:val="1"/>
    </w:lvl>
  </w:abstractNum>
  <w:abstractNum w:abstractNumId="88">
    <w:nsid w:val="53B0A9E"/>
    <w:multiLevelType w:val="hybridMultilevel"/>
    <w:lvl w:ilvl="0">
      <w:lvlJc w:val="left"/>
      <w:lvlText w:val="%1"/>
      <w:numFmt w:val="lowerLetter"/>
      <w:start w:val="1"/>
    </w:lvl>
    <w:lvl w:ilvl="1">
      <w:lvlJc w:val="left"/>
      <w:lvlText w:val="(%2)"/>
      <w:numFmt w:val="lowerLetter"/>
      <w:start w:val="1"/>
    </w:lvl>
  </w:abstractNum>
  <w:abstractNum w:abstractNumId="89">
    <w:nsid w:val="34FD6B4F"/>
    <w:multiLevelType w:val="hybridMultilevel"/>
    <w:lvl w:ilvl="0">
      <w:lvlJc w:val="left"/>
      <w:lvlText w:val="(%1)"/>
      <w:numFmt w:val="lowerLetter"/>
      <w:start w:val="3"/>
    </w:lvl>
    <w:lvl w:ilvl="1">
      <w:lvlJc w:val="left"/>
      <w:lvlText w:val="(%2)"/>
      <w:numFmt w:val="lowerLetter"/>
      <w:start w:val="4"/>
    </w:lvl>
  </w:abstractNum>
  <w:abstractNum w:abstractNumId="90">
    <w:nsid w:val="5915FF32"/>
    <w:multiLevelType w:val="hybridMultilevel"/>
    <w:lvl w:ilvl="0">
      <w:lvlJc w:val="left"/>
      <w:lvlText w:val="(%1)"/>
      <w:numFmt w:val="lowerLetter"/>
      <w:start w:val="5"/>
    </w:lvl>
  </w:abstractNum>
  <w:abstractNum w:abstractNumId="91">
    <w:nsid w:val="56438D15"/>
    <w:multiLevelType w:val="hybridMultilevel"/>
    <w:lvl w:ilvl="0">
      <w:lvlJc w:val="left"/>
      <w:lvlText w:val="(%1)"/>
      <w:numFmt w:val="lowerLetter"/>
      <w:start w:val="1"/>
    </w:lvl>
  </w:abstractNum>
  <w:abstractNum w:abstractNumId="92">
    <w:nsid w:val="519E3149"/>
    <w:multiLevelType w:val="hybridMultilevel"/>
    <w:lvl w:ilvl="0">
      <w:lvlJc w:val="left"/>
      <w:lvlText w:val="(%1)"/>
      <w:numFmt w:val="lowerLetter"/>
      <w:start w:val="1"/>
    </w:lvl>
    <w:lvl w:ilvl="1">
      <w:lvlJc w:val="left"/>
      <w:lvlText w:val="(%2)"/>
      <w:numFmt w:val="lowerLetter"/>
      <w:start w:val="2"/>
    </w:lvl>
  </w:abstractNum>
  <w:abstractNum w:abstractNumId="93">
    <w:nsid w:val="2C6E4AFD"/>
    <w:multiLevelType w:val="hybridMultilevel"/>
    <w:lvl w:ilvl="0">
      <w:lvlJc w:val="left"/>
      <w:lvlText w:val="%1"/>
      <w:numFmt w:val="lowerLetter"/>
      <w:start w:val="1"/>
    </w:lvl>
    <w:lvl w:ilvl="1">
      <w:lvlJc w:val="left"/>
      <w:lvlText w:val="(%2)"/>
      <w:numFmt w:val="lowerLetter"/>
      <w:start w:val="4"/>
    </w:lvl>
  </w:abstractNum>
  <w:abstractNum w:abstractNumId="94">
    <w:nsid w:val="17A1B582"/>
    <w:multiLevelType w:val="hybridMultilevel"/>
    <w:lvl w:ilvl="0">
      <w:lvlJc w:val="left"/>
      <w:lvlText w:val="(%1)"/>
      <w:numFmt w:val="lowerLetter"/>
      <w:start w:val="6"/>
    </w:lvl>
    <w:lvl w:ilvl="1">
      <w:lvlJc w:val="left"/>
      <w:lvlText w:val="%2"/>
      <w:numFmt w:val="lowerLetter"/>
      <w:start w:val="1"/>
    </w:lvl>
  </w:abstractNum>
  <w:abstractNum w:abstractNumId="95">
    <w:nsid w:val="4DF72E4E"/>
    <w:multiLevelType w:val="hybridMultilevel"/>
    <w:lvl w:ilvl="0">
      <w:lvlJc w:val="left"/>
      <w:lvlText w:val="%1"/>
      <w:numFmt w:val="lowerLetter"/>
      <w:start w:val="1"/>
    </w:lvl>
    <w:lvl w:ilvl="1">
      <w:lvlJc w:val="left"/>
      <w:lvlText w:val="(%2)"/>
      <w:numFmt w:val="lowerLetter"/>
      <w:start w:val="9"/>
    </w:lvl>
  </w:abstractNum>
  <w:abstractNum w:abstractNumId="96">
    <w:nsid w:val="5046B5A9"/>
    <w:multiLevelType w:val="hybridMultilevel"/>
    <w:lvl w:ilvl="0">
      <w:lvlJc w:val="left"/>
      <w:lvlText w:val="(%1)"/>
      <w:numFmt w:val="lowerLetter"/>
      <w:start w:val="13"/>
    </w:lvl>
    <w:lvl w:ilvl="1">
      <w:lvlJc w:val="left"/>
      <w:lvlText w:val="%2"/>
      <w:numFmt w:val="lowerLetter"/>
      <w:start w:val="1"/>
    </w:lvl>
  </w:abstractNum>
  <w:abstractNum w:abstractNumId="97">
    <w:nsid w:val="5D888A08"/>
    <w:multiLevelType w:val="hybridMultilevel"/>
    <w:lvl w:ilvl="0">
      <w:lvlJc w:val="left"/>
      <w:lvlText w:val="6"/>
      <w:numFmt w:val="bullet"/>
      <w:start w:val="1"/>
    </w:lvl>
  </w:abstractNum>
  <w:abstractNum w:abstractNumId="98">
    <w:nsid w:val="2A082C70"/>
    <w:multiLevelType w:val="hybridMultilevel"/>
    <w:lvl w:ilvl="0">
      <w:lvlJc w:val="left"/>
      <w:lvlText w:val="(%1)"/>
      <w:numFmt w:val="lowerLetter"/>
      <w:start w:val="1"/>
    </w:lvl>
    <w:lvl w:ilvl="1">
      <w:lvlJc w:val="left"/>
      <w:lvlText w:val="(%2)"/>
      <w:numFmt w:val="lowerLetter"/>
      <w:start w:val="2"/>
    </w:lvl>
  </w:abstractNum>
  <w:abstractNum w:abstractNumId="99">
    <w:nsid w:val="5EC6AFD4"/>
    <w:multiLevelType w:val="hybridMultilevel"/>
    <w:lvl w:ilvl="0">
      <w:lvlJc w:val="left"/>
      <w:lvlText w:val="(%1)"/>
      <w:numFmt w:val="lowerLetter"/>
      <w:start w:val="3"/>
    </w:lvl>
    <w:lvl w:ilvl="1">
      <w:lvlJc w:val="left"/>
      <w:lvlText w:val="(%2)"/>
      <w:numFmt w:val="lowerLetter"/>
      <w:start w:val="4"/>
    </w:lvl>
  </w:abstractNum>
  <w:abstractNum w:abstractNumId="100">
    <w:nsid w:val="19E21BB2"/>
    <w:multiLevelType w:val="hybridMultilevel"/>
    <w:lvl w:ilvl="0">
      <w:lvlJc w:val="left"/>
      <w:lvlText w:val="7"/>
      <w:numFmt w:val="bullet"/>
      <w:start w:val="1"/>
    </w:lvl>
  </w:abstractNum>
  <w:abstractNum w:abstractNumId="101">
    <w:nsid w:val="75E0858A"/>
    <w:multiLevelType w:val="hybridMultilevel"/>
    <w:lvl w:ilvl="0">
      <w:lvlJc w:val="left"/>
      <w:lvlText w:val="8"/>
      <w:numFmt w:val="bullet"/>
      <w:start w:val="1"/>
    </w:lvl>
  </w:abstractNum>
  <w:abstractNum w:abstractNumId="102">
    <w:nsid w:val="57A61A29"/>
    <w:multiLevelType w:val="hybridMultilevel"/>
    <w:lvl w:ilvl="0">
      <w:lvlJc w:val="left"/>
      <w:lvlText w:val="9"/>
      <w:numFmt w:val="bullet"/>
      <w:start w:val="1"/>
    </w:lvl>
  </w:abstractNum>
  <w:abstractNum w:abstractNumId="103">
    <w:nsid w:val="5399C654"/>
    <w:multiLevelType w:val="hybridMultilevel"/>
    <w:lvl w:ilvl="0">
      <w:lvlJc w:val="left"/>
      <w:lvlText w:val="%1"/>
      <w:numFmt w:val="decimal"/>
      <w:start w:val="11"/>
    </w:lvl>
  </w:abstractNum>
  <w:abstractNum w:abstractNumId="104">
    <w:nsid w:val="20EE1348"/>
    <w:multiLevelType w:val="hybridMultilevel"/>
    <w:lvl w:ilvl="0">
      <w:lvlJc w:val="left"/>
      <w:lvlText w:val="(%1)"/>
      <w:numFmt w:val="decimal"/>
      <w:start w:val="1"/>
    </w:lvl>
  </w:abstractNum>
  <w:abstractNum w:abstractNumId="105">
    <w:nsid w:val="4427069A"/>
    <w:multiLevelType w:val="hybridMultilevel"/>
    <w:lvl w:ilvl="0">
      <w:lvlJc w:val="left"/>
      <w:lvlText w:val="(%1)"/>
      <w:numFmt w:val="upperLetter"/>
      <w:start w:val="1"/>
    </w:lvl>
  </w:abstractNum>
  <w:abstractNum w:abstractNumId="106">
    <w:nsid w:val="B37E80A"/>
    <w:multiLevelType w:val="hybridMultilevel"/>
    <w:lvl w:ilvl="0">
      <w:lvlJc w:val="left"/>
      <w:lvlText w:val="%1."/>
      <w:numFmt w:val="decimal"/>
      <w:start w:val="1"/>
    </w:lvl>
  </w:abstractNum>
  <w:abstractNum w:abstractNumId="107">
    <w:nsid w:val="2157F6BC"/>
    <w:multiLevelType w:val="hybridMultilevel"/>
    <w:lvl w:ilvl="0">
      <w:lvlJc w:val="left"/>
      <w:lvlText w:val="%1."/>
      <w:numFmt w:val="decimal"/>
      <w:start w:val="2"/>
    </w:lvl>
  </w:abstractNum>
  <w:abstractNum w:abstractNumId="108">
    <w:nsid w:val="704E1DD5"/>
    <w:multiLevelType w:val="hybridMultilevel"/>
    <w:lvl w:ilvl="0">
      <w:lvlJc w:val="left"/>
      <w:lvlText w:val="%1."/>
      <w:numFmt w:val="decimal"/>
      <w:start w:val="3"/>
    </w:lvl>
    <w:lvl w:ilvl="1">
      <w:lvlJc w:val="left"/>
      <w:lvlText w:val="(%2)"/>
      <w:numFmt w:val="lowerLetter"/>
      <w:start w:val="1"/>
    </w:lvl>
  </w:abstractNum>
  <w:abstractNum w:abstractNumId="109">
    <w:nsid w:val="57D2F10E"/>
    <w:multiLevelType w:val="hybridMultilevel"/>
    <w:lvl w:ilvl="0">
      <w:lvlJc w:val="left"/>
      <w:lvlText w:val="(%1)"/>
      <w:numFmt w:val="upperLetter"/>
      <w:start w:val="1"/>
    </w:lvl>
  </w:abstractNum>
  <w:abstractNum w:abstractNumId="110">
    <w:nsid w:val="BFFAE18"/>
    <w:multiLevelType w:val="hybridMultilevel"/>
    <w:lvl w:ilvl="0">
      <w:lvlJc w:val="left"/>
      <w:lvlText w:val="%1."/>
      <w:numFmt w:val="decimal"/>
      <w:start w:val="1"/>
    </w:lvl>
  </w:abstractNum>
  <w:abstractNum w:abstractNumId="111">
    <w:nsid w:val="E3E47A8"/>
    <w:multiLevelType w:val="hybridMultilevel"/>
    <w:lvl w:ilvl="0">
      <w:lvlJc w:val="left"/>
      <w:lvlText w:val="(%1)"/>
      <w:numFmt w:val="lowerLetter"/>
      <w:start w:val="1"/>
    </w:lvl>
  </w:abstractNum>
  <w:abstractNum w:abstractNumId="112">
    <w:nsid w:val="2E48F044"/>
    <w:multiLevelType w:val="hybridMultilevel"/>
    <w:lvl w:ilvl="0">
      <w:lvlJc w:val="left"/>
      <w:lvlText w:val="(%1)"/>
      <w:numFmt w:val="lowerLetter"/>
      <w:start w:val="6"/>
    </w:lvl>
  </w:abstractNum>
  <w:abstractNum w:abstractNumId="113">
    <w:nsid w:val="49D0FEAC"/>
    <w:multiLevelType w:val="hybridMultilevel"/>
    <w:lvl w:ilvl="0">
      <w:lvlJc w:val="left"/>
      <w:lvlText w:val="(%1)"/>
      <w:numFmt w:val="lowerRoman"/>
      <w:start w:val="1"/>
    </w:lvl>
    <w:lvl w:ilvl="1">
      <w:lvlJc w:val="left"/>
      <w:lvlText w:val="(%2)"/>
      <w:numFmt w:val="upperLetter"/>
      <w:start w:val="1"/>
    </w:lvl>
  </w:abstractNum>
  <w:abstractNum w:abstractNumId="114">
    <w:nsid w:val="4BEE5A5B"/>
    <w:multiLevelType w:val="hybridMultilevel"/>
    <w:lvl w:ilvl="0">
      <w:lvlJc w:val="left"/>
      <w:lvlText w:val="(%1)"/>
      <w:numFmt w:val="lowerRoman"/>
      <w:start w:val="1"/>
    </w:lvl>
  </w:abstractNum>
  <w:abstractNum w:abstractNumId="115">
    <w:nsid w:val="5551B9F3"/>
    <w:multiLevelType w:val="hybridMultilevel"/>
    <w:lvl w:ilvl="0">
      <w:lvlJc w:val="left"/>
      <w:lvlText w:val="(%1)"/>
      <w:numFmt w:val="lowerRoman"/>
      <w:start w:val="1"/>
    </w:lvl>
  </w:abstractNum>
  <w:abstractNum w:abstractNumId="116">
    <w:nsid w:val="24F6AB8E"/>
    <w:multiLevelType w:val="hybridMultilevel"/>
    <w:lvl w:ilvl="0">
      <w:lvlJc w:val="left"/>
      <w:lvlText w:val="%1."/>
      <w:numFmt w:val="decimal"/>
      <w:start w:val="2"/>
    </w:lvl>
  </w:abstractNum>
  <w:abstractNum w:abstractNumId="117">
    <w:nsid w:val="634C574C"/>
    <w:multiLevelType w:val="hybridMultilevel"/>
    <w:lvl w:ilvl="0">
      <w:lvlJc w:val="left"/>
      <w:lvlText w:val="(%1)"/>
      <w:numFmt w:val="lowerLetter"/>
      <w:start w:val="1"/>
    </w:lvl>
  </w:abstractNum>
  <w:abstractNum w:abstractNumId="118">
    <w:nsid w:val="24E99DD7"/>
    <w:multiLevelType w:val="hybridMultilevel"/>
    <w:lvl w:ilvl="0">
      <w:lvlJc w:val="left"/>
      <w:lvlText w:val="(%1)"/>
      <w:numFmt w:val="lowerLetter"/>
      <w:start w:val="3"/>
    </w:lvl>
  </w:abstractNum>
  <w:abstractNum w:abstractNumId="119">
    <w:nsid w:val="2A31B62D"/>
    <w:multiLevelType w:val="hybridMultilevel"/>
    <w:lvl w:ilvl="0">
      <w:lvlJc w:val="left"/>
      <w:lvlText w:val="%1"/>
      <w:numFmt w:val="decimal"/>
      <w:start w:val="1"/>
    </w:lvl>
    <w:lvl w:ilvl="1">
      <w:lvlJc w:val="left"/>
      <w:lvlText w:val="(%2)"/>
      <w:numFmt w:val="lowerLetter"/>
      <w:start w:val="1"/>
    </w:lvl>
  </w:abstractNum>
  <w:abstractNum w:abstractNumId="120">
    <w:nsid w:val="1849C29B"/>
    <w:multiLevelType w:val="hybridMultilevel"/>
    <w:lvl w:ilvl="0">
      <w:lvlJc w:val="left"/>
      <w:lvlText w:val="%1."/>
      <w:numFmt w:val="decimal"/>
      <w:start w:val="3"/>
    </w:lvl>
    <w:lvl w:ilvl="1">
      <w:lvlJc w:val="left"/>
      <w:lvlText w:val="%2"/>
      <w:numFmt w:val="lowerLetter"/>
      <w:start w:val="1"/>
    </w:lvl>
  </w:abstractNum>
  <w:abstractNum w:abstractNumId="121">
    <w:nsid w:val="7DFF9D09"/>
    <w:multiLevelType w:val="hybridMultilevel"/>
    <w:lvl w:ilvl="0">
      <w:lvlJc w:val="left"/>
      <w:lvlText w:val="%1."/>
      <w:numFmt w:val="decimal"/>
      <w:start w:val="4"/>
    </w:lvl>
  </w:abstractNum>
  <w:abstractNum w:abstractNumId="122">
    <w:nsid w:val="754342"/>
    <w:multiLevelType w:val="hybridMultilevel"/>
    <w:lvl w:ilvl="0">
      <w:lvlJc w:val="left"/>
      <w:lvlText w:val="%1."/>
      <w:numFmt w:val="decimal"/>
      <w:start w:val="5"/>
    </w:lvl>
  </w:abstractNum>
  <w:abstractNum w:abstractNumId="123">
    <w:nsid w:val="69E7F3E5"/>
    <w:multiLevelType w:val="hybridMultilevel"/>
    <w:lvl w:ilvl="0">
      <w:lvlJc w:val="left"/>
      <w:lvlText w:val="(%1)"/>
      <w:numFmt w:val="lowerLetter"/>
      <w:start w:val="1"/>
    </w:lvl>
  </w:abstractNum>
  <w:abstractNum w:abstractNumId="124">
    <w:nsid w:val="2A6DE806"/>
    <w:multiLevelType w:val="hybridMultilevel"/>
    <w:lvl w:ilvl="0">
      <w:lvlJc w:val="left"/>
      <w:lvlText w:val="(%1)"/>
      <w:numFmt w:val="lowerLetter"/>
      <w:start w:val="3"/>
    </w:lvl>
  </w:abstractNum>
  <w:abstractNum w:abstractNumId="125">
    <w:nsid w:val="1816F8C4"/>
    <w:multiLevelType w:val="hybridMultilevel"/>
    <w:lvl w:ilvl="0">
      <w:lvlJc w:val="left"/>
      <w:lvlText w:val="%1."/>
      <w:numFmt w:val="decimal"/>
      <w:start w:val="6"/>
    </w:lvl>
  </w:abstractNum>
  <w:abstractNum w:abstractNumId="126">
    <w:nsid w:val="37DF2233"/>
    <w:multiLevelType w:val="hybridMultilevel"/>
    <w:lvl w:ilvl="0">
      <w:lvlJc w:val="left"/>
      <w:lvlText w:val="%1."/>
      <w:numFmt w:val="decimal"/>
      <w:start w:val="7"/>
    </w:lvl>
  </w:abstractNum>
  <w:abstractNum w:abstractNumId="127">
    <w:nsid w:val="7AB49DAF"/>
    <w:multiLevelType w:val="hybridMultilevel"/>
    <w:lvl w:ilvl="0">
      <w:lvlJc w:val="left"/>
      <w:lvlText w:val="%1."/>
      <w:numFmt w:val="decimal"/>
      <w:start w:val="8"/>
    </w:lvl>
  </w:abstractNum>
  <w:abstractNum w:abstractNumId="128">
    <w:nsid w:val="759F82CD"/>
    <w:multiLevelType w:val="hybridMultilevel"/>
    <w:lvl w:ilvl="0">
      <w:lvlJc w:val="left"/>
      <w:lvlText w:val="(%1)"/>
      <w:numFmt w:val="lowerLetter"/>
      <w:start w:val="1"/>
    </w:lvl>
  </w:abstractNum>
  <w:abstractNum w:abstractNumId="129">
    <w:nsid w:val="61E74EA3"/>
    <w:multiLevelType w:val="hybridMultilevel"/>
    <w:lvl w:ilvl="0">
      <w:lvlJc w:val="left"/>
      <w:lvlText w:val="[***]"/>
      <w:numFmt w:val="bullet"/>
      <w:start w:val="1"/>
    </w:lvl>
    <w:lvl w:ilvl="1">
      <w:lvlJc w:val="left"/>
      <w:lvlText w:val="[***]"/>
      <w:numFmt w:val="bullet"/>
      <w:start w:val="1"/>
    </w:lvl>
  </w:abstractNum>
  <w:abstractNum w:abstractNumId="130">
    <w:nsid w:val="597B4D84"/>
    <w:multiLevelType w:val="hybridMultilevel"/>
    <w:lvl w:ilvl="0">
      <w:lvlJc w:val="left"/>
      <w:lvlText w:val="(%1)"/>
      <w:numFmt w:val="lowerLetter"/>
      <w:start w:val="1"/>
    </w:lvl>
  </w:abstractNum>
  <w:abstractNum w:abstractNumId="131">
    <w:nsid w:val="F819E7F"/>
    <w:multiLevelType w:val="hybridMultilevel"/>
    <w:lvl w:ilvl="0">
      <w:lvlJc w:val="left"/>
      <w:lvlText w:val="(%1)"/>
      <w:numFmt w:val="lowerLetter"/>
      <w:start w:val="1"/>
    </w:lvl>
  </w:abstractNum>
  <w:abstractNum w:abstractNumId="132">
    <w:nsid w:val="57C7D42D"/>
    <w:multiLevelType w:val="hybridMultilevel"/>
    <w:lvl w:ilvl="0">
      <w:lvlJc w:val="left"/>
      <w:lvlText w:val="(%1)"/>
      <w:numFmt w:val="lowerLetter"/>
      <w:start w:val="3"/>
    </w:lvl>
  </w:abstractNum>
  <w:abstractNum w:abstractNumId="133">
    <w:nsid w:val="312167AD"/>
    <w:multiLevelType w:val="hybridMultilevel"/>
    <w:lvl w:ilvl="0">
      <w:lvlJc w:val="left"/>
      <w:lvlText w:val="[***]"/>
      <w:numFmt w:val="bullet"/>
      <w:start w:val="1"/>
    </w:lvl>
  </w:abstractNum>
  <w:abstractNum w:abstractNumId="134">
    <w:nsid w:val="631B64D4"/>
    <w:multiLevelType w:val="hybridMultilevel"/>
    <w:lvl w:ilvl="0">
      <w:lvlJc w:val="left"/>
      <w:lvlText w:val="%1."/>
      <w:numFmt w:val="decimal"/>
      <w:start w:val="9"/>
    </w:lvl>
  </w:abstractNum>
  <w:abstractNum w:abstractNumId="135">
    <w:nsid w:val="78B5E776"/>
    <w:multiLevelType w:val="hybridMultilevel"/>
    <w:lvl w:ilvl="0">
      <w:lvlJc w:val="left"/>
      <w:lvlText w:val="[***]"/>
      <w:numFmt w:val="bullet"/>
      <w:start w:val="1"/>
    </w:lvl>
  </w:abstractNum>
  <w:abstractNum w:abstractNumId="136">
    <w:nsid w:val="75486E47"/>
    <w:multiLevelType w:val="hybridMultilevel"/>
    <w:lvl w:ilvl="0">
      <w:lvlJc w:val="left"/>
      <w:lvlText w:val="%1."/>
      <w:numFmt w:val="decimal"/>
      <w:start w:val="10"/>
    </w:lvl>
  </w:abstractNum>
  <w:abstractNum w:abstractNumId="137">
    <w:nsid w:val="6E534CDE"/>
    <w:multiLevelType w:val="hybridMultilevel"/>
    <w:lvl w:ilvl="0">
      <w:lvlJc w:val="left"/>
      <w:lvlText w:val="%1."/>
      <w:numFmt w:val="decimal"/>
      <w:start w:val="11"/>
    </w:lvl>
  </w:abstractNum>
  <w:abstractNum w:abstractNumId="138">
    <w:nsid w:val="1A0DDE32"/>
    <w:multiLevelType w:val="hybridMultilevel"/>
    <w:lvl w:ilvl="0">
      <w:lvlJc w:val="left"/>
      <w:lvlText w:val="%1."/>
      <w:numFmt w:val="decimal"/>
      <w:start w:val="12"/>
    </w:lvl>
  </w:abstractNum>
  <w:abstractNum w:abstractNumId="139">
    <w:nsid w:val="65968C1C"/>
    <w:multiLevelType w:val="hybridMultilevel"/>
    <w:lvl w:ilvl="0">
      <w:lvlJc w:val="left"/>
      <w:lvlText w:val="%1."/>
      <w:numFmt w:val="decimal"/>
      <w:start w:val="13"/>
    </w:lvl>
  </w:abstractNum>
  <w:abstractNum w:abstractNumId="140">
    <w:nsid w:val="46263DEC"/>
    <w:multiLevelType w:val="hybridMultilevel"/>
    <w:lvl w:ilvl="0">
      <w:lvlJc w:val="left"/>
      <w:lvlText w:val="(%1)"/>
      <w:numFmt w:val="lowerRoman"/>
      <w:start w:val="1"/>
    </w:lvl>
  </w:abstractNum>
  <w:abstractNum w:abstractNumId="141">
    <w:nsid w:val="260D8C4A"/>
    <w:multiLevelType w:val="hybridMultilevel"/>
    <w:lvl w:ilvl="0">
      <w:lvlJc w:val="left"/>
      <w:lvlText w:val="(%1)"/>
      <w:numFmt w:val="lowerRoman"/>
      <w:start w:val="1"/>
    </w:lvl>
  </w:abstractNum>
  <w:abstractNum w:abstractNumId="142">
    <w:nsid w:val="73D4D3C4"/>
    <w:multiLevelType w:val="hybridMultilevel"/>
    <w:lvl w:ilvl="0">
      <w:lvlJc w:val="left"/>
      <w:lvlText w:val="%1."/>
      <w:numFmt w:val="decimal"/>
      <w:start w:val="14"/>
    </w:lvl>
  </w:abstractNum>
  <w:abstractNum w:abstractNumId="143">
    <w:nsid w:val="746F2E30"/>
    <w:multiLevelType w:val="hybridMultilevel"/>
    <w:lvl w:ilvl="0">
      <w:lvlJc w:val="left"/>
      <w:lvlText w:val="%1."/>
      <w:numFmt w:val="decimal"/>
      <w:start w:val="15"/>
    </w:lvl>
  </w:abstractNum>
  <w:abstractNum w:abstractNumId="144">
    <w:nsid w:val="6FDE8AF6"/>
    <w:multiLevelType w:val="hybridMultilevel"/>
    <w:lvl w:ilvl="0">
      <w:lvlJc w:val="left"/>
      <w:lvlText w:val="(%1)"/>
      <w:numFmt w:val="lowerLetter"/>
      <w:start w:val="1"/>
    </w:lvl>
  </w:abstractNum>
  <w:abstractNum w:abstractNumId="145">
    <w:nsid w:val="3FC32E20"/>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146">
    <w:nsid w:val="49C0E823"/>
    <w:multiLevelType w:val="hybridMultilevel"/>
    <w:lvl w:ilvl="0">
      <w:lvlJc w:val="left"/>
      <w:lvlText w:val="(%1)"/>
      <w:numFmt w:val="lowerLetter"/>
      <w:start w:val="1"/>
    </w:lvl>
  </w:abstractNum>
  <w:abstractNum w:abstractNumId="147">
    <w:nsid w:val="14D5368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148">
    <w:nsid w:val="230F856C"/>
    <w:multiLevelType w:val="hybridMultilevel"/>
    <w:lvl w:ilvl="0">
      <w:lvlJc w:val="left"/>
      <w:lvlText w:val="%1"/>
      <w:numFmt w:val="upperLetter"/>
      <w:start w:val="1"/>
    </w:lvl>
    <w:lvl w:ilvl="1">
      <w:lvlJc w:val="left"/>
      <w:lvlText w:val="(%2)"/>
      <w:numFmt w:val="upperLetter"/>
      <w:start w:val="35"/>
    </w:lvl>
  </w:abstractNum>
  <w:abstractNum w:abstractNumId="149">
    <w:nsid w:val="6EAA85FB"/>
    <w:multiLevelType w:val="hybridMultilevel"/>
    <w:lvl w:ilvl="0">
      <w:lvlJc w:val="left"/>
      <w:lvlText w:val="(%1)"/>
      <w:numFmt w:val="upperLetter"/>
      <w:start w:val="2"/>
    </w:lvl>
    <w:lvl w:ilvl="1">
      <w:lvlJc w:val="left"/>
      <w:lvlText w:val="(%2)"/>
      <w:numFmt w:val="upperLetter"/>
      <w:start w:val="9"/>
    </w:lvl>
  </w:abstractNum>
  <w:abstractNum w:abstractNumId="150">
    <w:nsid w:val="3F06ECB2"/>
    <w:multiLevelType w:val="hybridMultilevel"/>
    <w:lvl w:ilvl="0">
      <w:lvlJc w:val="left"/>
      <w:lvlText w:val="%1"/>
      <w:numFmt w:val="upperLetter"/>
      <w:start w:val="1"/>
    </w:lvl>
    <w:lvl w:ilvl="1">
      <w:lvlJc w:val="left"/>
      <w:lvlText w:val="(%2)"/>
      <w:numFmt w:val="upperLetter"/>
      <w:start w:val="35"/>
    </w:lvl>
  </w:abstractNum>
  <w:abstractNum w:abstractNumId="151">
    <w:nsid w:val="3B594807"/>
    <w:multiLevelType w:val="hybridMultilevel"/>
    <w:lvl w:ilvl="0">
      <w:lvlJc w:val="left"/>
      <w:lvlText w:val="(%1)"/>
      <w:numFmt w:val="upperLetter"/>
      <w:start w:val="3"/>
    </w:lvl>
    <w:lvl w:ilvl="1">
      <w:lvlJc w:val="left"/>
      <w:lvlText w:val="%2"/>
      <w:numFmt w:val="upperLetter"/>
      <w:start w:val="1"/>
    </w:lvl>
  </w:abstractNum>
  <w:abstractNum w:abstractNumId="152">
    <w:nsid w:val="6CAA2304"/>
    <w:multiLevelType w:val="hybridMultilevel"/>
    <w:lvl w:ilvl="0">
      <w:lvlJc w:val="left"/>
      <w:lvlText w:val="%1."/>
      <w:numFmt w:val="decimal"/>
      <w:start w:val="16"/>
    </w:lvl>
  </w:abstractNum>
  <w:abstractNum w:abstractNumId="153">
    <w:nsid w:val="3F7C2FF4"/>
    <w:multiLevelType w:val="hybridMultilevel"/>
    <w:lvl w:ilvl="0">
      <w:lvlJc w:val="left"/>
      <w:lvlText w:val="(%1)"/>
      <w:numFmt w:val="lowerRoman"/>
      <w:start w:val="1"/>
    </w:lvl>
  </w:abstractNum>
  <w:abstractNum w:abstractNumId="154">
    <w:nsid w:val="25413BEC"/>
    <w:multiLevelType w:val="hybridMultilevel"/>
    <w:lvl w:ilvl="0">
      <w:lvlJc w:val="left"/>
      <w:lvlText w:val="(%1)"/>
      <w:numFmt w:val="lowerRoman"/>
      <w:start w:val="1"/>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95" Type="http://schemas.openxmlformats.org/officeDocument/2006/relationships/image" Target="media/image242.png"/><Relationship Id="rId296" Type="http://schemas.openxmlformats.org/officeDocument/2006/relationships/image" Target="media/image243.png"/><Relationship Id="rId297" Type="http://schemas.openxmlformats.org/officeDocument/2006/relationships/image" Target="media/image244.png"/><Relationship Id="rId298" Type="http://schemas.openxmlformats.org/officeDocument/2006/relationships/image" Target="media/image245.png"/><Relationship Id="rId299" Type="http://schemas.openxmlformats.org/officeDocument/2006/relationships/image" Target="media/image246.png"/><Relationship Id="rId300" Type="http://schemas.openxmlformats.org/officeDocument/2006/relationships/image" Target="media/image247.png"/><Relationship Id="rId301" Type="http://schemas.openxmlformats.org/officeDocument/2006/relationships/image" Target="media/image248.png"/><Relationship Id="rId302" Type="http://schemas.openxmlformats.org/officeDocument/2006/relationships/image" Target="media/image249.png"/><Relationship Id="rId303" Type="http://schemas.openxmlformats.org/officeDocument/2006/relationships/image" Target="media/image250.png"/><Relationship Id="rId304" Type="http://schemas.openxmlformats.org/officeDocument/2006/relationships/image" Target="media/image251.png"/><Relationship Id="rId305" Type="http://schemas.openxmlformats.org/officeDocument/2006/relationships/image" Target="media/image252.png"/><Relationship Id="rId306" Type="http://schemas.openxmlformats.org/officeDocument/2006/relationships/image" Target="media/image253.png"/><Relationship Id="rId307" Type="http://schemas.openxmlformats.org/officeDocument/2006/relationships/image" Target="media/image254.png"/><Relationship Id="rId308" Type="http://schemas.openxmlformats.org/officeDocument/2006/relationships/image" Target="media/image255.png"/><Relationship Id="rId309" Type="http://schemas.openxmlformats.org/officeDocument/2006/relationships/image" Target="media/image256.png"/><Relationship Id="rId310" Type="http://schemas.openxmlformats.org/officeDocument/2006/relationships/image" Target="media/image257.png"/><Relationship Id="rId311" Type="http://schemas.openxmlformats.org/officeDocument/2006/relationships/image" Target="media/image258.png"/><Relationship Id="rId312" Type="http://schemas.openxmlformats.org/officeDocument/2006/relationships/image" Target="media/image259.png"/><Relationship Id="rId313" Type="http://schemas.openxmlformats.org/officeDocument/2006/relationships/image" Target="media/image260.png"/><Relationship Id="rId314" Type="http://schemas.openxmlformats.org/officeDocument/2006/relationships/image" Target="media/image261.png"/><Relationship Id="rId315" Type="http://schemas.openxmlformats.org/officeDocument/2006/relationships/image" Target="media/image262.png"/><Relationship Id="rId316" Type="http://schemas.openxmlformats.org/officeDocument/2006/relationships/image" Target="media/image263.png"/><Relationship Id="rId317" Type="http://schemas.openxmlformats.org/officeDocument/2006/relationships/image" Target="media/image264.png"/><Relationship Id="rId318" Type="http://schemas.openxmlformats.org/officeDocument/2006/relationships/image" Target="media/image265.png"/><Relationship Id="rId319" Type="http://schemas.openxmlformats.org/officeDocument/2006/relationships/image" Target="media/image266.png"/><Relationship Id="rId320" Type="http://schemas.openxmlformats.org/officeDocument/2006/relationships/image" Target="media/image267.png"/><Relationship Id="rId321" Type="http://schemas.openxmlformats.org/officeDocument/2006/relationships/image" Target="media/image268.png"/><Relationship Id="rId322" Type="http://schemas.openxmlformats.org/officeDocument/2006/relationships/image" Target="media/image269.png"/><Relationship Id="rId323" Type="http://schemas.openxmlformats.org/officeDocument/2006/relationships/image" Target="media/image270.png"/><Relationship Id="rId324" Type="http://schemas.openxmlformats.org/officeDocument/2006/relationships/image" Target="media/image271.png"/><Relationship Id="rId325" Type="http://schemas.openxmlformats.org/officeDocument/2006/relationships/image" Target="media/image272.png"/><Relationship Id="rId326" Type="http://schemas.openxmlformats.org/officeDocument/2006/relationships/image" Target="media/image273.png"/><Relationship Id="rId327" Type="http://schemas.openxmlformats.org/officeDocument/2006/relationships/image" Target="media/image274.png"/><Relationship Id="rId328" Type="http://schemas.openxmlformats.org/officeDocument/2006/relationships/image" Target="media/image275.png"/><Relationship Id="rId329" Type="http://schemas.openxmlformats.org/officeDocument/2006/relationships/image" Target="media/image276.png"/><Relationship Id="rId330" Type="http://schemas.openxmlformats.org/officeDocument/2006/relationships/image" Target="media/image277.png"/><Relationship Id="rId331" Type="http://schemas.openxmlformats.org/officeDocument/2006/relationships/image" Target="media/image278.png"/><Relationship Id="rId332" Type="http://schemas.openxmlformats.org/officeDocument/2006/relationships/image" Target="media/image279.png"/><Relationship Id="rId333" Type="http://schemas.openxmlformats.org/officeDocument/2006/relationships/image" Target="media/image280.png"/><Relationship Id="rId334" Type="http://schemas.openxmlformats.org/officeDocument/2006/relationships/image" Target="media/image281.png"/><Relationship Id="rId335" Type="http://schemas.openxmlformats.org/officeDocument/2006/relationships/image" Target="media/image282.png"/><Relationship Id="rId336" Type="http://schemas.openxmlformats.org/officeDocument/2006/relationships/image" Target="media/image283.png"/><Relationship Id="rId337" Type="http://schemas.openxmlformats.org/officeDocument/2006/relationships/image" Target="media/image284.png"/><Relationship Id="rId338" Type="http://schemas.openxmlformats.org/officeDocument/2006/relationships/image" Target="media/image285.png"/><Relationship Id="rId339" Type="http://schemas.openxmlformats.org/officeDocument/2006/relationships/image" Target="media/image286.png"/><Relationship Id="rId340" Type="http://schemas.openxmlformats.org/officeDocument/2006/relationships/image" Target="media/image287.png"/><Relationship Id="rId341" Type="http://schemas.openxmlformats.org/officeDocument/2006/relationships/image" Target="media/image288.png"/><Relationship Id="rId342" Type="http://schemas.openxmlformats.org/officeDocument/2006/relationships/image" Target="media/image289.png"/><Relationship Id="rId343" Type="http://schemas.openxmlformats.org/officeDocument/2006/relationships/image" Target="media/image290.png"/><Relationship Id="rId344" Type="http://schemas.openxmlformats.org/officeDocument/2006/relationships/image" Target="media/image291.png"/><Relationship Id="rId345" Type="http://schemas.openxmlformats.org/officeDocument/2006/relationships/image" Target="media/image292.png"/><Relationship Id="rId346" Type="http://schemas.openxmlformats.org/officeDocument/2006/relationships/image" Target="media/image293.png"/><Relationship Id="rId347" Type="http://schemas.openxmlformats.org/officeDocument/2006/relationships/image" Target="media/image294.png"/><Relationship Id="rId348" Type="http://schemas.openxmlformats.org/officeDocument/2006/relationships/image" Target="media/image295.png"/><Relationship Id="rId349" Type="http://schemas.openxmlformats.org/officeDocument/2006/relationships/image" Target="media/image296.png"/><Relationship Id="rId350" Type="http://schemas.openxmlformats.org/officeDocument/2006/relationships/image" Target="media/image297.png"/><Relationship Id="rId351" Type="http://schemas.openxmlformats.org/officeDocument/2006/relationships/image" Target="media/image298.png"/><Relationship Id="rId352" Type="http://schemas.openxmlformats.org/officeDocument/2006/relationships/image" Target="media/image299.png"/><Relationship Id="rId353" Type="http://schemas.openxmlformats.org/officeDocument/2006/relationships/image" Target="media/image300.png"/><Relationship Id="rId354" Type="http://schemas.openxmlformats.org/officeDocument/2006/relationships/image" Target="media/image301.png"/><Relationship Id="rId355" Type="http://schemas.openxmlformats.org/officeDocument/2006/relationships/image" Target="media/image302.png"/><Relationship Id="rId356" Type="http://schemas.openxmlformats.org/officeDocument/2006/relationships/image" Target="media/image303.png"/><Relationship Id="rId357" Type="http://schemas.openxmlformats.org/officeDocument/2006/relationships/image" Target="media/image304.png"/><Relationship Id="rId358" Type="http://schemas.openxmlformats.org/officeDocument/2006/relationships/image" Target="media/image305.png"/><Relationship Id="rId359" Type="http://schemas.openxmlformats.org/officeDocument/2006/relationships/image" Target="media/image306.png"/><Relationship Id="rId360" Type="http://schemas.openxmlformats.org/officeDocument/2006/relationships/image" Target="media/image307.png"/><Relationship Id="rId361" Type="http://schemas.openxmlformats.org/officeDocument/2006/relationships/image" Target="media/image308.png"/><Relationship Id="rId362" Type="http://schemas.openxmlformats.org/officeDocument/2006/relationships/image" Target="media/image309.png"/><Relationship Id="rId363" Type="http://schemas.openxmlformats.org/officeDocument/2006/relationships/image" Target="media/image310.png"/><Relationship Id="rId364" Type="http://schemas.openxmlformats.org/officeDocument/2006/relationships/image" Target="media/image311.png"/><Relationship Id="rId365" Type="http://schemas.openxmlformats.org/officeDocument/2006/relationships/image" Target="media/image312.png"/><Relationship Id="rId366" Type="http://schemas.openxmlformats.org/officeDocument/2006/relationships/image" Target="media/image313.png"/><Relationship Id="rId367" Type="http://schemas.openxmlformats.org/officeDocument/2006/relationships/image" Target="media/image314.png"/><Relationship Id="rId368" Type="http://schemas.openxmlformats.org/officeDocument/2006/relationships/image" Target="media/image315.png"/><Relationship Id="rId369" Type="http://schemas.openxmlformats.org/officeDocument/2006/relationships/image" Target="media/image316.png"/><Relationship Id="rId370" Type="http://schemas.openxmlformats.org/officeDocument/2006/relationships/image" Target="media/image317.png"/><Relationship Id="rId371" Type="http://schemas.openxmlformats.org/officeDocument/2006/relationships/image" Target="media/image318.png"/><Relationship Id="rId372" Type="http://schemas.openxmlformats.org/officeDocument/2006/relationships/image" Target="media/image319.png"/><Relationship Id="rId373" Type="http://schemas.openxmlformats.org/officeDocument/2006/relationships/image" Target="media/image320.png"/><Relationship Id="rId374" Type="http://schemas.openxmlformats.org/officeDocument/2006/relationships/image" Target="media/image321.png"/><Relationship Id="rId375" Type="http://schemas.openxmlformats.org/officeDocument/2006/relationships/image" Target="media/image322.png"/><Relationship Id="rId376" Type="http://schemas.openxmlformats.org/officeDocument/2006/relationships/image" Target="media/image323.png"/><Relationship Id="rId377" Type="http://schemas.openxmlformats.org/officeDocument/2006/relationships/image" Target="media/image324.png"/><Relationship Id="rId378" Type="http://schemas.openxmlformats.org/officeDocument/2006/relationships/image" Target="media/image325.png"/><Relationship Id="rId379" Type="http://schemas.openxmlformats.org/officeDocument/2006/relationships/image" Target="media/image326.png"/><Relationship Id="rId380" Type="http://schemas.openxmlformats.org/officeDocument/2006/relationships/image" Target="media/image327.png"/><Relationship Id="rId381" Type="http://schemas.openxmlformats.org/officeDocument/2006/relationships/image" Target="media/image328.png"/><Relationship Id="rId382" Type="http://schemas.openxmlformats.org/officeDocument/2006/relationships/image" Target="media/image329.png"/><Relationship Id="rId383" Type="http://schemas.openxmlformats.org/officeDocument/2006/relationships/image" Target="media/image330.png"/><Relationship Id="rId384" Type="http://schemas.openxmlformats.org/officeDocument/2006/relationships/image" Target="media/image331.png"/><Relationship Id="rId385" Type="http://schemas.openxmlformats.org/officeDocument/2006/relationships/image" Target="media/image332.png"/><Relationship Id="rId386" Type="http://schemas.openxmlformats.org/officeDocument/2006/relationships/image" Target="media/image333.png"/><Relationship Id="rId387" Type="http://schemas.openxmlformats.org/officeDocument/2006/relationships/image" Target="media/image334.png"/><Relationship Id="rId388" Type="http://schemas.openxmlformats.org/officeDocument/2006/relationships/image" Target="media/image335.png"/><Relationship Id="rId389" Type="http://schemas.openxmlformats.org/officeDocument/2006/relationships/image" Target="media/image336.png"/><Relationship Id="rId390" Type="http://schemas.openxmlformats.org/officeDocument/2006/relationships/image" Target="media/image337.png"/><Relationship Id="rId391" Type="http://schemas.openxmlformats.org/officeDocument/2006/relationships/image" Target="media/image338.png"/><Relationship Id="rId392" Type="http://schemas.openxmlformats.org/officeDocument/2006/relationships/image" Target="media/image339.png"/><Relationship Id="rId393" Type="http://schemas.openxmlformats.org/officeDocument/2006/relationships/image" Target="media/image340.png"/><Relationship Id="rId394" Type="http://schemas.openxmlformats.org/officeDocument/2006/relationships/image" Target="media/image341.png"/><Relationship Id="rId395" Type="http://schemas.openxmlformats.org/officeDocument/2006/relationships/image" Target="media/image342.png"/><Relationship Id="rId396" Type="http://schemas.openxmlformats.org/officeDocument/2006/relationships/image" Target="media/image343.png"/><Relationship Id="rId397" Type="http://schemas.openxmlformats.org/officeDocument/2006/relationships/image" Target="media/image344.png"/><Relationship Id="rId398" Type="http://schemas.openxmlformats.org/officeDocument/2006/relationships/image" Target="media/image345.png"/><Relationship Id="rId399" Type="http://schemas.openxmlformats.org/officeDocument/2006/relationships/image" Target="media/image346.png"/><Relationship Id="rId400" Type="http://schemas.openxmlformats.org/officeDocument/2006/relationships/image" Target="media/image347.png"/><Relationship Id="rId401" Type="http://schemas.openxmlformats.org/officeDocument/2006/relationships/image" Target="media/image348.png"/><Relationship Id="rId402" Type="http://schemas.openxmlformats.org/officeDocument/2006/relationships/image" Target="media/image349.png"/><Relationship Id="rId403" Type="http://schemas.openxmlformats.org/officeDocument/2006/relationships/image" Target="media/image350.png"/><Relationship Id="rId404" Type="http://schemas.openxmlformats.org/officeDocument/2006/relationships/image" Target="media/image351.png"/><Relationship Id="rId405" Type="http://schemas.openxmlformats.org/officeDocument/2006/relationships/image" Target="media/image352.png"/><Relationship Id="rId406" Type="http://schemas.openxmlformats.org/officeDocument/2006/relationships/image" Target="media/image353.png"/><Relationship Id="rId407" Type="http://schemas.openxmlformats.org/officeDocument/2006/relationships/image" Target="media/image354.png"/><Relationship Id="rId408" Type="http://schemas.openxmlformats.org/officeDocument/2006/relationships/image" Target="media/image355.png"/><Relationship Id="rId409" Type="http://schemas.openxmlformats.org/officeDocument/2006/relationships/image" Target="media/image356.png"/><Relationship Id="rId410" Type="http://schemas.openxmlformats.org/officeDocument/2006/relationships/image" Target="media/image357.png"/><Relationship Id="rId411" Type="http://schemas.openxmlformats.org/officeDocument/2006/relationships/image" Target="media/image358.png"/><Relationship Id="rId412" Type="http://schemas.openxmlformats.org/officeDocument/2006/relationships/image" Target="media/image359.png"/><Relationship Id="rId413" Type="http://schemas.openxmlformats.org/officeDocument/2006/relationships/image" Target="media/image360.png"/><Relationship Id="rId414" Type="http://schemas.openxmlformats.org/officeDocument/2006/relationships/image" Target="media/image361.png"/><Relationship Id="rId415" Type="http://schemas.openxmlformats.org/officeDocument/2006/relationships/image" Target="media/image362.png"/><Relationship Id="rId416" Type="http://schemas.openxmlformats.org/officeDocument/2006/relationships/image" Target="media/image363.png"/><Relationship Id="rId417" Type="http://schemas.openxmlformats.org/officeDocument/2006/relationships/image" Target="media/image364.png"/><Relationship Id="rId418" Type="http://schemas.openxmlformats.org/officeDocument/2006/relationships/image" Target="media/image365.png"/><Relationship Id="rId419" Type="http://schemas.openxmlformats.org/officeDocument/2006/relationships/image" Target="media/image366.png"/><Relationship Id="rId420" Type="http://schemas.openxmlformats.org/officeDocument/2006/relationships/image" Target="media/image367.png"/><Relationship Id="rId421" Type="http://schemas.openxmlformats.org/officeDocument/2006/relationships/image" Target="media/image368.png"/><Relationship Id="rId422" Type="http://schemas.openxmlformats.org/officeDocument/2006/relationships/image" Target="media/image369.png"/><Relationship Id="rId423" Type="http://schemas.openxmlformats.org/officeDocument/2006/relationships/image" Target="media/image370.png"/><Relationship Id="rId424" Type="http://schemas.openxmlformats.org/officeDocument/2006/relationships/image" Target="media/image371.png"/><Relationship Id="rId425" Type="http://schemas.openxmlformats.org/officeDocument/2006/relationships/image" Target="media/image372.png"/><Relationship Id="rId426" Type="http://schemas.openxmlformats.org/officeDocument/2006/relationships/image" Target="media/image373.png"/><Relationship Id="rId427" Type="http://schemas.openxmlformats.org/officeDocument/2006/relationships/image" Target="media/image374.png"/><Relationship Id="rId428" Type="http://schemas.openxmlformats.org/officeDocument/2006/relationships/image" Target="media/image375.png"/><Relationship Id="rId429" Type="http://schemas.openxmlformats.org/officeDocument/2006/relationships/image" Target="media/image376.png"/><Relationship Id="rId430" Type="http://schemas.openxmlformats.org/officeDocument/2006/relationships/image" Target="media/image377.png"/><Relationship Id="rId431" Type="http://schemas.openxmlformats.org/officeDocument/2006/relationships/image" Target="media/image378.png"/><Relationship Id="rId432" Type="http://schemas.openxmlformats.org/officeDocument/2006/relationships/image" Target="media/image379.png"/><Relationship Id="rId129" Type="http://schemas.openxmlformats.org/officeDocument/2006/relationships/hyperlink" Target="https://www.sec.gov/Archives/edgar/data/1719714/000119312519076867/d680874df4a.htm#rom680874_1001" TargetMode="External"/><Relationship Id="rId130" Type="http://schemas.openxmlformats.org/officeDocument/2006/relationships/hyperlink" Target="https://www.sec.gov/Archives/edgar/data/1719714/000119312519016112/d680874dex1020.htm" TargetMode="External"/><Relationship Id="rId131" Type="http://schemas.openxmlformats.org/officeDocument/2006/relationships/hyperlink" Target="https://www.sec.gov/Archives/edgar/data/1719714/000119312519016112/d680874dex10203.htm" TargetMode="External"/><Relationship Id="rId132" Type="http://schemas.openxmlformats.org/officeDocument/2006/relationships/hyperlink" Target="https://www.sec.gov/Archives/edgar/data/1719714/000119312519016112/d680874dex10202.htm" TargetMode="External"/><Relationship Id="rId133" Type="http://schemas.openxmlformats.org/officeDocument/2006/relationships/hyperlink" Target="https://www.sec.gov/Archives/edgar/data/1719714/000119312519016112/d680874dex10201.htm" TargetMode="External"/><Relationship Id="rId136" Type="http://schemas.openxmlformats.org/officeDocument/2006/relationships/hyperlink" Target="https://www.sec.gov/Archives/edgar/data/1719714/000119312519016112/d680874dex1021.htm" TargetMode="External"/><Relationship Id="rId137" Type="http://schemas.openxmlformats.org/officeDocument/2006/relationships/hyperlink" Target="https://www.sec.gov/Archives/edgar/data/1719714/000119312519016112/d680874dex10212.htm" TargetMode="External"/><Relationship Id="rId138" Type="http://schemas.openxmlformats.org/officeDocument/2006/relationships/hyperlink" Target="https://www.sec.gov/Archives/edgar/data/1719714/000119312519016112/d680874dex10211.htm" TargetMode="External"/><Relationship Id="rId139" Type="http://schemas.openxmlformats.org/officeDocument/2006/relationships/hyperlink" Target="https://www.sec.gov/Archives/edgar/data/1719714/000119312519016112/d680874dex1022.htm" TargetMode="External"/><Relationship Id="rId140" Type="http://schemas.openxmlformats.org/officeDocument/2006/relationships/hyperlink" Target="https://www.sec.gov/Archives/edgar/data/1719714/000119312519016112/d680874dex10222.htm" TargetMode="External"/><Relationship Id="rId141" Type="http://schemas.openxmlformats.org/officeDocument/2006/relationships/hyperlink" Target="https://www.sec.gov/Archives/edgar/data/1719714/000119312519016112/d680874dex10221.htm" TargetMode="External"/><Relationship Id="rId142" Type="http://schemas.openxmlformats.org/officeDocument/2006/relationships/hyperlink" Target="https://www.sec.gov/Archives/edgar/data/1719714/000119312523297624/d677335dex31.htm" TargetMode="External"/><Relationship Id="rId143" Type="http://schemas.openxmlformats.org/officeDocument/2006/relationships/hyperlink" Target="https://www.sec.gov/Archives/edgar/data/1719714/000119312519016112/d680874dex42.htm" TargetMode="External"/><Relationship Id="rId144" Type="http://schemas.openxmlformats.org/officeDocument/2006/relationships/hyperlink" Target="https://www.sec.gov/Archives/edgar/data/1719714/000095017024037348/mreo-ex4_2.htm" TargetMode="External"/><Relationship Id="rId145" Type="http://schemas.openxmlformats.org/officeDocument/2006/relationships/hyperlink" Target="https://www.sec.gov/Archives/edgar/data/1719714/000119312519016112/d680874dex1023.htm" TargetMode="External"/><Relationship Id="rId146" Type="http://schemas.openxmlformats.org/officeDocument/2006/relationships/hyperlink" Target="https://www.sec.gov/Archives/edgar/data/1719714/000119312519016112/d680874dex1024.htm" TargetMode="External"/><Relationship Id="rId147" Type="http://schemas.openxmlformats.org/officeDocument/2006/relationships/hyperlink" Target="https://www.sec.gov/Archives/edgar/data/1719714/000119312519016112/d680874dex1026.htm" TargetMode="External"/><Relationship Id="rId148" Type="http://schemas.openxmlformats.org/officeDocument/2006/relationships/hyperlink" Target="https://www.sec.gov/Archives/edgar/data/1719714/000119312519076867/d680874df4a.htm#rom680874_1002" TargetMode="External"/><Relationship Id="rId149" Type="http://schemas.openxmlformats.org/officeDocument/2006/relationships/hyperlink" Target="https://www.sec.gov/Archives/edgar/data/1719714/000119312521010098/d35302dex991.htm" TargetMode="External"/><Relationship Id="rId150" Type="http://schemas.openxmlformats.org/officeDocument/2006/relationships/hyperlink" Target="https://www.sec.gov/Archives/edgar/data/1719714/000119312521102416/d60415dex421.htm" TargetMode="External"/><Relationship Id="rId153" Type="http://schemas.openxmlformats.org/officeDocument/2006/relationships/hyperlink" Target="https://www.sec.gov/Archives/edgar/data/1719714/000119312521102416/d60415dex422.htm" TargetMode="External"/><Relationship Id="rId154" Type="http://schemas.openxmlformats.org/officeDocument/2006/relationships/hyperlink" Target="https://www.sec.gov/Archives/edgar/data/1719714/000119312521102416/d60415dex423.htm" TargetMode="External"/><Relationship Id="rId155" Type="http://schemas.openxmlformats.org/officeDocument/2006/relationships/hyperlink" Target="https://www.sec.gov/Archives/edgar/data/1719714/000119312521102416/d60415dex424.htm" TargetMode="External"/><Relationship Id="rId156" Type="http://schemas.openxmlformats.org/officeDocument/2006/relationships/hyperlink" Target="https://www.sec.gov/Archives/edgar/data/1719714/000119312521102416/d60415dex425.htm" TargetMode="External"/><Relationship Id="rId157" Type="http://schemas.openxmlformats.org/officeDocument/2006/relationships/hyperlink" Target="https://www.sec.gov/Archives/edgar/data/1719714/000119312521102416/d60415dex427.htm" TargetMode="External"/><Relationship Id="rId158" Type="http://schemas.openxmlformats.org/officeDocument/2006/relationships/hyperlink" Target="https://www.sec.gov/Archives/edgar/data/1719714/000119312522091822/d237872dex445.htm" TargetMode="External"/><Relationship Id="rId159" Type="http://schemas.openxmlformats.org/officeDocument/2006/relationships/hyperlink" Target="https://www.sec.gov/Archives/edgar/data/1719714/000119312521102416/d60415dex428.htm" TargetMode="External"/><Relationship Id="rId160" Type="http://schemas.openxmlformats.org/officeDocument/2006/relationships/hyperlink" Target="https://www.sec.gov/Archives/edgar/data/1719714/000119312521102416/d60415dex429.htm" TargetMode="External"/><Relationship Id="rId161" Type="http://schemas.openxmlformats.org/officeDocument/2006/relationships/hyperlink" Target="https://www.sec.gov/Archives/edgar/data/1719714/000119312521102416/d60415dex430.htm" TargetMode="External"/><Relationship Id="rId162" Type="http://schemas.openxmlformats.org/officeDocument/2006/relationships/hyperlink" Target="https://www.sec.gov/Archives/edgar/data/1719714/000119312521102416/d60415dex431.htm" TargetMode="External"/><Relationship Id="rId163" Type="http://schemas.openxmlformats.org/officeDocument/2006/relationships/hyperlink" Target="https://www.sec.gov/Archives/edgar/data/1719714/000119312521102416/d60415dex432.htm" TargetMode="External"/><Relationship Id="rId164" Type="http://schemas.openxmlformats.org/officeDocument/2006/relationships/hyperlink" Target="https://www.sec.gov/Archives/edgar/data/1719714/000119312522091822/d237872dex433.htm" TargetMode="External"/><Relationship Id="rId165" Type="http://schemas.openxmlformats.org/officeDocument/2006/relationships/hyperlink" Target="https://www.sec.gov/Archives/edgar/data/1719714/000119312522091822/d237872dex434.htm" TargetMode="External"/><Relationship Id="rId166" Type="http://schemas.openxmlformats.org/officeDocument/2006/relationships/hyperlink" Target="https://www.sec.gov/Archives/edgar/data/1719714/000119312522091822/d237872dex436.htm" TargetMode="External"/><Relationship Id="rId167" Type="http://schemas.openxmlformats.org/officeDocument/2006/relationships/hyperlink" Target="https://www.sec.gov/Archives/edgar/data/1719714/000119312522091822/d237872dex437.htm" TargetMode="External"/><Relationship Id="rId168" Type="http://schemas.openxmlformats.org/officeDocument/2006/relationships/hyperlink" Target="https://www.sec.gov/Archives/edgar/data/1719714/000119312522091822/d237872dex440.htm" TargetMode="External"/><Relationship Id="rId169" Type="http://schemas.openxmlformats.org/officeDocument/2006/relationships/hyperlink" Target="https://www.sec.gov/Archives/edgar/data/1719714/000119312523082264/d430075dex417.htm" TargetMode="External"/><Relationship Id="rId172" Type="http://schemas.openxmlformats.org/officeDocument/2006/relationships/hyperlink" Target="https://www.sec.gov/Archives/edgar/data/1719714/000119312523082264/d430075dex446.htm" TargetMode="External"/><Relationship Id="rId173" Type="http://schemas.openxmlformats.org/officeDocument/2006/relationships/hyperlink" Target="https://www.sec.gov/Archives/edgar/data/1719714/000119312523082264/d430075dex447.htm" TargetMode="External"/><Relationship Id="rId174" Type="http://schemas.openxmlformats.org/officeDocument/2006/relationships/hyperlink" Target="https://www.sec.gov/Archives/edgar/data/1719714/000119312524012995/d735625dex43.htm" TargetMode="External"/><Relationship Id="rId175" Type="http://schemas.openxmlformats.org/officeDocument/2006/relationships/hyperlink" Target="https://www.sec.gov/Archives/edgar/data/1719714/000119312523014256/d421215dex44.htm" TargetMode="External"/><Relationship Id="rId176" Type="http://schemas.openxmlformats.org/officeDocument/2006/relationships/hyperlink" Target="https://www.sec.gov/Archives/edgar/data/1719714/000119312523014256/d421215dex45.htm" TargetMode="External"/><Relationship Id="rId177" Type="http://schemas.openxmlformats.org/officeDocument/2006/relationships/hyperlink" Target="https://www.sec.gov/Archives/edgar/data/1719714/000095017024037348/mreo-ex10_30.htm" TargetMode="External"/><Relationship Id="rId178" Type="http://schemas.openxmlformats.org/officeDocument/2006/relationships/hyperlink" Target="https://www.sec.gov/Archives/edgar/data/1719714/000095017024037348/mreo-ex19_1.htm" TargetMode="External"/><Relationship Id="rId179" Type="http://schemas.openxmlformats.org/officeDocument/2006/relationships/hyperlink" Target="https://www.sec.gov/ix?doc=/Archives/edgar/data/0001719714/000119312523082264/d430075dex81.htm" TargetMode="External"/><Relationship Id="rId180" Type="http://schemas.openxmlformats.org/officeDocument/2006/relationships/hyperlink" Target="https://www.sec.gov/Archives/edgar/data/1719714/000095017024037348/mreo-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2025-03-26T06:55:50Z</dcterms:created>
  <dcterms:modified xsi:type="dcterms:W3CDTF">2025-03-26T06:55:50Z</dcterms:modified>
</cp:coreProperties>
</file>