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9842d6k.htm"/>
      <w:bookmarkStart w:id="1" w:name="ksd499842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April,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001-38452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MEREO BIOPHARMA GROUP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4th Floor, One Cavendish Place,</w:t>
      </w:r>
    </w:p>
    <w:p>
      <w:pPr>
        <w:pStyle w:val="TextBody"/>
        <w:spacing w:before="0" w:after="0"/>
        <w:jc w:val="center"/>
        <w:rPr>
          <w:rFonts w:ascii="Times New Roman" w:hAnsi="Times New Roman"/>
          <w:b/>
          <w:sz w:val="20"/>
        </w:rPr>
      </w:pPr>
      <w:r>
        <w:rPr>
          <w:rFonts w:ascii="Times New Roman" w:hAnsi="Times New Roman"/>
          <w:b/>
          <w:sz w:val="20"/>
        </w:rPr>
        <w:t>London, W1G 0QF, United Kingdom</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both"/>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both"/>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both"/>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First Quarter 2023 Financial Information: </w:t>
      </w:r>
    </w:p>
    <w:p>
      <w:pPr>
        <w:pStyle w:val="TextBody"/>
        <w:spacing w:before="120" w:after="0"/>
        <w:jc w:val="both"/>
        <w:rPr>
          <w:rFonts w:ascii="Times New Roman" w:hAnsi="Times New Roman"/>
          <w:sz w:val="20"/>
        </w:rPr>
      </w:pPr>
      <w:r>
        <w:rPr>
          <w:rFonts w:ascii="Times New Roman" w:hAnsi="Times New Roman"/>
          <w:sz w:val="20"/>
        </w:rPr>
        <w:t xml:space="preserve">As of March 31, 2023, Mereo BioPharma Group plc (the Company) had cash and short-term deposits of £48.2 million ($59.8 million). Net cash burn during the first quarter of 2023 amounted to £8.1 million ($10.0 million). The Company expects its existing cash and short-term deposits will enable it to fund its currently committed clinical trials, operating expenses and capital expenditure requirements into 2026. </w:t>
      </w:r>
    </w:p>
    <w:p>
      <w:pPr>
        <w:pStyle w:val="TextBody"/>
        <w:spacing w:before="240" w:after="0"/>
        <w:jc w:val="both"/>
        <w:rPr>
          <w:rFonts w:ascii="Times New Roman" w:hAnsi="Times New Roman"/>
          <w:sz w:val="20"/>
        </w:rPr>
      </w:pPr>
      <w:r>
        <w:rPr>
          <w:rFonts w:ascii="Times New Roman" w:hAnsi="Times New Roman"/>
          <w:sz w:val="20"/>
        </w:rPr>
        <w:t xml:space="preserve">For the comparative period, as of March 31, 2022, the Company had cash and short-term deposits of £84.9 million ($111.4 million). Net cash burn during the first quarter of 2022 amounted to £9.4 million ($12.4 million). </w:t>
      </w:r>
    </w:p>
    <w:p>
      <w:pPr>
        <w:pStyle w:val="TextBody"/>
        <w:spacing w:before="240" w:after="0"/>
        <w:jc w:val="both"/>
        <w:rPr>
          <w:rFonts w:ascii="Times New Roman" w:hAnsi="Times New Roman"/>
          <w:sz w:val="20"/>
        </w:rPr>
      </w:pPr>
      <w:r>
        <w:rPr>
          <w:rFonts w:ascii="Times New Roman" w:hAnsi="Times New Roman"/>
          <w:sz w:val="20"/>
        </w:rPr>
        <w:t xml:space="preserve">The contents of this Report on Form 6-K are incorporated by reference into the Companys registration statement on Form F-3 (File No. 333-258495) and registration statements on Form S-8 (File Numbers 333-231636, 333-236498, 333-252147, 333-262151 and 333-269388) and related prospectuses, as such registration statements and prospectuses may be amended from time to time, and to be a part thereof from the date on which this report is filed, to the extent not superseded by documents or reports subsequently filed or furnished.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both"/>
        <w:rPr>
          <w:rFonts w:ascii="Times New Roman" w:hAnsi="Times New Roman"/>
          <w:sz w:val="20"/>
        </w:rPr>
      </w:pPr>
      <w:r>
        <w:rPr>
          <w:rFonts w:ascii="Times New Roman" w:hAnsi="Times New Roman"/>
          <w:sz w:val="20"/>
        </w:rPr>
        <w:t xml:space="preserve">This Report on Form 6-K contains forward-looking statements. All statements other than statements of historical fact contained herein are forward-looking statements within the meaning of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w:t>
      </w:r>
    </w:p>
    <w:p>
      <w:pPr>
        <w:pStyle w:val="TextBody"/>
        <w:spacing w:before="240" w:after="0"/>
        <w:jc w:val="both"/>
        <w:rPr>
          <w:rFonts w:ascii="Times New Roman" w:hAnsi="Times New Roman"/>
          <w:sz w:val="20"/>
        </w:rPr>
      </w:pPr>
      <w:r>
        <w:rPr>
          <w:rFonts w:ascii="Times New Roman" w:hAnsi="Times New Roman"/>
          <w:sz w:val="20"/>
        </w:rPr>
        <w:t xml:space="preserve">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360" w:after="0"/>
        <w:jc w:val="left"/>
        <w:rPr>
          <w:rFonts w:ascii="Times New Roman" w:hAnsi="Times New Roman"/>
          <w:sz w:val="20"/>
        </w:rPr>
      </w:pPr>
      <w:r>
        <w:rPr>
          <w:rFonts w:ascii="Times New Roman" w:hAnsi="Times New Roman"/>
          <w:sz w:val="20"/>
        </w:rPr>
        <w:t xml:space="preserve">Date: April 27,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0"/>
        <w:gridCol w:w="60"/>
        <w:gridCol w:w="3672"/>
      </w:tblGrid>
      <w:tr>
        <w:trPr/>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MEREO BIOPHARMA GROUP PLC</w:t>
            </w:r>
          </w:p>
        </w:tc>
      </w:tr>
      <w:tr>
        <w:trPr>
          <w:trHeight w:val="240" w:hRule="atLeast"/>
        </w:trPr>
        <w:tc>
          <w:tcPr>
            <w:tcW w:w="350" w:type="dxa"/>
            <w:tcBorders/>
            <w:shd w:fill="auto" w:val="clear"/>
            <w:vAlign w:val="center"/>
          </w:tcPr>
          <w:p>
            <w:pPr>
              <w:pStyle w:val="TableContents"/>
              <w:spacing w:before="0" w:after="283"/>
              <w:rPr>
                <w:sz w:val="4"/>
                <w:szCs w:val="4"/>
              </w:rPr>
            </w:pPr>
            <w:r>
              <w:rPr>
                <w:sz w:val="4"/>
                <w:szCs w:val="4"/>
              </w:rPr>
            </w:r>
          </w:p>
        </w:tc>
        <w:tc>
          <w:tcPr>
            <w:tcW w:w="3732" w:type="dxa"/>
            <w:gridSpan w:val="2"/>
            <w:tcBorders/>
            <w:shd w:fill="auto" w:val="clear"/>
            <w:vAlign w:val="center"/>
          </w:tcPr>
          <w:p>
            <w:pPr>
              <w:pStyle w:val="TableContents"/>
              <w:spacing w:before="0" w:after="283"/>
              <w:rPr>
                <w:sz w:val="4"/>
                <w:szCs w:val="4"/>
              </w:rPr>
            </w:pPr>
            <w:r>
              <w:rPr>
                <w:sz w:val="4"/>
                <w:szCs w:val="4"/>
              </w:rPr>
            </w:r>
          </w:p>
        </w:tc>
      </w:tr>
      <w:tr>
        <w:trPr/>
        <w:tc>
          <w:tcPr>
            <w:tcW w:w="35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72" w:type="dxa"/>
            <w:tcBorders/>
            <w:shd w:fill="auto" w:val="clear"/>
          </w:tcPr>
          <w:p>
            <w:pPr>
              <w:pStyle w:val="TableContents"/>
              <w:pBdr>
                <w:bottom w:val="single" w:sz="2" w:space="1" w:color="000000"/>
              </w:pBdr>
              <w:spacing w:before="0" w:after="20"/>
              <w:jc w:val="both"/>
              <w:rPr>
                <w:rFonts w:ascii="Times New Roman" w:hAnsi="Times New Roman"/>
                <w:sz w:val="20"/>
              </w:rPr>
            </w:pPr>
            <w:r>
              <w:rPr>
                <w:rFonts w:ascii="Times New Roman" w:hAnsi="Times New Roman"/>
                <w:sz w:val="20"/>
              </w:rPr>
              <w:t>/s/ Christine Fox</w:t>
            </w:r>
          </w:p>
        </w:tc>
      </w:tr>
      <w:tr>
        <w:trPr/>
        <w:tc>
          <w:tcPr>
            <w:tcW w:w="35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Name: Christine Fox</w:t>
            </w:r>
          </w:p>
        </w:tc>
      </w:tr>
      <w:tr>
        <w:trPr/>
        <w:tc>
          <w:tcPr>
            <w:tcW w:w="35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Title: Chief Financial Officer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811</Words>
  <CharactersWithSpaces>5044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