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Ordinary shares, nominal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February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1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560" w:firstLine="4"/>
        <w:spacing w:after="0" w:line="571"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rPr>
          <w:sz w:val="20"/>
          <w:szCs w:val="20"/>
          <w:color w:val="auto"/>
        </w:rPr>
      </w:pPr>
      <w:r>
        <w:rPr>
          <w:rFonts w:ascii="Courier New" w:cs="Courier New" w:eastAsia="Courier New" w:hAnsi="Courier New"/>
          <w:sz w:val="18"/>
          <w:szCs w:val="18"/>
          <w:color w:val="auto"/>
        </w:rPr>
        <w:t>__________</w:t>
      </w:r>
    </w:p>
    <w:p>
      <w:pPr>
        <w:spacing w:after="0" w:line="26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8"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260" w:type="dxa"/>
            <w:vAlign w:val="bottom"/>
          </w:tcPr>
          <w:p>
            <w:pPr>
              <w:jc w:val="right"/>
              <w:ind w:right="1250"/>
              <w:spacing w:after="0"/>
              <w:rPr>
                <w:sz w:val="20"/>
                <w:szCs w:val="20"/>
                <w:color w:val="auto"/>
              </w:rPr>
            </w:pPr>
            <w:r>
              <w:rPr>
                <w:rFonts w:ascii="Arial" w:cs="Arial" w:eastAsia="Arial" w:hAnsi="Arial"/>
                <w:sz w:val="18"/>
                <w:szCs w:val="18"/>
                <w:color w:val="auto"/>
                <w:w w:val="99"/>
              </w:rPr>
              <w:t>589492107</w:t>
            </w:r>
          </w:p>
        </w:tc>
      </w:tr>
      <w:tr>
        <w:trPr>
          <w:trHeight w:val="27"/>
        </w:trPr>
        <w:tc>
          <w:tcPr>
            <w:tcW w:w="11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200" w:lineRule="exact"/>
        <w:rPr>
          <w:sz w:val="24"/>
          <w:szCs w:val="24"/>
          <w:color w:val="auto"/>
        </w:rPr>
      </w:pPr>
    </w:p>
    <w:p>
      <w:pPr>
        <w:spacing w:after="0" w:line="272" w:lineRule="exact"/>
        <w:rPr>
          <w:sz w:val="24"/>
          <w:szCs w:val="24"/>
          <w:color w:val="auto"/>
        </w:rPr>
      </w:pPr>
    </w:p>
    <w:p>
      <w:pPr>
        <w:ind w:left="1000" w:hanging="89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1000" w:right="456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Suvretta Capital Management, LLC</w:t>
      </w:r>
    </w:p>
    <w:p>
      <w:pPr>
        <w:ind w:left="1000" w:hanging="89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4"/>
          <w:szCs w:val="24"/>
          <w:color w:val="auto"/>
        </w:rPr>
      </w:pPr>
    </w:p>
    <w:p>
      <w:pPr>
        <w:ind w:left="10220"/>
        <w:spacing w:after="0"/>
        <w:rPr>
          <w:sz w:val="20"/>
          <w:szCs w:val="20"/>
          <w:color w:val="auto"/>
        </w:rPr>
      </w:pPr>
      <w:r>
        <w:rPr>
          <w:rFonts w:ascii="Arial" w:cs="Arial" w:eastAsia="Arial" w:hAnsi="Arial"/>
          <w:sz w:val="18"/>
          <w:szCs w:val="18"/>
          <w:color w:val="auto"/>
        </w:rPr>
        <w:t>(a) [_]</w:t>
      </w:r>
    </w:p>
    <w:p>
      <w:pPr>
        <w:spacing w:after="0" w:line="22" w:lineRule="exact"/>
        <w:rPr>
          <w:sz w:val="24"/>
          <w:szCs w:val="24"/>
          <w:color w:val="auto"/>
        </w:rPr>
      </w:pPr>
    </w:p>
    <w:p>
      <w:pPr>
        <w:ind w:left="10220"/>
        <w:spacing w:after="0"/>
        <w:rPr>
          <w:sz w:val="20"/>
          <w:szCs w:val="20"/>
          <w:color w:val="auto"/>
        </w:rPr>
      </w:pPr>
      <w:r>
        <w:rPr>
          <w:rFonts w:ascii="Arial" w:cs="Arial" w:eastAsia="Arial" w:hAnsi="Arial"/>
          <w:sz w:val="18"/>
          <w:szCs w:val="18"/>
          <w:color w:val="auto"/>
        </w:rPr>
        <w:t>(b) [x]</w:t>
      </w:r>
    </w:p>
    <w:p>
      <w:pPr>
        <w:spacing w:after="0" w:line="279" w:lineRule="exact"/>
        <w:rPr>
          <w:sz w:val="24"/>
          <w:szCs w:val="24"/>
          <w:color w:val="auto"/>
        </w:rPr>
      </w:pPr>
    </w:p>
    <w:p>
      <w:pPr>
        <w:ind w:left="1000" w:hanging="895"/>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000" w:right="6480" w:hanging="895"/>
        <w:spacing w:after="0" w:line="5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52" w:lineRule="exact"/>
        <w:rPr>
          <w:sz w:val="24"/>
          <w:szCs w:val="24"/>
          <w:color w:val="auto"/>
        </w:rPr>
      </w:pPr>
    </w:p>
    <w:p>
      <w:pPr>
        <w:ind w:left="1000" w:right="8300" w:hanging="895"/>
        <w:spacing w:after="0" w:line="590"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ectPr>
          <w:pgSz w:w="11900" w:h="16949" w:orient="portrait"/>
          <w:cols w:equalWidth="0" w:num="1">
            <w:col w:w="11160"/>
          </w:cols>
          <w:pgMar w:left="320" w:top="445" w:right="419" w:bottom="0" w:gutter="0" w:footer="0" w:header="0"/>
        </w:sectPr>
      </w:pPr>
    </w:p>
    <w:bookmarkStart w:id="1" w:name="page2"/>
    <w:bookmarkEnd w:id="1"/>
    <w:p>
      <w:pPr>
        <w:spacing w:after="0" w:line="200" w:lineRule="exact"/>
        <w:rPr>
          <w:sz w:val="20"/>
          <w:szCs w:val="20"/>
          <w:color w:val="auto"/>
        </w:rPr>
      </w:pPr>
    </w:p>
    <w:p>
      <w:pPr>
        <w:ind w:left="992" w:right="8100" w:hanging="895"/>
        <w:spacing w:after="0" w:line="437" w:lineRule="auto"/>
        <w:tabs>
          <w:tab w:leader="none" w:pos="992"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31,827,500</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992" w:right="7980" w:hanging="895"/>
        <w:spacing w:after="0" w:line="563" w:lineRule="auto"/>
        <w:tabs>
          <w:tab w:leader="none" w:pos="992"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92" w:right="7700" w:hanging="895"/>
        <w:spacing w:after="0" w:line="563" w:lineRule="auto"/>
        <w:tabs>
          <w:tab w:leader="none" w:pos="992"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31,827,500</w:t>
      </w:r>
    </w:p>
    <w:p>
      <w:pPr>
        <w:ind w:left="992" w:right="3680" w:hanging="895"/>
        <w:spacing w:after="0" w:line="547" w:lineRule="auto"/>
        <w:tabs>
          <w:tab w:leader="none" w:pos="992"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31,827,500</w:t>
      </w:r>
    </w:p>
    <w:p>
      <w:pPr>
        <w:spacing w:after="0" w:line="1" w:lineRule="exact"/>
        <w:rPr>
          <w:sz w:val="20"/>
          <w:szCs w:val="20"/>
          <w:color w:val="auto"/>
        </w:rPr>
      </w:pPr>
    </w:p>
    <w:p>
      <w:pPr>
        <w:ind w:left="92"/>
        <w:spacing w:after="0"/>
        <w:tabs>
          <w:tab w:leader="none" w:pos="972" w:val="left"/>
          <w:tab w:leader="none" w:pos="10192"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52" w:lineRule="exact"/>
        <w:rPr>
          <w:sz w:val="20"/>
          <w:szCs w:val="20"/>
          <w:color w:val="auto"/>
        </w:rPr>
      </w:pPr>
    </w:p>
    <w:p>
      <w:pPr>
        <w:ind w:left="992" w:right="5180" w:hanging="895"/>
        <w:spacing w:after="0" w:line="563" w:lineRule="auto"/>
        <w:tabs>
          <w:tab w:leader="none" w:pos="992"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w:t>
      </w:r>
    </w:p>
    <w:p>
      <w:pPr>
        <w:ind w:left="992" w:right="5900" w:hanging="895"/>
        <w:spacing w:after="0" w:line="590" w:lineRule="auto"/>
        <w:tabs>
          <w:tab w:leader="none" w:pos="992"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02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8" w:firstLine="8"/>
        <w:spacing w:after="0" w:line="194" w:lineRule="auto"/>
        <w:tabs>
          <w:tab w:leader="none" w:pos="123"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The reporting person has beneficial ownership of 6,365,500 American Depositary Shares (each American Depositary Share represents five (5) ordinary shares), which are convertible into 31,827,500 Ordinary Shares.</w:t>
      </w:r>
    </w:p>
    <w:p>
      <w:pPr>
        <w:spacing w:after="0" w:line="188" w:lineRule="exact"/>
        <w:rPr>
          <w:sz w:val="20"/>
          <w:szCs w:val="20"/>
          <w:color w:val="auto"/>
        </w:rPr>
      </w:pPr>
    </w:p>
    <w:tbl>
      <w:tblPr>
        <w:tblLayout w:type="fixed"/>
        <w:tblInd w:w="92"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CUSIP No.</w:t>
            </w:r>
          </w:p>
        </w:tc>
        <w:tc>
          <w:tcPr>
            <w:tcW w:w="1900" w:type="dxa"/>
            <w:vAlign w:val="bottom"/>
          </w:tcPr>
          <w:p>
            <w:pPr>
              <w:jc w:val="right"/>
              <w:ind w:right="910"/>
              <w:spacing w:after="0"/>
              <w:rPr>
                <w:sz w:val="20"/>
                <w:szCs w:val="20"/>
                <w:color w:val="auto"/>
              </w:rPr>
            </w:pPr>
            <w:r>
              <w:rPr>
                <w:rFonts w:ascii="Arial" w:cs="Arial" w:eastAsia="Arial" w:hAnsi="Arial"/>
                <w:sz w:val="18"/>
                <w:szCs w:val="18"/>
                <w:color w:val="auto"/>
                <w:w w:val="97"/>
              </w:rPr>
              <w:t>589492107</w:t>
            </w:r>
          </w:p>
        </w:tc>
      </w:tr>
      <w:tr>
        <w:trPr>
          <w:trHeight w:val="27"/>
        </w:trPr>
        <w:tc>
          <w:tcPr>
            <w:tcW w:w="13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left="992" w:hanging="895"/>
        <w:spacing w:after="0"/>
        <w:tabs>
          <w:tab w:leader="none" w:pos="992"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992" w:right="464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Averill Master Fund, Ltd.</w:t>
      </w:r>
    </w:p>
    <w:p>
      <w:pPr>
        <w:ind w:left="992" w:hanging="895"/>
        <w:spacing w:after="0"/>
        <w:tabs>
          <w:tab w:leader="none" w:pos="99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52" w:lineRule="exact"/>
        <w:rPr>
          <w:sz w:val="20"/>
          <w:szCs w:val="20"/>
          <w:color w:val="auto"/>
        </w:rPr>
      </w:pPr>
    </w:p>
    <w:p>
      <w:pPr>
        <w:ind w:left="9552"/>
        <w:spacing w:after="0"/>
        <w:rPr>
          <w:sz w:val="20"/>
          <w:szCs w:val="20"/>
          <w:color w:val="auto"/>
        </w:rPr>
      </w:pPr>
      <w:r>
        <w:rPr>
          <w:rFonts w:ascii="Arial" w:cs="Arial" w:eastAsia="Arial" w:hAnsi="Arial"/>
          <w:sz w:val="18"/>
          <w:szCs w:val="18"/>
          <w:color w:val="auto"/>
        </w:rPr>
        <w:t>(a) [_]</w:t>
      </w:r>
    </w:p>
    <w:p>
      <w:pPr>
        <w:spacing w:after="0" w:line="23" w:lineRule="exact"/>
        <w:rPr>
          <w:sz w:val="20"/>
          <w:szCs w:val="20"/>
          <w:color w:val="auto"/>
        </w:rPr>
      </w:pPr>
    </w:p>
    <w:p>
      <w:pPr>
        <w:ind w:left="9552"/>
        <w:spacing w:after="0"/>
        <w:rPr>
          <w:sz w:val="20"/>
          <w:szCs w:val="20"/>
          <w:color w:val="auto"/>
        </w:rPr>
      </w:pPr>
      <w:r>
        <w:rPr>
          <w:rFonts w:ascii="Arial" w:cs="Arial" w:eastAsia="Arial" w:hAnsi="Arial"/>
          <w:sz w:val="18"/>
          <w:szCs w:val="18"/>
          <w:color w:val="auto"/>
        </w:rPr>
        <w:t>(b) [x]</w:t>
      </w:r>
    </w:p>
    <w:p>
      <w:pPr>
        <w:spacing w:after="0" w:line="238" w:lineRule="exact"/>
        <w:rPr>
          <w:sz w:val="20"/>
          <w:szCs w:val="20"/>
          <w:color w:val="auto"/>
        </w:rPr>
      </w:pPr>
    </w:p>
    <w:p>
      <w:pPr>
        <w:ind w:left="992" w:hanging="895"/>
        <w:spacing w:after="0"/>
        <w:tabs>
          <w:tab w:leader="none" w:pos="992"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992" w:hanging="895"/>
        <w:spacing w:after="0"/>
        <w:tabs>
          <w:tab w:leader="none" w:pos="992"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92" w:right="8380" w:hanging="895"/>
        <w:spacing w:after="0" w:line="563" w:lineRule="auto"/>
        <w:tabs>
          <w:tab w:leader="none" w:pos="9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VOTING POWER 0</w:t>
      </w:r>
    </w:p>
    <w:p>
      <w:pPr>
        <w:ind w:left="992" w:right="8100" w:hanging="895"/>
        <w:spacing w:after="0" w:line="437" w:lineRule="auto"/>
        <w:tabs>
          <w:tab w:leader="none" w:pos="9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VOTING POWER 31,827,500</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color w:val="auto"/>
        </w:rPr>
      </w:pPr>
    </w:p>
    <w:p>
      <w:pPr>
        <w:ind w:left="992" w:right="7980" w:hanging="895"/>
        <w:spacing w:after="0" w:line="563" w:lineRule="auto"/>
        <w:tabs>
          <w:tab w:leader="none" w:pos="9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92" w:right="7700" w:hanging="895"/>
        <w:spacing w:after="0" w:line="485" w:lineRule="auto"/>
        <w:tabs>
          <w:tab w:leader="none" w:pos="9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DISPOSITIVE POWER 31,827,500</w:t>
      </w:r>
    </w:p>
    <w:p>
      <w:pPr>
        <w:sectPr>
          <w:pgSz w:w="11900" w:h="17038" w:orient="portrait"/>
          <w:cols w:equalWidth="0" w:num="1">
            <w:col w:w="11232"/>
          </w:cols>
          <w:pgMar w:left="328" w:top="125" w:right="339" w:bottom="0" w:gutter="0" w:footer="0" w:header="0"/>
        </w:sectPr>
      </w:pPr>
    </w:p>
    <w:bookmarkStart w:id="2" w:name="page3"/>
    <w:bookmarkEnd w:id="2"/>
    <w:p>
      <w:pPr>
        <w:spacing w:after="0" w:line="200" w:lineRule="exact"/>
        <w:rPr>
          <w:sz w:val="20"/>
          <w:szCs w:val="20"/>
          <w:color w:val="auto"/>
        </w:rPr>
      </w:pPr>
    </w:p>
    <w:p>
      <w:pPr>
        <w:ind w:left="992" w:right="3680" w:hanging="895"/>
        <w:spacing w:after="0" w:line="547" w:lineRule="auto"/>
        <w:tabs>
          <w:tab w:leader="none" w:pos="9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31,827,500</w:t>
      </w:r>
    </w:p>
    <w:p>
      <w:pPr>
        <w:spacing w:after="0" w:line="1" w:lineRule="exact"/>
        <w:rPr>
          <w:sz w:val="20"/>
          <w:szCs w:val="20"/>
          <w:color w:val="auto"/>
        </w:rPr>
      </w:pPr>
    </w:p>
    <w:tbl>
      <w:tblPr>
        <w:tblLayout w:type="fixed"/>
        <w:tblInd w:w="92" w:type="dxa"/>
        <w:tblCellMar>
          <w:top w:w="0" w:type="dxa"/>
          <w:left w:w="0" w:type="dxa"/>
          <w:bottom w:w="0" w:type="dxa"/>
          <w:right w:w="0" w:type="dxa"/>
        </w:tblCellMar>
      </w:tblPr>
      <w:tr>
        <w:trPr>
          <w:trHeight w:val="230"/>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10.</w:t>
            </w:r>
          </w:p>
        </w:tc>
        <w:tc>
          <w:tcPr>
            <w:tcW w:w="9360" w:type="dxa"/>
            <w:vAlign w:val="bottom"/>
          </w:tcPr>
          <w:p>
            <w:pPr>
              <w:ind w:left="340"/>
              <w:spacing w:after="0"/>
              <w:rPr>
                <w:sz w:val="20"/>
                <w:szCs w:val="20"/>
                <w:color w:val="auto"/>
              </w:rPr>
            </w:pPr>
            <w:r>
              <w:rPr>
                <w:rFonts w:ascii="Arial" w:cs="Arial" w:eastAsia="Arial" w:hAnsi="Arial"/>
                <w:sz w:val="18"/>
                <w:szCs w:val="18"/>
                <w:color w:val="auto"/>
                <w:w w:val="97"/>
              </w:rPr>
              <w:t>CHECK BOX IF THE AGGREGATE AMOUNT IN ROW (9) EXCLUDES CERTAIN SHARES (SEE INSTRUCTIONS)</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93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992" w:right="5180" w:hanging="895"/>
        <w:spacing w:after="0" w:line="563" w:lineRule="auto"/>
        <w:tabs>
          <w:tab w:leader="none" w:pos="9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w:t>
      </w:r>
    </w:p>
    <w:p>
      <w:pPr>
        <w:ind w:left="992" w:right="5900" w:hanging="895"/>
        <w:spacing w:after="0" w:line="590" w:lineRule="auto"/>
        <w:tabs>
          <w:tab w:leader="none" w:pos="9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02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72" w:lineRule="exact"/>
        <w:rPr>
          <w:sz w:val="20"/>
          <w:szCs w:val="20"/>
          <w:color w:val="auto"/>
        </w:rPr>
      </w:pPr>
    </w:p>
    <w:p>
      <w:pPr>
        <w:ind w:left="-8" w:firstLine="8"/>
        <w:spacing w:after="0" w:line="194" w:lineRule="auto"/>
        <w:tabs>
          <w:tab w:leader="none" w:pos="123"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The reporting person has beneficial ownership of 6,365,500 American Depositary Shares (each American Depositary Share represents five (5) ordinary shares), which are convertible into 31,827,500 Ordinary 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92"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1700" w:type="dxa"/>
            <w:vAlign w:val="bottom"/>
          </w:tcPr>
          <w:p>
            <w:pPr>
              <w:jc w:val="right"/>
              <w:ind w:right="690"/>
              <w:spacing w:after="0"/>
              <w:rPr>
                <w:sz w:val="20"/>
                <w:szCs w:val="20"/>
                <w:color w:val="auto"/>
              </w:rPr>
            </w:pPr>
            <w:r>
              <w:rPr>
                <w:rFonts w:ascii="Arial" w:cs="Arial" w:eastAsia="Arial" w:hAnsi="Arial"/>
                <w:sz w:val="18"/>
                <w:szCs w:val="18"/>
                <w:color w:val="auto"/>
                <w:w w:val="99"/>
              </w:rPr>
              <w:t>589492107</w:t>
            </w:r>
          </w:p>
        </w:tc>
      </w:tr>
      <w:tr>
        <w:trPr>
          <w:trHeight w:val="27"/>
        </w:trPr>
        <w:tc>
          <w:tcPr>
            <w:tcW w:w="11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992" w:hanging="895"/>
        <w:spacing w:after="0"/>
        <w:tabs>
          <w:tab w:leader="none" w:pos="9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992" w:right="464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Aaron Cowen</w:t>
      </w:r>
    </w:p>
    <w:p>
      <w:pPr>
        <w:ind w:left="992" w:hanging="895"/>
        <w:spacing w:after="0"/>
        <w:tabs>
          <w:tab w:leader="none" w:pos="9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12"/>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ind w:left="10212"/>
        <w:spacing w:after="0"/>
        <w:rPr>
          <w:sz w:val="20"/>
          <w:szCs w:val="20"/>
          <w:color w:val="auto"/>
        </w:rPr>
      </w:pPr>
      <w:r>
        <w:rPr>
          <w:rFonts w:ascii="Arial" w:cs="Arial" w:eastAsia="Arial" w:hAnsi="Arial"/>
          <w:sz w:val="18"/>
          <w:szCs w:val="18"/>
          <w:color w:val="auto"/>
        </w:rPr>
        <w:t>(b) [x]</w:t>
      </w:r>
    </w:p>
    <w:p>
      <w:pPr>
        <w:spacing w:after="0" w:line="279" w:lineRule="exact"/>
        <w:rPr>
          <w:sz w:val="20"/>
          <w:szCs w:val="20"/>
          <w:color w:val="auto"/>
        </w:rPr>
      </w:pPr>
    </w:p>
    <w:p>
      <w:pPr>
        <w:ind w:left="992" w:hanging="895"/>
        <w:spacing w:after="0"/>
        <w:tabs>
          <w:tab w:leader="none" w:pos="9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992" w:hanging="895"/>
        <w:spacing w:after="0"/>
        <w:tabs>
          <w:tab w:leader="none" w:pos="9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92" w:right="8380" w:hanging="895"/>
        <w:spacing w:after="0" w:line="563" w:lineRule="auto"/>
        <w:tabs>
          <w:tab w:leader="none" w:pos="9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ind w:left="992" w:right="8100" w:hanging="895"/>
        <w:spacing w:after="0" w:line="437" w:lineRule="auto"/>
        <w:tabs>
          <w:tab w:leader="none" w:pos="9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VOTING POWER 31,827,500</w:t>
      </w:r>
      <w:r>
        <w:rPr>
          <w:rFonts w:ascii="Arial" w:cs="Arial" w:eastAsia="Arial" w:hAnsi="Arial"/>
          <w:sz w:val="29"/>
          <w:szCs w:val="29"/>
          <w:color w:val="auto"/>
          <w:vertAlign w:val="superscript"/>
        </w:rPr>
        <w:t>3</w:t>
      </w:r>
    </w:p>
    <w:p>
      <w:pPr>
        <w:spacing w:after="0" w:line="1" w:lineRule="exact"/>
        <w:rPr>
          <w:rFonts w:ascii="Arial" w:cs="Arial" w:eastAsia="Arial" w:hAnsi="Arial"/>
          <w:sz w:val="18"/>
          <w:szCs w:val="18"/>
          <w:color w:val="auto"/>
        </w:rPr>
      </w:pPr>
    </w:p>
    <w:p>
      <w:pPr>
        <w:ind w:left="992" w:right="7980" w:hanging="895"/>
        <w:spacing w:after="0" w:line="563" w:lineRule="auto"/>
        <w:tabs>
          <w:tab w:leader="none" w:pos="9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92" w:right="7700" w:hanging="895"/>
        <w:spacing w:after="0" w:line="563" w:lineRule="auto"/>
        <w:tabs>
          <w:tab w:leader="none" w:pos="9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31,827,500</w:t>
      </w:r>
    </w:p>
    <w:p>
      <w:pPr>
        <w:ind w:left="992" w:right="3680" w:hanging="895"/>
        <w:spacing w:after="0" w:line="547" w:lineRule="auto"/>
        <w:tabs>
          <w:tab w:leader="none" w:pos="9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31,827,500</w:t>
      </w:r>
    </w:p>
    <w:p>
      <w:pPr>
        <w:spacing w:after="0" w:line="1" w:lineRule="exact"/>
        <w:rPr>
          <w:sz w:val="20"/>
          <w:szCs w:val="20"/>
          <w:color w:val="auto"/>
        </w:rPr>
      </w:pPr>
    </w:p>
    <w:p>
      <w:pPr>
        <w:ind w:left="92"/>
        <w:spacing w:after="0"/>
        <w:tabs>
          <w:tab w:leader="none" w:pos="972" w:val="left"/>
          <w:tab w:leader="none" w:pos="10192"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52" w:lineRule="exact"/>
        <w:rPr>
          <w:sz w:val="20"/>
          <w:szCs w:val="20"/>
          <w:color w:val="auto"/>
        </w:rPr>
      </w:pPr>
    </w:p>
    <w:p>
      <w:pPr>
        <w:ind w:left="992" w:right="5180" w:hanging="895"/>
        <w:spacing w:after="0" w:line="532" w:lineRule="auto"/>
        <w:tabs>
          <w:tab w:leader="none" w:pos="9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w:t>
      </w:r>
    </w:p>
    <w:p>
      <w:pPr>
        <w:sectPr>
          <w:pgSz w:w="11900" w:h="17038" w:orient="portrait"/>
          <w:cols w:equalWidth="0" w:num="1">
            <w:col w:w="11232"/>
          </w:cols>
          <w:pgMar w:left="328" w:top="611" w:right="339" w:bottom="0" w:gutter="0" w:footer="0" w:header="0"/>
        </w:sectPr>
      </w:pPr>
    </w:p>
    <w:bookmarkStart w:id="3" w:name="page4"/>
    <w:bookmarkEnd w:id="3"/>
    <w:p>
      <w:pPr>
        <w:ind w:left="992" w:right="5900" w:hanging="895"/>
        <w:spacing w:after="0" w:line="590" w:lineRule="auto"/>
        <w:tabs>
          <w:tab w:leader="none" w:pos="9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820420</wp:posOffset>
            </wp:positionV>
            <wp:extent cx="702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 w:firstLine="8"/>
        <w:spacing w:after="0" w:line="207" w:lineRule="auto"/>
        <w:tabs>
          <w:tab w:leader="none" w:pos="104"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The reporting person has beneficial ownership of 6,365,500 American Depositary Shares (each American Depositary Share represents five (5) ordinary shares), which are convertible into 31,827,500 Ordinary Shares.</w:t>
      </w:r>
    </w:p>
    <w:p>
      <w:pPr>
        <w:spacing w:after="0" w:line="200" w:lineRule="exact"/>
        <w:rPr>
          <w:sz w:val="20"/>
          <w:szCs w:val="20"/>
          <w:color w:val="auto"/>
        </w:rPr>
      </w:pPr>
    </w:p>
    <w:p>
      <w:pPr>
        <w:spacing w:after="0" w:line="272" w:lineRule="exact"/>
        <w:rPr>
          <w:sz w:val="20"/>
          <w:szCs w:val="20"/>
          <w:color w:val="auto"/>
        </w:rPr>
      </w:pPr>
    </w:p>
    <w:tbl>
      <w:tblPr>
        <w:tblLayout w:type="fixed"/>
        <w:tblInd w:w="92"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w w:val="95"/>
              </w:rPr>
              <w:t>CUSIP No.</w:t>
            </w:r>
          </w:p>
        </w:tc>
        <w:tc>
          <w:tcPr>
            <w:tcW w:w="520" w:type="dxa"/>
            <w:vAlign w:val="bottom"/>
          </w:tcPr>
          <w:p>
            <w:pPr>
              <w:spacing w:after="0"/>
              <w:rPr>
                <w:sz w:val="20"/>
                <w:szCs w:val="20"/>
                <w:color w:val="auto"/>
              </w:rPr>
            </w:pPr>
          </w:p>
        </w:tc>
        <w:tc>
          <w:tcPr>
            <w:tcW w:w="1900" w:type="dxa"/>
            <w:vAlign w:val="bottom"/>
            <w:gridSpan w:val="2"/>
          </w:tcPr>
          <w:p>
            <w:pPr>
              <w:jc w:val="right"/>
              <w:ind w:right="910"/>
              <w:spacing w:after="0"/>
              <w:rPr>
                <w:sz w:val="20"/>
                <w:szCs w:val="20"/>
                <w:color w:val="auto"/>
              </w:rPr>
            </w:pPr>
            <w:r>
              <w:rPr>
                <w:rFonts w:ascii="Arial" w:cs="Arial" w:eastAsia="Arial" w:hAnsi="Arial"/>
                <w:sz w:val="18"/>
                <w:szCs w:val="18"/>
                <w:color w:val="auto"/>
                <w:w w:val="97"/>
              </w:rPr>
              <w:t>589492107</w:t>
            </w:r>
          </w:p>
        </w:tc>
        <w:tc>
          <w:tcPr>
            <w:tcW w:w="7860" w:type="dxa"/>
            <w:vAlign w:val="bottom"/>
          </w:tcPr>
          <w:p>
            <w:pPr>
              <w:spacing w:after="0"/>
              <w:rPr>
                <w:sz w:val="20"/>
                <w:szCs w:val="20"/>
                <w:color w:val="auto"/>
              </w:rPr>
            </w:pPr>
          </w:p>
        </w:tc>
      </w:tr>
      <w:tr>
        <w:trPr>
          <w:trHeight w:val="27"/>
        </w:trPr>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60" w:type="dxa"/>
            <w:vAlign w:val="bottom"/>
          </w:tcPr>
          <w:p>
            <w:pPr>
              <w:spacing w:after="0"/>
              <w:rPr>
                <w:sz w:val="2"/>
                <w:szCs w:val="2"/>
                <w:color w:val="auto"/>
              </w:rPr>
            </w:pPr>
          </w:p>
        </w:tc>
      </w:tr>
      <w:tr>
        <w:trPr>
          <w:trHeight w:val="696"/>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520" w:type="dxa"/>
            <w:vAlign w:val="bottom"/>
          </w:tcPr>
          <w:p>
            <w:pPr>
              <w:ind w:left="40"/>
              <w:spacing w:after="0"/>
              <w:rPr>
                <w:sz w:val="20"/>
                <w:szCs w:val="20"/>
                <w:color w:val="auto"/>
              </w:rPr>
            </w:pPr>
            <w:r>
              <w:rPr>
                <w:rFonts w:ascii="Arial" w:cs="Arial" w:eastAsia="Arial" w:hAnsi="Arial"/>
                <w:sz w:val="18"/>
                <w:szCs w:val="18"/>
                <w:color w:val="auto"/>
              </w:rPr>
              <w:t>(a).</w:t>
            </w:r>
          </w:p>
        </w:tc>
        <w:tc>
          <w:tcPr>
            <w:tcW w:w="34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Name of Issuer:</w:t>
            </w:r>
          </w:p>
        </w:tc>
      </w:tr>
      <w:tr>
        <w:trPr>
          <w:trHeight w:val="459"/>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Mereo BioPharma Group plc</w:t>
            </w:r>
          </w:p>
        </w:tc>
      </w:tr>
      <w:tr>
        <w:trPr>
          <w:trHeight w:val="27"/>
        </w:trPr>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20" w:type="dxa"/>
            <w:vAlign w:val="bottom"/>
            <w:tcBorders>
              <w:bottom w:val="single" w:sz="8" w:color="auto"/>
            </w:tcBorders>
            <w:gridSpan w:val="2"/>
          </w:tcPr>
          <w:p>
            <w:pPr>
              <w:spacing w:after="0"/>
              <w:rPr>
                <w:sz w:val="2"/>
                <w:szCs w:val="2"/>
                <w:color w:val="auto"/>
              </w:rPr>
            </w:pPr>
          </w:p>
        </w:tc>
      </w:tr>
      <w:tr>
        <w:trPr>
          <w:trHeight w:val="453"/>
        </w:trPr>
        <w:tc>
          <w:tcPr>
            <w:tcW w:w="86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(b).</w:t>
            </w:r>
          </w:p>
        </w:tc>
        <w:tc>
          <w:tcPr>
            <w:tcW w:w="34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Address of Issuer's Principal Executive Offices:</w:t>
            </w:r>
          </w:p>
        </w:tc>
      </w:tr>
      <w:tr>
        <w:trPr>
          <w:trHeight w:val="472"/>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Fourth Floor, One Cavendish Place</w:t>
            </w:r>
          </w:p>
        </w:tc>
      </w:tr>
      <w:tr>
        <w:trPr>
          <w:trHeight w:val="230"/>
        </w:trPr>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London, W1G 0QF, United Kingdom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154305</wp:posOffset>
            </wp:positionV>
            <wp:extent cx="5983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ectPr>
          <w:pgSz w:w="11900" w:h="16838" w:orient="portrait"/>
          <w:cols w:equalWidth="0" w:num="1">
            <w:col w:w="11232"/>
          </w:cols>
          <w:pgMar w:left="328" w:top="368" w:right="339" w:bottom="0" w:gutter="0" w:footer="0" w:header="0"/>
        </w:sectPr>
      </w:pPr>
    </w:p>
    <w:p>
      <w:pPr>
        <w:spacing w:after="0" w:line="200" w:lineRule="exact"/>
        <w:rPr>
          <w:sz w:val="20"/>
          <w:szCs w:val="20"/>
          <w:color w:val="auto"/>
        </w:rPr>
      </w:pPr>
    </w:p>
    <w:p>
      <w:pPr>
        <w:spacing w:after="0" w:line="285" w:lineRule="exact"/>
        <w:rPr>
          <w:sz w:val="20"/>
          <w:szCs w:val="20"/>
          <w:color w:val="auto"/>
        </w:rPr>
      </w:pPr>
    </w:p>
    <w:p>
      <w:pPr>
        <w:ind w:left="92"/>
        <w:spacing w:after="0"/>
        <w:tabs>
          <w:tab w:leader="none" w:pos="972"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(a) –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Name, Principal Business Address, and Citizenship of Persons Filing</w:t>
      </w:r>
      <w:r>
        <w:rPr>
          <w:rFonts w:ascii="Arial" w:cs="Arial" w:eastAsia="Arial" w:hAnsi="Arial"/>
          <w:sz w:val="19"/>
          <w:szCs w:val="19"/>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Suvretta Capital Management, LLC –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Averill Master Fund, Ltd. – 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Aaron Cowen –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22860</wp:posOffset>
            </wp:positionV>
            <wp:extent cx="5983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Suvretta Capital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540 Madison Avenue,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Averill Master Fund,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Maples Corporate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Ugland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 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Aaron Cowen: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Suvretta Capital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540 Madison Avenue,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5715</wp:posOffset>
            </wp:positionV>
            <wp:extent cx="59836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0"/>
          <w:szCs w:val="20"/>
          <w:color w:val="auto"/>
        </w:rPr>
      </w:pPr>
    </w:p>
    <w:p>
      <w:pPr>
        <w:sectPr>
          <w:pgSz w:w="11900" w:h="16838" w:orient="portrait"/>
          <w:cols w:equalWidth="0" w:num="2">
            <w:col w:w="1572" w:space="340"/>
            <w:col w:w="9320"/>
          </w:cols>
          <w:pgMar w:left="328" w:top="368" w:right="339" w:bottom="0" w:gutter="0" w:footer="0" w:header="0"/>
          <w:type w:val="continuous"/>
        </w:sectPr>
      </w:pPr>
    </w:p>
    <w:p>
      <w:pPr>
        <w:spacing w:after="0" w:line="79" w:lineRule="exact"/>
        <w:rPr>
          <w:sz w:val="20"/>
          <w:szCs w:val="20"/>
          <w:color w:val="auto"/>
        </w:rPr>
      </w:pPr>
    </w:p>
    <w:p>
      <w:pPr>
        <w:ind w:left="1912"/>
        <w:spacing w:after="0"/>
        <w:rPr>
          <w:sz w:val="20"/>
          <w:szCs w:val="20"/>
          <w:color w:val="auto"/>
        </w:rPr>
      </w:pPr>
      <w:r>
        <w:rPr>
          <w:rFonts w:ascii="Arial" w:cs="Arial" w:eastAsia="Arial" w:hAnsi="Arial"/>
          <w:sz w:val="18"/>
          <w:szCs w:val="18"/>
          <w:color w:val="auto"/>
        </w:rPr>
        <w:t>Ordinary shares, nominal value £0.003 per share (the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31750</wp:posOffset>
            </wp:positionV>
            <wp:extent cx="59836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273" w:lineRule="exact"/>
        <w:rPr>
          <w:sz w:val="20"/>
          <w:szCs w:val="20"/>
          <w:color w:val="auto"/>
        </w:rPr>
      </w:pPr>
    </w:p>
    <w:p>
      <w:pPr>
        <w:ind w:left="992"/>
        <w:spacing w:after="0"/>
        <w:tabs>
          <w:tab w:leader="none" w:pos="1892"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CUSIP Number:</w:t>
      </w:r>
    </w:p>
    <w:p>
      <w:pPr>
        <w:spacing w:after="0" w:line="279" w:lineRule="exact"/>
        <w:rPr>
          <w:sz w:val="20"/>
          <w:szCs w:val="20"/>
          <w:color w:val="auto"/>
        </w:rPr>
      </w:pPr>
    </w:p>
    <w:p>
      <w:pPr>
        <w:ind w:left="1912"/>
        <w:spacing w:after="0"/>
        <w:rPr>
          <w:sz w:val="20"/>
          <w:szCs w:val="20"/>
          <w:color w:val="auto"/>
        </w:rPr>
      </w:pPr>
      <w:r>
        <w:rPr>
          <w:rFonts w:ascii="Arial" w:cs="Arial" w:eastAsia="Arial" w:hAnsi="Arial"/>
          <w:sz w:val="18"/>
          <w:szCs w:val="18"/>
          <w:color w:val="auto"/>
        </w:rPr>
        <w:t>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31750</wp:posOffset>
            </wp:positionV>
            <wp:extent cx="5983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273" w:lineRule="exact"/>
        <w:rPr>
          <w:sz w:val="20"/>
          <w:szCs w:val="20"/>
          <w:color w:val="auto"/>
        </w:rPr>
      </w:pPr>
    </w:p>
    <w:p>
      <w:pPr>
        <w:ind w:left="92"/>
        <w:spacing w:after="0"/>
        <w:tabs>
          <w:tab w:leader="none" w:pos="1892"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200" w:lineRule="exact"/>
        <w:rPr>
          <w:sz w:val="20"/>
          <w:szCs w:val="20"/>
          <w:color w:val="auto"/>
        </w:rPr>
      </w:pPr>
    </w:p>
    <w:p>
      <w:pPr>
        <w:spacing w:after="0" w:line="295" w:lineRule="exact"/>
        <w:rPr>
          <w:sz w:val="20"/>
          <w:szCs w:val="20"/>
          <w:color w:val="auto"/>
        </w:rPr>
      </w:pPr>
    </w:p>
    <w:p>
      <w:pPr>
        <w:ind w:left="1912" w:hanging="910"/>
        <w:spacing w:after="0"/>
        <w:tabs>
          <w:tab w:leader="none" w:pos="19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[_]   Broker or dealer registered under Section 15 of the Exchange Act (15 U.S.C. 78c).</w:t>
      </w:r>
    </w:p>
    <w:p>
      <w:pPr>
        <w:spacing w:after="0" w:line="279" w:lineRule="exact"/>
        <w:rPr>
          <w:rFonts w:ascii="Arial" w:cs="Arial" w:eastAsia="Arial" w:hAnsi="Arial"/>
          <w:sz w:val="18"/>
          <w:szCs w:val="18"/>
          <w:color w:val="auto"/>
        </w:rPr>
      </w:pPr>
    </w:p>
    <w:p>
      <w:pPr>
        <w:ind w:left="1912" w:hanging="910"/>
        <w:spacing w:after="0"/>
        <w:tabs>
          <w:tab w:leader="none" w:pos="19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[_]   Bank as defined in Section 3(a)(6) of the Exchange Act (15 U.S.C. 78c).</w:t>
      </w:r>
    </w:p>
    <w:p>
      <w:pPr>
        <w:spacing w:after="0" w:line="279" w:lineRule="exact"/>
        <w:rPr>
          <w:rFonts w:ascii="Arial" w:cs="Arial" w:eastAsia="Arial" w:hAnsi="Arial"/>
          <w:sz w:val="18"/>
          <w:szCs w:val="18"/>
          <w:color w:val="auto"/>
        </w:rPr>
      </w:pPr>
    </w:p>
    <w:p>
      <w:pPr>
        <w:ind w:left="1912" w:hanging="910"/>
        <w:spacing w:after="0"/>
        <w:tabs>
          <w:tab w:leader="none" w:pos="19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[_]   Insurance company as defined in Section 3(a)(19) of the Exchange Act (15 U.S.C. 78c).</w:t>
      </w:r>
    </w:p>
    <w:p>
      <w:pPr>
        <w:spacing w:after="0" w:line="279" w:lineRule="exact"/>
        <w:rPr>
          <w:rFonts w:ascii="Arial" w:cs="Arial" w:eastAsia="Arial" w:hAnsi="Arial"/>
          <w:sz w:val="18"/>
          <w:szCs w:val="18"/>
          <w:color w:val="auto"/>
        </w:rPr>
      </w:pPr>
    </w:p>
    <w:p>
      <w:pPr>
        <w:ind w:left="1912" w:hanging="910"/>
        <w:spacing w:after="0"/>
        <w:tabs>
          <w:tab w:leader="none" w:pos="1912" w:val="left"/>
        </w:tabs>
        <w:numPr>
          <w:ilvl w:val="0"/>
          <w:numId w:val="20"/>
        </w:numPr>
        <w:rPr>
          <w:rFonts w:ascii="Arial" w:cs="Arial" w:eastAsia="Arial" w:hAnsi="Arial"/>
          <w:sz w:val="16"/>
          <w:szCs w:val="16"/>
          <w:color w:val="auto"/>
        </w:rPr>
      </w:pPr>
      <w:r>
        <w:rPr>
          <w:rFonts w:ascii="Arial" w:cs="Arial" w:eastAsia="Arial" w:hAnsi="Arial"/>
          <w:sz w:val="16"/>
          <w:szCs w:val="16"/>
          <w:color w:val="auto"/>
        </w:rPr>
        <w:t>[_]   Investment company registered under Section 8 of the Investment Company Act of 1940 (15 U.S.C. 80a-8).</w:t>
      </w:r>
    </w:p>
    <w:p>
      <w:pPr>
        <w:sectPr>
          <w:pgSz w:w="11900" w:h="16838" w:orient="portrait"/>
          <w:cols w:equalWidth="0" w:num="1">
            <w:col w:w="11232"/>
          </w:cols>
          <w:pgMar w:left="328" w:top="368" w:right="339" w:bottom="0" w:gutter="0" w:footer="0" w:header="0"/>
          <w:type w:val="continuous"/>
        </w:sectPr>
      </w:pPr>
    </w:p>
    <w:bookmarkStart w:id="4" w:name="page5"/>
    <w:bookmarkEnd w:id="4"/>
    <w:p>
      <w:pPr>
        <w:ind w:left="1820" w:hanging="910"/>
        <w:spacing w:after="0"/>
        <w:tabs>
          <w:tab w:leader="none" w:pos="1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[_]   An investment adviser in accordance with § 240.13d-1(b)(1)(ii)(E);</w:t>
      </w:r>
    </w:p>
    <w:p>
      <w:pPr>
        <w:spacing w:after="0" w:line="279" w:lineRule="exact"/>
        <w:rPr>
          <w:rFonts w:ascii="Arial" w:cs="Arial" w:eastAsia="Arial" w:hAnsi="Arial"/>
          <w:sz w:val="18"/>
          <w:szCs w:val="18"/>
          <w:color w:val="auto"/>
        </w:rPr>
      </w:pPr>
    </w:p>
    <w:p>
      <w:pPr>
        <w:ind w:left="1820" w:hanging="910"/>
        <w:spacing w:after="0"/>
        <w:tabs>
          <w:tab w:leader="none" w:pos="1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[_]   An employee benefit plan or endowment fund in accordance with § 240.13d-1(b)(1)(ii)(F);</w:t>
      </w:r>
    </w:p>
    <w:p>
      <w:pPr>
        <w:spacing w:after="0" w:line="279" w:lineRule="exact"/>
        <w:rPr>
          <w:rFonts w:ascii="Arial" w:cs="Arial" w:eastAsia="Arial" w:hAnsi="Arial"/>
          <w:sz w:val="18"/>
          <w:szCs w:val="18"/>
          <w:color w:val="auto"/>
        </w:rPr>
      </w:pPr>
    </w:p>
    <w:p>
      <w:pPr>
        <w:ind w:left="1820" w:hanging="910"/>
        <w:spacing w:after="0"/>
        <w:tabs>
          <w:tab w:leader="none" w:pos="1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[_]   A parent holding company or control person in accordance with Rule 13d-1(b)(1)(ii)(G);</w:t>
      </w:r>
    </w:p>
    <w:p>
      <w:pPr>
        <w:spacing w:after="0" w:line="279" w:lineRule="exact"/>
        <w:rPr>
          <w:rFonts w:ascii="Arial" w:cs="Arial" w:eastAsia="Arial" w:hAnsi="Arial"/>
          <w:sz w:val="18"/>
          <w:szCs w:val="18"/>
          <w:color w:val="auto"/>
        </w:rPr>
      </w:pPr>
    </w:p>
    <w:p>
      <w:pPr>
        <w:ind w:left="1820" w:hanging="910"/>
        <w:spacing w:after="0"/>
        <w:tabs>
          <w:tab w:leader="none" w:pos="1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[_]   A savings association as defined in Section 3(b) of the Federal Deposit Insurance Act (12 U.S.C.1813);</w:t>
      </w:r>
    </w:p>
    <w:p>
      <w:pPr>
        <w:spacing w:after="0" w:line="279" w:lineRule="exact"/>
        <w:rPr>
          <w:rFonts w:ascii="Arial" w:cs="Arial" w:eastAsia="Arial" w:hAnsi="Arial"/>
          <w:sz w:val="18"/>
          <w:szCs w:val="18"/>
          <w:color w:val="auto"/>
        </w:rPr>
      </w:pPr>
    </w:p>
    <w:p>
      <w:pPr>
        <w:ind w:left="2260" w:right="60" w:hanging="1350"/>
        <w:spacing w:after="0" w:line="277" w:lineRule="auto"/>
        <w:tabs>
          <w:tab w:leader="none" w:pos="1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[_] 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820" w:hanging="910"/>
        <w:spacing w:after="0"/>
        <w:tabs>
          <w:tab w:leader="none" w:pos="1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[_]   Group, in accordance with s.240.13d-1(b)(1)(ii)(J).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440" w:hanging="665"/>
        <w:spacing w:after="0"/>
        <w:tabs>
          <w:tab w:leader="none" w:pos="1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79" w:lineRule="exact"/>
        <w:rPr>
          <w:rFonts w:ascii="Arial" w:cs="Arial" w:eastAsia="Arial" w:hAnsi="Arial"/>
          <w:sz w:val="18"/>
          <w:szCs w:val="18"/>
          <w:color w:val="auto"/>
        </w:rPr>
      </w:pPr>
    </w:p>
    <w:p>
      <w:pPr>
        <w:ind w:left="1440" w:right="5840"/>
        <w:spacing w:after="0" w:line="325" w:lineRule="auto"/>
        <w:rPr>
          <w:rFonts w:ascii="Arial" w:cs="Arial" w:eastAsia="Arial" w:hAnsi="Arial"/>
          <w:sz w:val="18"/>
          <w:szCs w:val="18"/>
          <w:color w:val="auto"/>
        </w:rPr>
      </w:pPr>
      <w:r>
        <w:rPr>
          <w:rFonts w:ascii="Arial" w:cs="Arial" w:eastAsia="Arial" w:hAnsi="Arial"/>
          <w:sz w:val="16"/>
          <w:szCs w:val="16"/>
          <w:color w:val="auto"/>
        </w:rPr>
        <w:t>Suvretta Capital Management, LLC – 31,827,500 Averill Master Fund, Ltd. – 31,827,500</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Aaron Cowen – 31,827,500</w:t>
      </w:r>
    </w:p>
    <w:p>
      <w:pPr>
        <w:spacing w:after="0" w:line="279" w:lineRule="exact"/>
        <w:rPr>
          <w:rFonts w:ascii="Arial" w:cs="Arial" w:eastAsia="Arial" w:hAnsi="Arial"/>
          <w:sz w:val="18"/>
          <w:szCs w:val="18"/>
          <w:color w:val="auto"/>
        </w:rPr>
      </w:pPr>
    </w:p>
    <w:p>
      <w:pPr>
        <w:ind w:left="1440" w:hanging="665"/>
        <w:spacing w:after="0"/>
        <w:tabs>
          <w:tab w:leader="none" w:pos="1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79" w:lineRule="exact"/>
        <w:rPr>
          <w:rFonts w:ascii="Arial" w:cs="Arial" w:eastAsia="Arial" w:hAnsi="Arial"/>
          <w:sz w:val="18"/>
          <w:szCs w:val="18"/>
          <w:color w:val="auto"/>
        </w:rPr>
      </w:pPr>
    </w:p>
    <w:p>
      <w:pPr>
        <w:ind w:left="1440" w:right="6280"/>
        <w:spacing w:after="0" w:line="289" w:lineRule="auto"/>
        <w:rPr>
          <w:rFonts w:ascii="Arial" w:cs="Arial" w:eastAsia="Arial" w:hAnsi="Arial"/>
          <w:sz w:val="18"/>
          <w:szCs w:val="18"/>
          <w:color w:val="auto"/>
        </w:rPr>
      </w:pPr>
      <w:r>
        <w:rPr>
          <w:rFonts w:ascii="Arial" w:cs="Arial" w:eastAsia="Arial" w:hAnsi="Arial"/>
          <w:sz w:val="18"/>
          <w:szCs w:val="18"/>
          <w:color w:val="auto"/>
        </w:rPr>
        <w:t>Suvretta Capital Management, LLC – 5.9% Averill Master Fund, Ltd. – 5.9%</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Aaron Cowen – 5.9%</w:t>
      </w:r>
    </w:p>
    <w:p>
      <w:pPr>
        <w:spacing w:after="0" w:line="279" w:lineRule="exact"/>
        <w:rPr>
          <w:rFonts w:ascii="Arial" w:cs="Arial" w:eastAsia="Arial" w:hAnsi="Arial"/>
          <w:sz w:val="18"/>
          <w:szCs w:val="18"/>
          <w:color w:val="auto"/>
        </w:rPr>
      </w:pPr>
    </w:p>
    <w:p>
      <w:pPr>
        <w:ind w:left="1440" w:hanging="665"/>
        <w:spacing w:after="0"/>
        <w:tabs>
          <w:tab w:leader="none" w:pos="1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79" w:lineRule="exact"/>
        <w:rPr>
          <w:rFonts w:ascii="Arial" w:cs="Arial" w:eastAsia="Arial" w:hAnsi="Arial"/>
          <w:sz w:val="18"/>
          <w:szCs w:val="18"/>
          <w:color w:val="auto"/>
        </w:rPr>
      </w:pPr>
    </w:p>
    <w:p>
      <w:pPr>
        <w:ind w:left="2160" w:hanging="724"/>
        <w:spacing w:after="0"/>
        <w:tabs>
          <w:tab w:leader="none" w:pos="2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79" w:lineRule="exact"/>
        <w:rPr>
          <w:rFonts w:ascii="Arial" w:cs="Arial" w:eastAsia="Arial" w:hAnsi="Arial"/>
          <w:sz w:val="18"/>
          <w:szCs w:val="18"/>
          <w:color w:val="auto"/>
        </w:rPr>
      </w:pPr>
    </w:p>
    <w:p>
      <w:pPr>
        <w:ind w:left="2160" w:right="5820"/>
        <w:spacing w:after="0" w:line="289" w:lineRule="auto"/>
        <w:rPr>
          <w:rFonts w:ascii="Arial" w:cs="Arial" w:eastAsia="Arial" w:hAnsi="Arial"/>
          <w:sz w:val="18"/>
          <w:szCs w:val="18"/>
          <w:color w:val="auto"/>
        </w:rPr>
      </w:pPr>
      <w:r>
        <w:rPr>
          <w:rFonts w:ascii="Arial" w:cs="Arial" w:eastAsia="Arial" w:hAnsi="Arial"/>
          <w:sz w:val="18"/>
          <w:szCs w:val="18"/>
          <w:color w:val="auto"/>
        </w:rPr>
        <w:t>Suvretta Capital Management, LLC – 0 Averill Master Fund, Ltd. – 0</w:t>
      </w:r>
    </w:p>
    <w:p>
      <w:pPr>
        <w:spacing w:after="0" w:line="1"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Aaron Cowen – 0</w:t>
      </w:r>
    </w:p>
    <w:p>
      <w:pPr>
        <w:spacing w:after="0" w:line="279" w:lineRule="exact"/>
        <w:rPr>
          <w:rFonts w:ascii="Arial" w:cs="Arial" w:eastAsia="Arial" w:hAnsi="Arial"/>
          <w:sz w:val="18"/>
          <w:szCs w:val="18"/>
          <w:color w:val="auto"/>
        </w:rPr>
      </w:pPr>
    </w:p>
    <w:p>
      <w:pPr>
        <w:ind w:left="2160" w:hanging="724"/>
        <w:spacing w:after="0"/>
        <w:tabs>
          <w:tab w:leader="none" w:pos="2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79" w:lineRule="exact"/>
        <w:rPr>
          <w:rFonts w:ascii="Arial" w:cs="Arial" w:eastAsia="Arial" w:hAnsi="Arial"/>
          <w:sz w:val="18"/>
          <w:szCs w:val="18"/>
          <w:color w:val="auto"/>
        </w:rPr>
      </w:pPr>
    </w:p>
    <w:p>
      <w:pPr>
        <w:ind w:left="2140" w:right="5120"/>
        <w:spacing w:after="0" w:line="325" w:lineRule="auto"/>
        <w:rPr>
          <w:rFonts w:ascii="Arial" w:cs="Arial" w:eastAsia="Arial" w:hAnsi="Arial"/>
          <w:sz w:val="18"/>
          <w:szCs w:val="18"/>
          <w:color w:val="auto"/>
        </w:rPr>
      </w:pPr>
      <w:r>
        <w:rPr>
          <w:rFonts w:ascii="Arial" w:cs="Arial" w:eastAsia="Arial" w:hAnsi="Arial"/>
          <w:sz w:val="16"/>
          <w:szCs w:val="16"/>
          <w:color w:val="auto"/>
        </w:rPr>
        <w:t>Suvretta Capital Management, LLC – 31,827,500 Averill Master Fund, Ltd. – 31,827,500</w:t>
      </w:r>
    </w:p>
    <w:p>
      <w:pPr>
        <w:spacing w:after="0" w:line="1" w:lineRule="exact"/>
        <w:rPr>
          <w:rFonts w:ascii="Arial" w:cs="Arial" w:eastAsia="Arial" w:hAnsi="Arial"/>
          <w:sz w:val="18"/>
          <w:szCs w:val="18"/>
          <w:color w:val="auto"/>
        </w:rPr>
      </w:pPr>
    </w:p>
    <w:p>
      <w:pPr>
        <w:ind w:left="2140"/>
        <w:spacing w:after="0"/>
        <w:rPr>
          <w:rFonts w:ascii="Arial" w:cs="Arial" w:eastAsia="Arial" w:hAnsi="Arial"/>
          <w:sz w:val="18"/>
          <w:szCs w:val="18"/>
          <w:color w:val="auto"/>
        </w:rPr>
      </w:pPr>
      <w:r>
        <w:rPr>
          <w:rFonts w:ascii="Arial" w:cs="Arial" w:eastAsia="Arial" w:hAnsi="Arial"/>
          <w:sz w:val="18"/>
          <w:szCs w:val="18"/>
          <w:color w:val="auto"/>
        </w:rPr>
        <w:t>Aaron Cowen – 31,827,500</w:t>
      </w:r>
    </w:p>
    <w:p>
      <w:pPr>
        <w:spacing w:after="0" w:line="279" w:lineRule="exact"/>
        <w:rPr>
          <w:rFonts w:ascii="Arial" w:cs="Arial" w:eastAsia="Arial" w:hAnsi="Arial"/>
          <w:sz w:val="18"/>
          <w:szCs w:val="18"/>
          <w:color w:val="auto"/>
        </w:rPr>
      </w:pPr>
    </w:p>
    <w:p>
      <w:pPr>
        <w:ind w:left="2160" w:hanging="724"/>
        <w:spacing w:after="0"/>
        <w:tabs>
          <w:tab w:leader="none" w:pos="2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79" w:lineRule="exact"/>
        <w:rPr>
          <w:rFonts w:ascii="Arial" w:cs="Arial" w:eastAsia="Arial" w:hAnsi="Arial"/>
          <w:sz w:val="18"/>
          <w:szCs w:val="18"/>
          <w:color w:val="auto"/>
        </w:rPr>
      </w:pPr>
    </w:p>
    <w:p>
      <w:pPr>
        <w:ind w:left="2160" w:right="5820"/>
        <w:spacing w:after="0" w:line="289" w:lineRule="auto"/>
        <w:rPr>
          <w:rFonts w:ascii="Arial" w:cs="Arial" w:eastAsia="Arial" w:hAnsi="Arial"/>
          <w:sz w:val="18"/>
          <w:szCs w:val="18"/>
          <w:color w:val="auto"/>
        </w:rPr>
      </w:pPr>
      <w:r>
        <w:rPr>
          <w:rFonts w:ascii="Arial" w:cs="Arial" w:eastAsia="Arial" w:hAnsi="Arial"/>
          <w:sz w:val="18"/>
          <w:szCs w:val="18"/>
          <w:color w:val="auto"/>
        </w:rPr>
        <w:t>Suvretta Capital Management, LLC – 0 Averill Master Fund, Ltd. – 0</w:t>
      </w:r>
    </w:p>
    <w:p>
      <w:pPr>
        <w:spacing w:after="0" w:line="1"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Aaron Cowen – 0</w:t>
      </w:r>
    </w:p>
    <w:p>
      <w:pPr>
        <w:spacing w:after="0" w:line="279" w:lineRule="exact"/>
        <w:rPr>
          <w:rFonts w:ascii="Arial" w:cs="Arial" w:eastAsia="Arial" w:hAnsi="Arial"/>
          <w:sz w:val="18"/>
          <w:szCs w:val="18"/>
          <w:color w:val="auto"/>
        </w:rPr>
      </w:pPr>
    </w:p>
    <w:p>
      <w:pPr>
        <w:ind w:left="2160" w:hanging="724"/>
        <w:spacing w:after="0"/>
        <w:tabs>
          <w:tab w:leader="none" w:pos="2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79" w:lineRule="exact"/>
        <w:rPr>
          <w:rFonts w:ascii="Arial" w:cs="Arial" w:eastAsia="Arial" w:hAnsi="Arial"/>
          <w:sz w:val="18"/>
          <w:szCs w:val="18"/>
          <w:color w:val="auto"/>
        </w:rPr>
      </w:pPr>
    </w:p>
    <w:p>
      <w:pPr>
        <w:ind w:left="2160" w:right="5100"/>
        <w:spacing w:after="0" w:line="325" w:lineRule="auto"/>
        <w:rPr>
          <w:rFonts w:ascii="Arial" w:cs="Arial" w:eastAsia="Arial" w:hAnsi="Arial"/>
          <w:sz w:val="18"/>
          <w:szCs w:val="18"/>
          <w:color w:val="auto"/>
        </w:rPr>
      </w:pPr>
      <w:r>
        <w:rPr>
          <w:rFonts w:ascii="Arial" w:cs="Arial" w:eastAsia="Arial" w:hAnsi="Arial"/>
          <w:sz w:val="16"/>
          <w:szCs w:val="16"/>
          <w:color w:val="auto"/>
        </w:rPr>
        <w:t>Suvretta Capital Management, LLC – 31,827,500 Averill Master Fund, Ltd. – 31,827,500</w:t>
      </w:r>
    </w:p>
    <w:p>
      <w:pPr>
        <w:spacing w:after="0" w:line="1"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Aaron Cowen – 31,827,500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23495</wp:posOffset>
            </wp:positionV>
            <wp:extent cx="57607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-130175</wp:posOffset>
            </wp:positionV>
            <wp:extent cx="5760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-284480</wp:posOffset>
            </wp:positionV>
            <wp:extent cx="5760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-910590</wp:posOffset>
            </wp:positionV>
            <wp:extent cx="5760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-1064895</wp:posOffset>
            </wp:positionV>
            <wp:extent cx="5760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-1219200</wp:posOffset>
            </wp:positionV>
            <wp:extent cx="5760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-1844675</wp:posOffset>
            </wp:positionV>
            <wp:extent cx="57607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-1998980</wp:posOffset>
            </wp:positionV>
            <wp:extent cx="57607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-2153285</wp:posOffset>
            </wp:positionV>
            <wp:extent cx="5760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-2779395</wp:posOffset>
            </wp:positionV>
            <wp:extent cx="5760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-2933700</wp:posOffset>
            </wp:positionV>
            <wp:extent cx="5760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-3088005</wp:posOffset>
            </wp:positionV>
            <wp:extent cx="57607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-4022090</wp:posOffset>
            </wp:positionV>
            <wp:extent cx="6223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-4176395</wp:posOffset>
            </wp:positionV>
            <wp:extent cx="6223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-4330700</wp:posOffset>
            </wp:positionV>
            <wp:extent cx="6223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-4956810</wp:posOffset>
            </wp:positionV>
            <wp:extent cx="6223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-5111115</wp:posOffset>
            </wp:positionV>
            <wp:extent cx="6223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-5265420</wp:posOffset>
            </wp:positionV>
            <wp:extent cx="6223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ectPr>
          <w:pgSz w:w="11900" w:h="16838" w:orient="portrait"/>
          <w:cols w:equalWidth="0" w:num="1">
            <w:col w:w="10840"/>
          </w:cols>
          <w:pgMar w:left="420" w:top="125" w:right="6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 beneficial owner of more than five</w:t>
      </w:r>
    </w:p>
    <w:p>
      <w:pPr>
        <w:sectPr>
          <w:pgSz w:w="11900" w:h="16838" w:orient="portrait"/>
          <w:cols w:equalWidth="0" w:num="1">
            <w:col w:w="10840"/>
          </w:cols>
          <w:pgMar w:left="420" w:top="125" w:right="639" w:bottom="0" w:gutter="0" w:footer="0" w:header="0"/>
          <w:type w:val="continuous"/>
        </w:sectPr>
      </w:pPr>
    </w:p>
    <w:bookmarkStart w:id="5" w:name="page6"/>
    <w:bookmarkEnd w:id="5"/>
    <w:p>
      <w:pPr>
        <w:ind w:left="100"/>
        <w:spacing w:after="0"/>
        <w:rPr>
          <w:sz w:val="20"/>
          <w:szCs w:val="20"/>
          <w:color w:val="auto"/>
        </w:rPr>
      </w:pPr>
      <w:r>
        <w:rPr>
          <w:rFonts w:ascii="Arial" w:cs="Arial" w:eastAsia="Arial" w:hAnsi="Arial"/>
          <w:sz w:val="18"/>
          <w:szCs w:val="18"/>
          <w:color w:val="auto"/>
        </w:rPr>
        <w:t>percent of the class of securities, check the following [_].</w:t>
      </w:r>
    </w:p>
    <w:p>
      <w:pPr>
        <w:spacing w:after="0" w:line="25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31750</wp:posOffset>
            </wp:positionV>
            <wp:extent cx="6489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left="100" w:right="140" w:firstLine="725"/>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98" w:lineRule="exact"/>
        <w:rPr>
          <w:sz w:val="20"/>
          <w:szCs w:val="20"/>
          <w:color w:val="auto"/>
        </w:rPr>
      </w:pPr>
    </w:p>
    <w:p>
      <w:pPr>
        <w:jc w:val="both"/>
        <w:ind w:left="1120"/>
        <w:spacing w:after="0" w:line="263" w:lineRule="auto"/>
        <w:rPr>
          <w:sz w:val="20"/>
          <w:szCs w:val="20"/>
          <w:color w:val="auto"/>
        </w:rPr>
      </w:pPr>
      <w:r>
        <w:rPr>
          <w:rFonts w:ascii="Arial" w:cs="Arial" w:eastAsia="Arial" w:hAnsi="Arial"/>
          <w:sz w:val="18"/>
          <w:szCs w:val="18"/>
          <w:color w:val="auto"/>
        </w:rPr>
        <w:t>All securities reported in this Schedule 13G are owned by advisory clients of Suvretta Capital Management, LLC. None of the advisory clients, with the exception of Averill Master Fund, Ltd., individually owns more than 5% of the outstanding shares of the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-10795</wp:posOffset>
            </wp:positionV>
            <wp:extent cx="64890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52" w:lineRule="exact"/>
        <w:rPr>
          <w:sz w:val="20"/>
          <w:szCs w:val="20"/>
          <w:color w:val="auto"/>
        </w:rPr>
      </w:pPr>
    </w:p>
    <w:p>
      <w:pPr>
        <w:ind w:left="100" w:right="60" w:firstLine="725"/>
        <w:spacing w:after="0" w:line="263"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1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31750</wp:posOffset>
            </wp:positionV>
            <wp:extent cx="6489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100" w:right="180" w:firstLine="725"/>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1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31750</wp:posOffset>
            </wp:positionV>
            <wp:extent cx="6489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left="100" w:right="360" w:firstLine="725"/>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31750</wp:posOffset>
            </wp:positionV>
            <wp:extent cx="6489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52" w:lineRule="exact"/>
        <w:rPr>
          <w:sz w:val="20"/>
          <w:szCs w:val="20"/>
          <w:color w:val="auto"/>
        </w:rPr>
      </w:pPr>
    </w:p>
    <w:p>
      <w:pPr>
        <w:ind w:left="1580" w:hanging="462"/>
        <w:spacing w:after="0"/>
        <w:tabs>
          <w:tab w:leader="none" w:pos="1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79" w:lineRule="exact"/>
        <w:rPr>
          <w:rFonts w:ascii="Arial" w:cs="Arial" w:eastAsia="Arial" w:hAnsi="Arial"/>
          <w:sz w:val="18"/>
          <w:szCs w:val="18"/>
          <w:color w:val="auto"/>
        </w:rPr>
      </w:pPr>
    </w:p>
    <w:p>
      <w:pPr>
        <w:ind w:left="1580" w:right="8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February 19, 2021</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Averill Master Fund, Ltd.*</w:t>
      </w:r>
    </w:p>
    <w:p>
      <w:pPr>
        <w:sectPr>
          <w:pgSz w:w="11900" w:h="16838" w:orient="portrait"/>
          <w:cols w:equalWidth="0" w:num="1">
            <w:col w:w="11140"/>
          </w:cols>
          <w:pgMar w:left="320" w:top="125" w:right="439" w:bottom="0" w:gutter="0" w:footer="0" w:header="0"/>
        </w:sectPr>
      </w:pPr>
    </w:p>
    <w:bookmarkStart w:id="6" w:name="page7"/>
    <w:bookmarkEnd w:id="6"/>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Reporting Persons disclaim beneficial ownership over the securities reported herein except to the extent of the Reporting Persons’ pecuniary interest therein.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1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undersigned agree that this Schedule 13G dated February 19, 2021 relating to the Ordinary Shares, nominal value £0.003 per share of Mereo Biopharma Group plc shall be filed on behalf of the undersigned.</w:t>
      </w:r>
    </w:p>
    <w:p>
      <w:pPr>
        <w:spacing w:after="0" w:line="17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February 19, 2021</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Aaron Cowen has beneficial ownership by virtue of his role as a control person of Suvretta Capital Management, LLC.</w:t>
      </w:r>
    </w:p>
    <w:p>
      <w:pPr>
        <w:sectPr>
          <w:pgSz w:w="11900" w:h="16838" w:orient="portrait"/>
          <w:cols w:equalWidth="0" w:num="1">
            <w:col w:w="11240"/>
          </w:cols>
          <w:pgMar w:left="320" w:top="368" w:right="339"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1."/>
      <w:numFmt w:val="decimal"/>
      <w:start w:val="5"/>
    </w:lvl>
  </w:abstractNum>
  <w:abstractNum w:abstractNumId="4">
    <w:nsid w:val="DED7263"/>
    <w:multiLevelType w:val="hybridMultilevel"/>
    <w:lvl w:ilvl="0">
      <w:lvlJc w:val="left"/>
      <w:lvlText w:val="%1."/>
      <w:numFmt w:val="decimal"/>
      <w:start w:val="6"/>
    </w:lvl>
  </w:abstractNum>
  <w:abstractNum w:abstractNumId="5">
    <w:nsid w:val="7FDCC233"/>
    <w:multiLevelType w:val="hybridMultilevel"/>
    <w:lvl w:ilvl="0">
      <w:lvlJc w:val="left"/>
      <w:lvlText w:val="%1."/>
      <w:numFmt w:val="decimal"/>
      <w:start w:val="11"/>
    </w:lvl>
  </w:abstractNum>
  <w:abstractNum w:abstractNumId="6">
    <w:nsid w:val="1BEFD79F"/>
    <w:multiLevelType w:val="hybridMultilevel"/>
    <w:lvl w:ilvl="0">
      <w:lvlJc w:val="left"/>
      <w:lvlText w:val="1"/>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3"/>
    </w:lvl>
  </w:abstractNum>
  <w:abstractNum w:abstractNumId="9">
    <w:nsid w:val="4E6AFB66"/>
    <w:multiLevelType w:val="hybridMultilevel"/>
    <w:lvl w:ilvl="0">
      <w:lvlJc w:val="left"/>
      <w:lvlText w:val="%1."/>
      <w:numFmt w:val="decimal"/>
      <w:start w:val="5"/>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1"/>
    </w:lvl>
  </w:abstractNum>
  <w:abstractNum w:abstractNumId="12">
    <w:nsid w:val="431BD7B7"/>
    <w:multiLevelType w:val="hybridMultilevel"/>
    <w:lvl w:ilvl="0">
      <w:lvlJc w:val="left"/>
      <w:lvlText w:val="2"/>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3"/>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decimal"/>
      <w:start w:val="11"/>
    </w:lvl>
  </w:abstractNum>
  <w:abstractNum w:abstractNumId="17">
    <w:nsid w:val="436C6125"/>
    <w:multiLevelType w:val="hybridMultilevel"/>
    <w:lvl w:ilvl="0">
      <w:lvlJc w:val="left"/>
      <w:lvlText w:val="%1."/>
      <w:numFmt w:val="decimal"/>
      <w:start w:val="12"/>
    </w:lvl>
  </w:abstractNum>
  <w:abstractNum w:abstractNumId="18">
    <w:nsid w:val="628C895D"/>
    <w:multiLevelType w:val="hybridMultilevel"/>
    <w:lvl w:ilvl="0">
      <w:lvlJc w:val="left"/>
      <w:lvlText w:val="3"/>
      <w:numFmt w:val="bullet"/>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5"/>
    </w:lvl>
  </w:abstractNum>
  <w:abstractNum w:abstractNumId="21">
    <w:nsid w:val="2443A858"/>
    <w:multiLevelType w:val="hybridMultilevel"/>
    <w:lvl w:ilvl="0">
      <w:lvlJc w:val="left"/>
      <w:lvlText w:val="(%1)"/>
      <w:numFmt w:val="lowerLetter"/>
      <w:start w:val="1"/>
    </w:lvl>
    <w:lvl w:ilvl="1">
      <w:lvlJc w:val="left"/>
      <w:lvlText w:val="(%2)"/>
      <w:numFmt w:val="lowerRoman"/>
      <w:start w:val="1"/>
    </w:lvl>
  </w:abstractNum>
  <w:abstractNum w:abstractNumId="22">
    <w:nsid w:val="2D1D5A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2021-02-19T15:30:44Z</dcterms:created>
  <dcterms:modified xsi:type="dcterms:W3CDTF">2021-02-19T15:30:44Z</dcterms:modified>
</cp:coreProperties>
</file>