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July, 2019</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ANNOUNCEMENT CONTAINS INSIDE INFORMATION AS DEFINED UNDER THE MARKET ABUSE REGULATION (EU) NO. 596/2014. UPON PUBLICATION OF THIS ANNOUNCEMENT THIS INFORMATION IS NOW CONSIDERED IN THE PUBLIC DOMAIN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MEREO BIOPHARMA GROUP PLC</w:t>
      </w:r>
    </w:p>
    <w:p>
      <w:pPr>
        <w:spacing w:after="0" w:line="225"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b w:val="1"/>
          <w:bCs w:val="1"/>
          <w:color w:val="auto"/>
        </w:rPr>
        <w:t>MEREO BIOPHARMA ANNOUNCES SUCCESSFUL TYPE B MEETING WITH U.S. FDA AND OUTLINES ACCELERATED APPROVAL PATHWAY FOR NAVICIXIZUMAB IN ADVANCED OVARIAN CANCER</w:t>
      </w:r>
    </w:p>
    <w:p>
      <w:pPr>
        <w:spacing w:after="0" w:line="16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 xml:space="preserve">London and Redwood City, Calif., July 15, 2019 </w:t>
      </w:r>
      <w:r>
        <w:rPr>
          <w:rFonts w:ascii="Arial" w:cs="Arial" w:eastAsia="Arial" w:hAnsi="Arial"/>
          <w:sz w:val="16"/>
          <w:szCs w:val="16"/>
          <w:color w:val="auto"/>
        </w:rPr>
        <w:t>- Mereo BioPharma Group plc (NASDAQ: MREO, AIM: MPH), a clinical stage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focused on rare diseases, today announces that it has held a successful Type B meeting with the U.S. Food and Drug Administration (FDA) regarding a potential pathway for accelerated approval for navicixizumab for the treatment of patients with advanced ovarian cancer. Navicixizumab is an anti-DLL4/VEGF bispecific antibody and one of two product candidates Mereo acquired through its April 2019 merger with OncoMed Pharmaceuticals, Inc. Navicixizumab has completed a Phase 1a monotherapy study in patients with various types of refractory solid tumors and is currently being evaluated in an ongoing Phase 1b study in combination with paclitaxel in patients with advanced platinum-resistant ovarian cancer.</w:t>
      </w:r>
    </w:p>
    <w:p>
      <w:pPr>
        <w:spacing w:after="0" w:line="16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Type B meeting, Mereo and the FDA discussed, and agreed in principle, an outline for the design of a Phase 2 clinical trial that could potentially support the accelerated approval of navicixizumab in patients with ovarian cancer (including peritoneal or fallopian tube cancer) who have become resistant to their prior therapies. The primary endpoint of the study will be confirmed overall response rate (ORR). Secondary endpoints will include duration of response (DOR), safety, CA-125 response rate, progression free survival and overall survival. Patients who receive navicixizumab will be treated Q2W on days 0, 7, and 14 of every 28-day cycle.</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Jill Henrich, Senior Vice President of Regulatory Affairs, Mereo BioPharma commented, “There are limited treatment options for patients with platinum-resistant ovarian cancer who have also failed multiple other therapies. We believe the 41% (18/44) unconfirmed ORR seen in the Phase 1b study as of the last interim data cut at the end of Q1 2019 is encouraging and we are pleased that the FDA has recognized both the unmet medical need in this difficult-to-treat patient population as well as the potential of navicixizumab to provide a meaningful treatment option for these patients. In line with our corporate strategy to focus on the development of our rare disease product portfolio, we have commenced partnering discussions for navicixizumab and look forward to continued progress on this front.”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Navicixizumab</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Navicixizumab is an anti-DLL4/VEGF bispecific antibody designed to inhibit both DLL4 in the Notch cancer stem cell pathway as well as vascular endothelial growth factor (VEGF) and thereby induce potent anti-tumor responses while mitigating certain angiogenic-related toxicities. In preclinical studies, navicixizumab demonstrated robust in vivo anti-tumor efficacy across a range of solid tumor xenografts, including colon, ovarian, lung and pancreatic cancers, among others. In a Phase 1a study with single-agent navicixizumab, 19 of 66 patients with various types of refractory solid tumors had tumor shrinkage following treatment with navicixizumab. Notably, 3 of the 12 (25%) ovarian cancer patients treated in the trial achieved an unconfirmed partial response with single-agent navicixizumab therapy.</w:t>
      </w:r>
    </w:p>
    <w:p>
      <w:pPr>
        <w:spacing w:after="0" w:line="19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Phase 1b dose escalation and expansion study of navicixizumab plus paclitaxel has completed enrolment of 44 platinum resistant ovarian cancer patients who had failed &gt;2 prior therapies and/or received prior bevacizumab. As of the last interim data analysis at the end of Q1 2019, the median number of prior therapies was 4, 100% of patients had previously received both paclitaxel and a platinum agent, 68% had previously received bevacizumab and 41% had received a PARP inhibitor. The unconfirmed response rate was 41%. The unconfirmed ORR for bevacizumab-naïve patients was 64% and 30% for bevacizumab pre-treated patients. The median PFS for all patients was 7.3 months. The most common related adverse events of any grade were hypertension (68%), fatigue (46%), headache (25%), neutropenia (21%), diarrhea18%), pulmonary hypertension (14%), dyspnea (14%) and peripheral edema (14%). There were no cases of Grade 3 pulmonary hypertension. Other related adverse events of special interest were one Grade 1 related heart failure, one Grade 3 and one Grade 4 related thrombocytopenia, and one Grade 4 related gastrointestinal perforation. Navicixizumab resulted in treatment-induced ADA formation in 5 out of 29 (17%) subjects. Accelerated clearance and decreased exposure of navicixizumab was evident in 3 of the 5 ADA positive subjects. Two of these 3 subjects had an infusion reaction.</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Mereo</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existing portfolio consists of six clinical stage product candidates.</w:t>
      </w:r>
    </w:p>
    <w:p>
      <w:pPr>
        <w:spacing w:after="0" w:line="92" w:lineRule="exact"/>
        <w:rPr>
          <w:sz w:val="20"/>
          <w:szCs w:val="20"/>
          <w:color w:val="auto"/>
        </w:rPr>
      </w:pPr>
    </w:p>
    <w:p>
      <w:pPr>
        <w:ind w:left="860" w:right="60" w:hanging="316"/>
        <w:spacing w:after="0" w:line="279"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Setrusumab for osteogenesis imperfecta (OI). In October 2018, the Company announced completion of enrollment of 112 adult patients in a Phase 2b dose ranging study with initial positive 6-month open label data announced in May 2019 and top-line 12-month blinded dose ranging data expected in Q4 2019. A pediatric Phase 3 study design has also been approved by the EMA. Setrusumab has orphan designation in the U.S. and the EU and has been accepted into the PRIME and Adaptive Pathways in EU;</w:t>
      </w:r>
    </w:p>
    <w:p>
      <w:pPr>
        <w:spacing w:after="0" w:line="76" w:lineRule="exact"/>
        <w:rPr>
          <w:rFonts w:ascii="Arial" w:cs="Arial" w:eastAsia="Arial" w:hAnsi="Arial"/>
          <w:sz w:val="17"/>
          <w:szCs w:val="17"/>
          <w:color w:val="auto"/>
        </w:rPr>
      </w:pPr>
    </w:p>
    <w:p>
      <w:pPr>
        <w:ind w:left="860" w:right="220" w:hanging="316"/>
        <w:spacing w:after="0" w:line="308"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Alvelestat for alpha-1 antitrypsin deficiency (AATD). The Company has initiated a Phase 2 proof-of-concept clinical trial in patients with severe AATD in the United States and the EU and expects to report top-line data from this trial around the end of 2019;</w:t>
      </w:r>
    </w:p>
    <w:p>
      <w:pPr>
        <w:spacing w:after="0" w:line="51" w:lineRule="exact"/>
        <w:rPr>
          <w:rFonts w:ascii="Arial" w:cs="Arial" w:eastAsia="Arial" w:hAnsi="Arial"/>
          <w:sz w:val="17"/>
          <w:szCs w:val="17"/>
          <w:color w:val="auto"/>
        </w:rPr>
      </w:pPr>
    </w:p>
    <w:p>
      <w:pPr>
        <w:ind w:left="860" w:right="160" w:hanging="316"/>
        <w:spacing w:after="0" w:line="264"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Acumapimod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86" w:lineRule="exact"/>
        <w:rPr>
          <w:rFonts w:ascii="Arial" w:cs="Arial" w:eastAsia="Arial" w:hAnsi="Arial"/>
          <w:sz w:val="18"/>
          <w:szCs w:val="18"/>
          <w:color w:val="auto"/>
        </w:rPr>
      </w:pPr>
    </w:p>
    <w:p>
      <w:pPr>
        <w:ind w:left="860" w:right="500" w:hanging="316"/>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Leflutrozole for hypogonadotropic hypogonadism (HH). The Company announced positive top-line Phase 2b data in March 2018 and positive results from the Phase 2b safety extension study in December 2018;</w:t>
      </w:r>
    </w:p>
    <w:p>
      <w:pPr>
        <w:spacing w:after="0" w:line="75" w:lineRule="exact"/>
        <w:rPr>
          <w:rFonts w:ascii="Arial" w:cs="Arial" w:eastAsia="Arial" w:hAnsi="Arial"/>
          <w:sz w:val="18"/>
          <w:szCs w:val="18"/>
          <w:color w:val="auto"/>
        </w:rPr>
      </w:pPr>
    </w:p>
    <w:p>
      <w:pPr>
        <w:ind w:left="860" w:hanging="316"/>
        <w:spacing w:after="0" w:line="264"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enrollment; and</w:t>
      </w:r>
    </w:p>
    <w:p>
      <w:pPr>
        <w:spacing w:after="0" w:line="86" w:lineRule="exact"/>
        <w:rPr>
          <w:rFonts w:ascii="Arial" w:cs="Arial" w:eastAsia="Arial" w:hAnsi="Arial"/>
          <w:sz w:val="18"/>
          <w:szCs w:val="18"/>
          <w:color w:val="auto"/>
        </w:rPr>
      </w:pPr>
    </w:p>
    <w:p>
      <w:pPr>
        <w:ind w:left="860" w:right="240" w:hanging="316"/>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the Phase 1b combination study with nivolumab has fully enrolled and is currently in the safety monitoring phase.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Enquiries</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Arial" w:cs="Arial" w:eastAsia="Arial" w:hAnsi="Arial"/>
                <w:sz w:val="20"/>
                <w:szCs w:val="20"/>
                <w:b w:val="1"/>
                <w:bCs w:val="1"/>
                <w:color w:val="auto"/>
              </w:rPr>
              <w:t>Mereo</w:t>
            </w:r>
          </w:p>
        </w:tc>
        <w:tc>
          <w:tcPr>
            <w:tcW w:w="600" w:type="dxa"/>
            <w:vAlign w:val="bottom"/>
          </w:tcPr>
          <w:p>
            <w:pPr>
              <w:jc w:val="right"/>
              <w:spacing w:after="0"/>
              <w:rPr>
                <w:sz w:val="20"/>
                <w:szCs w:val="20"/>
                <w:color w:val="auto"/>
              </w:rPr>
            </w:pPr>
            <w:r>
              <w:rPr>
                <w:rFonts w:ascii="Arial" w:cs="Arial" w:eastAsia="Arial" w:hAnsi="Arial"/>
                <w:sz w:val="20"/>
                <w:szCs w:val="20"/>
                <w:b w:val="1"/>
                <w:bCs w:val="1"/>
                <w:color w:val="auto"/>
              </w:rPr>
              <w:t>+44</w:t>
            </w:r>
          </w:p>
        </w:tc>
        <w:tc>
          <w:tcPr>
            <w:tcW w:w="1400" w:type="dxa"/>
            <w:vAlign w:val="bottom"/>
          </w:tcPr>
          <w:p>
            <w:pPr>
              <w:ind w:left="20"/>
              <w:spacing w:after="0"/>
              <w:rPr>
                <w:sz w:val="20"/>
                <w:szCs w:val="20"/>
                <w:color w:val="auto"/>
              </w:rPr>
            </w:pPr>
            <w:r>
              <w:rPr>
                <w:rFonts w:ascii="Arial" w:cs="Arial" w:eastAsia="Arial" w:hAnsi="Arial"/>
                <w:sz w:val="20"/>
                <w:szCs w:val="20"/>
                <w:b w:val="1"/>
                <w:bCs w:val="1"/>
                <w:color w:val="auto"/>
                <w:w w:val="92"/>
              </w:rPr>
              <w:t>(0)333 023 7300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5120" w:type="dxa"/>
            <w:vAlign w:val="bottom"/>
          </w:tcPr>
          <w:p>
            <w:pPr>
              <w:spacing w:after="0"/>
              <w:rPr>
                <w:sz w:val="20"/>
                <w:szCs w:val="20"/>
                <w:color w:val="auto"/>
              </w:rPr>
            </w:pPr>
            <w:r>
              <w:rPr>
                <w:rFonts w:ascii="Arial" w:cs="Arial" w:eastAsia="Arial" w:hAnsi="Arial"/>
                <w:sz w:val="20"/>
                <w:szCs w:val="20"/>
                <w:b w:val="1"/>
                <w:bCs w:val="1"/>
                <w:color w:val="auto"/>
                <w:w w:val="96"/>
              </w:rPr>
              <w:t>Cantor Fitzgerald Europe (Nominated Adviser and Joint</w:t>
            </w:r>
          </w:p>
        </w:tc>
        <w:tc>
          <w:tcPr>
            <w:tcW w:w="600" w:type="dxa"/>
            <w:vAlign w:val="bottom"/>
          </w:tcPr>
          <w:p>
            <w:pPr>
              <w:jc w:val="right"/>
              <w:spacing w:after="0"/>
              <w:rPr>
                <w:sz w:val="20"/>
                <w:szCs w:val="20"/>
                <w:color w:val="auto"/>
              </w:rPr>
            </w:pPr>
            <w:r>
              <w:rPr>
                <w:rFonts w:ascii="Arial" w:cs="Arial" w:eastAsia="Arial" w:hAnsi="Arial"/>
                <w:sz w:val="20"/>
                <w:szCs w:val="20"/>
                <w:b w:val="1"/>
                <w:bCs w:val="1"/>
                <w:color w:val="auto"/>
              </w:rPr>
              <w:t>+44</w:t>
            </w:r>
          </w:p>
        </w:tc>
        <w:tc>
          <w:tcPr>
            <w:tcW w:w="1400" w:type="dxa"/>
            <w:vAlign w:val="bottom"/>
          </w:tcPr>
          <w:p>
            <w:pPr>
              <w:ind w:left="20"/>
              <w:spacing w:after="0"/>
              <w:rPr>
                <w:sz w:val="20"/>
                <w:szCs w:val="20"/>
                <w:color w:val="auto"/>
              </w:rPr>
            </w:pPr>
            <w:r>
              <w:rPr>
                <w:rFonts w:ascii="Arial" w:cs="Arial" w:eastAsia="Arial" w:hAnsi="Arial"/>
                <w:sz w:val="20"/>
                <w:szCs w:val="20"/>
                <w:b w:val="1"/>
                <w:bCs w:val="1"/>
                <w:color w:val="auto"/>
                <w:w w:val="92"/>
              </w:rPr>
              <w:t>(0)20 7894 7000</w:t>
            </w: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r>
              <w:rPr>
                <w:rFonts w:ascii="Arial" w:cs="Arial" w:eastAsia="Arial" w:hAnsi="Arial"/>
                <w:sz w:val="20"/>
                <w:szCs w:val="20"/>
                <w:b w:val="1"/>
                <w:bCs w:val="1"/>
                <w:color w:val="auto"/>
              </w:rPr>
              <w:t>Broker to Mereo)</w:t>
            </w: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Phil Davies</w:t>
            </w: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Will Goode</w:t>
            </w: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120" w:type="dxa"/>
            <w:vAlign w:val="bottom"/>
          </w:tcPr>
          <w:p>
            <w:pPr>
              <w:spacing w:after="0"/>
              <w:rPr>
                <w:sz w:val="20"/>
                <w:szCs w:val="20"/>
                <w:color w:val="auto"/>
              </w:rPr>
            </w:pPr>
            <w:r>
              <w:rPr>
                <w:rFonts w:ascii="Arial" w:cs="Arial" w:eastAsia="Arial" w:hAnsi="Arial"/>
                <w:sz w:val="20"/>
                <w:szCs w:val="20"/>
                <w:b w:val="1"/>
                <w:bCs w:val="1"/>
                <w:color w:val="auto"/>
              </w:rPr>
              <w:t>RBC Capital Markets (Joint Broker to Mereo)</w:t>
            </w:r>
          </w:p>
        </w:tc>
        <w:tc>
          <w:tcPr>
            <w:tcW w:w="600" w:type="dxa"/>
            <w:vAlign w:val="bottom"/>
          </w:tcPr>
          <w:p>
            <w:pPr>
              <w:jc w:val="right"/>
              <w:spacing w:after="0"/>
              <w:rPr>
                <w:sz w:val="20"/>
                <w:szCs w:val="20"/>
                <w:color w:val="auto"/>
              </w:rPr>
            </w:pPr>
            <w:r>
              <w:rPr>
                <w:rFonts w:ascii="Arial" w:cs="Arial" w:eastAsia="Arial" w:hAnsi="Arial"/>
                <w:sz w:val="20"/>
                <w:szCs w:val="20"/>
                <w:b w:val="1"/>
                <w:bCs w:val="1"/>
                <w:color w:val="auto"/>
              </w:rPr>
              <w:t>+44</w:t>
            </w:r>
          </w:p>
        </w:tc>
        <w:tc>
          <w:tcPr>
            <w:tcW w:w="1400" w:type="dxa"/>
            <w:vAlign w:val="bottom"/>
          </w:tcPr>
          <w:p>
            <w:pPr>
              <w:ind w:left="20"/>
              <w:spacing w:after="0"/>
              <w:rPr>
                <w:sz w:val="20"/>
                <w:szCs w:val="20"/>
                <w:color w:val="auto"/>
              </w:rPr>
            </w:pPr>
            <w:r>
              <w:rPr>
                <w:rFonts w:ascii="Arial" w:cs="Arial" w:eastAsia="Arial" w:hAnsi="Arial"/>
                <w:sz w:val="20"/>
                <w:szCs w:val="20"/>
                <w:b w:val="1"/>
                <w:bCs w:val="1"/>
                <w:color w:val="auto"/>
                <w:w w:val="92"/>
              </w:rPr>
              <w:t>(0)20 7653 4000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Rupert Walford</w:t>
            </w: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Jamil Miah</w:t>
            </w: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5120" w:type="dxa"/>
            <w:vAlign w:val="bottom"/>
          </w:tcPr>
          <w:p>
            <w:pPr>
              <w:spacing w:after="0"/>
              <w:rPr>
                <w:sz w:val="20"/>
                <w:szCs w:val="20"/>
                <w:color w:val="auto"/>
              </w:rPr>
            </w:pPr>
            <w:r>
              <w:rPr>
                <w:rFonts w:ascii="Arial" w:cs="Arial" w:eastAsia="Arial" w:hAnsi="Arial"/>
                <w:sz w:val="20"/>
                <w:szCs w:val="20"/>
                <w:b w:val="1"/>
                <w:bCs w:val="1"/>
                <w:color w:val="auto"/>
              </w:rPr>
              <w:t>FTI Consulting (Public Relations Adviser to Mereo)</w:t>
            </w:r>
          </w:p>
        </w:tc>
        <w:tc>
          <w:tcPr>
            <w:tcW w:w="6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+44</w:t>
            </w:r>
          </w:p>
        </w:tc>
        <w:tc>
          <w:tcPr>
            <w:tcW w:w="1400" w:type="dxa"/>
            <w:vAlign w:val="bottom"/>
            <w:vMerge w:val="restart"/>
          </w:tcPr>
          <w:p>
            <w:pPr>
              <w:ind w:left="20"/>
              <w:spacing w:after="0"/>
              <w:rPr>
                <w:sz w:val="20"/>
                <w:szCs w:val="20"/>
                <w:color w:val="auto"/>
              </w:rPr>
            </w:pPr>
            <w:r>
              <w:rPr>
                <w:rFonts w:ascii="Arial" w:cs="Arial" w:eastAsia="Arial" w:hAnsi="Arial"/>
                <w:sz w:val="20"/>
                <w:szCs w:val="20"/>
                <w:b w:val="1"/>
                <w:bCs w:val="1"/>
                <w:color w:val="auto"/>
                <w:w w:val="92"/>
              </w:rPr>
              <w:t>(0)20 3727 1000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Simon Conway</w:t>
            </w:r>
          </w:p>
        </w:tc>
        <w:tc>
          <w:tcPr>
            <w:tcW w:w="6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Brett Pollard</w:t>
            </w: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Ciara Martin</w:t>
            </w: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120" w:type="dxa"/>
            <w:vAlign w:val="bottom"/>
          </w:tcPr>
          <w:p>
            <w:pPr>
              <w:spacing w:after="0"/>
              <w:rPr>
                <w:sz w:val="20"/>
                <w:szCs w:val="20"/>
                <w:color w:val="auto"/>
              </w:rPr>
            </w:pPr>
            <w:r>
              <w:rPr>
                <w:rFonts w:ascii="Arial" w:cs="Arial" w:eastAsia="Arial" w:hAnsi="Arial"/>
                <w:sz w:val="20"/>
                <w:szCs w:val="20"/>
                <w:b w:val="1"/>
                <w:bCs w:val="1"/>
                <w:color w:val="auto"/>
                <w:w w:val="95"/>
              </w:rPr>
              <w:t>Burns McClellan (US Public Relations Adviser to Mereo)</w:t>
            </w:r>
          </w:p>
        </w:tc>
        <w:tc>
          <w:tcPr>
            <w:tcW w:w="600" w:type="dxa"/>
            <w:vAlign w:val="bottom"/>
          </w:tcPr>
          <w:p>
            <w:pPr>
              <w:jc w:val="right"/>
              <w:spacing w:after="0"/>
              <w:rPr>
                <w:sz w:val="20"/>
                <w:szCs w:val="20"/>
                <w:color w:val="auto"/>
              </w:rPr>
            </w:pPr>
            <w:r>
              <w:rPr>
                <w:rFonts w:ascii="Arial" w:cs="Arial" w:eastAsia="Arial" w:hAnsi="Arial"/>
                <w:sz w:val="20"/>
                <w:szCs w:val="20"/>
                <w:b w:val="1"/>
                <w:bCs w:val="1"/>
                <w:color w:val="auto"/>
              </w:rPr>
              <w:t>+01</w:t>
            </w:r>
          </w:p>
        </w:tc>
        <w:tc>
          <w:tcPr>
            <w:tcW w:w="1400" w:type="dxa"/>
            <w:vAlign w:val="bottom"/>
          </w:tcPr>
          <w:p>
            <w:pPr>
              <w:ind w:left="20"/>
              <w:spacing w:after="0"/>
              <w:rPr>
                <w:sz w:val="20"/>
                <w:szCs w:val="20"/>
                <w:color w:val="auto"/>
              </w:rPr>
            </w:pPr>
            <w:r>
              <w:rPr>
                <w:rFonts w:ascii="Arial" w:cs="Arial" w:eastAsia="Arial" w:hAnsi="Arial"/>
                <w:sz w:val="20"/>
                <w:szCs w:val="20"/>
                <w:b w:val="1"/>
                <w:bCs w:val="1"/>
                <w:color w:val="auto"/>
                <w:w w:val="89"/>
              </w:rPr>
              <w:t>(0) 212 213 0006</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Lisa Burns</w:t>
            </w: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Steve Klass</w:t>
            </w: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Denise Scots-Knight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2019-12-01T00:53:25Z</dcterms:created>
  <dcterms:modified xsi:type="dcterms:W3CDTF">2019-12-01T00:53:25Z</dcterms:modified>
</cp:coreProperties>
</file>