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-226060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-612775</wp:posOffset>
            </wp:positionV>
            <wp:extent cx="57150" cy="6261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3936365</wp:posOffset>
            </wp:positionH>
            <wp:positionV relativeFrom="paragraph">
              <wp:posOffset>-612775</wp:posOffset>
            </wp:positionV>
            <wp:extent cx="57150" cy="626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725805</wp:posOffset>
            </wp:positionV>
            <wp:extent cx="7047865" cy="4400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40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Hughes-Wilson Alexandra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MEREO BIOPHARMA GROUP PLC 4TH FLOOR, ONE CAVENDISH PLACE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W1G 0QF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Mereo BioPharma Group plc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MREO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 Remarks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01/25/2025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60" w:space="580"/>
            <w:col w:w="724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154,000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Depository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underlying this share option will vest and become exercisable on January 25, 2026, with the remainder vesting in equal monthly installments for the three years thereafter.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("ADS") represents five ordinary shares, nominal value GBP 0.003 per ordinary share, of the Issuer.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Patient Access and Commercial Planning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Christine Fox, by power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01/28/2025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attorney</w:t>
            </w: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05875" TargetMode="External"/><Relationship Id="rId14" Type="http://schemas.openxmlformats.org/officeDocument/2006/relationships/hyperlink" Target="http://www.sec.gov/cgi-bin/browse-edgar?action=getcompany&amp;CIK=0001719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2025-01-28T15:12:48Z</dcterms:created>
  <dcterms:modified xsi:type="dcterms:W3CDTF">2025-01-28T15:12:48Z</dcterms:modified>
</cp:coreProperties>
</file>