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As filed with the Securities and Exchange Commission on July 6, 2020</w:t>
      </w:r>
    </w:p>
    <w:p>
      <w:pPr>
        <w:spacing w:after="0" w:line="18" w:lineRule="exact"/>
        <w:rPr>
          <w:sz w:val="24"/>
          <w:szCs w:val="24"/>
          <w:color w:val="auto"/>
        </w:rPr>
      </w:pPr>
    </w:p>
    <w:p>
      <w:pPr>
        <w:ind w:left="85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177800</wp:posOffset>
            </wp:positionV>
            <wp:extent cx="181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F-3</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169545</wp:posOffset>
            </wp:positionV>
            <wp:extent cx="181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24"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MEREO BIOPHARMA GROUP PLC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(Translation of Registrant’s Name into English)</w:t>
      </w:r>
    </w:p>
    <w:p>
      <w:pPr>
        <w:spacing w:after="0" w:line="216"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9"/>
              </w:rPr>
              <w:t>England and Wales</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9"/>
              </w:rPr>
              <w:t>2834</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99"/>
              </w:rPr>
              <w:t>Not Applicable</w:t>
            </w:r>
          </w:p>
        </w:tc>
      </w:tr>
      <w:tr>
        <w:trPr>
          <w:trHeight w:val="162"/>
        </w:trPr>
        <w:tc>
          <w:tcPr>
            <w:tcW w:w="2840" w:type="dxa"/>
            <w:vAlign w:val="bottom"/>
          </w:tcPr>
          <w:p>
            <w:pPr>
              <w:jc w:val="center"/>
              <w:ind w:right="862"/>
              <w:spacing w:after="0"/>
              <w:rPr>
                <w:sz w:val="20"/>
                <w:szCs w:val="20"/>
                <w:color w:val="auto"/>
              </w:rPr>
            </w:pPr>
            <w:r>
              <w:rPr>
                <w:rFonts w:ascii="Arial" w:cs="Arial" w:eastAsia="Arial" w:hAnsi="Arial"/>
                <w:sz w:val="14"/>
                <w:szCs w:val="14"/>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color w:val="auto"/>
              </w:rPr>
              <w:t>(Primary Standard Industrial</w:t>
            </w:r>
          </w:p>
        </w:tc>
        <w:tc>
          <w:tcPr>
            <w:tcW w:w="2420" w:type="dxa"/>
            <w:vAlign w:val="bottom"/>
          </w:tcPr>
          <w:p>
            <w:pPr>
              <w:jc w:val="center"/>
              <w:ind w:left="922"/>
              <w:spacing w:after="0"/>
              <w:rPr>
                <w:sz w:val="20"/>
                <w:szCs w:val="20"/>
                <w:color w:val="auto"/>
              </w:rPr>
            </w:pPr>
            <w:r>
              <w:rPr>
                <w:rFonts w:ascii="Arial" w:cs="Arial" w:eastAsia="Arial" w:hAnsi="Arial"/>
                <w:sz w:val="14"/>
                <w:szCs w:val="14"/>
                <w:color w:val="auto"/>
              </w:rPr>
              <w:t>(I.R.S. Employer</w:t>
            </w:r>
          </w:p>
        </w:tc>
      </w:tr>
      <w:tr>
        <w:trPr>
          <w:trHeight w:val="172"/>
        </w:trPr>
        <w:tc>
          <w:tcPr>
            <w:tcW w:w="2840" w:type="dxa"/>
            <w:vAlign w:val="bottom"/>
          </w:tcPr>
          <w:p>
            <w:pPr>
              <w:jc w:val="center"/>
              <w:ind w:right="862"/>
              <w:spacing w:after="0"/>
              <w:rPr>
                <w:sz w:val="20"/>
                <w:szCs w:val="20"/>
                <w:color w:val="auto"/>
              </w:rPr>
            </w:pPr>
            <w:r>
              <w:rPr>
                <w:rFonts w:ascii="Arial" w:cs="Arial" w:eastAsia="Arial" w:hAnsi="Arial"/>
                <w:sz w:val="14"/>
                <w:szCs w:val="14"/>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color w:val="auto"/>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color w:val="auto"/>
              </w:rPr>
              <w:t>Identification Number)</w:t>
            </w:r>
          </w:p>
        </w:tc>
      </w:tr>
    </w:tbl>
    <w:p>
      <w:pPr>
        <w:spacing w:after="0" w:line="17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Fourth Floor</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One Cavendish Place</w:t>
      </w:r>
    </w:p>
    <w:p>
      <w:pPr>
        <w:jc w:val="center"/>
        <w:ind w:right="-179"/>
        <w:spacing w:after="0" w:line="234" w:lineRule="auto"/>
        <w:rPr>
          <w:sz w:val="20"/>
          <w:szCs w:val="20"/>
          <w:color w:val="auto"/>
        </w:rPr>
      </w:pPr>
      <w:r>
        <w:rPr>
          <w:rFonts w:ascii="Arial" w:cs="Arial" w:eastAsia="Arial" w:hAnsi="Arial"/>
          <w:sz w:val="18"/>
          <w:szCs w:val="18"/>
          <w:b w:val="1"/>
          <w:bCs w:val="1"/>
          <w:color w:val="auto"/>
        </w:rPr>
        <w:t>London W1G 0QF UK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+44 33 3023 7300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220345</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Mereo US Holdings Inc.</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251 Little Falls Drive</w:t>
      </w:r>
    </w:p>
    <w:p>
      <w:pPr>
        <w:jc w:val="center"/>
        <w:ind w:right="-179"/>
        <w:spacing w:after="0" w:line="234" w:lineRule="auto"/>
        <w:rPr>
          <w:sz w:val="20"/>
          <w:szCs w:val="20"/>
          <w:color w:val="auto"/>
        </w:rPr>
      </w:pPr>
      <w:r>
        <w:rPr>
          <w:rFonts w:ascii="Arial" w:cs="Arial" w:eastAsia="Arial" w:hAnsi="Arial"/>
          <w:sz w:val="18"/>
          <w:szCs w:val="18"/>
          <w:b w:val="1"/>
          <w:bCs w:val="1"/>
          <w:color w:val="auto"/>
        </w:rPr>
        <w:t>Wilmington, DE 19808</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+1 302 636 5401</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8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David S. Bakst</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Mayer Brown LLP</w:t>
      </w:r>
    </w:p>
    <w:p>
      <w:pPr>
        <w:jc w:val="center"/>
        <w:ind w:right="-179"/>
        <w:spacing w:after="0" w:line="234" w:lineRule="auto"/>
        <w:rPr>
          <w:sz w:val="20"/>
          <w:szCs w:val="20"/>
          <w:color w:val="auto"/>
        </w:rPr>
      </w:pPr>
      <w:r>
        <w:rPr>
          <w:rFonts w:ascii="Arial" w:cs="Arial" w:eastAsia="Arial" w:hAnsi="Arial"/>
          <w:sz w:val="18"/>
          <w:szCs w:val="18"/>
          <w:b w:val="1"/>
          <w:bCs w:val="1"/>
          <w:color w:val="auto"/>
        </w:rPr>
        <w:t>1221 Avenue of the Americas</w:t>
      </w:r>
    </w:p>
    <w:p>
      <w:pPr>
        <w:jc w:val="center"/>
        <w:ind w:right="-179"/>
        <w:spacing w:after="0" w:line="235" w:lineRule="auto"/>
        <w:rPr>
          <w:sz w:val="20"/>
          <w:szCs w:val="20"/>
          <w:color w:val="auto"/>
        </w:rPr>
      </w:pPr>
      <w:r>
        <w:rPr>
          <w:rFonts w:ascii="Arial" w:cs="Arial" w:eastAsia="Arial" w:hAnsi="Arial"/>
          <w:sz w:val="18"/>
          <w:szCs w:val="18"/>
          <w:b w:val="1"/>
          <w:bCs w:val="1"/>
          <w:color w:val="auto"/>
        </w:rPr>
        <w:t>New York, New York 10020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+1 212 506 2500</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180" w:lineRule="exact"/>
        <w:rPr>
          <w:sz w:val="24"/>
          <w:szCs w:val="24"/>
          <w:color w:val="auto"/>
        </w:rPr>
      </w:pPr>
    </w:p>
    <w:p>
      <w:pPr>
        <w:ind w:left="120"/>
        <w:spacing w:after="0" w:line="161" w:lineRule="exact"/>
        <w:tabs>
          <w:tab w:leader="none" w:pos="9660" w:val="left"/>
        </w:tabs>
        <w:rPr>
          <w:sz w:val="20"/>
          <w:szCs w:val="20"/>
          <w:color w:val="auto"/>
        </w:rPr>
      </w:pPr>
      <w:r>
        <w:rPr>
          <w:rFonts w:ascii="Arial" w:cs="Arial" w:eastAsia="Arial" w:hAnsi="Arial"/>
          <w:sz w:val="14"/>
          <w:szCs w:val="14"/>
          <w:color w:val="auto"/>
        </w:rPr>
        <w:t>If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2"/>
          <w:szCs w:val="12"/>
          <w:color w:val="auto"/>
        </w:rPr>
        <w:t>☐</w:t>
      </w:r>
    </w:p>
    <w:p>
      <w:pPr>
        <w:spacing w:after="0" w:line="268" w:lineRule="exact"/>
        <w:rPr>
          <w:sz w:val="24"/>
          <w:szCs w:val="24"/>
          <w:color w:val="auto"/>
        </w:rPr>
      </w:pPr>
    </w:p>
    <w:p>
      <w:pPr>
        <w:ind w:left="120" w:right="26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56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22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3" w:lineRule="exact"/>
        <w:rPr>
          <w:sz w:val="24"/>
          <w:szCs w:val="24"/>
          <w:color w:val="auto"/>
        </w:rPr>
      </w:pPr>
    </w:p>
    <w:p>
      <w:pPr>
        <w:ind w:left="120"/>
        <w:spacing w:after="0" w:line="176" w:lineRule="exact"/>
        <w:rPr>
          <w:sz w:val="20"/>
          <w:szCs w:val="20"/>
          <w:color w:val="auto"/>
        </w:rPr>
      </w:pPr>
      <w:r>
        <w:rPr>
          <w:rFonts w:ascii="Arial" w:cs="Arial" w:eastAsia="Arial" w:hAnsi="Arial"/>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220"/>
        <w:spacing w:after="0" w:line="17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66" w:lineRule="exact"/>
        <w:rPr>
          <w:sz w:val="24"/>
          <w:szCs w:val="24"/>
          <w:color w:val="auto"/>
        </w:rPr>
      </w:pPr>
    </w:p>
    <w:p>
      <w:pPr>
        <w:ind w:left="120"/>
        <w:spacing w:after="0" w:line="161" w:lineRule="exact"/>
        <w:tabs>
          <w:tab w:leader="none" w:pos="10340" w:val="left"/>
        </w:tabs>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Emerging growth company</w:t>
      </w:r>
      <w:r>
        <w:rPr>
          <w:sz w:val="20"/>
          <w:szCs w:val="20"/>
          <w:color w:val="auto"/>
        </w:rPr>
        <w:tab/>
      </w:r>
      <w:r>
        <w:rPr>
          <w:rFonts w:ascii="MS PGothic" w:cs="MS PGothic" w:eastAsia="MS PGothic" w:hAnsi="MS PGothic"/>
          <w:sz w:val="12"/>
          <w:szCs w:val="12"/>
          <w:color w:val="auto"/>
        </w:rPr>
        <w:t>☒</w:t>
      </w:r>
    </w:p>
    <w:p>
      <w:pPr>
        <w:spacing w:after="0" w:line="268" w:lineRule="exact"/>
        <w:rPr>
          <w:sz w:val="24"/>
          <w:szCs w:val="24"/>
          <w:color w:val="auto"/>
        </w:rPr>
      </w:pPr>
    </w:p>
    <w:p>
      <w:pPr>
        <w:ind w:left="120" w:right="38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60"/>
        <w:spacing w:after="0" w:line="258" w:lineRule="auto"/>
        <w:rPr>
          <w:sz w:val="20"/>
          <w:szCs w:val="20"/>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ectPr>
          <w:pgSz w:w="11900" w:h="16838" w:orient="portrait"/>
          <w:cols w:equalWidth="0" w:num="1">
            <w:col w:w="11080"/>
          </w:cols>
          <w:pgMar w:left="320" w:top="230" w:right="4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left="620"/>
        <w:spacing w:after="0"/>
        <w:rPr>
          <w:sz w:val="20"/>
          <w:szCs w:val="20"/>
          <w:color w:val="auto"/>
        </w:rPr>
      </w:pPr>
      <w:r>
        <w:rPr>
          <w:rFonts w:ascii="Arial" w:cs="Arial" w:eastAsia="Arial" w:hAnsi="Arial"/>
          <w:sz w:val="14"/>
          <w:szCs w:val="14"/>
          <w:b w:val="1"/>
          <w:bCs w:val="1"/>
          <w:color w:val="auto"/>
        </w:rPr>
        <w:t>Title Of Each Class Of Securities</w:t>
      </w:r>
    </w:p>
    <w:p>
      <w:pPr>
        <w:spacing w:after="0" w:line="19" w:lineRule="exact"/>
        <w:rPr>
          <w:sz w:val="24"/>
          <w:szCs w:val="24"/>
          <w:color w:val="auto"/>
        </w:rPr>
      </w:pPr>
    </w:p>
    <w:p>
      <w:pPr>
        <w:jc w:val="center"/>
        <w:ind w:left="620"/>
        <w:spacing w:after="0"/>
        <w:rPr>
          <w:sz w:val="20"/>
          <w:szCs w:val="20"/>
          <w:color w:val="auto"/>
        </w:rPr>
      </w:pPr>
      <w:r>
        <w:rPr>
          <w:rFonts w:ascii="Arial" w:cs="Arial" w:eastAsia="Arial" w:hAnsi="Arial"/>
          <w:sz w:val="14"/>
          <w:szCs w:val="14"/>
          <w:b w:val="1"/>
          <w:bCs w:val="1"/>
          <w:color w:val="auto"/>
        </w:rPr>
        <w:t>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Amount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 Be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Registered(2)</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Proposed</w:t>
            </w:r>
          </w:p>
        </w:tc>
        <w:tc>
          <w:tcPr>
            <w:tcW w:w="1380" w:type="dxa"/>
            <w:vAlign w:val="bottom"/>
          </w:tcPr>
          <w:p>
            <w:pPr>
              <w:spacing w:after="0"/>
              <w:rPr>
                <w:sz w:val="13"/>
                <w:szCs w:val="13"/>
                <w:color w:val="auto"/>
              </w:rPr>
            </w:pPr>
          </w:p>
        </w:tc>
      </w:tr>
      <w:tr>
        <w:trPr>
          <w:trHeight w:val="162"/>
        </w:trPr>
        <w:tc>
          <w:tcPr>
            <w:tcW w:w="90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Maximum</w:t>
            </w:r>
          </w:p>
        </w:tc>
        <w:tc>
          <w:tcPr>
            <w:tcW w:w="1380" w:type="dxa"/>
            <w:vAlign w:val="bottom"/>
          </w:tcPr>
          <w:p>
            <w:pPr>
              <w:jc w:val="center"/>
              <w:ind w:left="168"/>
              <w:spacing w:after="0"/>
              <w:rPr>
                <w:sz w:val="20"/>
                <w:szCs w:val="20"/>
                <w:color w:val="auto"/>
              </w:rPr>
            </w:pPr>
            <w:r>
              <w:rPr>
                <w:rFonts w:ascii="Arial" w:cs="Arial" w:eastAsia="Arial" w:hAnsi="Arial"/>
                <w:sz w:val="14"/>
                <w:szCs w:val="14"/>
                <w:b w:val="1"/>
                <w:bCs w:val="1"/>
                <w:color w:val="auto"/>
              </w:rPr>
              <w:t>Proposed</w:t>
            </w:r>
          </w:p>
        </w:tc>
      </w:tr>
      <w:tr>
        <w:trPr>
          <w:trHeight w:val="162"/>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w:t>
            </w:r>
          </w:p>
        </w:tc>
        <w:tc>
          <w:tcPr>
            <w:tcW w:w="1380" w:type="dxa"/>
            <w:vAlign w:val="bottom"/>
          </w:tcPr>
          <w:p>
            <w:pPr>
              <w:jc w:val="center"/>
              <w:ind w:left="168"/>
              <w:spacing w:after="0"/>
              <w:rPr>
                <w:sz w:val="20"/>
                <w:szCs w:val="20"/>
                <w:color w:val="auto"/>
              </w:rPr>
            </w:pPr>
            <w:r>
              <w:rPr>
                <w:rFonts w:ascii="Arial" w:cs="Arial" w:eastAsia="Arial" w:hAnsi="Arial"/>
                <w:sz w:val="14"/>
                <w:szCs w:val="14"/>
                <w:b w:val="1"/>
                <w:bCs w:val="1"/>
                <w:color w:val="auto"/>
              </w:rPr>
              <w:t>Maximum</w:t>
            </w:r>
          </w:p>
        </w:tc>
      </w:tr>
      <w:tr>
        <w:trPr>
          <w:trHeight w:val="162"/>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Aggregate</w:t>
            </w:r>
          </w:p>
        </w:tc>
      </w:tr>
      <w:tr>
        <w:trPr>
          <w:trHeight w:val="202"/>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Share(3)</w:t>
            </w: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Offering Price(3)</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Amount Of</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Registration Fee(4)</w:t>
      </w:r>
    </w:p>
    <w:p>
      <w:pPr>
        <w:sectPr>
          <w:pgSz w:w="11900" w:h="16838" w:orient="portrait"/>
          <w:cols w:equalWidth="0" w:num="4">
            <w:col w:w="5120" w:space="720"/>
            <w:col w:w="920" w:space="360"/>
            <w:col w:w="2280" w:space="360"/>
            <w:col w:w="1320"/>
          </w:cols>
          <w:pgMar w:left="320" w:top="230" w:right="499" w:bottom="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7"/>
          <w:szCs w:val="17"/>
          <w:color w:val="auto"/>
        </w:rPr>
        <w:t>Ordinary shares, nominal value £ 0.003, per ordinary share(1)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515,494,255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-131445</wp:posOffset>
            </wp:positionV>
            <wp:extent cx="699516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$0.60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$309,296,553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$40,146.69</w:t>
      </w:r>
    </w:p>
    <w:p>
      <w:pPr>
        <w:spacing w:after="0" w:line="211" w:lineRule="exact"/>
        <w:rPr>
          <w:sz w:val="20"/>
          <w:szCs w:val="20"/>
          <w:color w:val="auto"/>
        </w:rPr>
      </w:pPr>
    </w:p>
    <w:p>
      <w:pPr>
        <w:sectPr>
          <w:pgSz w:w="11900" w:h="16838" w:orient="portrait"/>
          <w:cols w:equalWidth="0" w:num="5">
            <w:col w:w="4964" w:space="720"/>
            <w:col w:w="1000" w:space="500"/>
            <w:col w:w="460" w:space="520"/>
            <w:col w:w="1100" w:space="580"/>
            <w:col w:w="1160"/>
          </w:cols>
          <w:pgMar w:left="436" w:top="152" w:right="459" w:bottom="1440" w:gutter="0" w:footer="0" w:header="0"/>
        </w:sectPr>
      </w:pPr>
    </w:p>
    <w:p>
      <w:pPr>
        <w:spacing w:after="0" w:line="93" w:lineRule="exact"/>
        <w:rPr>
          <w:sz w:val="20"/>
          <w:szCs w:val="20"/>
          <w:color w:val="auto"/>
        </w:rPr>
      </w:pPr>
    </w:p>
    <w:p>
      <w:pPr>
        <w:jc w:val="both"/>
        <w:ind w:left="424" w:right="540" w:hanging="424"/>
        <w:spacing w:after="0" w:line="23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ordinary shares offered are in the form of American Depositary Shares (“ADSs”), with each ADS representing five (5) of our ordinary shares. ADSs issuable upon deposit of the ordinary shares registered hereby have been registered under a separate registration statement on Form F-6 (File No. 333-223890), as amended.</w:t>
      </w:r>
    </w:p>
    <w:p>
      <w:pPr>
        <w:spacing w:after="0" w:line="2"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(i) 89,144,623 ordinary shares, nominal value £0.003 per share, equivalent to 17,828,924 ADSs, issued in the June 2020 Private Placement described in this registration statement (the “June 2020 Private Placement”), (ii) 253,048,551 ordinary shares, which is the number of ordinary shares issued upon the conversion of the convertible notes as of the date hereof and issuable upon the full conversion of the convertible notes outstanding as of the date hereof assuming the maximum amount of accrued interest for which additional ordinary shares are issuable upon conversion (including both accrued interest through the date hereof and accruing to the maturity date of the convertible notes assuming such notes remain outstanding until their maturity date), issued to investors in connection with the June 2020 Private Placement without regard to any ownership limitations, (iii) 161,048,366 ordinary shares, which is the number of ordinary shares issuable upon the full exercise of warrants outstanding issued to investors in the June 2020 Private Placement, and (iv) 12,252,715 ordinary shares, equivalent to 2,450,543 ADSs, issued to Boxer Capital, LLC in a private placement on February 19, 2020. Pursuant to Rule 416 of the Securities Act of 1933, as amended (the “Securities Act”), this registration statement also covers any additional shares underlying the ADSs which may become issuable to prevent dilution from stock splits, stock dividends and similar events.</w:t>
      </w:r>
    </w:p>
    <w:p>
      <w:pPr>
        <w:spacing w:after="0" w:line="8" w:lineRule="exact"/>
        <w:rPr>
          <w:rFonts w:ascii="Arial" w:cs="Arial" w:eastAsia="Arial" w:hAnsi="Arial"/>
          <w:sz w:val="18"/>
          <w:szCs w:val="18"/>
          <w:color w:val="auto"/>
        </w:rPr>
      </w:pPr>
    </w:p>
    <w:p>
      <w:pPr>
        <w:ind w:left="424" w:right="280" w:hanging="424"/>
        <w:spacing w:after="0" w:line="23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pursuant to Rule 457(c) under the Securities Act. The proposed maximum offering price per ordinary share and proposed maximum aggregate offering price are calculated on the basis of £0.4843, the average of the high and low sale price of the ordinary shares of the Registrant on the Alternative Investment Market operated by the London Stock Exchange on July 2, 2020, which is within five business days prior to the filing of this registration statement, converted into U.S. dollars at the noon buying rate of the Federal Reserve Bank of New York on June 26, 2020, of $1.2337 to £1.0000.</w:t>
      </w:r>
    </w:p>
    <w:p>
      <w:pPr>
        <w:spacing w:after="0" w:line="4" w:lineRule="exact"/>
        <w:rPr>
          <w:rFonts w:ascii="Arial" w:cs="Arial" w:eastAsia="Arial" w:hAnsi="Arial"/>
          <w:sz w:val="18"/>
          <w:szCs w:val="18"/>
          <w:color w:val="auto"/>
        </w:rPr>
      </w:pPr>
    </w:p>
    <w:p>
      <w:pPr>
        <w:ind w:left="424" w:hanging="424"/>
        <w:spacing w:after="0" w:line="23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457(p) under the Securities Act, the Registrant hereby offsets the registration fee for this registration statement on Form F-3 against the portion of the $10,022.00 registration fee previously paid by the Registrant in connection with the Registrant’s registration statement on Form F-1 (File No. 333-223883), initially filed by the Registrant with the Securities and Exchange Commission (“SEC”) on March 23, 2018 and withdrawn by the Registrant on February 21, 2019 before it had become effective and before any securities were sold thereunder, of which $5,596.07 remains available. Accordingly, $5,596.07 of the registration fees related to the foregoing unissued securities is being offset against the total registration fee of $40,146.69 due for this registration statement. Accordingly, the registration fee being paid herewith is $34,550.62.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163830</wp:posOffset>
            </wp:positionV>
            <wp:extent cx="1817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4" w:right="20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212090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152" w:right="4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40"/>
        <w:spacing w:after="0" w:line="274" w:lineRule="auto"/>
        <w:rPr>
          <w:sz w:val="20"/>
          <w:szCs w:val="20"/>
          <w:color w:val="auto"/>
        </w:rPr>
      </w:pPr>
      <w:r>
        <w:rPr>
          <w:rFonts w:ascii="Arial" w:cs="Arial" w:eastAsia="Arial" w:hAnsi="Arial"/>
          <w:sz w:val="17"/>
          <w:szCs w:val="17"/>
          <w:color w:val="CC062A"/>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340" w:type="dxa"/>
            <w:vAlign w:val="bottom"/>
          </w:tcPr>
          <w:p>
            <w:pPr>
              <w:spacing w:after="0"/>
              <w:rPr>
                <w:sz w:val="20"/>
                <w:szCs w:val="20"/>
                <w:color w:val="auto"/>
              </w:rPr>
            </w:pPr>
            <w:r>
              <w:rPr>
                <w:rFonts w:ascii="Arial" w:cs="Arial" w:eastAsia="Arial" w:hAnsi="Arial"/>
                <w:sz w:val="18"/>
                <w:szCs w:val="18"/>
                <w:b w:val="1"/>
                <w:bCs w:val="1"/>
                <w:color w:val="auto"/>
              </w:rPr>
              <w:t>PRELIMINARY PROSPECTUS (Subject to Completion)</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CC062A"/>
              </w:rPr>
              <w:t>Dated July</w:t>
            </w:r>
          </w:p>
        </w:tc>
      </w:tr>
      <w:tr>
        <w:trPr>
          <w:trHeight w:val="239"/>
        </w:trPr>
        <w:tc>
          <w:tcPr>
            <w:tcW w:w="734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Arial" w:cs="Arial" w:eastAsia="Arial" w:hAnsi="Arial"/>
                <w:sz w:val="18"/>
                <w:szCs w:val="18"/>
                <w:b w:val="1"/>
                <w:bCs w:val="1"/>
                <w:color w:val="CC062A"/>
              </w:rPr>
              <w:t>6, 2020</w:t>
            </w:r>
          </w:p>
        </w:tc>
      </w:tr>
      <w:tr>
        <w:trPr>
          <w:trHeight w:val="169"/>
        </w:trPr>
        <w:tc>
          <w:tcPr>
            <w:tcW w:w="7340" w:type="dxa"/>
            <w:vAlign w:val="bottom"/>
            <w:tcBorders>
              <w:bottom w:val="single" w:sz="8" w:color="334998"/>
            </w:tcBorders>
          </w:tcPr>
          <w:p>
            <w:pPr>
              <w:spacing w:after="0"/>
              <w:rPr>
                <w:sz w:val="14"/>
                <w:szCs w:val="14"/>
                <w:color w:val="auto"/>
              </w:rPr>
            </w:pPr>
          </w:p>
        </w:tc>
        <w:tc>
          <w:tcPr>
            <w:tcW w:w="3680" w:type="dxa"/>
            <w:vAlign w:val="bottom"/>
            <w:tcBorders>
              <w:bottom w:val="single" w:sz="8" w:color="334998"/>
            </w:tcBorders>
          </w:tcPr>
          <w:p>
            <w:pPr>
              <w:spacing w:after="0"/>
              <w:rPr>
                <w:sz w:val="14"/>
                <w:szCs w:val="14"/>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103,098,851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179705</wp:posOffset>
            </wp:positionV>
            <wp:extent cx="2468880" cy="899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888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Representing 515,494,255 Ordinary Shares</w:t>
      </w:r>
    </w:p>
    <w:p>
      <w:pPr>
        <w:spacing w:after="0" w:line="200" w:lineRule="exact"/>
        <w:rPr>
          <w:sz w:val="20"/>
          <w:szCs w:val="20"/>
          <w:color w:val="auto"/>
        </w:rPr>
      </w:pPr>
    </w:p>
    <w:p>
      <w:pPr>
        <w:spacing w:after="0" w:line="274" w:lineRule="exact"/>
        <w:rPr>
          <w:sz w:val="20"/>
          <w:szCs w:val="20"/>
          <w:color w:val="auto"/>
        </w:rPr>
      </w:pPr>
    </w:p>
    <w:p>
      <w:pPr>
        <w:ind w:left="120" w:right="440"/>
        <w:spacing w:after="0" w:line="246" w:lineRule="auto"/>
        <w:rPr>
          <w:sz w:val="20"/>
          <w:szCs w:val="20"/>
          <w:color w:val="auto"/>
        </w:rPr>
      </w:pPr>
      <w:r>
        <w:rPr>
          <w:rFonts w:ascii="Arial" w:cs="Arial" w:eastAsia="Arial" w:hAnsi="Arial"/>
          <w:sz w:val="16"/>
          <w:szCs w:val="16"/>
          <w:color w:val="auto"/>
        </w:rPr>
        <w:t>This prospectus relates to the resale, by the selling shareholders identified in this prospectus, of up to an aggregate of 515,494,255 ordinary shares, nominal value £0.003 per share of Mereo BioPharma Group plc, equivalent to 103,098,851 American Depository Shares, or ADSs, consisting of</w:t>
      </w:r>
    </w:p>
    <w:p>
      <w:pPr>
        <w:spacing w:after="0" w:line="1" w:lineRule="exact"/>
        <w:rPr>
          <w:sz w:val="20"/>
          <w:szCs w:val="20"/>
          <w:color w:val="auto"/>
        </w:rPr>
      </w:pPr>
    </w:p>
    <w:p>
      <w:pPr>
        <w:ind w:left="120" w:right="20" w:hanging="4"/>
        <w:spacing w:after="0" w:line="248" w:lineRule="auto"/>
        <w:tabs>
          <w:tab w:leader="none" w:pos="309" w:val="left"/>
        </w:tabs>
        <w:numPr>
          <w:ilvl w:val="0"/>
          <w:numId w:val="2"/>
        </w:numPr>
        <w:rPr>
          <w:rFonts w:ascii="Arial" w:cs="Arial" w:eastAsia="Arial" w:hAnsi="Arial"/>
          <w:sz w:val="16"/>
          <w:szCs w:val="16"/>
          <w:color w:val="auto"/>
        </w:rPr>
      </w:pPr>
      <w:r>
        <w:rPr>
          <w:rFonts w:ascii="Arial" w:cs="Arial" w:eastAsia="Arial" w:hAnsi="Arial"/>
          <w:sz w:val="16"/>
          <w:szCs w:val="16"/>
          <w:color w:val="auto"/>
        </w:rPr>
        <w:t>89,144,623 ordinary shares, equivalent to 17,828,924 ADSs, issued to the selling shareholders pursuant to the June 2020 Private Placement and other ordinary shares previously held by certain selling shareholders prior to such private placement, (ii) 161,048,366 ordinary shares equivalent to 32,209,673 ADSs, which is the number of ordinary shares issuable upon the full exercise of warrants outstanding issued to investors in the June 2020 Private Placement, (iii) 253,048,551 ordinary shares equivalent to 50,609,710 ADSs, which is the number of ordinary shares issued upon the conversion of the convertible notes as of the date hereof and issuable upon the full conversion of the convertible notes outstanding as of the date hereof assuming the maximum amount of accrued interest for which additional ordinary shares are issuable upon conversion (including both accrued interest through the date hereof and accruing to the maturity date of the convertible notes assuming such notes remain outstanding until their maturity date), issued to investors in connection with the June 2020 Private Placement without regard to any ownership limitations, and (iv) 12,252,715 ordinary shares, equivalent to 2,450,543 ADSs, issued to Boxer Capital, LLC in a private placement on February 19, 2020.</w:t>
      </w:r>
    </w:p>
    <w:p>
      <w:pPr>
        <w:spacing w:after="0" w:line="206" w:lineRule="exact"/>
        <w:rPr>
          <w:sz w:val="20"/>
          <w:szCs w:val="20"/>
          <w:color w:val="auto"/>
        </w:rPr>
      </w:pPr>
    </w:p>
    <w:p>
      <w:pPr>
        <w:jc w:val="both"/>
        <w:ind w:left="120" w:right="280"/>
        <w:spacing w:after="0" w:line="251" w:lineRule="auto"/>
        <w:rPr>
          <w:sz w:val="20"/>
          <w:szCs w:val="20"/>
          <w:color w:val="auto"/>
        </w:rPr>
      </w:pPr>
      <w:r>
        <w:rPr>
          <w:rFonts w:ascii="Arial" w:cs="Arial" w:eastAsia="Arial" w:hAnsi="Arial"/>
          <w:sz w:val="16"/>
          <w:szCs w:val="16"/>
          <w:color w:val="auto"/>
        </w:rPr>
        <w:t>The selling shareholders are identified in the table commencing on page 20. Each ADS represents five ordinary shares. No ADSs are being registered hereunder for sale by us. We will not receive any proceeds from the sale of the ADSs by the selling shareholders. All net proceeds from the sale of the ordinary shares represented by ADSs covered by this prospectus will go to the selling shareholders. However, we may receive the proceeds from any exercise of warrants in certain circumstances. See “Use of Proceeds.”</w:t>
      </w:r>
    </w:p>
    <w:p>
      <w:pPr>
        <w:spacing w:after="0" w:line="202"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The selling shareholders may sell all or a portion of the ordinary shares represented by ADSs from time to time in market transactions through any market on which our ADSs are then traded, in negotiated transactions or otherwise, and at prices and on terms that will be determined by the then prevailing market price or at negotiated prices directly or through a broker or brokers, who may act as agent or as principal or by a combination of such methods of sale. See “Plan of Distribution”.</w:t>
      </w:r>
    </w:p>
    <w:p>
      <w:pPr>
        <w:spacing w:after="0" w:line="202"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The ADSs may be evidenced by American Depositary Receipts (“ADRs”). Our ADSs trade on the Nasdaq Global Market (“Nasdaq”) under the symbol “MREO.” In addition, our ordinary shares trade on AIM, a market of the London Stock Exchange, under the symbol “MPH.”</w:t>
      </w:r>
    </w:p>
    <w:p>
      <w:pPr>
        <w:spacing w:after="0" w:line="195"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We are both an “emerging growth company” and a “foreign private issuer” as defined under the Securities Act of 1933, as amended, and, as such, are subject to reduced public company reporting requirements. See “Prospectus Summary—Implications of Being an Emerging Growth Company and a Foreign Private Issuer” for additional information.</w:t>
      </w:r>
    </w:p>
    <w:p>
      <w:pPr>
        <w:spacing w:after="0" w:line="181"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Investment in our ADSs involve significant risks. See “</w:t>
      </w:r>
      <w:hyperlink w:anchor="page11">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7 of this prospectus.</w:t>
      </w:r>
    </w:p>
    <w:p>
      <w:pPr>
        <w:spacing w:after="0" w:line="241"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208280</wp:posOffset>
            </wp:positionV>
            <wp:extent cx="1817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44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6"/>
                <w:szCs w:val="16"/>
                <w:color w:val="auto"/>
              </w:rPr>
              <w:t>Prospectus dated</w:t>
            </w:r>
          </w:p>
        </w:tc>
        <w:tc>
          <w:tcPr>
            <w:tcW w:w="820" w:type="dxa"/>
            <w:vAlign w:val="bottom"/>
          </w:tcPr>
          <w:p>
            <w:pPr>
              <w:jc w:val="right"/>
              <w:spacing w:after="0"/>
              <w:rPr>
                <w:sz w:val="20"/>
                <w:szCs w:val="20"/>
                <w:color w:val="auto"/>
              </w:rPr>
            </w:pPr>
            <w:r>
              <w:rPr>
                <w:rFonts w:ascii="Arial" w:cs="Arial" w:eastAsia="Arial" w:hAnsi="Arial"/>
                <w:sz w:val="16"/>
                <w:szCs w:val="16"/>
                <w:color w:val="auto"/>
              </w:rPr>
              <w:t>, 2020</w:t>
            </w:r>
          </w:p>
        </w:tc>
      </w:tr>
    </w:tbl>
    <w:p>
      <w:pPr>
        <w:sectPr>
          <w:pgSz w:w="11900" w:h="16838" w:orient="portrait"/>
          <w:cols w:equalWidth="0" w:num="1">
            <w:col w:w="11140"/>
          </w:cols>
          <w:pgMar w:left="320" w:top="459"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4020" w:type="dxa"/>
            <w:vAlign w:val="bottom"/>
          </w:tcPr>
          <w:p>
            <w:pPr>
              <w:spacing w:after="0"/>
              <w:rPr>
                <w:sz w:val="20"/>
                <w:szCs w:val="20"/>
                <w:color w:val="auto"/>
              </w:rPr>
            </w:pPr>
          </w:p>
        </w:tc>
      </w:tr>
      <w:tr>
        <w:trPr>
          <w:trHeight w:val="513"/>
        </w:trPr>
        <w:tc>
          <w:tcPr>
            <w:tcW w:w="4200" w:type="dxa"/>
            <w:vAlign w:val="bottom"/>
          </w:tcPr>
          <w:p>
            <w:pPr>
              <w:spacing w:after="0"/>
              <w:rPr>
                <w:sz w:val="24"/>
                <w:szCs w:val="24"/>
                <w:color w:val="auto"/>
              </w:rPr>
            </w:pPr>
          </w:p>
        </w:tc>
        <w:tc>
          <w:tcPr>
            <w:tcW w:w="2860" w:type="dxa"/>
            <w:vAlign w:val="bottom"/>
          </w:tcPr>
          <w:p>
            <w:pPr>
              <w:ind w:left="460"/>
              <w:spacing w:after="0"/>
              <w:rPr>
                <w:sz w:val="20"/>
                <w:szCs w:val="20"/>
                <w:color w:val="auto"/>
              </w:rPr>
            </w:pPr>
            <w:r>
              <w:rPr>
                <w:rFonts w:ascii="Arial" w:cs="Arial" w:eastAsia="Arial" w:hAnsi="Arial"/>
                <w:sz w:val="18"/>
                <w:szCs w:val="18"/>
                <w:b w:val="1"/>
                <w:bCs w:val="1"/>
                <w:color w:val="auto"/>
              </w:rPr>
              <w:t>TABLE OF CONTENTS</w:t>
            </w:r>
          </w:p>
        </w:tc>
        <w:tc>
          <w:tcPr>
            <w:tcW w:w="4020" w:type="dxa"/>
            <w:vAlign w:val="bottom"/>
          </w:tcPr>
          <w:p>
            <w:pPr>
              <w:spacing w:after="0"/>
              <w:rPr>
                <w:sz w:val="24"/>
                <w:szCs w:val="24"/>
                <w:color w:val="auto"/>
              </w:rPr>
            </w:pPr>
          </w:p>
        </w:tc>
      </w:tr>
      <w:tr>
        <w:trPr>
          <w:trHeight w:val="553"/>
        </w:trPr>
        <w:tc>
          <w:tcPr>
            <w:tcW w:w="7060" w:type="dxa"/>
            <w:vAlign w:val="bottom"/>
            <w:gridSpan w:val="2"/>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Cautionary Statement Regarding Forward-Looking Statements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Capitalization</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Use of Proceeds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Material Tax Considerations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Selling Shareholders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Plan of Distribution</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Expenses of the Offering</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Matters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Experts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Service of Process and Enforcement of Liabilities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Where You Can Find More Information</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17"/>
        </w:trPr>
        <w:tc>
          <w:tcPr>
            <w:tcW w:w="7060" w:type="dxa"/>
            <w:vAlign w:val="bottom"/>
            <w:gridSpan w:val="2"/>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Incorporation by Reference</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42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ind w:left="300" w:right="460" w:firstLine="426"/>
        <w:spacing w:after="0"/>
        <w:rPr>
          <w:sz w:val="20"/>
          <w:szCs w:val="20"/>
          <w:color w:val="auto"/>
        </w:rPr>
      </w:pPr>
      <w:r>
        <w:rPr>
          <w:rFonts w:ascii="Arial" w:cs="Arial" w:eastAsia="Arial" w:hAnsi="Arial"/>
          <w:sz w:val="18"/>
          <w:szCs w:val="18"/>
          <w:color w:val="auto"/>
        </w:rPr>
        <w:t>Under this registration statement, the selling shareholder may sell our ADSs described in this prospectus from time to time. Please read carefully this prospectus together with additional information described below under “Where You Can Find More Information” and “Incorporation by Reference”.</w:t>
      </w:r>
    </w:p>
    <w:p>
      <w:pPr>
        <w:spacing w:after="0" w:line="203" w:lineRule="exact"/>
        <w:rPr>
          <w:sz w:val="20"/>
          <w:szCs w:val="20"/>
          <w:color w:val="auto"/>
        </w:rPr>
      </w:pPr>
    </w:p>
    <w:p>
      <w:pPr>
        <w:ind w:left="300" w:right="120" w:firstLine="426"/>
        <w:spacing w:after="0" w:line="238"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As permitted by the rules and regulations of the SEC, the registration statement filed by us includes additional information not contained in this prospectus. You may read the registration statement and the other reports we file with the SEC at the SEC’s website or its offices described below under the heading “Where You Can Find More Information” and “Incorporation by Reference”.</w:t>
      </w:r>
    </w:p>
    <w:p>
      <w:pPr>
        <w:spacing w:after="0" w:line="205" w:lineRule="exact"/>
        <w:rPr>
          <w:sz w:val="20"/>
          <w:szCs w:val="20"/>
          <w:color w:val="auto"/>
        </w:rPr>
      </w:pPr>
    </w:p>
    <w:p>
      <w:pPr>
        <w:ind w:left="300" w:right="100" w:firstLine="426"/>
        <w:spacing w:after="0" w:line="238" w:lineRule="auto"/>
        <w:rPr>
          <w:sz w:val="20"/>
          <w:szCs w:val="20"/>
          <w:color w:val="auto"/>
        </w:rPr>
      </w:pPr>
      <w:r>
        <w:rPr>
          <w:rFonts w:ascii="Arial" w:cs="Arial" w:eastAsia="Arial" w:hAnsi="Arial"/>
          <w:sz w:val="18"/>
          <w:szCs w:val="18"/>
          <w:color w:val="auto"/>
        </w:rPr>
        <w:t>You should rely only on the information that is contained in this prospectus or that is incorporated by reference into this prospectus. We have not authorized anyone to provide you with information that is in addition to or different from that contained in, or incorporated by reference into, this prospectus. If anyone provides you with different or inconsistent information, you should not rely on it.</w:t>
      </w:r>
    </w:p>
    <w:p>
      <w:pPr>
        <w:spacing w:after="0" w:line="205"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This prospectus is not an offer to sell, nor is it seeking an offer to buy, these securities in any state where the offer or sale is not permitted. The information in this prospectus speaks only as of the date of this prospectus unless the information specifically indicates that another date applies, regardless of the time of delivery of this prospectus or of any sale of the securities offered hereby. Our business, financial condition, results of operations, and prospects may have changed since that date. We do not take any responsibility for, nor do we provide any assurance as to the reliability of, any information other than the information in this prospectus. Neither the delivery of this prospectus nor the sale of the ADSs means that information contained in this prospectus is correct after the date of this prospectus.</w:t>
      </w:r>
    </w:p>
    <w:p>
      <w:pPr>
        <w:spacing w:after="0" w:line="203" w:lineRule="exact"/>
        <w:rPr>
          <w:sz w:val="20"/>
          <w:szCs w:val="20"/>
          <w:color w:val="auto"/>
        </w:rPr>
      </w:pPr>
    </w:p>
    <w:p>
      <w:pPr>
        <w:ind w:left="300" w:firstLine="426"/>
        <w:spacing w:after="0" w:line="255" w:lineRule="auto"/>
        <w:rPr>
          <w:sz w:val="20"/>
          <w:szCs w:val="20"/>
          <w:color w:val="auto"/>
        </w:rPr>
      </w:pPr>
      <w:r>
        <w:rPr>
          <w:rFonts w:ascii="Arial" w:cs="Arial" w:eastAsia="Arial" w:hAnsi="Arial"/>
          <w:sz w:val="17"/>
          <w:szCs w:val="17"/>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Ireland Limited, Mereo US Holdings Inc., NAVI Subsidiary, Inc. and OncoMed Pharmaceuticals, Inc. Our consolidated financial statements also treat Mereo BioPharma Group plc Employee Benefit Trust, an employee benefit trust operated by us, as a wholly-owned subsidiary of ours.</w:t>
      </w:r>
    </w:p>
    <w:p>
      <w:pPr>
        <w:spacing w:after="0" w:line="190" w:lineRule="exact"/>
        <w:rPr>
          <w:sz w:val="20"/>
          <w:szCs w:val="20"/>
          <w:color w:val="auto"/>
        </w:rPr>
      </w:pPr>
    </w:p>
    <w:p>
      <w:pPr>
        <w:ind w:left="300" w:right="40" w:firstLine="426"/>
        <w:spacing w:after="0" w:line="236" w:lineRule="auto"/>
        <w:rPr>
          <w:sz w:val="20"/>
          <w:szCs w:val="20"/>
          <w:color w:val="auto"/>
        </w:rPr>
      </w:pPr>
      <w:r>
        <w:rPr>
          <w:rFonts w:ascii="Arial" w:cs="Arial" w:eastAsia="Arial" w:hAnsi="Arial"/>
          <w:sz w:val="18"/>
          <w:szCs w:val="18"/>
          <w:color w:val="auto"/>
        </w:rPr>
        <w:t>Market data and certain industry data and forecasts used in, or incorporated by reference in, this prospectus were obtained from sources we believe to be reliable, including market research databases, publicly available information, reports of governmental agencies and industry publications and surveys. We have relied on certain data from third-party sources, including internal surveys, industry forecasts and market research, which we believe to be reliable based on our management’s knowledge of the industry. Forecasts are particularly likely to be inaccurate, especially over long periods of time. In addition, we do not necessarily know what assumptions regarding general economic growth were used in preparing the third-party forecasts we cite. Statements as to our market position are based on the most currently available data. While we are not aware of any misstatements regarding the industry data presented in this prospectus, our estimates involve risks and uncertainties and are subject to change based on various factors, including those discussed under the heading “Risk Factors” in this prospectus. Our historical results do not necessarily indicate our expected results for any future periods.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18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17183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firstLine="426"/>
        <w:spacing w:after="0" w:line="246" w:lineRule="auto"/>
        <w:rPr>
          <w:sz w:val="20"/>
          <w:szCs w:val="20"/>
          <w:color w:val="auto"/>
        </w:rPr>
      </w:pPr>
      <w:r>
        <w:rPr>
          <w:rFonts w:ascii="Arial" w:cs="Arial" w:eastAsia="Arial" w:hAnsi="Arial"/>
          <w:sz w:val="18"/>
          <w:szCs w:val="18"/>
          <w:color w:val="auto"/>
        </w:rPr>
        <w:t>Certain figures included or incorporated by reference in this prospectus have been subject to rounding adjustments. Accordingly, figures shown as totals in certain tables may not be an arithmetic aggregation of the figures that precede them.</w:t>
      </w:r>
    </w:p>
    <w:p>
      <w:pPr>
        <w:spacing w:after="0" w:line="197" w:lineRule="exact"/>
        <w:rPr>
          <w:sz w:val="20"/>
          <w:szCs w:val="20"/>
          <w:color w:val="auto"/>
        </w:rPr>
      </w:pPr>
    </w:p>
    <w:p>
      <w:pPr>
        <w:jc w:val="both"/>
        <w:ind w:left="300" w:right="40" w:firstLine="426"/>
        <w:spacing w:after="0"/>
        <w:rPr>
          <w:sz w:val="20"/>
          <w:szCs w:val="20"/>
          <w:color w:val="auto"/>
        </w:rPr>
      </w:pPr>
      <w:r>
        <w:rPr>
          <w:rFonts w:ascii="Arial" w:cs="Arial" w:eastAsia="Arial" w:hAnsi="Arial"/>
          <w:sz w:val="18"/>
          <w:szCs w:val="18"/>
          <w:color w:val="auto"/>
        </w:rPr>
        <w:t>We have obtained the statistical data, market data and other industry data and forecasts used in this prospectus and in our SEC filings incorporated herein by reference from publicly available information. We have not sought the consent of the sources to refer to the publicly available reports in this prospectus.</w:t>
      </w:r>
    </w:p>
    <w:p>
      <w:pPr>
        <w:spacing w:after="0" w:line="203" w:lineRule="exact"/>
        <w:rPr>
          <w:sz w:val="20"/>
          <w:szCs w:val="20"/>
          <w:color w:val="auto"/>
        </w:rPr>
      </w:pPr>
    </w:p>
    <w:p>
      <w:pPr>
        <w:ind w:left="300" w:right="100" w:firstLine="426"/>
        <w:spacing w:after="0" w:line="238" w:lineRule="auto"/>
        <w:rPr>
          <w:sz w:val="20"/>
          <w:szCs w:val="20"/>
          <w:color w:val="auto"/>
        </w:rPr>
      </w:pPr>
      <w:r>
        <w:rPr>
          <w:rFonts w:ascii="Arial" w:cs="Arial" w:eastAsia="Arial" w:hAnsi="Arial"/>
          <w:sz w:val="18"/>
          <w:szCs w:val="18"/>
          <w:color w:val="auto"/>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jc w:val="both"/>
        <w:ind w:left="300" w:right="100" w:firstLine="426"/>
        <w:spacing w:after="0" w:line="24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risks related to our business, our industry, investing in our ordinary shares, that we describe under “Risk Factors” and our consolidated financial statements, including the notes thereto, included and incorporated by reference in this prospectus, before deciding to invest in our ADSs.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Our existing portfolio consists of six clinical stage product candidates. Our lead oncology product candidate, etigilimab (an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Oncologie. Our rare disease product candidates are setrusumab for the treatment of OI and alvelestat for the treatment of severe AATD which is being investigated in an ongoing Phase 2 proof-of-concept study in the U.S. and Europe and expect to report top line data from this study in the second half of 2021. We plan to form a strategic partnership for the development of setrusumab in adults and children following the completion of the Phase 2b study and alignment with the FDA and EMA on the pivotal study design for children with OI.</w:t>
      </w:r>
    </w:p>
    <w:p>
      <w:pPr>
        <w:spacing w:after="0" w:line="206" w:lineRule="exact"/>
        <w:rPr>
          <w:sz w:val="20"/>
          <w:szCs w:val="20"/>
          <w:color w:val="auto"/>
        </w:rPr>
      </w:pPr>
    </w:p>
    <w:p>
      <w:pPr>
        <w:ind w:left="300" w:right="460" w:firstLine="426"/>
        <w:spacing w:after="0" w:line="246"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to develop through regulatory approval and potentially commercialization.</w:t>
      </w:r>
    </w:p>
    <w:p>
      <w:pPr>
        <w:spacing w:after="0" w:line="197" w:lineRule="exact"/>
        <w:rPr>
          <w:sz w:val="20"/>
          <w:szCs w:val="20"/>
          <w:color w:val="auto"/>
        </w:rPr>
      </w:pPr>
    </w:p>
    <w:p>
      <w:pPr>
        <w:jc w:val="both"/>
        <w:ind w:left="300" w:right="40" w:firstLine="426"/>
        <w:spacing w:after="0"/>
        <w:rPr>
          <w:sz w:val="20"/>
          <w:szCs w:val="20"/>
          <w:color w:val="auto"/>
        </w:rPr>
      </w:pPr>
      <w:r>
        <w:rPr>
          <w:rFonts w:ascii="Arial" w:cs="Arial" w:eastAsia="Arial" w:hAnsi="Arial"/>
          <w:sz w:val="18"/>
          <w:szCs w:val="18"/>
          <w:color w:val="auto"/>
        </w:rPr>
        <w:t>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203"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oncology and rare diseases. Four of these six clinical-stage product candidates were acquired from large pharmaceutical companies and two were acquired in the Merger. We aim to efficiently to develop our product candidates through the clinic and have commenced or completed large, randomized Phase 2 clinical trials for four of our product candidates.</w:t>
      </w:r>
    </w:p>
    <w:p>
      <w:pPr>
        <w:spacing w:after="0" w:line="203"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04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Aspire Capital Transaction</w:t>
      </w:r>
    </w:p>
    <w:p>
      <w:pPr>
        <w:spacing w:after="0" w:line="126"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On February 10, 2020, we entered into a purchase agreement with Aspire Capital Fund, LLC (“Aspire Capital”), which provides that, upon the terms and subject to the conditions and limitations set forth therein, Aspire Capital committed to purchase up to an aggregate of $25.0 million worth of our ordinary shares that are exchangeable for ADSs over the approximately 30-month term of that purchase agreement. In addition, pursuant to that purchase agreement, Aspire Capital purchased 11,432,925 ordinary shares that are exchangeable for 2,286,585 ADSs for $ 3.0 million. In consideration for entering into that purchase agreement, concurrently with the execution thereof, we issued 2,862,595 ordinary shares equivalent to 572,519 ADSs to Aspire Capital in satisfaction of the commission fee payable to Aspire Capital in connection with the transaction. In connection with the June 2020 Private Placement described below, we agreed with the investors in that placement not to issue the $ 25.0 million of shares potentially issuable under the purchase agreement with Aspire Capital described herein for a period of 180 days following the date the resale registration statement for that transaction is first declared effective by the SEC.</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Boxer Capital Transaction</w:t>
      </w:r>
    </w:p>
    <w:p>
      <w:pPr>
        <w:spacing w:after="0" w:line="126" w:lineRule="exact"/>
        <w:rPr>
          <w:sz w:val="20"/>
          <w:szCs w:val="20"/>
          <w:color w:val="auto"/>
        </w:rPr>
      </w:pPr>
    </w:p>
    <w:p>
      <w:pPr>
        <w:ind w:left="300" w:right="120" w:firstLine="426"/>
        <w:spacing w:after="0" w:line="237" w:lineRule="auto"/>
        <w:rPr>
          <w:sz w:val="20"/>
          <w:szCs w:val="20"/>
          <w:color w:val="auto"/>
        </w:rPr>
      </w:pPr>
      <w:r>
        <w:rPr>
          <w:rFonts w:ascii="Arial" w:cs="Arial" w:eastAsia="Arial" w:hAnsi="Arial"/>
          <w:sz w:val="18"/>
          <w:szCs w:val="18"/>
          <w:color w:val="auto"/>
        </w:rPr>
        <w:t>On February 19, 2020, we entered into a securities purchase agreement with Boxer Capital. Under the terms of the agreement, Boxer Capital agreed to invest $3.0 million by purchasing 12,252,715 ordinary shares (equivalent to 2,450,543 ADSs) at a price equivalent to 18.8 pence per ordinary share, which represented a 20% discount to our closing share price of 23.5 pence on AIM on February 18, 2020. We intend to use the net proceeds from this private placement for general corporate purposes, including clinical trial activity and working capital. There are no warrants, derivatives, or other share classes associated with this transaction. Further, there are no restrictions on future financings and there are no financial covenants, participation rights, rights of first refusal, or penalties in the purchase agreement entered into in connection with this transaction.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June 2020 Private Placement</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 June 4, 2020, we announced the completion of a private placement with net proceeds of approximately $64.2 million</w:t>
      </w:r>
    </w:p>
    <w:p>
      <w:pPr>
        <w:ind w:left="300"/>
        <w:spacing w:after="0" w:line="234" w:lineRule="auto"/>
        <w:rPr>
          <w:sz w:val="20"/>
          <w:szCs w:val="20"/>
          <w:color w:val="auto"/>
        </w:rPr>
      </w:pPr>
      <w:r>
        <w:rPr>
          <w:rFonts w:ascii="Arial" w:cs="Arial" w:eastAsia="Arial" w:hAnsi="Arial"/>
          <w:sz w:val="18"/>
          <w:szCs w:val="18"/>
          <w:color w:val="auto"/>
        </w:rPr>
        <w:t>(£51.4 million) with a number of new and existing principally U.S based institutional and accredited investors (the “June 2020 Private</w:t>
      </w:r>
    </w:p>
    <w:p>
      <w:pPr>
        <w:ind w:left="300"/>
        <w:spacing w:after="0" w:line="235" w:lineRule="auto"/>
        <w:rPr>
          <w:sz w:val="20"/>
          <w:szCs w:val="20"/>
          <w:color w:val="auto"/>
        </w:rPr>
      </w:pPr>
      <w:r>
        <w:rPr>
          <w:rFonts w:ascii="Arial" w:cs="Arial" w:eastAsia="Arial" w:hAnsi="Arial"/>
          <w:sz w:val="18"/>
          <w:szCs w:val="18"/>
          <w:color w:val="auto"/>
        </w:rPr>
        <w:t>Placement”). OrbiMed Private Investments VII, LP, OrbiMed Genesis Master Fund, L.P., and OrbiMed Partners Master Fund Limited,</w:t>
      </w:r>
    </w:p>
    <w:p>
      <w:pPr>
        <w:ind w:left="300"/>
        <w:spacing w:after="0" w:line="235" w:lineRule="auto"/>
        <w:rPr>
          <w:sz w:val="20"/>
          <w:szCs w:val="20"/>
          <w:color w:val="auto"/>
        </w:rPr>
      </w:pPr>
      <w:r>
        <w:rPr>
          <w:rFonts w:ascii="Arial" w:cs="Arial" w:eastAsia="Arial" w:hAnsi="Arial"/>
          <w:sz w:val="18"/>
          <w:szCs w:val="18"/>
          <w:color w:val="auto"/>
        </w:rPr>
        <w:t>(collectively referred to herein as “OrbiMed”) led the June 2020 Private Placement with participants including Vivo Capital, Surveyor</w:t>
      </w:r>
    </w:p>
    <w:p>
      <w:pPr>
        <w:ind w:left="300"/>
        <w:spacing w:after="0" w:line="235" w:lineRule="auto"/>
        <w:rPr>
          <w:sz w:val="20"/>
          <w:szCs w:val="20"/>
          <w:color w:val="auto"/>
        </w:rPr>
      </w:pPr>
      <w:r>
        <w:rPr>
          <w:rFonts w:ascii="Arial" w:cs="Arial" w:eastAsia="Arial" w:hAnsi="Arial"/>
          <w:sz w:val="18"/>
          <w:szCs w:val="18"/>
          <w:color w:val="auto"/>
        </w:rPr>
        <w:t>Capital (a Citadel company), Pontifax Venture Capital, Samsara BioCapital, Commodore Capital, and funds managed by</w:t>
      </w:r>
    </w:p>
    <w:p>
      <w:pPr>
        <w:ind w:left="300"/>
        <w:spacing w:after="0" w:line="237" w:lineRule="auto"/>
        <w:rPr>
          <w:sz w:val="20"/>
          <w:szCs w:val="20"/>
          <w:color w:val="auto"/>
        </w:rPr>
      </w:pPr>
      <w:r>
        <w:rPr>
          <w:rFonts w:ascii="Arial" w:cs="Arial" w:eastAsia="Arial" w:hAnsi="Arial"/>
          <w:sz w:val="18"/>
          <w:szCs w:val="18"/>
          <w:color w:val="auto"/>
        </w:rPr>
        <w:t>Janus Henderson Investors alongside existing investors Boxer Capital of Tavistock Group and Aspire Capital Fund, LLC (collectively, the “Purchasers”). On June 3, 2020, we entered into a securities purchase agreement (the “June 2020 Purchase Agreement”) with the Purchasers pursuant to which we received approximately $64.2 million (£51.4 million) from the Purchasers comprising: the allotment of ordinary shares at a subscription price of approximately $19.4 million utilizing the share authorities of the Company granted by shareholders on June 2, 2016 and June 19, 2019, and the subscription for convertible Tranche 1 Notes in an aggregate principal amount of approximately $50.6 million. The Purchasers also received conditional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warrants entitling the holders to subscribe for an aggregate of 161,048,366 new ordinary shares. The ability for the Tranche 1 Notes to be converted into new ordinary shares and for the warrants to be exercised was conditional on the passing of certain resolutions by the shareholders of the Company. Shareholders granted the Company the authority (i) to allot the ordinary shares arising on the conversion of the Tranche 1 Notes and (ii) to grant the rights to subscribe for ordinary shares pursuant to the exercise of the warrants, at the general meeting of the Company held on June 30, 2020. We will use $ 13 million of the net proceeds from the June 2020 Private Placement to repay outstanding indebtedness and plan to use the remainder of the proceeds to fund clinical development activities of our lead product candidates and for general corporate purposes.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6" w:lineRule="exact"/>
        <w:rPr>
          <w:sz w:val="20"/>
          <w:szCs w:val="20"/>
          <w:color w:val="auto"/>
        </w:rPr>
      </w:pPr>
    </w:p>
    <w:p>
      <w:pPr>
        <w:ind w:left="300" w:right="18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right="80" w:hanging="407"/>
        <w:spacing w:after="0" w:line="223"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80" w:hanging="407"/>
        <w:spacing w:after="0" w:line="218"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440" w:hanging="407"/>
        <w:spacing w:after="0" w:line="223"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22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00" w:right="58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00" w:right="24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12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32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32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07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140" w:hanging="407"/>
        <w:spacing w:after="0" w:line="218"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5"/>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under “Risk Factors” under Item 3.D. – “Risk Factors” in our most recent Annual Report on Form 20-F, or any updates in our Reports on Form 6-K, together with all of the other information appearing in this prospectus or incorporated by reference into this prospectus,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58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30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980" w:right="86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could lead to increased market volatility, make it more difficult for us to do business in Europe or have other adverse effects on our business;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2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The table below sets forth our capitalization, cash and short-term deposits as of December 31, 2019, the latest date for which we have audited financial statements and the information below available to us. Because we will not be receiving any proceeds from the sale of any ordinary shares by the selling shareholders, the capitalization information below is not adjusted to reflect such sales. The following information should be read in conjunction with the consolidated financial statements and related notes incorporated by reference in this prospectus. For more details on how you can obtain the documents incorporated by reference in this prospectus, see “Where You Can Find More Information” and “Incorporation by Reference”.</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an exchange rate of £0.7692 to US$1.00, the exchange rate for pound sterling on December 31, 2019.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As of December 31, 2019</w:t>
            </w:r>
          </w:p>
        </w:tc>
      </w:tr>
      <w:tr>
        <w:trPr>
          <w:trHeight w:val="156"/>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5"/>
          </w:tcPr>
          <w:p>
            <w:pPr>
              <w:jc w:val="right"/>
              <w:ind w:right="5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16,347</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21,252</w:t>
            </w:r>
          </w:p>
        </w:tc>
        <w:tc>
          <w:tcPr>
            <w:tcW w:w="120" w:type="dxa"/>
            <w:vAlign w:val="bottom"/>
            <w:shd w:val="clear" w:color="auto" w:fill="CCEEFF"/>
          </w:tcPr>
          <w:p>
            <w:pPr>
              <w:spacing w:after="0"/>
              <w:rPr>
                <w:sz w:val="17"/>
                <w:szCs w:val="17"/>
                <w:color w:val="auto"/>
              </w:rPr>
            </w:pPr>
          </w:p>
        </w:tc>
      </w:tr>
      <w:tr>
        <w:trPr>
          <w:trHeight w:val="20"/>
        </w:trPr>
        <w:tc>
          <w:tcPr>
            <w:tcW w:w="57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76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2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20,512</w:t>
            </w:r>
          </w:p>
        </w:tc>
        <w:tc>
          <w:tcPr>
            <w:tcW w:w="2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26,667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7"/>
                <w:szCs w:val="17"/>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EBT shares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(1,305)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(1,697)</w:t>
            </w: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121,684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158,196</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59,147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76,894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5"/>
              </w:rPr>
              <w:t>(146,065)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(189,892)</w:t>
            </w: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9,100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(649)</w:t>
            </w: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52,335</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60,899</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79,172</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320" w:firstLine="440"/>
        <w:spacing w:after="0" w:line="246" w:lineRule="auto"/>
        <w:rPr>
          <w:sz w:val="20"/>
          <w:szCs w:val="20"/>
          <w:color w:val="auto"/>
        </w:rPr>
      </w:pPr>
      <w:r>
        <w:rPr>
          <w:rFonts w:ascii="Arial" w:cs="Arial" w:eastAsia="Arial" w:hAnsi="Arial"/>
          <w:sz w:val="18"/>
          <w:szCs w:val="18"/>
          <w:color w:val="auto"/>
        </w:rPr>
        <w:t>The cash, short-term deposits and number of ordinary shares indicated as issued and outstanding above is based on 97,959,622 ordinary shares outstanding as of December 31, 2019, and excludes:</w:t>
      </w:r>
    </w:p>
    <w:p>
      <w:pPr>
        <w:spacing w:after="0" w:line="224" w:lineRule="exact"/>
        <w:rPr>
          <w:sz w:val="20"/>
          <w:szCs w:val="20"/>
          <w:color w:val="auto"/>
        </w:rPr>
      </w:pPr>
    </w:p>
    <w:p>
      <w:pPr>
        <w:ind w:left="980" w:right="6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11,357,738 ordinary shares issuable upon the exercise of share options outstanding under Mereo’s equity incentive plans as of December 31, 2019 at a weighted average exercise price of £1.45 per ordinary share;</w:t>
      </w:r>
    </w:p>
    <w:p>
      <w:pPr>
        <w:spacing w:after="0" w:line="27" w:lineRule="exact"/>
        <w:rPr>
          <w:rFonts w:ascii="MS PGothic" w:cs="MS PGothic" w:eastAsia="MS PGothic" w:hAnsi="MS PGothic"/>
          <w:sz w:val="25"/>
          <w:szCs w:val="25"/>
          <w:color w:val="auto"/>
          <w:vertAlign w:val="superscript"/>
        </w:rPr>
      </w:pPr>
    </w:p>
    <w:p>
      <w:pPr>
        <w:ind w:left="980" w:right="108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875,050 ADSs issuable upon the exercise of share options outstanding under Mereo’s equity incentive plans as of December 31, 2019 at a weighted average exercise price of $4.29 per ADS;</w:t>
      </w:r>
    </w:p>
    <w:p>
      <w:pPr>
        <w:spacing w:after="0" w:line="27"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162,997 nil-cost ordinary shares that may be issued upon exercise of share options awarded under the Mereo BioPharma Group plc Deferred Bonus Share Plan, as of December 31, 2019;</w:t>
      </w:r>
    </w:p>
    <w:p>
      <w:pPr>
        <w:spacing w:after="0" w:line="27" w:lineRule="exact"/>
        <w:rPr>
          <w:rFonts w:ascii="MS PGothic" w:cs="MS PGothic" w:eastAsia="MS PGothic" w:hAnsi="MS PGothic"/>
          <w:sz w:val="25"/>
          <w:szCs w:val="25"/>
          <w:color w:val="auto"/>
          <w:vertAlign w:val="superscript"/>
        </w:rPr>
      </w:pPr>
    </w:p>
    <w:p>
      <w:pPr>
        <w:jc w:val="both"/>
        <w:ind w:left="980" w:hanging="432"/>
        <w:spacing w:after="0" w:line="223"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1,243,908 ordinary shares issuable upon the exercise of warrants to purchase ordinary shares outstanding as of December 31, 2019 at a weighted average exercise price of £2.95 per ordinary share, including 621,954 warrants exercisable by Silicon Valley Bank and 621,954 warrants exercisable by Kreos Capital V (UK) Limited;</w:t>
      </w:r>
    </w:p>
    <w:p>
      <w:pPr>
        <w:spacing w:after="0" w:line="28" w:lineRule="exact"/>
        <w:rPr>
          <w:rFonts w:ascii="MS PGothic" w:cs="MS PGothic" w:eastAsia="MS PGothic" w:hAnsi="MS PGothic"/>
          <w:sz w:val="25"/>
          <w:szCs w:val="25"/>
          <w:color w:val="auto"/>
          <w:vertAlign w:val="superscript"/>
        </w:rPr>
      </w:pPr>
    </w:p>
    <w:p>
      <w:pPr>
        <w:ind w:left="980" w:right="30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41,286 ordinary shares issuable upon the exercise of warrants to purchase ordinary shares outstanding as of December 31, 2019 at an exercise price of £0.003 per ordinary share exercisable by The Alpha-1 Project, Inc.;</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20" w:hanging="432"/>
        <w:spacing w:after="0" w:line="218"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January 13, 2020 global licensing agreement with Oncologie, Inc. (“Oncologie”) for navicixizumab and the initial $4 million payment we received from Oncologie at signing;</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February 10, 2020, £3.8 million convertible equity financing with Novartis Pharma (AG) (“Novartis”) whereby Novartis purchased £3.8 million in a convertible loan note that is convertible at any time at a fixed price of £0.265 per ordinary share and as part of which we issued a warrant instrument to Novartis to purchase up to 1,449,614 of our ordinary shares;</w:t>
      </w:r>
    </w:p>
    <w:p>
      <w:pPr>
        <w:spacing w:after="0" w:line="28"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February 10, 2020 Aspire Capital transaction and the issuance of 14,295,520 ordinary shares (equivalent to 2,859,104 ADSs) to Aspire Capital in connection therewith;</w:t>
      </w:r>
    </w:p>
    <w:p>
      <w:pPr>
        <w:spacing w:after="0" w:line="27" w:lineRule="exact"/>
        <w:rPr>
          <w:rFonts w:ascii="MS PGothic" w:cs="MS PGothic" w:eastAsia="MS PGothic" w:hAnsi="MS PGothic"/>
          <w:sz w:val="25"/>
          <w:szCs w:val="25"/>
          <w:color w:val="auto"/>
          <w:vertAlign w:val="superscript"/>
        </w:rPr>
      </w:pPr>
    </w:p>
    <w:p>
      <w:pPr>
        <w:ind w:left="980" w:right="420" w:hanging="432"/>
        <w:spacing w:after="0" w:line="218"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February 19, 2020 Boxer Capital transaction and the issuance of 12,252,715 ordinary shares (equivalent to 2,450,543 ADSs) to Boxer Capital in connection therewith;</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89,144,623 ordinary shares issued to the selling shareholders in the June 2020 Private Placement;</w:t>
      </w:r>
    </w:p>
    <w:p>
      <w:pPr>
        <w:spacing w:after="0" w:line="26"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161,048,366 ordinary shares issuable upon the exercise of warrants outstanding as of the date hereof to purchase ordinary shares at an exercise price of 34.8 pence per ordinary share exercisable by the investors in the June 2020 Private Placement;</w:t>
      </w:r>
    </w:p>
    <w:p>
      <w:pPr>
        <w:spacing w:after="0" w:line="27" w:lineRule="exact"/>
        <w:rPr>
          <w:rFonts w:ascii="MS PGothic" w:cs="MS PGothic" w:eastAsia="MS PGothic" w:hAnsi="MS PGothic"/>
          <w:sz w:val="25"/>
          <w:szCs w:val="25"/>
          <w:color w:val="auto"/>
          <w:vertAlign w:val="superscript"/>
        </w:rPr>
      </w:pPr>
    </w:p>
    <w:p>
      <w:pPr>
        <w:ind w:left="980" w:right="400" w:hanging="432"/>
        <w:spacing w:after="0" w:line="223"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125,061,475 ordinary shares issued upon the conversion of the convertible notes as of the date hereof and 127,987,076 ordinary shares issuable upon the full conversion of the convertible notes outstanding as of the date hereof assuming such notes remain outstanding to the maturity date; and</w:t>
      </w:r>
    </w:p>
    <w:p>
      <w:pPr>
        <w:spacing w:after="0" w:line="28"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loan agreement with Silicon Valley Bank and Kreos Capital V (UK) pursuant to which ordinary shares are issuable upon the exercise of warrants outstanding.</w:t>
      </w:r>
    </w:p>
    <w:p>
      <w:pPr>
        <w:spacing w:after="0" w:line="203" w:lineRule="exact"/>
        <w:rPr>
          <w:sz w:val="20"/>
          <w:szCs w:val="20"/>
          <w:color w:val="auto"/>
        </w:rPr>
      </w:pPr>
    </w:p>
    <w:p>
      <w:pPr>
        <w:jc w:val="both"/>
        <w:ind w:left="120" w:right="40" w:firstLine="440"/>
        <w:spacing w:after="0" w:line="274" w:lineRule="auto"/>
        <w:rPr>
          <w:sz w:val="20"/>
          <w:szCs w:val="20"/>
          <w:color w:val="auto"/>
        </w:rPr>
      </w:pPr>
      <w:r>
        <w:rPr>
          <w:rFonts w:ascii="Arial" w:cs="Arial" w:eastAsia="Arial" w:hAnsi="Arial"/>
          <w:sz w:val="17"/>
          <w:szCs w:val="17"/>
          <w:color w:val="auto"/>
        </w:rPr>
        <w:t>As of December 31, 2019, our net tangible book value was negative £4.2 million and as a result we are not presenting dilution in this prospectus because we believe the presentation would not be meaningful and would not show material dilution to investors in the offering.</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We will not receive any proceeds from the sale of the ordinary shares represented by ADSs by the selling shareholders. We expect that the selling shareholders will sell their ordinary shares represented by ADSs as described under “Plan of Distribution.”</w:t>
      </w:r>
    </w:p>
    <w:p>
      <w:pPr>
        <w:spacing w:after="0" w:line="19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may receive proceeds from the exercise of the warrants issued to the selling shareholders in the June 2020 Private Placement upon such exercise. If all of the warrants were exercised for cash in full, the proceeds would be approximately £56 million ($70 million). Holders of warrants have the right to choose a cashless exercise option which if chosen would result in a lower amount of proceeds to us from the warrant exercise than the exercise for cash in full. We intend to use the net proceeds of such warrant exercise, if any, for research and development, general and administrative expenses, and for working capital purposes. Pending such uses, we intend to invest the net proceeds in short-term, interest-bearing, investment grade securities or as otherwise pursuant our customary investment policies. We can make no assurances that any of the warrants will be exercised, the quantity which will be exercised or in the period in which they will be exercised.</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320" w:top="459" w:right="5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6"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7"/>
          <w:szCs w:val="17"/>
          <w:color w:val="auto"/>
        </w:rPr>
        <w:t>The following are material U.S. federal income tax consequences to the U.S. Holders (as defined below) of purchasing, owning and disposing of the ADSs and ordinary shares acquired pursuant to this offering, but it does not purport to be a comprehensive description of all tax considerations that may be relevant to a particular person’s decision to acquire the securities. This discussion applies only to a U.S. Holder that acquires ADSs in this offering and holds the ADSs or ordinary shares as capital assets for U.S. federal income tax purposes.</w:t>
      </w:r>
    </w:p>
    <w:p>
      <w:pPr>
        <w:spacing w:after="0" w:line="2"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In addition, it does not describe all of the tax consequences that may be relevant in light of the U.S. Holder’s particular circumstances, including any estate, gift, alternative minimum or Medicare contribution tax consequences and any tax consequences applicable to U.S. Holders subject to special rules, such as:</w:t>
      </w:r>
    </w:p>
    <w:p>
      <w:pPr>
        <w:spacing w:after="0" w:line="193" w:lineRule="exact"/>
        <w:rPr>
          <w:sz w:val="20"/>
          <w:szCs w:val="20"/>
          <w:color w:val="auto"/>
        </w:rPr>
      </w:pPr>
    </w:p>
    <w:p>
      <w:pPr>
        <w:ind w:left="980" w:hanging="432"/>
        <w:spacing w:after="0"/>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88" w:lineRule="exact"/>
        <w:rPr>
          <w:sz w:val="20"/>
          <w:szCs w:val="20"/>
          <w:color w:val="auto"/>
        </w:rPr>
      </w:pPr>
    </w:p>
    <w:p>
      <w:pPr>
        <w:ind w:left="980" w:hanging="432"/>
        <w:spacing w:after="0"/>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citizen or individual resident of the United States;</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hanging="432"/>
        <w:spacing w:after="0" w:line="218"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23"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8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Special U.S. tax rules apply to U.S. Holders of stock in companies that are considered to be PFICs. In general, a non-U.S. corporation will be a passive foreign investment company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Based on our gross income, the average value of our assets, including goodwill, and the nature of the current stage of our business, we believe we were a PFIC for the year ended December 31, 2019.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Accordingly, U.S. Holders should invest in our ADSs only if they are willing to bear the U.S. federal income tax consequences associated with investments in PFICs.</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provide the information necessary for a U.S. Holder to make a qualifying electing fund election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203"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If we are a PFIC for any taxable year and any of our non-U.S. subsidiaries or other companies in which we own equity interests were also a PFIC (any such entity, a “Lower-tier PFIC”), U.S. Holders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34" w:lineRule="auto"/>
        <w:rPr>
          <w:sz w:val="20"/>
          <w:szCs w:val="20"/>
          <w:color w:val="auto"/>
        </w:rPr>
      </w:pPr>
      <w:r>
        <w:rPr>
          <w:rFonts w:ascii="Arial" w:cs="Arial" w:eastAsia="Arial" w:hAnsi="Arial"/>
          <w:sz w:val="18"/>
          <w:szCs w:val="18"/>
          <w:color w:val="auto"/>
        </w:rPr>
        <w:t>would be deemed to own a proportionate amount (by value) of the shares of each Lower-tier PFIC and would be subject to U.S. federal income tax according to the rules described in the subsequent paragraph on (i) certain distributions by a Lower-tier PFIC and</w:t>
      </w:r>
    </w:p>
    <w:p>
      <w:pPr>
        <w:spacing w:after="0" w:line="1" w:lineRule="exact"/>
        <w:rPr>
          <w:sz w:val="20"/>
          <w:szCs w:val="20"/>
          <w:color w:val="auto"/>
        </w:rPr>
      </w:pPr>
    </w:p>
    <w:p>
      <w:pPr>
        <w:ind w:left="120" w:right="80" w:hanging="4"/>
        <w:spacing w:after="0" w:line="246" w:lineRule="auto"/>
        <w:tabs>
          <w:tab w:leader="none" w:pos="3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dispositions of shares of Lower-tier PFICs, in each case as if the U.S. Holders held such shares directly, even though the U.S. Holders had not received the proceeds of those distributions or dispositions.</w:t>
      </w:r>
    </w:p>
    <w:p>
      <w:pPr>
        <w:spacing w:after="0" w:line="19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 allocated to each other taxable year will be subject to tax at the highest rate in effect for that taxable year for individuals or corporations, as appropriate,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209"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1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20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advisors regarding the tax consequences of receiving, converting or disposing of any non-U.S. currency, received or deemed received as dividends on our ADSs or ordinary shares or on the sale or retirement of an ADS or an ordinary share.</w:t>
      </w:r>
    </w:p>
    <w:p>
      <w:pPr>
        <w:spacing w:after="0" w:line="206"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 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that sell the ADSs or ordinary shares for an amount denominated in a currency other than the U.S. dollar should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consult their tax advisers regarding any potential foreign currency gain or loss that may have to be recognized.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26"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26"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“recognized growth market” (as construed in accordance with section 99A of the Finance Act 1986). Holders of our ADSs who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21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20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SHAREHOLDERS</w:t>
      </w:r>
    </w:p>
    <w:p>
      <w:pPr>
        <w:spacing w:after="0" w:line="234" w:lineRule="exact"/>
        <w:rPr>
          <w:sz w:val="20"/>
          <w:szCs w:val="20"/>
          <w:color w:val="auto"/>
        </w:rPr>
      </w:pPr>
    </w:p>
    <w:p>
      <w:pPr>
        <w:jc w:val="both"/>
        <w:ind w:left="120" w:right="80" w:firstLine="440"/>
        <w:spacing w:after="0" w:line="248" w:lineRule="auto"/>
        <w:rPr>
          <w:sz w:val="20"/>
          <w:szCs w:val="20"/>
          <w:color w:val="auto"/>
        </w:rPr>
      </w:pPr>
      <w:r>
        <w:rPr>
          <w:rFonts w:ascii="Arial" w:cs="Arial" w:eastAsia="Arial" w:hAnsi="Arial"/>
          <w:sz w:val="17"/>
          <w:szCs w:val="17"/>
          <w:color w:val="auto"/>
        </w:rPr>
        <w:t>The ordinary shares which may be represented by ADSs being offered by the selling shareholders include (i) ordinary shares which may be represented by ADSs, (ii) ordinary shares which may be represented by ADSs issuable upon exercise of warrants, or (iii) ordinary shares issuable upon conversion of the convertible notes (including interest payable thereunder in accordance with the terms thereof), in each case, issued to the selling shareholders in connection with the June 2020 Private Placement and additional ordinary shares held by certain selling shareholders prior thereto. For additional information regarding the issuance of those securities, see “Prospectus Summary</w:t>
      </w:r>
    </w:p>
    <w:p>
      <w:pPr>
        <w:spacing w:after="0" w:line="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 June 2020 Private Placement” above. We are registering the ordinary shares which may be represented by ADSs in order to permit the selling shareholders to offer these securities for resale from time to time. Other than with respect to (i) Aspire Capital Fund, LLC, that was an existing shareholder prior to the June 2020 Private Placement and is party to a financing arrangement with us to purchase up to $25 million of our ADSs and purchased additional securities in the June 2020 Private Placement, (ii) Boxer Capital, LLC that was an existing shareholder prior to the June 2020 Private Placement and purchased additional securities in the June 2020 Private Placement, and except for the securities issued to the selling shareholders in the June 2020 Private Placement, the selling shareholders have not had any material relationship with us within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-709930</wp:posOffset>
            </wp:positionV>
            <wp:extent cx="317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83" w:lineRule="exact"/>
        <w:rPr>
          <w:sz w:val="20"/>
          <w:szCs w:val="20"/>
          <w:color w:val="auto"/>
        </w:rPr>
      </w:pPr>
    </w:p>
    <w:p>
      <w:pPr>
        <w:ind w:left="120" w:right="140" w:firstLine="440"/>
        <w:spacing w:after="0" w:line="248" w:lineRule="auto"/>
        <w:rPr>
          <w:sz w:val="20"/>
          <w:szCs w:val="20"/>
          <w:color w:val="auto"/>
        </w:rPr>
      </w:pPr>
      <w:r>
        <w:rPr>
          <w:rFonts w:ascii="Arial" w:cs="Arial" w:eastAsia="Arial" w:hAnsi="Arial"/>
          <w:sz w:val="17"/>
          <w:szCs w:val="17"/>
          <w:color w:val="auto"/>
        </w:rPr>
        <w:t>The table below lists the selling shareholders and other information regarding the beneficial ownership of the ordinary shares which may be represented by ADSs by each of the selling shareholders. The second column lists the number of ordinary shares expressed as ADS equivalents beneficially owned by each selling shareholder, based on its ownership of ordinary shares or ADSs, as of July 6, 2020, excluding ordinary shares issuable upon exercise of the warrants and conversion of convertible notes issued in the June 2020 Private Placement and held by the selling shareholders, the exercise or conversion of which is subject to a beneficial ownership limitation of</w:t>
      </w:r>
    </w:p>
    <w:p>
      <w:pPr>
        <w:spacing w:after="0" w:line="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9.99% of our outstanding ordinary shares as described below. The fourth column lists the maximum number of ordinary shares expressed as ADS equivalents being offered in this prospectus by the selling shareholders on that basis. The fifth and sixth columns list the amount of ordinary shares expressed as ADS equivalents owned after the offering, by number and percentage, assuming in both cases the sale of all of the securities offered by the selling shareholders pursuant to this prospectus, and giving effect to the contractual ownership limitations described below.</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Under the terms of the warrants and convertible notes issued in the June 2020 Private Placement, a selling shareholder may not exercise the warrants or convert the convertible notes to the extent such exercise or conversion would cause such selling shareholder, together with its affiliates, to beneficially own a number of ordinary shares which would exceed 9.99% of our then outstanding ordinary shares following such exercise or conversion, excluding for purposes of such determination ordinary shares not yet issuable upon exercise of the warrants which have not been exercised or conversion of convertible notes not yet converted. This percentage limit may be increased or decreased in accordance with the provisions of the warrant instrument and convertible note instrument. The information in the table below regarding ownership of ordinary shares and ADSs reflects these ownership limitations. The selling shareholders may sell all, some or none of their ordinary shares or ADSs in this offering. See “Plan of Distribution.”</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3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Beneficial Ownership</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ind w:left="1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380" w:type="dxa"/>
            <w:vAlign w:val="bottom"/>
            <w:gridSpan w:val="4"/>
          </w:tcPr>
          <w:p>
            <w:pPr>
              <w:ind w:left="140"/>
              <w:spacing w:after="0"/>
              <w:rPr>
                <w:sz w:val="20"/>
                <w:szCs w:val="20"/>
                <w:color w:val="auto"/>
              </w:rPr>
            </w:pPr>
            <w:r>
              <w:rPr>
                <w:rFonts w:ascii="Arial" w:cs="Arial" w:eastAsia="Arial" w:hAnsi="Arial"/>
                <w:sz w:val="14"/>
                <w:szCs w:val="14"/>
                <w:b w:val="1"/>
                <w:bCs w:val="1"/>
                <w:color w:val="auto"/>
              </w:rPr>
              <w:t>Before this Offering(1)</w:t>
            </w: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ADSs</w:t>
            </w:r>
          </w:p>
        </w:tc>
        <w:tc>
          <w:tcPr>
            <w:tcW w:w="1920" w:type="dxa"/>
            <w:vAlign w:val="bottom"/>
            <w:gridSpan w:val="4"/>
          </w:tcPr>
          <w:p>
            <w:pPr>
              <w:ind w:left="140"/>
              <w:spacing w:after="0"/>
              <w:rPr>
                <w:sz w:val="20"/>
                <w:szCs w:val="20"/>
                <w:color w:val="auto"/>
              </w:rPr>
            </w:pPr>
            <w:r>
              <w:rPr>
                <w:rFonts w:ascii="Arial" w:cs="Arial" w:eastAsia="Arial" w:hAnsi="Arial"/>
                <w:sz w:val="14"/>
                <w:szCs w:val="14"/>
                <w:b w:val="1"/>
                <w:bCs w:val="1"/>
                <w:color w:val="auto"/>
              </w:rPr>
              <w:t>After this Offering(2)</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040" w:type="dxa"/>
            <w:vAlign w:val="bottom"/>
            <w:vMerge w:val="restart"/>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Being</w:t>
            </w: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 w:type="dxa"/>
            <w:vAlign w:val="bottom"/>
            <w:tcBorders>
              <w:bottom w:val="single" w:sz="8" w:color="auto"/>
            </w:tcBorders>
            <w:vMerge w:val="continue"/>
          </w:tcPr>
          <w:p>
            <w:pPr>
              <w:spacing w:after="0"/>
              <w:rPr>
                <w:sz w:val="14"/>
                <w:szCs w:val="14"/>
                <w:color w:val="auto"/>
              </w:rPr>
            </w:pPr>
          </w:p>
        </w:tc>
        <w:tc>
          <w:tcPr>
            <w:tcW w:w="5040" w:type="dxa"/>
            <w:vAlign w:val="bottom"/>
            <w:vMerge w:val="continue"/>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ADSs</w:t>
            </w:r>
          </w:p>
        </w:tc>
        <w:tc>
          <w:tcPr>
            <w:tcW w:w="38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Offered</w:t>
            </w: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ADSs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OrbiMed(3)</w:t>
            </w:r>
          </w:p>
        </w:tc>
        <w:tc>
          <w:tcPr>
            <w:tcW w:w="10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gridSpan w:val="2"/>
            <w:vMerge w:val="continue"/>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6,706,536</w:t>
            </w:r>
          </w:p>
        </w:tc>
        <w:tc>
          <w:tcPr>
            <w:tcW w:w="42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color w:val="auto"/>
              </w:rPr>
              <w:t>9.9%</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6,706,536</w:t>
            </w:r>
          </w:p>
        </w:tc>
        <w:tc>
          <w:tcPr>
            <w:tcW w:w="42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ind w:left="900"/>
              <w:spacing w:after="0" w:line="189" w:lineRule="exact"/>
              <w:rPr>
                <w:sz w:val="20"/>
                <w:szCs w:val="20"/>
                <w:color w:val="auto"/>
              </w:rPr>
            </w:pPr>
            <w:r>
              <w:rPr>
                <w:rFonts w:ascii="Arial" w:cs="Arial" w:eastAsia="Arial" w:hAnsi="Arial"/>
                <w:sz w:val="18"/>
                <w:szCs w:val="18"/>
                <w:color w:val="auto"/>
                <w:w w:val="79"/>
              </w:rPr>
              <w:t>0</w:t>
            </w:r>
          </w:p>
        </w:tc>
        <w:tc>
          <w:tcPr>
            <w:tcW w:w="460" w:type="dxa"/>
            <w:vAlign w:val="bottom"/>
            <w:vMerge w:val="continue"/>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Baker Bros. Advisors LP(4)</w:t>
            </w:r>
          </w:p>
        </w:tc>
        <w:tc>
          <w:tcPr>
            <w:tcW w:w="14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6,706,536</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9.9%</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6,706,536</w:t>
            </w:r>
          </w:p>
        </w:tc>
        <w:tc>
          <w:tcPr>
            <w:tcW w:w="14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Boxer Capital of Tavistock Group(5)</w:t>
            </w: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6,706,536</w:t>
            </w: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9.9%</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6,706,536</w:t>
            </w:r>
          </w:p>
        </w:tc>
        <w:tc>
          <w:tcPr>
            <w:tcW w:w="14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Vivo funds(6)</w:t>
            </w:r>
          </w:p>
        </w:tc>
        <w:tc>
          <w:tcPr>
            <w:tcW w:w="14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6,706,536</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9.9%</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6,706,536</w:t>
            </w:r>
          </w:p>
        </w:tc>
        <w:tc>
          <w:tcPr>
            <w:tcW w:w="14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Surveyor(7)</w:t>
            </w: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4,154,764</w:t>
            </w: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6.1%</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4,154,764</w:t>
            </w:r>
          </w:p>
        </w:tc>
        <w:tc>
          <w:tcPr>
            <w:tcW w:w="14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Pontifax(8)</w:t>
            </w:r>
          </w:p>
        </w:tc>
        <w:tc>
          <w:tcPr>
            <w:tcW w:w="14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3,462,302</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5.1%</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3,462,302</w:t>
            </w:r>
          </w:p>
        </w:tc>
        <w:tc>
          <w:tcPr>
            <w:tcW w:w="14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Samsara(9)</w:t>
            </w: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3,231,483</w:t>
            </w: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4.8%</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3,231,483</w:t>
            </w:r>
          </w:p>
        </w:tc>
        <w:tc>
          <w:tcPr>
            <w:tcW w:w="14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Commodore(10)</w:t>
            </w:r>
          </w:p>
        </w:tc>
        <w:tc>
          <w:tcPr>
            <w:tcW w:w="14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2,539,023</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3.7%</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2,539,023</w:t>
            </w:r>
          </w:p>
        </w:tc>
        <w:tc>
          <w:tcPr>
            <w:tcW w:w="14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Aspire Capital(11)</w:t>
            </w: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1,846,562</w:t>
            </w: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2.7%</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1,846,562</w:t>
            </w:r>
          </w:p>
        </w:tc>
        <w:tc>
          <w:tcPr>
            <w:tcW w:w="14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Janus(12)</w:t>
            </w:r>
          </w:p>
        </w:tc>
        <w:tc>
          <w:tcPr>
            <w:tcW w:w="14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1,384,921</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2.0%</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1,384,921</w:t>
            </w:r>
          </w:p>
        </w:tc>
        <w:tc>
          <w:tcPr>
            <w:tcW w:w="14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Altium(13)</w:t>
            </w: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461,640</w:t>
            </w:r>
          </w:p>
        </w:tc>
        <w:tc>
          <w:tcPr>
            <w:tcW w:w="9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461,640</w:t>
            </w:r>
          </w:p>
        </w:tc>
        <w:tc>
          <w:tcPr>
            <w:tcW w:w="14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Logos(14)</w:t>
            </w:r>
          </w:p>
        </w:tc>
        <w:tc>
          <w:tcPr>
            <w:tcW w:w="14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461,640</w:t>
            </w:r>
          </w:p>
        </w:tc>
        <w:tc>
          <w:tcPr>
            <w:tcW w:w="9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461,640</w:t>
            </w:r>
          </w:p>
        </w:tc>
        <w:tc>
          <w:tcPr>
            <w:tcW w:w="14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Monashee(15)</w:t>
            </w: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461,640</w:t>
            </w:r>
          </w:p>
        </w:tc>
        <w:tc>
          <w:tcPr>
            <w:tcW w:w="9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461,640</w:t>
            </w:r>
          </w:p>
        </w:tc>
        <w:tc>
          <w:tcPr>
            <w:tcW w:w="14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Serrado(16)</w:t>
            </w:r>
          </w:p>
        </w:tc>
        <w:tc>
          <w:tcPr>
            <w:tcW w:w="14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276,983</w:t>
            </w:r>
          </w:p>
        </w:tc>
        <w:tc>
          <w:tcPr>
            <w:tcW w:w="9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276,983</w:t>
            </w:r>
          </w:p>
        </w:tc>
        <w:tc>
          <w:tcPr>
            <w:tcW w:w="14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Weisbrod Family Office(17)</w:t>
            </w: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184,656</w:t>
            </w:r>
          </w:p>
        </w:tc>
        <w:tc>
          <w:tcPr>
            <w:tcW w:w="9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184,656</w:t>
            </w:r>
          </w:p>
        </w:tc>
        <w:tc>
          <w:tcPr>
            <w:tcW w:w="14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8" w:lineRule="exact"/>
        <w:rPr>
          <w:sz w:val="20"/>
          <w:szCs w:val="20"/>
          <w:color w:val="auto"/>
        </w:rPr>
      </w:pPr>
    </w:p>
    <w:p>
      <w:pPr>
        <w:ind w:left="540" w:right="140" w:hanging="424"/>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stock (based on 338,713,962 ordinary shares outstanding as of July 6, 2020, including ordinary shares in the form of ADSs.)</w:t>
      </w:r>
    </w:p>
    <w:p>
      <w:pPr>
        <w:spacing w:after="0" w:line="1" w:lineRule="exact"/>
        <w:rPr>
          <w:sz w:val="20"/>
          <w:szCs w:val="20"/>
          <w:color w:val="auto"/>
        </w:rPr>
      </w:pPr>
    </w:p>
    <w:p>
      <w:pPr>
        <w:ind w:left="540" w:right="100" w:hanging="424"/>
        <w:spacing w:after="0" w:line="23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the (i) 89,144,623 ordinary shares, nominal value £0.003 per share, equivalent to 17,828,924 ADSs, issued in the June 2020 Private Placement, (ii) 253,048,551 ordinary shares, which is the number of ordinary shares issued upon the conversion of the convertible notes as of the date hereof and issuable upon the full conversion of the convertible notes outstanding as of the date hereof assuming the maximum amount of accrued interest for which additional ordinary shares are issuable upon conversion (including both accrued interest through the date hereof and accruing to the maturity date of the convertible notes assuming such notes remain outstanding until their maturity date), issued to investors in connection with the June 2020 Private Placement without regard to any ownership limitations, (iii) 161,048,366 ordinary shares equivalent to 32,209,673 ADSs, which is the number of ordinary shares issuable upon the full exercise of warrants outstanding issued to investors in the June 2020 Private Placement, and (iv) 12,252,715 ordinary shares, equivalent to 2,450,543 ADSs, issued to Boxer Capital, LLC in a private placement on February 19, 2020.</w:t>
      </w:r>
    </w:p>
    <w:p>
      <w:pPr>
        <w:spacing w:after="0" w:line="6" w:lineRule="exact"/>
        <w:rPr>
          <w:rFonts w:ascii="Arial" w:cs="Arial" w:eastAsia="Arial" w:hAnsi="Arial"/>
          <w:sz w:val="18"/>
          <w:szCs w:val="18"/>
          <w:color w:val="auto"/>
        </w:rPr>
      </w:pPr>
    </w:p>
    <w:p>
      <w:pPr>
        <w:ind w:left="540" w:right="80" w:hanging="424"/>
        <w:spacing w:after="0" w:line="23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the sale of all ordinary shares represented by ADSs and those ordinary shares represented by ADSs issuable upon exercise of warrants or conversion of the convertible notes, in each case, previously issued in connection with the June 2020 Private Placement or otherwise held by certain selling shareholders prior thereto, registered pursuant to this prospectus.</w:t>
      </w:r>
    </w:p>
    <w:p>
      <w:pPr>
        <w:spacing w:after="0" w:line="2" w:lineRule="exact"/>
        <w:rPr>
          <w:rFonts w:ascii="Arial" w:cs="Arial" w:eastAsia="Arial" w:hAnsi="Arial"/>
          <w:sz w:val="18"/>
          <w:szCs w:val="18"/>
          <w:color w:val="auto"/>
        </w:rPr>
      </w:pPr>
    </w:p>
    <w:p>
      <w:pPr>
        <w:ind w:left="540" w:right="20" w:hanging="424"/>
        <w:spacing w:after="0" w:line="23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17,884,097 ordinary shares held OrbiMed Private Investment VII, LP, 11,177,560 ordinary shares held by OrbiMed Partners Master Fund Limited and 4,471,024 shares held by OrbiMed Genesis Master Fund, LP. Excludes the following shares which are being registered hereunder: (i) 22,372,657 ordinary shares issuable upon conversion of the convertible notes including interest to maturity issued to OrbiMed Private Investment VII, LP, 13,982,910 ordinary shares issuable upon conversion of the convertible notes including interest to maturity issued to OrbiMed Partners Master Fund Limited and 5,593,166 ordinary shares issuable upon conversion of the convertible notes including interest to maturity issued to OrbiMed Genesis Master Fund, LP.; and (ii) 18,405,529 ordinary shares issuable upon the exercise of warrants issued to OrbiMed Private Investment VII, LP, 11,503,455 ordinary shares issuable upon the exercise of warrants issued to OrbiMed Partners Master Fund Limited and 4,601,383 shares issuable upon the exercise of warrants issued to OrbiMed Genesis Master Fund, LP. Assumes all ordinary shares are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80"/>
        <w:spacing w:after="0" w:line="234" w:lineRule="auto"/>
        <w:rPr>
          <w:sz w:val="20"/>
          <w:szCs w:val="20"/>
          <w:color w:val="auto"/>
        </w:rPr>
      </w:pPr>
      <w:r>
        <w:rPr>
          <w:rFonts w:ascii="Arial" w:cs="Arial" w:eastAsia="Arial" w:hAnsi="Arial"/>
          <w:sz w:val="18"/>
          <w:szCs w:val="18"/>
          <w:color w:val="auto"/>
        </w:rPr>
        <w:t>exchangeable for ADSs and that each ADS represents five of our ordinary shares. The business address of OrbiMed is c/o OrbiMed Advisors LLC, 601 Lexington Avenue, 54th Floor, New York, NY 10022.</w:t>
      </w:r>
    </w:p>
    <w:p>
      <w:pPr>
        <w:spacing w:after="0" w:line="1" w:lineRule="exact"/>
        <w:rPr>
          <w:sz w:val="20"/>
          <w:szCs w:val="20"/>
          <w:color w:val="auto"/>
        </w:rPr>
      </w:pPr>
    </w:p>
    <w:p>
      <w:pPr>
        <w:ind w:left="540" w:hanging="424"/>
        <w:spacing w:after="0" w:line="24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31,098,746 ordinary shares held by Baker Brothers Life Sciences, L.P. and 2,433,935 ordinary shares held by 667, L.P. Excludes the following shares which are being registered hereunder: (i) 38,903,921 ordinary shares issuable upon conversion of the convertible notes including interest to maturity issued to Baker Brothers Life Sciences, L.P. and 3,044,805 ordinary shares issuable upon conversion of the convertible notes including interest to maturity issued to 667, L.P.; and (ii) 32,005,465 ordinary shares issuable upon the exercise of warrants issued to Baker Brothers Life Sciences, L.P. and 2,504,899 shares issuable upon the exercise of warrants issued to 667, L.P. Assumes all ordinary shares are exchangeable for ADSs and that each ADS represents five of our ordinary shares. Baker Bros. Advisors LP is the management company and investment adviser to 667, L.P. and Baker Brothers Life Sciences, L.P. and may be deemed to beneficially own all shares held by 667, L.P. and Baker Brothers Life Sciences, L.P. Baker Bros. Advisors (GP) LLC is the sole general partner of Baker Bros. Advisors LP. Julian C. Baker and Felix J. Baker have voting and investment power over the shares held by each of 667, L.P. and Baker Brothers Life Sciences, L.P. as managing members of Baker Bros. Advisors (GP) LLC. Julian C. Baker, Felix J. Baker, Baker Bros. Advisors LP and Baker Bros. Advisors (GP) LLC disclaim beneficial ownership of all shares held by 667, L.P. and Baker Brothers Life Sciences, L.P., except to the extent of their indirect pecuniary interest therein. The office address of Baker Bros. Advisors LP is 860 Washington Street, 3rd Floor, New York, NY 10014.</w:t>
      </w:r>
    </w:p>
    <w:p>
      <w:pPr>
        <w:spacing w:after="0" w:line="6" w:lineRule="exact"/>
        <w:rPr>
          <w:rFonts w:ascii="Arial" w:cs="Arial" w:eastAsia="Arial" w:hAnsi="Arial"/>
          <w:sz w:val="17"/>
          <w:szCs w:val="17"/>
          <w:color w:val="auto"/>
        </w:rPr>
      </w:pPr>
    </w:p>
    <w:p>
      <w:pPr>
        <w:ind w:left="540" w:right="160" w:hanging="424"/>
        <w:spacing w:after="0" w:line="23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18,880,651 ordinary shares held by Boxer Capital, LLC and 2,399,315 ordinary shares held by MVA Investors, LLC; and (ii) 12,252,715 ordinary shares, represented by 2,450,543 ADSs, issued in connection with the Boxer Capital Transaction to Boxer Capital, LLC. Excludes the following shares which are being registered hereunder: (i) 25,954,625 ordinary shares issuable upon conversion of the convertible notes including interest to maturity issued to Boxer Capital, LLC and 3,298,260 ordinary shares issuable upon conversion of the convertible notes including interest to maturity issued to MVA Investors, LLC; and (ii) 20,412,883 ordinary shares issuable upon the exercise of warrants issued to Boxer Capital, LLC and 2,594,027 shares issuable upon the exercise of warrants issued to MVA Investors, LLC. Assumes all ordinary shares are exchangeable for ADSs and that each ADS represents five of our ordinary shares. Boxer Capital, LLC is a Delaware company with office address 11682 El Camino Real, Suite 320, San Diego, CA 92130. MVA Investors, LLC is a Delaware company with office address 11682 El Camino Real, Suite 320, San Diego, CA 92130.</w:t>
      </w:r>
    </w:p>
    <w:p>
      <w:pPr>
        <w:spacing w:after="0" w:line="6" w:lineRule="exact"/>
        <w:rPr>
          <w:rFonts w:ascii="Arial" w:cs="Arial" w:eastAsia="Arial" w:hAnsi="Arial"/>
          <w:sz w:val="18"/>
          <w:szCs w:val="18"/>
          <w:color w:val="auto"/>
        </w:rPr>
      </w:pPr>
    </w:p>
    <w:p>
      <w:pPr>
        <w:ind w:left="540" w:right="40" w:hanging="424"/>
        <w:spacing w:after="0" w:line="23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6,117,402 ordinary shares held by Vivo Capital Fund IX, L.P. and 27,415,279 ordinary shares held by Vivo Opportunity Fund, L.P. Excludes the following shares which are being registered hereunder: (i) 2,706,681 ordinary shares issuable upon conversion of the convertible notes including interest to maturity issued to Vivo Capital Fund IX, L.P. and 12,130,051 shares issuable upon conversion of the convertible notes issued to Vivo Opportunity Fund, L.P; and (ii) 4,197,175 ordinary shares issuable upon the exercise of warrants issued to Vivo Capital Fund IX, L.P. and 18,809,737 shares issuable upon the exercise of warrants issued to Vivo Opportunity Fund, L.P. Excludes 709,655 ordinary shares purchased by Vivo Capital Fund IX, L.P. and 3,180,345 ordinary shares purchased by Vivo Opportunity Fund, L.P. in the open market after the completion of the June 2020 Private Placement which are not being registered hereunder. Assumes all ordinary shares are exchangeable for ADSs and that each ADS represents five of our ordinary shares. Vivo Capital Fund IX, L.P. is a Delaware partnership with office address C/O Vivo Capital LLC, 192 Lytton Avenue, Palo Alto, CA 94301. Vivo Opportunity Fund, L.P. is a Delaware partnership with office address C/O Vivo Capital LLC, 192 Lytton Avenue, Palo Alto, CA 94301.</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20" w:hanging="424"/>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20,773,822 ordinary shares held by Citadel Multi-Strategy Equities Master Fund Ltd. Excludes the following shares which are being registered hereunder: 10,353,109 ordinary shares issuable upon the exercise of warrants issued to Citadel Multi-Strategy Equities Master Fund Ltd. Assumes all ordinary shares are exchangeable for ADSs and that each ADS represents five of our ordinary shares. Citadel Advisors LLC (“Citadel Advisors”), acts as the portfolio manager of Citadel Multi-Strategy Equities Master Fund Ltd. Citadel Advisors Holdings LP (“CAH”) is the sole member of Citadel Advisors. Citadel GP LLC (“CGP”) is the general partner of CAH. Mr. Kenneth Griffin is the President and Chief Executive Officer of CGP and owns a controlling interest in CGP and may be deemed to share voting and dispositive power over the shares held by Citadel Multi-Strategy Equities Master Fund Ltd. The address for Citadel Multi-Strategy Equities Master Fund Ltd. is c/o Citadel Advisors LLC, 601 Lexington Avenue, New York, NY 10022.</w:t>
      </w:r>
    </w:p>
    <w:p>
      <w:pPr>
        <w:spacing w:after="0" w:line="6"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1,731,150 ordinary shares held Pontifax Late Stage Fund L.P., 9,410,552 ordinary shares held by Pontifax Israel V L.P., 2,513,616 ordinary shares held by Pontifax Cayman V L.P. and 3,656,195 shares held by Pontifax China V L.P. Excludes the following shares which are being registered hereunder: 862,758 ordinary shares issuable upon the exercise of warrants issued to Pontifax Late Stage Fund L.P., 4,689,964 ordinary shares issuable upon the exercise of warrants issued to Pontifax Israel V L.P., 1,252,718 ordinary shares issuable upon the exercise of warrants issued to Pontifax Cayman V L.P. and 1,822,148 shares issuable upon the exercise of warrants issued to Pontifax China V L.P. Assumes all ordinary shares are exchangeable for ADSs and that each ADS represents five of our ordinary shares. Pontifax Late Stage Fund L.P. is a Cayman Islands limited partnership with office address at c/o Maples Corporate Services Limited, PO Box 309, Ugland House, Grand Cayman, KYI-1104. Pontifax Israel V L.P. is an Israeli limited partnership with office address at 14 Arieh Shenkar Street, Herzliya 46725, Israel. Pontifax Cayman V L.P. is a Cayman Islands limited partnership with office address at c/o Maples Corporate Services Limited, PO Box 309, Ugland House, Grand Cayman, KYI-1104. Pontifax China V L.P. is a Cayman Islands limited partnership with office address at c/o Maples Corporate Services Limited, PO Box 309, Ugland House, Grand Cayman, KYI-1104.</w:t>
      </w:r>
    </w:p>
    <w:p>
      <w:pPr>
        <w:spacing w:after="0" w:line="8" w:lineRule="exact"/>
        <w:rPr>
          <w:rFonts w:ascii="Arial" w:cs="Arial" w:eastAsia="Arial" w:hAnsi="Arial"/>
          <w:sz w:val="18"/>
          <w:szCs w:val="18"/>
          <w:color w:val="auto"/>
        </w:rPr>
      </w:pPr>
    </w:p>
    <w:p>
      <w:pPr>
        <w:ind w:left="540" w:right="80" w:hanging="424"/>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16,157,415 ordinary shares held by Samsara BioCapital, L.P. Excludes the following shares which are being registered hereunder: 8,052,417 ordinary shares issuable upon the exercise of warrants issued to Samsara BioCapital, L.P. Assumes all ordinary shares are exchangeable for ADSs and that each ADS represents five of our ordinary shares. Samsara BioCapital, L.P. is a Delaware limited partnership with office address at 628 Middlefield Road, Palo Alto, CA 94301, United States of America.</w:t>
      </w:r>
    </w:p>
    <w:p>
      <w:pPr>
        <w:spacing w:after="0" w:line="2" w:lineRule="exact"/>
        <w:rPr>
          <w:rFonts w:ascii="Arial" w:cs="Arial" w:eastAsia="Arial" w:hAnsi="Arial"/>
          <w:sz w:val="18"/>
          <w:szCs w:val="18"/>
          <w:color w:val="auto"/>
        </w:rPr>
      </w:pPr>
    </w:p>
    <w:p>
      <w:pPr>
        <w:ind w:left="540" w:right="120" w:hanging="424"/>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12,695,116 ordinary shares held by Commodore Capital Master LP. Excludes the following shares which are being registered hereunder: 6,326,901 ordinary shares issuable upon the exercise of warrants issued to Commodore Capital Master LP. Assumes all ordinary shares are exchangeable for ADSs and that each ADS represents five of our ordinary shares. Commodore Capital Master LP is a Cayman Islands limited partnership with office address at Commodore Capital, 55 Hudson Yards, Fl.29, New York, NY 10001, United States of America.</w:t>
      </w:r>
    </w:p>
    <w:p>
      <w:pPr>
        <w:spacing w:after="0" w:line="3" w:lineRule="exact"/>
        <w:rPr>
          <w:rFonts w:ascii="Arial" w:cs="Arial" w:eastAsia="Arial" w:hAnsi="Arial"/>
          <w:sz w:val="18"/>
          <w:szCs w:val="18"/>
          <w:color w:val="auto"/>
        </w:rPr>
      </w:pPr>
    </w:p>
    <w:p>
      <w:pPr>
        <w:ind w:left="540" w:right="20" w:hanging="424"/>
        <w:spacing w:after="0" w:line="236"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9,232,812 ordinary shares held by Aspire Capital Fund, LLC. Excludes the following shares which are being registered hereunder: 4,601,383 ordinary shares issuable upon the exercise of warrants issued to Aspire Capital Fund, LLC. Excludes 14,295,520 ordinary shares that were issued to Aspire Capital in the Aspire Capital Transaction which are not being registered hereunder. See “— the Aspire Capital Transaction.” Assumes all ordinary shares are exchangeable for ADSs and that each ADS represents five of our ordinary shares. Aspire Capital Partners LLC (“Aspire Partners”) is the Managing Member of Aspire Capital. SGM Holdings Corp. (“SGM”) is the managing member of Aspire Partners. Mr. Steven G. Martin is the president and sole shareholder of SGM, as well as a principal of Aspire Partners. Mr. Erik J. Brown is the president and sole shareholder of Red Cedar Capital Corp. (“Red Cedar”) which is a principal of Aspire Partners. Mr. Christos Komissopoulos is president and sole shareholder of Chrisko Investors Inc. (“Chrisko”), which is a principal of Aspire Partners. Mr. William F. Blank, III is president and sole shareholder of WML Ventures Corp. (“WML Ventures”), which is a principal of</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line="234" w:lineRule="auto"/>
        <w:rPr>
          <w:sz w:val="20"/>
          <w:szCs w:val="20"/>
          <w:color w:val="auto"/>
        </w:rPr>
      </w:pPr>
      <w:r>
        <w:rPr>
          <w:rFonts w:ascii="Arial" w:cs="Arial" w:eastAsia="Arial" w:hAnsi="Arial"/>
          <w:sz w:val="18"/>
          <w:szCs w:val="18"/>
          <w:color w:val="auto"/>
        </w:rPr>
        <w:t>Aspire Partners. Each of Aspire Partners, SGM, Red Cedar, Chrisko, WML Ventures, Mr. Martin, Mr. Brown, Mr. Komissopoulos and Mr. Blank may be deemed to be a beneficial owner of the ordinary shares held by Aspire Capital. Each of Aspire Partners, SGM, Red Cedar, Chrisko, WML Ventures, Mr. Martin, Mr. Brown, Mr. Komissopoulos and Mr. Blank disclaims beneficial ownership of the ordinary shares held by Aspire Capital. The address of Aspire Capital is 155 North Wacker Dr. Suite 1600, Chicago, IL 60606.</w:t>
      </w:r>
    </w:p>
    <w:p>
      <w:pPr>
        <w:spacing w:after="0" w:line="3" w:lineRule="exact"/>
        <w:rPr>
          <w:sz w:val="20"/>
          <w:szCs w:val="20"/>
          <w:color w:val="auto"/>
        </w:rPr>
      </w:pPr>
    </w:p>
    <w:p>
      <w:pPr>
        <w:ind w:left="540" w:right="300" w:hanging="424"/>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6,924,608 ordinary shares held by Janus Henderson Biotech Innovation Master Fund Limited. Excludes the following shares which are being registered hereunder: 3,451,037 ordinary shares issuable upon the exercise of warrants issued to Janus Henderson Biotech Innovation Master Fund Limited. Assumes all ordinary shares are exchangeable for ADSs and that each ADS represents five of our ordinary shares. Janus Henderson Biotech Innovation Master Fund Limited is incorporated in the Cayman Islands, P.O. Box 309, Ugland House, George Town, Grand Cayman, KY1-1104, Cayman Islands.</w:t>
      </w:r>
    </w:p>
    <w:p>
      <w:pPr>
        <w:spacing w:after="0" w:line="3"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2,308,202 ordinary shares held by Altium Growth Fund L.P. Excludes the following shares which are being registered hereunder: 1,150,345 ordinary shares issuable upon the exercise of warrants issued to Altium Growth Fund L.P.. Assumes all ordinary shares are exchangeable for ADSs and that each ADS represents five of our ordinary shares. Altium Growth Fund L.P. is a Delaware limited partnership with office address c/o Altium Capital Management, LP, 152 West 57th Street, 20th Floor, New York, NY 10019.</w:t>
      </w:r>
    </w:p>
    <w:p>
      <w:pPr>
        <w:ind w:left="120"/>
        <w:spacing w:after="0" w:line="238"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540" w:right="80" w:hanging="424"/>
        <w:spacing w:after="0" w:line="23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2,308,202 ordinary shares held by Logos Global Master Fund, LP. Excludes the following shares which are being registered hereunder: 1,150,345 ordinary shares issuable upon the exercise of warrants issued to Logos Global Master Fund, LP. Assumes all ordinary shares are exchangeable for ADSs and that each ADS represents five of our ordinary shares. Logos Global Master Fund, LP is a Cayman Islands exempted partnership with office address at 1 Letterman Drive, Building D, Suite D3-700, San Francisco, CA 94129.</w:t>
      </w:r>
    </w:p>
    <w:p>
      <w:pPr>
        <w:spacing w:after="0" w:line="3"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1,131,021 ordinary shares held BEMAP Master Fund Ltd, 669,376 ordinary shares held by Monashee Solitario Fund LP and 507,803 ordinary shares held by Monashee Pure Alpha SPV/LP. Excludes the following shares which are being registered hereunder: 563,670 ordinary shares issuable upon the exercise of warrants issued to BEMAP Master Fund Ltd, 333,599 ordinary shares issuable upon the exercise of warrants issued to Monashee Solitario Fund LP and 253,075 shares issuable upon the exercise of warrants issued to Monashee Pure Alpha SPV/LP. Assumes all ordinary shares are exchangeable for ADSs and that each ADS represents five of our ordinary shares. BEMAP Master Fund Ltd is a Cayman islands company with office address c/o Monashee Investment Management LLC, 125 High Street, 28th Floor, Boston Massachusetts 02110. Monashee Solitario Fund LP is a Delaware limited partnership with office address c/o Monashee Investment Management LLC, 125 High Street, 28th Floor, Boston Massachusetts 02110. Monashee Pure Alpha SPV/LP is a Delaware limited partnership with office address c/o Monashee Investment Management LLC, 125 High Street, 28th Floor, Boston Massachusetts 02110.</w:t>
      </w:r>
    </w:p>
    <w:p>
      <w:pPr>
        <w:spacing w:after="0" w:line="6" w:lineRule="exact"/>
        <w:rPr>
          <w:rFonts w:ascii="Arial" w:cs="Arial" w:eastAsia="Arial" w:hAnsi="Arial"/>
          <w:sz w:val="18"/>
          <w:szCs w:val="18"/>
          <w:color w:val="auto"/>
        </w:rPr>
      </w:pPr>
    </w:p>
    <w:p>
      <w:pPr>
        <w:ind w:left="540" w:right="160" w:hanging="424"/>
        <w:spacing w:after="0" w:line="23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1,384,917 ordinary shares held by Serrado Opportunity Fund LLC. Excludes the following shares which are being registered hereunder: 690,205 ordinary shares issuable upon the exercise of warrants issued to Serrado Opportunity Fund LLC. Assumes all ordinary shares are exchangeable for ADSs and that each ADS represents five of our ordinary shares. Serrado Opportunity Fund LLC is a company incorporated and registered in New York with office address at 25 N. Moore Street, #15A, New York, NY 10013 United States of America.</w:t>
      </w:r>
    </w:p>
    <w:p>
      <w:pPr>
        <w:spacing w:after="0" w:line="3" w:lineRule="exact"/>
        <w:rPr>
          <w:rFonts w:ascii="Arial" w:cs="Arial" w:eastAsia="Arial" w:hAnsi="Arial"/>
          <w:sz w:val="18"/>
          <w:szCs w:val="18"/>
          <w:color w:val="auto"/>
        </w:rPr>
      </w:pPr>
    </w:p>
    <w:p>
      <w:pPr>
        <w:ind w:left="540" w:right="140" w:hanging="424"/>
        <w:spacing w:after="0" w:line="23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923,282 ordinary shares held by Weisbrod Family Office LLC. Excludes the following shares which are being registered hereunder: 460,139 ordinary shares issuable upon the exercise of warrants issued to Weisbrod Family Office LLC. Assumes all ordinary shares are exchangeable for ADSs and that each ADS represents five of our ordinary shares. Weisbrod Family Office LLC is a company incorporated in Florida with office address 6939 Queenferry Circle, Boca Raton, Florida 33496.</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jc w:val="both"/>
        <w:ind w:left="120" w:right="280" w:firstLine="440"/>
        <w:spacing w:after="0" w:line="237" w:lineRule="auto"/>
        <w:rPr>
          <w:sz w:val="20"/>
          <w:szCs w:val="20"/>
          <w:color w:val="auto"/>
        </w:rPr>
      </w:pPr>
      <w:r>
        <w:rPr>
          <w:rFonts w:ascii="Arial" w:cs="Arial" w:eastAsia="Arial" w:hAnsi="Arial"/>
          <w:sz w:val="18"/>
          <w:szCs w:val="18"/>
          <w:color w:val="auto"/>
        </w:rPr>
        <w:t>We are registering the ordinary shares represented by ADSs issued and the ordinary shares represented by ADSs issuable upon exercise of the warrants and conversion of the convertible notes issued in the June 2020 Private Placement and held by certain selling shareholder prior thereto to permit the resale of these ordinary shares represented by ADSs by the holders of these ADSs from time to time after the date of this prospectus. We will not receive any of the proceeds from the sale by the selling shareholders of the ordinary shares represented by ADSs other than proceeds from the exercise of the warrants. We will bear all fees and expenses incident to our obligation to register the ordinary shares represented by ADSs.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selling shareholders may sell all or a portion of the ordinary shares represented by ADSs beneficially owned by them and offered hereby from time to time directly or through one or more underwriters, broker-dealers or agents. If the ordinary shares represented by ADSs are sold through underwriters or broker-dealers, the selling shareholders will be responsible for underwriting discounts or commissions or agent’s commissions. The ordinary shares represented by ADSs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spacing w:after="0" w:line="195"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over-the-counter market;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transactions otherwise than on these exchanges or systems or in the over-the-counter market;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the writing of options, whether such options are listed on an options exchange or otherwise;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brokerage transactions and transactions in which the broker-dealer solicits purchasers;</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purchases by a broker-dealer as principal and resale by the broker-dealer for its account;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exchange distribution in accordance with the rules of the applicable exchange;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privately negotiated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short sales;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pursuant to Rule 144;</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combination of any such methods of sale;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method permitted pursuant to applicable law.</w:t>
      </w:r>
    </w:p>
    <w:p>
      <w:pPr>
        <w:spacing w:after="0" w:line="24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If the selling shareholders effect such transactions by selling ordinary shares represented by ADSs to or through underwriters, broker-dealers or agents, such underwriters, broker-dealers or agents may receive commissions in the form of discounts, concessions or commissions from the selling shareholders or commissions from purchasers of the ordinary shares represented by ADSs for whom they may act as agent or to whom they may sell as principal (which discounts, concessions or commissions as to particular underwriters, broker-dealers or agents may be in excess of those customary in the types of transactions involved). In connection with sales of ordinary shares represented by ADSs or otherwise, the selling shareholders may enter into hedging transactions with broker-dealers, which may in turn engage in short sales of the ordinary shares represented by ADSs in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the course of hedging in positions they assume. The selling shareholders may also sell ordinary shares represented by ADSs short and deliver ordinary shares represented by ADSs covered by this prospectus to close out short positions and to return borrowed shares in connection with such short sales. The selling shareholders may also loan or pledge ordinary shares represented by ADSs to broker-dealers that in turn may sell such shares.</w:t>
      </w:r>
    </w:p>
    <w:p>
      <w:pPr>
        <w:spacing w:after="0" w:line="205"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selling shareholders may pledge or grant a security interest in some or all of the warrants or convertible notes owned by them and, if they default in the performance of their secured obligations, the pledgees or secured parties may offer and sell the ordinary shares represented by ADSs from time to time pursuant to this prospectus or any amendment to this prospectus under Rule 424(b)(3) or other applicable provision of the Securities Act of 1933, as amended, amending, if necessary, the list of selling shareholders to include the pledgee, transferee or other successors in interest as selling shareholders under this prospectus. The selling shareholders also may transfer and donate the ordinary shares represented by ADSs in other circumstances in which case the transferees, donees, pledgees or other successors in interest will be the selling beneficial owners for purposes of this prospectus.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selling shareholders and any broker-dealer participating in the distribution of the ordinary shares represented by ADSs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represented by ADSs is made, a prospectus supplement, if required, will be distributed which will set forth the aggregate amount of ordinary shares represented by ADSs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spacing w:after="0" w:line="203"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There can be no assurance that any selling shareholder will sell any or all of the ordinary shares represented by ADSs registered pursuant to the registration statement, of which this prospectus forms a part.</w:t>
      </w:r>
    </w:p>
    <w:p>
      <w:pPr>
        <w:spacing w:after="0" w:line="19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selling shareholders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ordinary shares represented by ADSs by the selling shareholders and any other participating person. Regulation M may also restrict the ability of any person engaged in the distribution of the ordinary shares represented by ADSs to engage in market-making activities with respect to the ordinary shares represented by ADSs. All of the foregoing may affect the marketability of the ordinary shares represented by ADSs and the ability of any person or entity to engage in market-making activities with respect to the ordinary shares represented by ADSs.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EXPENSES OF THE OFFERING</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expenses in connection with the offering will be as follows: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Expenses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7479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Legal fees and expenses</w:t>
      </w:r>
    </w:p>
    <w:p>
      <w:pPr>
        <w:ind w:left="440"/>
        <w:spacing w:after="0" w:line="234"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-127000</wp:posOffset>
            </wp:positionV>
            <wp:extent cx="657479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Miscellaneous costs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14"/>
        <w:spacing w:after="0"/>
        <w:rPr>
          <w:sz w:val="20"/>
          <w:szCs w:val="20"/>
          <w:color w:val="auto"/>
        </w:rPr>
      </w:pPr>
      <w:r>
        <w:rPr>
          <w:rFonts w:ascii="Arial" w:cs="Arial" w:eastAsia="Arial" w:hAnsi="Arial"/>
          <w:sz w:val="14"/>
          <w:szCs w:val="14"/>
          <w:b w:val="1"/>
          <w:bCs w:val="1"/>
          <w:color w:val="auto"/>
        </w:rPr>
        <w:t>Amount</w:t>
      </w:r>
    </w:p>
    <w:p>
      <w:pPr>
        <w:spacing w:after="0" w:line="27" w:lineRule="exact"/>
        <w:rPr>
          <w:sz w:val="20"/>
          <w:szCs w:val="20"/>
          <w:color w:val="auto"/>
        </w:rPr>
      </w:pPr>
    </w:p>
    <w:p>
      <w:pPr>
        <w:ind w:left="394" w:hanging="394"/>
        <w:spacing w:after="0"/>
        <w:tabs>
          <w:tab w:leader="none" w:pos="394" w:val="left"/>
        </w:tabs>
        <w:numPr>
          <w:ilvl w:val="0"/>
          <w:numId w:val="21"/>
        </w:numPr>
        <w:rPr>
          <w:rFonts w:ascii="Arial" w:cs="Arial" w:eastAsia="Arial" w:hAnsi="Arial"/>
          <w:sz w:val="17"/>
          <w:szCs w:val="17"/>
          <w:color w:val="auto"/>
        </w:rPr>
      </w:pPr>
      <w:r>
        <w:rPr>
          <w:rFonts w:ascii="Arial" w:cs="Arial" w:eastAsia="Arial" w:hAnsi="Arial"/>
          <w:sz w:val="17"/>
          <w:szCs w:val="17"/>
          <w:color w:val="auto"/>
        </w:rPr>
        <w:t>40,146.69</w:t>
      </w:r>
    </w:p>
    <w:p>
      <w:pPr>
        <w:spacing w:after="0" w:line="3" w:lineRule="exact"/>
        <w:rPr>
          <w:sz w:val="20"/>
          <w:szCs w:val="20"/>
          <w:color w:val="auto"/>
        </w:rPr>
      </w:pPr>
    </w:p>
    <w:p>
      <w:pPr>
        <w:ind w:left="534" w:hanging="534"/>
        <w:spacing w:after="0"/>
        <w:tabs>
          <w:tab w:leader="none" w:pos="5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100,000</w:t>
      </w:r>
    </w:p>
    <w:p>
      <w:pPr>
        <w:ind w:left="634" w:hanging="634"/>
        <w:spacing w:after="0" w:line="234" w:lineRule="auto"/>
        <w:tabs>
          <w:tab w:leader="none" w:pos="6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50,000</w:t>
      </w:r>
    </w:p>
    <w:p>
      <w:pPr>
        <w:ind w:left="734" w:hanging="734"/>
        <w:spacing w:after="0"/>
        <w:tabs>
          <w:tab w:leader="none" w:pos="7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5,000</w:t>
      </w:r>
    </w:p>
    <w:p>
      <w:pPr>
        <w:spacing w:after="0" w:line="22" w:lineRule="exact"/>
        <w:rPr>
          <w:rFonts w:ascii="Arial" w:cs="Arial" w:eastAsia="Arial" w:hAnsi="Arial"/>
          <w:sz w:val="18"/>
          <w:szCs w:val="18"/>
          <w:color w:val="auto"/>
        </w:rPr>
      </w:pPr>
    </w:p>
    <w:p>
      <w:pPr>
        <w:ind w:left="294" w:hanging="294"/>
        <w:spacing w:after="0"/>
        <w:tabs>
          <w:tab w:leader="none" w:pos="294" w:val="left"/>
        </w:tabs>
        <w:numPr>
          <w:ilvl w:val="0"/>
          <w:numId w:val="2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195,146.69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543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22225</wp:posOffset>
            </wp:positionV>
            <wp:extent cx="7543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826" w:space="720"/>
            <w:col w:w="1194"/>
          </w:cols>
          <w:pgMar w:left="320" w:top="459" w:right="839" w:bottom="1440" w:gutter="0" w:footer="0" w:header="0"/>
        </w:sectPr>
      </w:pPr>
    </w:p>
    <w:p>
      <w:pPr>
        <w:spacing w:after="0" w:line="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amounts in the table are estimates except the SEC registration fee. We will pay all of the expenses referred to above.</w:t>
      </w:r>
    </w:p>
    <w:p>
      <w:pPr>
        <w:spacing w:after="0" w:line="15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40"/>
          </w:cols>
          <w:pgMar w:left="320" w:top="459" w:right="8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36" w:lineRule="exact"/>
        <w:rPr>
          <w:sz w:val="20"/>
          <w:szCs w:val="20"/>
          <w:color w:val="auto"/>
        </w:rPr>
      </w:pPr>
    </w:p>
    <w:p>
      <w:pPr>
        <w:ind w:left="980" w:right="6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and our website address is included in this prospectus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w:t>
      </w:r>
    </w:p>
    <w:p>
      <w:pPr>
        <w:spacing w:after="0" w:line="193" w:lineRule="exact"/>
        <w:rPr>
          <w:sz w:val="20"/>
          <w:szCs w:val="20"/>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7">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26"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Item 1 of the Registration Statement on </w:t>
      </w:r>
      <w:hyperlink r:id="rId68">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originally filed with the SEC on April 9, 2018 and subsequently amended on </w:t>
      </w:r>
      <w:hyperlink r:id="rId69">
        <w:r>
          <w:rPr>
            <w:rFonts w:ascii="Arial" w:cs="Arial" w:eastAsia="Arial" w:hAnsi="Arial"/>
            <w:sz w:val="18"/>
            <w:szCs w:val="18"/>
            <w:u w:val="single" w:color="auto"/>
            <w:color w:val="0000EE"/>
          </w:rPr>
          <w:t>April 15, 2019</w:t>
        </w:r>
      </w:hyperlink>
      <w:r>
        <w:rPr>
          <w:rFonts w:ascii="Arial" w:cs="Arial" w:eastAsia="Arial" w:hAnsi="Arial"/>
          <w:sz w:val="18"/>
          <w:szCs w:val="18"/>
          <w:color w:val="auto"/>
        </w:rPr>
        <w:t xml:space="preserve">, as updated by </w:t>
      </w:r>
      <w:hyperlink r:id="rId70">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including the “Description of Ordinary Shares” and the “Description of American Depositary Shares” contained therein and any amendment or report filed for the purpose of further updating such descriptions.</w:t>
      </w:r>
    </w:p>
    <w:p>
      <w:pPr>
        <w:spacing w:after="0" w:line="203" w:lineRule="exact"/>
        <w:rPr>
          <w:rFonts w:ascii="Arial" w:cs="Arial" w:eastAsia="Arial" w:hAnsi="Arial"/>
          <w:sz w:val="18"/>
          <w:szCs w:val="18"/>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w:t>
      </w:r>
    </w:p>
    <w:p>
      <w:pPr>
        <w:spacing w:after="0" w:line="203" w:lineRule="exact"/>
        <w:rPr>
          <w:rFonts w:ascii="Arial" w:cs="Arial" w:eastAsia="Arial" w:hAnsi="Arial"/>
          <w:sz w:val="18"/>
          <w:szCs w:val="18"/>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205" w:lineRule="exact"/>
        <w:rPr>
          <w:rFonts w:ascii="Arial" w:cs="Arial" w:eastAsia="Arial" w:hAnsi="Arial"/>
          <w:sz w:val="18"/>
          <w:szCs w:val="18"/>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84" w:lineRule="exact"/>
        <w:rPr>
          <w:rFonts w:ascii="Arial" w:cs="Arial" w:eastAsia="Arial" w:hAnsi="Arial"/>
          <w:sz w:val="18"/>
          <w:szCs w:val="18"/>
          <w:color w:val="auto"/>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144"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103,098,851 American Depositary Shares</w:t>
      </w:r>
    </w:p>
    <w:p>
      <w:pPr>
        <w:spacing w:after="0" w:line="4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Representing 515,494,255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2731135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785495</wp:posOffset>
            </wp:positionV>
            <wp:extent cx="2468880" cy="900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PRELIMINARY</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1764030</wp:posOffset>
            </wp:positionV>
            <wp:extent cx="18173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478155</wp:posOffset>
            </wp:positionV>
            <wp:extent cx="699516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205"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Exhibits and financial statements</w:t>
      </w:r>
    </w:p>
    <w:p>
      <w:pPr>
        <w:spacing w:after="0" w:line="212" w:lineRule="exact"/>
        <w:rPr>
          <w:sz w:val="20"/>
          <w:szCs w:val="20"/>
          <w:color w:val="auto"/>
        </w:rPr>
      </w:pPr>
    </w:p>
    <w:p>
      <w:pPr>
        <w:ind w:left="120" w:right="160" w:firstLine="436"/>
        <w:spacing w:after="0" w:line="271" w:lineRule="auto"/>
        <w:tabs>
          <w:tab w:leader="none" w:pos="83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120" w:right="260" w:firstLine="436"/>
        <w:spacing w:after="0" w:line="271" w:lineRule="auto"/>
        <w:tabs>
          <w:tab w:leader="none" w:pos="83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Undertakings</w:t>
      </w:r>
    </w:p>
    <w:p>
      <w:pPr>
        <w:spacing w:after="0" w:line="139" w:lineRule="exact"/>
        <w:rPr>
          <w:sz w:val="20"/>
          <w:szCs w:val="20"/>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420" w:right="760" w:hanging="427"/>
        <w:spacing w:after="0" w:line="246"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36" w:lineRule="exact"/>
        <w:rPr>
          <w:rFonts w:ascii="Arial" w:cs="Arial" w:eastAsia="Arial" w:hAnsi="Arial"/>
          <w:sz w:val="18"/>
          <w:szCs w:val="18"/>
          <w:color w:val="auto"/>
        </w:rPr>
      </w:pPr>
    </w:p>
    <w:p>
      <w:pPr>
        <w:ind w:left="1860" w:right="60" w:hanging="435"/>
        <w:spacing w:after="0" w:line="252" w:lineRule="auto"/>
        <w:tabs>
          <w:tab w:leader="none" w:pos="1860" w:val="left"/>
        </w:tabs>
        <w:numPr>
          <w:ilvl w:val="2"/>
          <w:numId w:val="2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8" w:lineRule="exact"/>
        <w:rPr>
          <w:rFonts w:ascii="Arial" w:cs="Arial" w:eastAsia="Arial" w:hAnsi="Arial"/>
          <w:sz w:val="17"/>
          <w:szCs w:val="17"/>
          <w:color w:val="auto"/>
        </w:rPr>
      </w:pPr>
    </w:p>
    <w:p>
      <w:pPr>
        <w:ind w:left="1860" w:right="80" w:hanging="435"/>
        <w:spacing w:after="0" w:line="246" w:lineRule="auto"/>
        <w:tabs>
          <w:tab w:leader="none" w:pos="18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60" w:right="400"/>
        <w:spacing w:after="0" w:line="238" w:lineRule="auto"/>
        <w:rPr>
          <w:sz w:val="20"/>
          <w:szCs w:val="20"/>
          <w:color w:val="auto"/>
        </w:rPr>
      </w:pPr>
      <w:r>
        <w:rPr>
          <w:rFonts w:ascii="Arial" w:cs="Arial" w:eastAsia="Arial" w:hAnsi="Arial"/>
          <w:sz w:val="18"/>
          <w:szCs w:val="18"/>
          <w:color w:val="auto"/>
        </w:rPr>
        <w:t>provided, however, that paragraphs (a)(1)(i), (a)(1)(ii) and a(l)(iii)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8" w:lineRule="exact"/>
        <w:rPr>
          <w:sz w:val="20"/>
          <w:szCs w:val="20"/>
          <w:color w:val="auto"/>
        </w:rPr>
      </w:pPr>
    </w:p>
    <w:p>
      <w:pPr>
        <w:ind w:left="1420" w:right="280" w:hanging="427"/>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Arial" w:cs="Arial" w:eastAsia="Arial" w:hAnsi="Arial"/>
          <w:sz w:val="18"/>
          <w:szCs w:val="18"/>
          <w:color w:val="auto"/>
        </w:rPr>
      </w:pPr>
    </w:p>
    <w:p>
      <w:pPr>
        <w:ind w:left="1420" w:right="120" w:hanging="427"/>
        <w:spacing w:after="0" w:line="246"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420" w:right="20" w:hanging="427"/>
        <w:spacing w:after="0" w:line="236"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Exchange Act of 1934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if such financial statements and information are contained in periodic reports filed with or furnished to the SEC by the registrant pursuant to Section 13 or Section 15(d) of the Securities Exchange Act of 1934 that are incorporated by reference in this Form F-3.</w:t>
      </w:r>
    </w:p>
    <w:p>
      <w:pPr>
        <w:spacing w:after="0" w:line="111" w:lineRule="exact"/>
        <w:rPr>
          <w:rFonts w:ascii="Arial" w:cs="Arial" w:eastAsia="Arial" w:hAnsi="Arial"/>
          <w:sz w:val="18"/>
          <w:szCs w:val="18"/>
          <w:color w:val="auto"/>
        </w:rPr>
      </w:pPr>
    </w:p>
    <w:p>
      <w:pPr>
        <w:ind w:left="1420" w:hanging="427"/>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860" w:hanging="435"/>
        <w:spacing w:after="0"/>
        <w:tabs>
          <w:tab w:leader="none" w:pos="1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2300" w:right="220" w:hanging="429"/>
        <w:spacing w:after="0"/>
        <w:tabs>
          <w:tab w:leader="none" w:pos="23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Arial" w:cs="Arial" w:eastAsia="Arial" w:hAnsi="Arial"/>
          <w:sz w:val="18"/>
          <w:szCs w:val="18"/>
          <w:color w:val="auto"/>
        </w:rPr>
      </w:pPr>
    </w:p>
    <w:p>
      <w:pPr>
        <w:ind w:left="2300" w:hanging="429"/>
        <w:spacing w:after="0" w:line="235" w:lineRule="auto"/>
        <w:tabs>
          <w:tab w:leader="none" w:pos="23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9" w:lineRule="exact"/>
        <w:rPr>
          <w:rFonts w:ascii="Arial" w:cs="Arial" w:eastAsia="Arial" w:hAnsi="Arial"/>
          <w:sz w:val="18"/>
          <w:szCs w:val="18"/>
          <w:color w:val="auto"/>
        </w:rPr>
      </w:pPr>
    </w:p>
    <w:p>
      <w:pPr>
        <w:ind w:left="1860" w:right="40" w:hanging="435"/>
        <w:spacing w:after="0" w:line="238" w:lineRule="auto"/>
        <w:tabs>
          <w:tab w:leader="none" w:pos="1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80" w:right="260"/>
        <w:spacing w:after="0" w:line="238" w:lineRule="auto"/>
        <w:rPr>
          <w:sz w:val="20"/>
          <w:szCs w:val="20"/>
          <w:color w:val="auto"/>
        </w:rPr>
      </w:pPr>
      <w:r>
        <w:rPr>
          <w:rFonts w:ascii="Arial" w:cs="Arial" w:eastAsia="Arial" w:hAnsi="Arial"/>
          <w:sz w:val="18"/>
          <w:szCs w:val="18"/>
          <w:color w:val="auto"/>
        </w:rPr>
        <w:t>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0" w:lineRule="exact"/>
        <w:rPr>
          <w:sz w:val="20"/>
          <w:szCs w:val="20"/>
          <w:color w:val="auto"/>
        </w:rPr>
      </w:pPr>
    </w:p>
    <w:p>
      <w:pPr>
        <w:ind w:left="1420" w:hanging="427"/>
        <w:spacing w:after="0" w:line="246"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02" w:lineRule="exact"/>
        <w:rPr>
          <w:rFonts w:ascii="Arial" w:cs="Arial" w:eastAsia="Arial" w:hAnsi="Arial"/>
          <w:sz w:val="18"/>
          <w:szCs w:val="18"/>
          <w:color w:val="auto"/>
        </w:rPr>
      </w:pPr>
    </w:p>
    <w:p>
      <w:pPr>
        <w:ind w:left="1420" w:right="320"/>
        <w:spacing w:after="0" w:line="238"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8"/>
          <w:szCs w:val="18"/>
          <w:color w:val="auto"/>
        </w:rPr>
      </w:pPr>
    </w:p>
    <w:p>
      <w:pPr>
        <w:ind w:left="1860" w:right="280" w:hanging="435"/>
        <w:spacing w:after="0" w:line="246" w:lineRule="auto"/>
        <w:tabs>
          <w:tab w:leader="none" w:pos="18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1" w:lineRule="exact"/>
        <w:rPr>
          <w:rFonts w:ascii="Arial" w:cs="Arial" w:eastAsia="Arial" w:hAnsi="Arial"/>
          <w:sz w:val="18"/>
          <w:szCs w:val="18"/>
          <w:color w:val="auto"/>
        </w:rPr>
      </w:pPr>
    </w:p>
    <w:p>
      <w:pPr>
        <w:ind w:left="1860" w:right="100" w:hanging="435"/>
        <w:spacing w:after="0" w:line="246" w:lineRule="auto"/>
        <w:tabs>
          <w:tab w:leader="none" w:pos="18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 w:lineRule="exact"/>
        <w:rPr>
          <w:rFonts w:ascii="Arial" w:cs="Arial" w:eastAsia="Arial" w:hAnsi="Arial"/>
          <w:sz w:val="18"/>
          <w:szCs w:val="18"/>
          <w:color w:val="auto"/>
        </w:rPr>
      </w:pPr>
    </w:p>
    <w:p>
      <w:pPr>
        <w:ind w:left="1860" w:right="400" w:hanging="435"/>
        <w:spacing w:after="0" w:line="246" w:lineRule="auto"/>
        <w:tabs>
          <w:tab w:leader="none" w:pos="18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 w:lineRule="exact"/>
        <w:rPr>
          <w:rFonts w:ascii="Arial" w:cs="Arial" w:eastAsia="Arial" w:hAnsi="Arial"/>
          <w:sz w:val="18"/>
          <w:szCs w:val="18"/>
          <w:color w:val="auto"/>
        </w:rPr>
      </w:pPr>
    </w:p>
    <w:p>
      <w:pPr>
        <w:ind w:left="1860" w:hanging="435"/>
        <w:spacing w:after="0"/>
        <w:tabs>
          <w:tab w:leader="none" w:pos="18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980" w:right="120" w:hanging="432"/>
        <w:spacing w:after="0" w:line="23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0" w:lineRule="exact"/>
        <w:rPr>
          <w:sz w:val="20"/>
          <w:szCs w:val="20"/>
          <w:color w:val="auto"/>
        </w:rPr>
      </w:pPr>
    </w:p>
    <w:p>
      <w:pPr>
        <w:ind w:left="1420" w:right="60" w:hanging="427"/>
        <w:spacing w:after="0" w:line="238"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referred to in Item 8, or otherwise, the registrant has been advised that in the opinion of the Securities and Exchange Commission such indemnification is against public policy as expressed in the Securities Act and is, therefore, unenforceable.</w:t>
      </w:r>
    </w:p>
    <w:p>
      <w:pPr>
        <w:spacing w:after="0" w:line="110" w:lineRule="exact"/>
        <w:rPr>
          <w:rFonts w:ascii="Arial" w:cs="Arial" w:eastAsia="Arial" w:hAnsi="Arial"/>
          <w:sz w:val="18"/>
          <w:szCs w:val="18"/>
          <w:color w:val="auto"/>
        </w:rPr>
      </w:pPr>
    </w:p>
    <w:p>
      <w:pPr>
        <w:ind w:left="1420" w:right="140" w:hanging="427"/>
        <w:spacing w:after="0" w:line="238"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0" w:lineRule="exact"/>
        <w:rPr>
          <w:rFonts w:ascii="Arial" w:cs="Arial" w:eastAsia="Arial" w:hAnsi="Arial"/>
          <w:sz w:val="18"/>
          <w:szCs w:val="18"/>
          <w:color w:val="auto"/>
        </w:rPr>
      </w:pPr>
    </w:p>
    <w:p>
      <w:pPr>
        <w:ind w:left="1420" w:right="60" w:hanging="427"/>
        <w:spacing w:after="0" w:line="238"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480" w:type="dxa"/>
            <w:vAlign w:val="bottom"/>
            <w:gridSpan w:val="19"/>
          </w:tcPr>
          <w:p>
            <w:pPr>
              <w:ind w:left="32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Exhibit Description</w:t>
            </w:r>
          </w:p>
        </w:tc>
        <w:tc>
          <w:tcPr>
            <w:tcW w:w="4240" w:type="dxa"/>
            <w:vAlign w:val="bottom"/>
            <w:gridSpan w:val="13"/>
          </w:tcPr>
          <w:p>
            <w:pPr>
              <w:spacing w:after="0"/>
              <w:rPr>
                <w:sz w:val="15"/>
                <w:szCs w:val="15"/>
                <w:color w:val="auto"/>
              </w:rPr>
            </w:pPr>
          </w:p>
        </w:tc>
      </w:tr>
      <w:tr>
        <w:trPr>
          <w:trHeight w:val="277"/>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rPr>
            </w:pPr>
            <w:hyperlink r:id="rId82">
              <w:r>
                <w:rPr>
                  <w:rFonts w:ascii="Arial" w:cs="Arial" w:eastAsia="Arial" w:hAnsi="Arial"/>
                  <w:sz w:val="18"/>
                  <w:szCs w:val="18"/>
                  <w:color w:val="0000EE"/>
                </w:rPr>
                <w:t>Articles of Association (incorporated by reference to Exhibit 3.1 to the registrant’s registration statement on Form F-4 filed</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with the SEC on January 25, 2019 (File No. 333-229351)).</w:t>
              </w:r>
            </w:hyperlink>
          </w:p>
        </w:tc>
        <w:tc>
          <w:tcPr>
            <w:tcW w:w="180" w:type="dxa"/>
            <w:vAlign w:val="bottom"/>
            <w:gridSpan w:val="3"/>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720" w:type="dxa"/>
            <w:vAlign w:val="bottom"/>
            <w:tcBorders>
              <w:bottom w:val="single" w:sz="8" w:color="0000EE"/>
            </w:tcBorders>
            <w:gridSpan w:val="18"/>
          </w:tcPr>
          <w:p>
            <w:pPr>
              <w:spacing w:after="0"/>
              <w:rPr>
                <w:rFonts w:ascii="Arial" w:cs="Arial" w:eastAsia="Arial" w:hAnsi="Arial"/>
                <w:sz w:val="18"/>
                <w:szCs w:val="18"/>
                <w:color w:val="0000EE"/>
                <w:w w:val="99"/>
              </w:rPr>
            </w:pPr>
            <w:hyperlink r:id="rId83">
              <w:r>
                <w:rPr>
                  <w:rFonts w:ascii="Arial" w:cs="Arial" w:eastAsia="Arial" w:hAnsi="Arial"/>
                  <w:sz w:val="18"/>
                  <w:szCs w:val="18"/>
                  <w:color w:val="0000EE"/>
                  <w:w w:val="99"/>
                </w:rPr>
                <w:t>Form of Deposit Agreement (incorporated by reference to Exhibit 4.2 to the registrant’s registration statement on Form F-4</w:t>
              </w:r>
            </w:hyperlink>
          </w:p>
        </w:tc>
        <w:tc>
          <w:tcPr>
            <w:tcW w:w="100" w:type="dxa"/>
            <w:vAlign w:val="bottom"/>
            <w:gridSpan w:val="2"/>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gridSpan w:val="20"/>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filed with the SEC on January 25, 2019 (File No. 333-229351)).</w:t>
              </w:r>
            </w:hyperlink>
          </w:p>
        </w:tc>
      </w:tr>
      <w:tr>
        <w:trPr>
          <w:trHeight w:val="331"/>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502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Form of American Depositary Receipt (included in Exhibit 4.1).</w:t>
              </w:r>
            </w:hyperlink>
          </w:p>
        </w:tc>
        <w:tc>
          <w:tcPr>
            <w:tcW w:w="4800" w:type="dxa"/>
            <w:vAlign w:val="bottom"/>
            <w:gridSpan w:val="14"/>
          </w:tcPr>
          <w:p>
            <w:pPr>
              <w:spacing w:after="0"/>
              <w:rPr>
                <w:sz w:val="24"/>
                <w:szCs w:val="24"/>
                <w:color w:val="auto"/>
              </w:rPr>
            </w:pPr>
          </w:p>
        </w:tc>
      </w:tr>
      <w:tr>
        <w:trPr>
          <w:trHeight w:val="270"/>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3"/>
                <w:szCs w:val="23"/>
                <w:color w:val="auto"/>
              </w:rPr>
            </w:pPr>
          </w:p>
        </w:tc>
        <w:tc>
          <w:tcPr>
            <w:tcW w:w="9820" w:type="dxa"/>
            <w:vAlign w:val="bottom"/>
            <w:gridSpan w:val="20"/>
          </w:tcPr>
          <w:p>
            <w:pPr>
              <w:spacing w:after="0"/>
              <w:rPr>
                <w:rFonts w:ascii="Arial" w:cs="Arial" w:eastAsia="Arial" w:hAnsi="Arial"/>
                <w:sz w:val="18"/>
                <w:szCs w:val="18"/>
                <w:color w:val="0000EE"/>
              </w:rPr>
            </w:pPr>
            <w:hyperlink r:id="rId84">
              <w:r>
                <w:rPr>
                  <w:rFonts w:ascii="Arial" w:cs="Arial" w:eastAsia="Arial" w:hAnsi="Arial"/>
                  <w:sz w:val="18"/>
                  <w:szCs w:val="18"/>
                  <w:color w:val="0000EE"/>
                </w:rPr>
                <w:t>Form of Convertible Loan Note Instrument, dated June 3, 2020, relating to Mereo BioPharma Group PLC (incorporated by</w:t>
              </w:r>
            </w:hyperlink>
          </w:p>
        </w:tc>
      </w:tr>
      <w:tr>
        <w:trPr>
          <w:trHeight w:val="223"/>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4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reference to Exhibit 10.3 to the registrant’s report on Form 6-K filed with the SEC on June 5, 2020 (File No. 001-38452)).</w:t>
              </w:r>
            </w:hyperlink>
          </w:p>
        </w:tc>
        <w:tc>
          <w:tcPr>
            <w:tcW w:w="80" w:type="dxa"/>
            <w:vAlign w:val="bottom"/>
          </w:tcPr>
          <w:p>
            <w:pPr>
              <w:spacing w:after="0"/>
              <w:rPr>
                <w:sz w:val="19"/>
                <w:szCs w:val="19"/>
                <w:color w:val="auto"/>
              </w:rPr>
            </w:pPr>
          </w:p>
        </w:tc>
      </w:tr>
      <w:tr>
        <w:trPr>
          <w:trHeight w:val="270"/>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3"/>
                <w:szCs w:val="23"/>
                <w:color w:val="auto"/>
              </w:rPr>
            </w:pPr>
          </w:p>
        </w:tc>
        <w:tc>
          <w:tcPr>
            <w:tcW w:w="9600" w:type="dxa"/>
            <w:vAlign w:val="bottom"/>
            <w:tcBorders>
              <w:bottom w:val="single" w:sz="8" w:color="0000EE"/>
            </w:tcBorders>
            <w:gridSpan w:val="16"/>
          </w:tcPr>
          <w:p>
            <w:pPr>
              <w:spacing w:after="0"/>
              <w:rPr>
                <w:rFonts w:ascii="Arial" w:cs="Arial" w:eastAsia="Arial" w:hAnsi="Arial"/>
                <w:sz w:val="18"/>
                <w:szCs w:val="18"/>
                <w:color w:val="0000EE"/>
              </w:rPr>
            </w:pPr>
            <w:hyperlink r:id="rId85">
              <w:r>
                <w:rPr>
                  <w:rFonts w:ascii="Arial" w:cs="Arial" w:eastAsia="Arial" w:hAnsi="Arial"/>
                  <w:sz w:val="18"/>
                  <w:szCs w:val="18"/>
                  <w:color w:val="0000EE"/>
                </w:rPr>
                <w:t>Form of Warrant Instrument, dated June 3, 2020, relating to Mereo BioPharma Group PLC (incorporated by reference to</w:t>
              </w:r>
            </w:hyperlink>
          </w:p>
        </w:tc>
        <w:tc>
          <w:tcPr>
            <w:tcW w:w="220" w:type="dxa"/>
            <w:vAlign w:val="bottom"/>
            <w:gridSpan w:val="4"/>
          </w:tcPr>
          <w:p>
            <w:pPr>
              <w:spacing w:after="0"/>
              <w:rPr>
                <w:sz w:val="23"/>
                <w:szCs w:val="23"/>
                <w:color w:val="auto"/>
              </w:rPr>
            </w:pPr>
          </w:p>
        </w:tc>
      </w:tr>
      <w:tr>
        <w:trPr>
          <w:trHeight w:val="223"/>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20" w:type="dxa"/>
            <w:vAlign w:val="bottom"/>
            <w:gridSpan w:val="20"/>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Exhibit 10.4 to the registrant’s report on Form 6-K filed with the SEC on June 5, 2020 (File No. 001-38452)).</w:t>
              </w:r>
            </w:hyperlink>
          </w:p>
        </w:tc>
      </w:tr>
      <w:tr>
        <w:trPr>
          <w:trHeight w:val="311"/>
        </w:trPr>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Opinion of Mayer Brown International LLP</w:t>
              </w:r>
            </w:hyperlink>
          </w:p>
        </w:tc>
      </w:tr>
      <w:tr>
        <w:trPr>
          <w:trHeight w:val="27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10.1*</w:t>
            </w:r>
          </w:p>
        </w:tc>
        <w:tc>
          <w:tcPr>
            <w:tcW w:w="640" w:type="dxa"/>
            <w:vAlign w:val="bottom"/>
          </w:tcPr>
          <w:p>
            <w:pPr>
              <w:spacing w:after="0"/>
              <w:rPr>
                <w:sz w:val="23"/>
                <w:szCs w:val="23"/>
                <w:color w:val="auto"/>
              </w:rPr>
            </w:pPr>
          </w:p>
        </w:tc>
        <w:tc>
          <w:tcPr>
            <w:tcW w:w="9820" w:type="dxa"/>
            <w:vAlign w:val="bottom"/>
            <w:gridSpan w:val="20"/>
          </w:tcPr>
          <w:p>
            <w:pPr>
              <w:spacing w:after="0"/>
              <w:rPr>
                <w:rFonts w:ascii="Arial" w:cs="Arial" w:eastAsia="Arial" w:hAnsi="Arial"/>
                <w:sz w:val="18"/>
                <w:szCs w:val="18"/>
                <w:color w:val="0000EE"/>
              </w:rPr>
            </w:pPr>
            <w:hyperlink r:id="rId86">
              <w:r>
                <w:rPr>
                  <w:rFonts w:ascii="Arial" w:cs="Arial" w:eastAsia="Arial" w:hAnsi="Arial"/>
                  <w:sz w:val="18"/>
                  <w:szCs w:val="18"/>
                  <w:color w:val="0000EE"/>
                </w:rPr>
                <w:t>Securities Purchase Agreement, dated February 10, 2020, by and between Mereo BioPharma Group PLC and Aspire</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gridSpan w:val="20"/>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Capital Fund, LLC (incorporated by reference to Exhibit 10.1 to the registrant’s report on Form 6-K filed with the SEC on</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February 10, 2020 (File No. 001-38452)).</w:t>
              </w:r>
            </w:hyperlink>
          </w:p>
        </w:tc>
        <w:tc>
          <w:tcPr>
            <w:tcW w:w="6180" w:type="dxa"/>
            <w:vAlign w:val="bottom"/>
            <w:tcBorders>
              <w:top w:val="single" w:sz="8" w:color="0000EE"/>
            </w:tcBorders>
            <w:gridSpan w:val="14"/>
          </w:tcPr>
          <w:p>
            <w:pPr>
              <w:spacing w:after="0"/>
              <w:rPr>
                <w:sz w:val="15"/>
                <w:szCs w:val="15"/>
                <w:color w:val="auto"/>
              </w:rPr>
            </w:pPr>
          </w:p>
        </w:tc>
        <w:tc>
          <w:tcPr>
            <w:tcW w:w="300" w:type="dxa"/>
            <w:vAlign w:val="bottom"/>
            <w:gridSpan w:val="5"/>
          </w:tcPr>
          <w:p>
            <w:pPr>
              <w:spacing w:after="0"/>
              <w:rPr>
                <w:sz w:val="15"/>
                <w:szCs w:val="15"/>
                <w:color w:val="auto"/>
              </w:rPr>
            </w:pPr>
          </w:p>
        </w:tc>
      </w:tr>
      <w:tr>
        <w:trPr>
          <w:trHeight w:val="291"/>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10.2*</w:t>
            </w:r>
          </w:p>
        </w:tc>
        <w:tc>
          <w:tcPr>
            <w:tcW w:w="64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rPr>
            </w:pPr>
            <w:hyperlink r:id="rId87">
              <w:r>
                <w:rPr>
                  <w:rFonts w:ascii="Arial" w:cs="Arial" w:eastAsia="Arial" w:hAnsi="Arial"/>
                  <w:sz w:val="18"/>
                  <w:szCs w:val="18"/>
                  <w:color w:val="0000EE"/>
                </w:rPr>
                <w:t>Registration Rights Agreement, dated February 10, 2020, by and between Mereo BioPharma Group PLC and Aspire</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gridSpan w:val="20"/>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Capital Fund, LLC (incorporated by reference to Exhibit 10.2 to the registrant’s report on Form 6-K filed with the SEC on</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February 10, 2020 (File No. 001-38452)).</w:t>
              </w:r>
            </w:hyperlink>
          </w:p>
        </w:tc>
        <w:tc>
          <w:tcPr>
            <w:tcW w:w="6180" w:type="dxa"/>
            <w:vAlign w:val="bottom"/>
            <w:tcBorders>
              <w:top w:val="single" w:sz="8" w:color="0000EE"/>
            </w:tcBorders>
            <w:gridSpan w:val="14"/>
          </w:tcPr>
          <w:p>
            <w:pPr>
              <w:spacing w:after="0"/>
              <w:rPr>
                <w:sz w:val="15"/>
                <w:szCs w:val="15"/>
                <w:color w:val="auto"/>
              </w:rPr>
            </w:pPr>
          </w:p>
        </w:tc>
        <w:tc>
          <w:tcPr>
            <w:tcW w:w="300" w:type="dxa"/>
            <w:vAlign w:val="bottom"/>
            <w:gridSpan w:val="5"/>
          </w:tcPr>
          <w:p>
            <w:pPr>
              <w:spacing w:after="0"/>
              <w:rPr>
                <w:sz w:val="15"/>
                <w:szCs w:val="15"/>
                <w:color w:val="auto"/>
              </w:rPr>
            </w:pPr>
          </w:p>
        </w:tc>
      </w:tr>
      <w:tr>
        <w:trPr>
          <w:trHeight w:val="291"/>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10.3*</w:t>
            </w:r>
          </w:p>
        </w:tc>
        <w:tc>
          <w:tcPr>
            <w:tcW w:w="64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rPr>
            </w:pPr>
            <w:hyperlink r:id="rId88">
              <w:r>
                <w:rPr>
                  <w:rFonts w:ascii="Arial" w:cs="Arial" w:eastAsia="Arial" w:hAnsi="Arial"/>
                  <w:sz w:val="18"/>
                  <w:szCs w:val="18"/>
                  <w:color w:val="0000EE"/>
                </w:rPr>
                <w:t>Securities Purchase Agreement, dated February 19, 2020, by and between Mereo BioPharma Group PLC and Boxer</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3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Capital, LLC (incorporated by reference to Exhibit 10.1 to the registrant’s report on Form 6-K filed with the SEC on</w:t>
              </w:r>
            </w:hyperlink>
          </w:p>
        </w:tc>
        <w:tc>
          <w:tcPr>
            <w:tcW w:w="440" w:type="dxa"/>
            <w:vAlign w:val="bottom"/>
            <w:gridSpan w:val="7"/>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February 19, 2020 (File No. 001-38452)).</w:t>
              </w:r>
            </w:hyperlink>
          </w:p>
        </w:tc>
        <w:tc>
          <w:tcPr>
            <w:tcW w:w="5720" w:type="dxa"/>
            <w:vAlign w:val="bottom"/>
            <w:tcBorders>
              <w:top w:val="single" w:sz="8" w:color="0000EE"/>
            </w:tcBorders>
            <w:gridSpan w:val="8"/>
          </w:tcPr>
          <w:p>
            <w:pPr>
              <w:spacing w:after="0"/>
              <w:rPr>
                <w:sz w:val="15"/>
                <w:szCs w:val="15"/>
                <w:color w:val="auto"/>
              </w:rPr>
            </w:pPr>
          </w:p>
        </w:tc>
        <w:tc>
          <w:tcPr>
            <w:tcW w:w="760" w:type="dxa"/>
            <w:vAlign w:val="bottom"/>
            <w:gridSpan w:val="11"/>
          </w:tcPr>
          <w:p>
            <w:pPr>
              <w:spacing w:after="0"/>
              <w:rPr>
                <w:sz w:val="15"/>
                <w:szCs w:val="15"/>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10.4*</w:t>
            </w:r>
          </w:p>
        </w:tc>
        <w:tc>
          <w:tcPr>
            <w:tcW w:w="64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rPr>
            </w:pPr>
            <w:hyperlink r:id="rId89">
              <w:r>
                <w:rPr>
                  <w:rFonts w:ascii="Arial" w:cs="Arial" w:eastAsia="Arial" w:hAnsi="Arial"/>
                  <w:sz w:val="18"/>
                  <w:szCs w:val="18"/>
                  <w:color w:val="0000EE"/>
                </w:rPr>
                <w:t>Registration Rights Agreement, dated February 19, 2020, by and between Mereo BioPharma Group PLC and Boxer</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Capital, LLC (incorporated by reference to Exhibit 10.2 to the registrant’s report on Form 6-K filed with the SEC on</w:t>
              </w:r>
            </w:hyperlink>
          </w:p>
        </w:tc>
        <w:tc>
          <w:tcPr>
            <w:tcW w:w="560" w:type="dxa"/>
            <w:vAlign w:val="bottom"/>
            <w:gridSpan w:val="9"/>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February 19, 2020 (File No. 001-38452)).</w:t>
              </w:r>
            </w:hyperlink>
          </w:p>
        </w:tc>
        <w:tc>
          <w:tcPr>
            <w:tcW w:w="5720" w:type="dxa"/>
            <w:vAlign w:val="bottom"/>
            <w:tcBorders>
              <w:top w:val="single" w:sz="8" w:color="0000EE"/>
            </w:tcBorders>
            <w:gridSpan w:val="8"/>
          </w:tcPr>
          <w:p>
            <w:pPr>
              <w:spacing w:after="0"/>
              <w:rPr>
                <w:sz w:val="15"/>
                <w:szCs w:val="15"/>
                <w:color w:val="auto"/>
              </w:rPr>
            </w:pPr>
          </w:p>
        </w:tc>
        <w:tc>
          <w:tcPr>
            <w:tcW w:w="760" w:type="dxa"/>
            <w:vAlign w:val="bottom"/>
            <w:gridSpan w:val="11"/>
          </w:tcPr>
          <w:p>
            <w:pPr>
              <w:spacing w:after="0"/>
              <w:rPr>
                <w:sz w:val="15"/>
                <w:szCs w:val="15"/>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10.5*</w:t>
            </w:r>
          </w:p>
        </w:tc>
        <w:tc>
          <w:tcPr>
            <w:tcW w:w="640" w:type="dxa"/>
            <w:vAlign w:val="bottom"/>
          </w:tcPr>
          <w:p>
            <w:pPr>
              <w:spacing w:after="0"/>
              <w:rPr>
                <w:sz w:val="24"/>
                <w:szCs w:val="24"/>
                <w:color w:val="auto"/>
              </w:rPr>
            </w:pPr>
          </w:p>
        </w:tc>
        <w:tc>
          <w:tcPr>
            <w:tcW w:w="9240" w:type="dxa"/>
            <w:vAlign w:val="bottom"/>
            <w:tcBorders>
              <w:bottom w:val="single" w:sz="8" w:color="0000EE"/>
            </w:tcBorders>
            <w:gridSpan w:val="10"/>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Securities Purchase Agreement, dated June 3, 2020, by and among Mereo BioPharma Group PLC and the</w:t>
              </w:r>
            </w:hyperlink>
          </w:p>
        </w:tc>
        <w:tc>
          <w:tcPr>
            <w:tcW w:w="580" w:type="dxa"/>
            <w:vAlign w:val="bottom"/>
            <w:gridSpan w:val="10"/>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90">
              <w:r>
                <w:rPr>
                  <w:rFonts w:ascii="Arial" w:cs="Arial" w:eastAsia="Arial" w:hAnsi="Arial"/>
                  <w:sz w:val="18"/>
                  <w:szCs w:val="18"/>
                  <w:color w:val="0000EE"/>
                  <w:w w:val="99"/>
                </w:rPr>
                <w:t>several purchasers named therein (incorporated by reference to Exhibit 10.1 to the registrant’s report on Form 6-K filed with</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00" w:type="dxa"/>
            <w:vAlign w:val="bottom"/>
            <w:tcBorders>
              <w:bottom w:val="single" w:sz="8" w:color="0000EE"/>
            </w:tcBorders>
            <w:gridSpan w:val="3"/>
          </w:tcPr>
          <w:p>
            <w:pPr>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the SEC on June 5, 2020 (File No. 001-38452)).</w:t>
              </w:r>
            </w:hyperlink>
          </w:p>
        </w:tc>
        <w:tc>
          <w:tcPr>
            <w:tcW w:w="5920" w:type="dxa"/>
            <w:vAlign w:val="bottom"/>
            <w:gridSpan w:val="17"/>
          </w:tcPr>
          <w:p>
            <w:pPr>
              <w:spacing w:after="0"/>
              <w:rPr>
                <w:sz w:val="15"/>
                <w:szCs w:val="15"/>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10.6*</w:t>
            </w:r>
          </w:p>
        </w:tc>
        <w:tc>
          <w:tcPr>
            <w:tcW w:w="64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Registration Rights Agreement, dated June 3, 2020, by and between Mereo BioPharma Group PLC and the</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3020" w:type="dxa"/>
            <w:vAlign w:val="bottom"/>
            <w:gridSpan w:val="6"/>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91">
              <w:r>
                <w:rPr>
                  <w:rFonts w:ascii="Arial" w:cs="Arial" w:eastAsia="Arial" w:hAnsi="Arial"/>
                  <w:sz w:val="18"/>
                  <w:szCs w:val="18"/>
                  <w:color w:val="0000EE"/>
                  <w:w w:val="99"/>
                </w:rPr>
                <w:t>several purchasers named therein (incorporated by reference to Exhibit 10.2 to the registrant’s report on Form 6-K filed with</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the SEC on June 5, 2020 (File No. 001-38452)).</w:t>
              </w:r>
            </w:hyperlink>
          </w:p>
        </w:tc>
        <w:tc>
          <w:tcPr>
            <w:tcW w:w="5940" w:type="dxa"/>
            <w:vAlign w:val="bottom"/>
            <w:gridSpan w:val="18"/>
          </w:tcPr>
          <w:p>
            <w:pPr>
              <w:spacing w:after="0"/>
              <w:rPr>
                <w:sz w:val="15"/>
                <w:szCs w:val="15"/>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21.1*</w:t>
            </w:r>
          </w:p>
        </w:tc>
        <w:tc>
          <w:tcPr>
            <w:tcW w:w="640" w:type="dxa"/>
            <w:vAlign w:val="bottom"/>
          </w:tcPr>
          <w:p>
            <w:pPr>
              <w:spacing w:after="0"/>
              <w:rPr>
                <w:sz w:val="24"/>
                <w:szCs w:val="24"/>
                <w:color w:val="auto"/>
              </w:rPr>
            </w:pPr>
          </w:p>
        </w:tc>
        <w:tc>
          <w:tcPr>
            <w:tcW w:w="9460" w:type="dxa"/>
            <w:vAlign w:val="bottom"/>
            <w:tcBorders>
              <w:bottom w:val="single" w:sz="8" w:color="0000EE"/>
            </w:tcBorders>
            <w:gridSpan w:val="14"/>
          </w:tcPr>
          <w:p>
            <w:pPr>
              <w:spacing w:after="0"/>
              <w:rPr>
                <w:rFonts w:ascii="Arial" w:cs="Arial" w:eastAsia="Arial" w:hAnsi="Arial"/>
                <w:sz w:val="18"/>
                <w:szCs w:val="18"/>
                <w:color w:val="0000EE"/>
                <w:w w:val="99"/>
              </w:rPr>
            </w:pPr>
            <w:hyperlink r:id="rId92">
              <w:r>
                <w:rPr>
                  <w:rFonts w:ascii="Arial" w:cs="Arial" w:eastAsia="Arial" w:hAnsi="Arial"/>
                  <w:sz w:val="18"/>
                  <w:szCs w:val="18"/>
                  <w:color w:val="0000EE"/>
                  <w:w w:val="99"/>
                </w:rPr>
                <w:t>List of Subsidiaries (incorporated by reference to Exhibit 8.1 to the registrants Annual Report on Form 20-F for the year</w:t>
              </w:r>
            </w:hyperlink>
          </w:p>
        </w:tc>
        <w:tc>
          <w:tcPr>
            <w:tcW w:w="360" w:type="dxa"/>
            <w:vAlign w:val="bottom"/>
            <w:gridSpan w:val="6"/>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gridSpan w:val="20"/>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ended December 31, 2019, filed with the SEC on June 15, 2020 (File No. 001-38452)).</w:t>
              </w:r>
            </w:hyperlink>
          </w:p>
        </w:tc>
      </w:tr>
      <w:tr>
        <w:trPr>
          <w:trHeight w:val="331"/>
        </w:trPr>
        <w:tc>
          <w:tcPr>
            <w:tcW w:w="540" w:type="dxa"/>
            <w:vAlign w:val="bottom"/>
          </w:tcPr>
          <w:p>
            <w:pPr>
              <w:jc w:val="right"/>
              <w:spacing w:after="0"/>
              <w:rPr>
                <w:sz w:val="20"/>
                <w:szCs w:val="20"/>
                <w:color w:val="auto"/>
              </w:rPr>
            </w:pPr>
            <w:r>
              <w:rPr>
                <w:rFonts w:ascii="Arial" w:cs="Arial" w:eastAsia="Arial" w:hAnsi="Arial"/>
                <w:sz w:val="18"/>
                <w:szCs w:val="18"/>
                <w:color w:val="auto"/>
                <w:w w:val="93"/>
              </w:rPr>
              <w:t>23.1**</w:t>
            </w:r>
          </w:p>
        </w:tc>
        <w:tc>
          <w:tcPr>
            <w:tcW w:w="640" w:type="dxa"/>
            <w:vAlign w:val="bottom"/>
          </w:tcPr>
          <w:p>
            <w:pPr>
              <w:spacing w:after="0"/>
              <w:rPr>
                <w:sz w:val="24"/>
                <w:szCs w:val="24"/>
                <w:color w:val="auto"/>
              </w:rPr>
            </w:pPr>
          </w:p>
        </w:tc>
        <w:tc>
          <w:tcPr>
            <w:tcW w:w="690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Consent of Ernst &amp; Young LLP, Independent Registered Public Accounting Firm</w:t>
              </w:r>
            </w:hyperlink>
          </w:p>
        </w:tc>
        <w:tc>
          <w:tcPr>
            <w:tcW w:w="2920" w:type="dxa"/>
            <w:vAlign w:val="bottom"/>
            <w:gridSpan w:val="12"/>
          </w:tcPr>
          <w:p>
            <w:pPr>
              <w:spacing w:after="0"/>
              <w:rPr>
                <w:sz w:val="24"/>
                <w:szCs w:val="24"/>
                <w:color w:val="auto"/>
              </w:rPr>
            </w:pPr>
          </w:p>
        </w:tc>
      </w:tr>
      <w:tr>
        <w:trPr>
          <w:trHeight w:val="310"/>
        </w:trPr>
        <w:tc>
          <w:tcPr>
            <w:tcW w:w="540" w:type="dxa"/>
            <w:vAlign w:val="bottom"/>
          </w:tcPr>
          <w:p>
            <w:pPr>
              <w:jc w:val="right"/>
              <w:spacing w:after="0"/>
              <w:rPr>
                <w:sz w:val="20"/>
                <w:szCs w:val="20"/>
                <w:color w:val="auto"/>
              </w:rPr>
            </w:pPr>
            <w:r>
              <w:rPr>
                <w:rFonts w:ascii="Arial" w:cs="Arial" w:eastAsia="Arial" w:hAnsi="Arial"/>
                <w:sz w:val="18"/>
                <w:szCs w:val="18"/>
                <w:color w:val="auto"/>
                <w:w w:val="93"/>
              </w:rPr>
              <w:t>23.2**</w:t>
            </w:r>
          </w:p>
        </w:tc>
        <w:tc>
          <w:tcPr>
            <w:tcW w:w="64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Consent of Mayer Brown International LLP (included in Exhibit 5.1)</w:t>
              </w:r>
            </w:hyperlink>
          </w:p>
        </w:tc>
      </w:tr>
      <w:tr>
        <w:trPr>
          <w:trHeight w:val="310"/>
        </w:trPr>
        <w:tc>
          <w:tcPr>
            <w:tcW w:w="540" w:type="dxa"/>
            <w:vAlign w:val="bottom"/>
          </w:tcPr>
          <w:p>
            <w:pPr>
              <w:jc w:val="right"/>
              <w:spacing w:after="0"/>
              <w:rPr>
                <w:sz w:val="20"/>
                <w:szCs w:val="20"/>
                <w:color w:val="auto"/>
              </w:rPr>
            </w:pPr>
            <w:r>
              <w:rPr>
                <w:rFonts w:ascii="Arial" w:cs="Arial" w:eastAsia="Arial" w:hAnsi="Arial"/>
                <w:sz w:val="18"/>
                <w:szCs w:val="18"/>
                <w:color w:val="auto"/>
                <w:w w:val="93"/>
              </w:rPr>
              <w:t>24.1**</w:t>
            </w:r>
          </w:p>
        </w:tc>
        <w:tc>
          <w:tcPr>
            <w:tcW w:w="64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Powers of Attorney (included on the signature page to the Registration Statement)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120" w:right="9320" w:hanging="4"/>
        <w:spacing w:after="0" w:line="274" w:lineRule="auto"/>
        <w:tabs>
          <w:tab w:leader="none" w:pos="5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Previously filed. ** Filed herewith.</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London, the United Kingdom on July 6, 2020.</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BIOPHARMA GROUP PLC</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tbl>
      <w:tblPr>
        <w:tblLayout w:type="fixed"/>
        <w:tblInd w:w="708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Denise Scots-Knight, Ph.D.,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20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July 6, 2020 in the capacities indicated:</w:t>
      </w:r>
    </w:p>
    <w:p>
      <w:pPr>
        <w:spacing w:after="0" w:line="211" w:lineRule="exact"/>
        <w:rPr>
          <w:sz w:val="20"/>
          <w:szCs w:val="20"/>
          <w:color w:val="auto"/>
        </w:rPr>
      </w:pPr>
    </w:p>
    <w:tbl>
      <w:tblPr>
        <w:tblLayout w:type="fixed"/>
        <w:tblInd w:w="78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58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rPr>
              <w:t>Title</w:t>
            </w:r>
          </w:p>
        </w:tc>
      </w:tr>
      <w:tr>
        <w:trPr>
          <w:trHeight w:val="20"/>
        </w:trPr>
        <w:tc>
          <w:tcPr>
            <w:tcW w:w="2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1"/>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9"/>
              </w:rPr>
              <w:t>/s/ Denise Scots-Knight, Ph.D.</w:t>
            </w:r>
          </w:p>
        </w:tc>
        <w:tc>
          <w:tcPr>
            <w:tcW w:w="6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w w:val="99"/>
              </w:rPr>
              <w:t>Denise Scots-Knight, Ph.D.</w:t>
            </w:r>
          </w:p>
        </w:tc>
        <w:tc>
          <w:tcPr>
            <w:tcW w:w="680" w:type="dxa"/>
            <w:vAlign w:val="bottom"/>
          </w:tcPr>
          <w:p>
            <w:pPr>
              <w:spacing w:after="0"/>
              <w:rPr>
                <w:sz w:val="18"/>
                <w:szCs w:val="18"/>
                <w:color w:val="auto"/>
              </w:rPr>
            </w:pPr>
          </w:p>
        </w:tc>
        <w:tc>
          <w:tcPr>
            <w:tcW w:w="4580" w:type="dxa"/>
            <w:vAlign w:val="bottom"/>
            <w:gridSpan w:val="3"/>
          </w:tcPr>
          <w:p>
            <w:pPr>
              <w:jc w:val="center"/>
              <w:ind w:left="232"/>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9"/>
              </w:rPr>
              <w:t>/s/ Richard Jones</w:t>
            </w:r>
          </w:p>
        </w:tc>
        <w:tc>
          <w:tcPr>
            <w:tcW w:w="6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32"/>
              <w:spacing w:after="0"/>
              <w:rPr>
                <w:sz w:val="20"/>
                <w:szCs w:val="20"/>
                <w:color w:val="auto"/>
              </w:rPr>
            </w:pPr>
            <w:r>
              <w:rPr>
                <w:rFonts w:ascii="Arial" w:cs="Arial" w:eastAsia="Arial" w:hAnsi="Arial"/>
                <w:sz w:val="18"/>
                <w:szCs w:val="18"/>
                <w:color w:val="auto"/>
                <w:w w:val="99"/>
              </w:rPr>
              <w:t>Chief Financial Officer (Principal Financial Officer and</w:t>
            </w:r>
          </w:p>
        </w:tc>
      </w:tr>
      <w:tr>
        <w:trPr>
          <w:trHeight w:val="211"/>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w w:val="99"/>
              </w:rPr>
              <w:t>Richard Jones</w:t>
            </w:r>
          </w:p>
        </w:tc>
        <w:tc>
          <w:tcPr>
            <w:tcW w:w="680" w:type="dxa"/>
            <w:vAlign w:val="bottom"/>
          </w:tcPr>
          <w:p>
            <w:pPr>
              <w:spacing w:after="0"/>
              <w:rPr>
                <w:sz w:val="18"/>
                <w:szCs w:val="18"/>
                <w:color w:val="auto"/>
              </w:rPr>
            </w:pPr>
          </w:p>
        </w:tc>
        <w:tc>
          <w:tcPr>
            <w:tcW w:w="4580" w:type="dxa"/>
            <w:vAlign w:val="bottom"/>
            <w:gridSpan w:val="3"/>
          </w:tcPr>
          <w:p>
            <w:pPr>
              <w:jc w:val="center"/>
              <w:ind w:left="232"/>
              <w:spacing w:after="0" w:line="197" w:lineRule="exact"/>
              <w:rPr>
                <w:sz w:val="20"/>
                <w:szCs w:val="20"/>
                <w:color w:val="auto"/>
              </w:rPr>
            </w:pPr>
            <w:r>
              <w:rPr>
                <w:rFonts w:ascii="Arial" w:cs="Arial" w:eastAsia="Arial" w:hAnsi="Arial"/>
                <w:sz w:val="18"/>
                <w:szCs w:val="18"/>
                <w:color w:val="auto"/>
                <w:w w:val="99"/>
              </w:rPr>
              <w:t>Principal Accounting Officer)</w:t>
            </w: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9"/>
              </w:rPr>
              <w:t>/s/ Peter Fellner, Ph.D.</w:t>
            </w:r>
          </w:p>
        </w:tc>
        <w:tc>
          <w:tcPr>
            <w:tcW w:w="6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Chairman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w w:val="99"/>
              </w:rPr>
              <w:t>Peter Fellner, Ph.D.</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rPr>
              <w:t>/s/ Peter Bains</w:t>
            </w:r>
          </w:p>
        </w:tc>
        <w:tc>
          <w:tcPr>
            <w:tcW w:w="6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rPr>
              <w:t>Peter Bains</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rPr>
              <w:t>/s/ Paul Blackburn</w:t>
            </w:r>
          </w:p>
        </w:tc>
        <w:tc>
          <w:tcPr>
            <w:tcW w:w="6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rPr>
              <w:t>Paul Blackburn</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rPr>
              <w:t>/s/ Anders Ekblom, M.D., Ph.D.</w:t>
            </w:r>
          </w:p>
        </w:tc>
        <w:tc>
          <w:tcPr>
            <w:tcW w:w="6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rPr>
              <w:t>Anders Ekblom, M.D., Ph.D.</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rPr>
              <w:t>/s/ Kunal Kashyap</w:t>
            </w:r>
          </w:p>
        </w:tc>
        <w:tc>
          <w:tcPr>
            <w:tcW w:w="6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rPr>
              <w:t>Kunal Kashyap</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rPr>
              <w:t>/s/ Deepika R. Pakianathan, Ph.D.</w:t>
            </w:r>
          </w:p>
        </w:tc>
        <w:tc>
          <w:tcPr>
            <w:tcW w:w="6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rPr>
              <w:t>Deepika R. Pakianathan, Ph.D.</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99"/>
              </w:rPr>
              <w:t>/s/ Michael S. Wyzga</w:t>
            </w:r>
          </w:p>
        </w:tc>
        <w:tc>
          <w:tcPr>
            <w:tcW w:w="6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90"/>
              <w:spacing w:after="0"/>
              <w:rPr>
                <w:sz w:val="20"/>
                <w:szCs w:val="20"/>
                <w:color w:val="auto"/>
              </w:rPr>
            </w:pPr>
            <w:r>
              <w:rPr>
                <w:rFonts w:ascii="Arial" w:cs="Arial" w:eastAsia="Arial" w:hAnsi="Arial"/>
                <w:sz w:val="18"/>
                <w:szCs w:val="18"/>
                <w:color w:val="auto"/>
                <w:w w:val="99"/>
              </w:rPr>
              <w:t>Michael S. Wyzga</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64"/>
        </w:trPr>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60" w:type="dxa"/>
            <w:vAlign w:val="bottom"/>
            <w:gridSpan w:val="4"/>
          </w:tcPr>
          <w:p>
            <w:pPr>
              <w:ind w:left="44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July 6, 2020.</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US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-1905</wp:posOffset>
            </wp:positionV>
            <wp:extent cx="25717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Denise Scots-Knight, Ph.D.</w:t>
      </w:r>
    </w:p>
    <w:p>
      <w:pPr>
        <w:ind w:left="7080"/>
        <w:spacing w:after="0"/>
        <w:tabs>
          <w:tab w:leader="none" w:pos="7720" w:val="left"/>
        </w:tabs>
        <w:rPr>
          <w:sz w:val="20"/>
          <w:szCs w:val="20"/>
          <w:color w:val="auto"/>
        </w:rPr>
      </w:pPr>
      <w:r>
        <w:rPr>
          <w:rFonts w:ascii="Arial" w:cs="Arial" w:eastAsia="Arial" w:hAnsi="Arial"/>
          <w:sz w:val="18"/>
          <w:szCs w:val="18"/>
          <w:color w:val="auto"/>
        </w:rPr>
        <w:t>Title:</w:t>
        <w:tab/>
        <w:t>President</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60"/>
          </w:cols>
          <w:pgMar w:left="320" w:top="459" w:right="6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Mayer Brown International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 Bishopsgate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 EC2M 3AF</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+44 20 3130 3000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+44 20 3130 3001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www.mayerbrown.com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DX 556 London and City</w:t>
      </w: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Cavendish Place</w:t>
      </w:r>
    </w:p>
    <w:p>
      <w:pPr>
        <w:sectPr>
          <w:pgSz w:w="11900" w:h="16838" w:orient="portrait"/>
          <w:cols w:equalWidth="0" w:num="1">
            <w:col w:w="11024"/>
          </w:cols>
          <w:pgMar w:left="436" w:top="121" w:right="439" w:bottom="1440" w:gutter="0" w:footer="0" w:header="0"/>
        </w:sectPr>
      </w:pP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W1G 0QF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6 July 2020</w:t>
      </w:r>
    </w:p>
    <w:p>
      <w:pPr>
        <w:spacing w:after="0" w:line="214" w:lineRule="exact"/>
        <w:rPr>
          <w:sz w:val="20"/>
          <w:szCs w:val="20"/>
          <w:color w:val="auto"/>
        </w:rPr>
      </w:pPr>
    </w:p>
    <w:p>
      <w:pPr>
        <w:sectPr>
          <w:pgSz w:w="11900" w:h="16838" w:orient="portrait"/>
          <w:cols w:equalWidth="0" w:num="2">
            <w:col w:w="9464" w:space="720"/>
            <w:col w:w="840"/>
          </w:cols>
          <w:pgMar w:left="436" w:top="121" w:right="439" w:bottom="1440" w:gutter="0" w:footer="0" w:header="0"/>
          <w:type w:val="continuous"/>
        </w:sectPr>
      </w:pPr>
    </w:p>
    <w:p>
      <w:pPr>
        <w:spacing w:after="0" w:line="74" w:lineRule="exact"/>
        <w:rPr>
          <w:sz w:val="20"/>
          <w:szCs w:val="20"/>
          <w:color w:val="auto"/>
        </w:rPr>
      </w:pPr>
    </w:p>
    <w:p>
      <w:pPr>
        <w:ind w:left="4"/>
        <w:spacing w:after="0"/>
        <w:rPr>
          <w:sz w:val="20"/>
          <w:szCs w:val="20"/>
          <w:color w:val="auto"/>
        </w:rPr>
      </w:pPr>
      <w:r>
        <w:rPr>
          <w:rFonts w:ascii="Arial" w:cs="Arial" w:eastAsia="Arial" w:hAnsi="Arial"/>
          <w:sz w:val="17"/>
          <w:szCs w:val="17"/>
          <w:color w:val="auto"/>
        </w:rPr>
        <w:t>Our ref:</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20641525/20456</w:t>
      </w:r>
    </w:p>
    <w:p>
      <w:pPr>
        <w:spacing w:after="0" w:line="222" w:lineRule="exact"/>
        <w:rPr>
          <w:sz w:val="20"/>
          <w:szCs w:val="20"/>
          <w:color w:val="auto"/>
        </w:rPr>
      </w:pPr>
    </w:p>
    <w:p>
      <w:pPr>
        <w:sectPr>
          <w:pgSz w:w="11900" w:h="16838" w:orient="portrait"/>
          <w:cols w:equalWidth="0" w:num="2">
            <w:col w:w="584" w:space="360"/>
            <w:col w:w="10080"/>
          </w:cols>
          <w:pgMar w:left="436" w:top="121"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Sir/Madam</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Registration Statement on Form F-3</w:t>
      </w:r>
    </w:p>
    <w:p>
      <w:pPr>
        <w:spacing w:after="0" w:line="131"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17" w:lineRule="exact"/>
        <w:rPr>
          <w:rFonts w:ascii="Arial" w:cs="Arial" w:eastAsia="Arial" w:hAnsi="Arial"/>
          <w:sz w:val="18"/>
          <w:szCs w:val="18"/>
          <w:color w:val="auto"/>
        </w:rPr>
      </w:pPr>
    </w:p>
    <w:p>
      <w:pPr>
        <w:ind w:left="444" w:right="40"/>
        <w:spacing w:after="0" w:line="286" w:lineRule="auto"/>
        <w:rPr>
          <w:rFonts w:ascii="Arial" w:cs="Arial" w:eastAsia="Arial" w:hAnsi="Arial"/>
          <w:sz w:val="18"/>
          <w:szCs w:val="18"/>
          <w:color w:val="auto"/>
        </w:rPr>
      </w:pPr>
      <w:r>
        <w:rPr>
          <w:rFonts w:ascii="Arial" w:cs="Arial" w:eastAsia="Arial" w:hAnsi="Arial"/>
          <w:sz w:val="16"/>
          <w:szCs w:val="16"/>
          <w:color w:val="auto"/>
        </w:rPr>
        <w:t xml:space="preserve">We have acted for Mereo BioPharma Group plc, a public limited company incorporated under the laws of England and Wales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as its legal advisers in England in connection with the registration statement on Form F-3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to be filed on or about 6 July 2020 by the Company with the U.S. Securities and Exchange Commission under the U.S.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 rules and regulations promulgated thereunder (the</w:t>
      </w:r>
      <w:r>
        <w:rPr>
          <w:rFonts w:ascii="Arial" w:cs="Arial" w:eastAsia="Arial" w:hAnsi="Arial"/>
          <w:sz w:val="16"/>
          <w:szCs w:val="16"/>
          <w:b w:val="1"/>
          <w:bCs w:val="1"/>
          <w:color w:val="auto"/>
        </w:rPr>
        <w:t xml:space="preserve"> “Rules”</w:t>
      </w:r>
      <w:r>
        <w:rPr>
          <w:rFonts w:ascii="Arial" w:cs="Arial" w:eastAsia="Arial" w:hAnsi="Arial"/>
          <w:sz w:val="16"/>
          <w:szCs w:val="16"/>
          <w:color w:val="auto"/>
        </w:rPr>
        <w:t>). The Registration Statement relates to the resale,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selling shareholders identified in the Registration Statement, of up to an aggregate of 515,494,255 ordinary shares of £0.003 each in the Company (the </w:t>
      </w:r>
      <w:r>
        <w:rPr>
          <w:rFonts w:ascii="Arial" w:cs="Arial" w:eastAsia="Arial" w:hAnsi="Arial"/>
          <w:sz w:val="16"/>
          <w:szCs w:val="16"/>
          <w:b w:val="1"/>
          <w:bCs w:val="1"/>
          <w:color w:val="auto"/>
        </w:rPr>
        <w:t>“New Shares”</w:t>
      </w:r>
      <w:r>
        <w:rPr>
          <w:rFonts w:ascii="Arial" w:cs="Arial" w:eastAsia="Arial" w:hAnsi="Arial"/>
          <w:sz w:val="16"/>
          <w:szCs w:val="16"/>
          <w:color w:val="auto"/>
        </w:rPr>
        <w:t>), which New Shares may be exchanged for American Depository Shares (</w:t>
      </w:r>
      <w:r>
        <w:rPr>
          <w:rFonts w:ascii="Arial" w:cs="Arial" w:eastAsia="Arial" w:hAnsi="Arial"/>
          <w:sz w:val="16"/>
          <w:szCs w:val="16"/>
          <w:b w:val="1"/>
          <w:bCs w:val="1"/>
          <w:color w:val="auto"/>
        </w:rPr>
        <w:t>“ADS”</w:t>
      </w:r>
      <w:r>
        <w:rPr>
          <w:rFonts w:ascii="Arial" w:cs="Arial" w:eastAsia="Arial" w:hAnsi="Arial"/>
          <w:sz w:val="16"/>
          <w:szCs w:val="16"/>
          <w:color w:val="auto"/>
        </w:rPr>
        <w:t xml:space="preserve">) of the Company with each ADS representing 5 ordinary shares, consisting of (a) 89,144,623 ordinary shares issued to the selling shareholders pursuant to a securities purchase agreement dated 3 June 2020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xml:space="preserve">) by and among the Company and the investors listed on Exhibit A-1 thereto (the </w:t>
      </w:r>
      <w:r>
        <w:rPr>
          <w:rFonts w:ascii="Arial" w:cs="Arial" w:eastAsia="Arial" w:hAnsi="Arial"/>
          <w:sz w:val="16"/>
          <w:szCs w:val="16"/>
          <w:b w:val="1"/>
          <w:bCs w:val="1"/>
          <w:color w:val="auto"/>
        </w:rPr>
        <w:t>“Purchasers”</w:t>
      </w:r>
      <w:r>
        <w:rPr>
          <w:rFonts w:ascii="Arial" w:cs="Arial" w:eastAsia="Arial" w:hAnsi="Arial"/>
          <w:sz w:val="16"/>
          <w:szCs w:val="16"/>
          <w:color w:val="auto"/>
        </w:rPr>
        <w:t xml:space="preserve">), (b) 253,048,551 ordinary shares, being the number of ordinary shares issued as of the date hereof upon the conversion the convertible loan notes issued to the Purchasers pursuant to the Securities Purchase Agreement (the </w:t>
      </w:r>
      <w:r>
        <w:rPr>
          <w:rFonts w:ascii="Arial" w:cs="Arial" w:eastAsia="Arial" w:hAnsi="Arial"/>
          <w:sz w:val="16"/>
          <w:szCs w:val="16"/>
          <w:b w:val="1"/>
          <w:bCs w:val="1"/>
          <w:color w:val="auto"/>
        </w:rPr>
        <w:t>“Tranche 1 Notes”</w:t>
      </w:r>
      <w:r>
        <w:rPr>
          <w:rFonts w:ascii="Arial" w:cs="Arial" w:eastAsia="Arial" w:hAnsi="Arial"/>
          <w:sz w:val="16"/>
          <w:szCs w:val="16"/>
          <w:color w:val="auto"/>
        </w:rPr>
        <w:t xml:space="preserve">) and issuable upon the full conversion of the Tranche 1 Notes remaining outstanding as of the date hereof assuming the maximum amount of accrued interest for which additional ordinary shares are issuable upon conversion (including both accrued interest through the date hereof and accruing to the maturity date of the Tranche 1 Notes assuming such notes remain outstanding until their maturity date), (c) 161,048,366 ordinary shares issuable upon the full exercise of warrants issued to the Purchasers pursuant to the Securities Purchase Agreement (the </w:t>
      </w:r>
      <w:r>
        <w:rPr>
          <w:rFonts w:ascii="Arial" w:cs="Arial" w:eastAsia="Arial" w:hAnsi="Arial"/>
          <w:sz w:val="16"/>
          <w:szCs w:val="16"/>
          <w:b w:val="1"/>
          <w:bCs w:val="1"/>
          <w:color w:val="auto"/>
        </w:rPr>
        <w:t>“Warrants”</w:t>
      </w:r>
      <w:r>
        <w:rPr>
          <w:rFonts w:ascii="Arial" w:cs="Arial" w:eastAsia="Arial" w:hAnsi="Arial"/>
          <w:sz w:val="16"/>
          <w:szCs w:val="16"/>
          <w:color w:val="auto"/>
        </w:rPr>
        <w:t>) and (d) 12,252,715 ordinary shares issued to Boxer Capital, LLC in connection with a private placement in February 2020.</w:t>
      </w:r>
    </w:p>
    <w:p>
      <w:pPr>
        <w:spacing w:after="0" w:line="99" w:lineRule="exact"/>
        <w:rPr>
          <w:sz w:val="20"/>
          <w:szCs w:val="20"/>
          <w:color w:val="auto"/>
        </w:rPr>
      </w:pPr>
    </w:p>
    <w:p>
      <w:pPr>
        <w:jc w:val="center"/>
        <w:ind w:left="440" w:right="320"/>
        <w:spacing w:after="0" w:line="253" w:lineRule="auto"/>
        <w:rPr>
          <w:sz w:val="20"/>
          <w:szCs w:val="20"/>
          <w:color w:val="auto"/>
        </w:rPr>
      </w:pPr>
      <w:r>
        <w:rPr>
          <w:rFonts w:ascii="Arial" w:cs="Arial" w:eastAsia="Arial" w:hAnsi="Arial"/>
          <w:sz w:val="14"/>
          <w:szCs w:val="14"/>
          <w:color w:val="auto"/>
        </w:rPr>
        <w:t>This is a legal communication, not a financial communication. Neither this nor any other communication from this firm is intended to be, or should be construed as, an invitation or inducement (direct or indirect) to any person to engage in investment activity.</w:t>
      </w:r>
    </w:p>
    <w:p>
      <w:pPr>
        <w:spacing w:after="0" w:line="66" w:lineRule="exact"/>
        <w:rPr>
          <w:sz w:val="20"/>
          <w:szCs w:val="20"/>
          <w:color w:val="auto"/>
        </w:rPr>
      </w:pPr>
    </w:p>
    <w:p>
      <w:pPr>
        <w:jc w:val="center"/>
        <w:ind w:left="440"/>
        <w:spacing w:after="0" w:line="238" w:lineRule="auto"/>
        <w:rPr>
          <w:sz w:val="20"/>
          <w:szCs w:val="20"/>
          <w:color w:val="auto"/>
        </w:rPr>
      </w:pPr>
      <w:r>
        <w:rPr>
          <w:rFonts w:ascii="Arial" w:cs="Arial" w:eastAsia="Arial" w:hAnsi="Arial"/>
          <w:sz w:val="14"/>
          <w:szCs w:val="14"/>
          <w:color w:val="auto"/>
        </w:rPr>
        <w:t>Mayer Brown International LLP is a limited liability partnership (registered in England and Wales number OC303359) which is authorised and regulated by the Solicitors Regulation Authority. We operate in combination with other Mayer Brown entities with offices in the United States, Europe and Asia and are associated with Tauil &amp; Chequer Advogados, a Brazilian law partnership.</w:t>
      </w:r>
    </w:p>
    <w:p>
      <w:pPr>
        <w:spacing w:after="0" w:line="75" w:lineRule="exact"/>
        <w:rPr>
          <w:sz w:val="20"/>
          <w:szCs w:val="20"/>
          <w:color w:val="auto"/>
        </w:rPr>
      </w:pPr>
    </w:p>
    <w:p>
      <w:pPr>
        <w:jc w:val="center"/>
        <w:ind w:left="440" w:right="40"/>
        <w:spacing w:after="0" w:line="238" w:lineRule="auto"/>
        <w:rPr>
          <w:sz w:val="20"/>
          <w:szCs w:val="20"/>
          <w:color w:val="auto"/>
        </w:rPr>
      </w:pPr>
      <w:r>
        <w:rPr>
          <w:rFonts w:ascii="Arial" w:cs="Arial" w:eastAsia="Arial" w:hAnsi="Arial"/>
          <w:sz w:val="14"/>
          <w:szCs w:val="14"/>
          <w:color w:val="auto"/>
        </w:rPr>
        <w:t>We use the term “partner” to refer to a member of Mayer Brown International LLP, or an employee or consultant who is a lawyer with equivalent standing and qualifications and to a partner of or lawyer with equivalent status in another Mayer Brown entity. A list of the names of members of Mayer Brown International LLP and their respective professional qualifications may be inspected at our registered office, 201 Bishopsgate, London EC2M 3AF, England or on www.mayerbrown.com.</w:t>
      </w:r>
    </w:p>
    <w:p>
      <w:pPr>
        <w:sectPr>
          <w:pgSz w:w="11900" w:h="16838" w:orient="portrait"/>
          <w:cols w:equalWidth="0" w:num="1">
            <w:col w:w="11024"/>
          </w:cols>
          <w:pgMar w:left="436" w:top="121" w:right="439" w:bottom="1440" w:gutter="0" w:footer="0" w:header="0"/>
          <w:type w:val="continuous"/>
        </w:sectPr>
      </w:pPr>
    </w:p>
    <w:bookmarkStart w:id="44" w:name="page45"/>
    <w:bookmarkEnd w:id="44"/>
    <w:p>
      <w:pPr>
        <w:ind w:left="44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89,144,623 New Shares in aggregate were allotted to the Purchasers on 3 June 2020, 12,252,715 New Shares were allotted to Boxer Capital, LLC on or around 20 February 2020 and 125,061,475 New Shares in aggregate were allotted to the Purchasers on 30 June 2020 upon conversion of certain of the Tranche 1 Notes (such 226,458,813 New Shares together the “</w:t>
      </w:r>
      <w:r>
        <w:rPr>
          <w:rFonts w:ascii="Arial" w:cs="Arial" w:eastAsia="Arial" w:hAnsi="Arial"/>
          <w:sz w:val="18"/>
          <w:szCs w:val="18"/>
          <w:b w:val="1"/>
          <w:bCs w:val="1"/>
          <w:color w:val="auto"/>
        </w:rPr>
        <w:t>Initial Shares</w:t>
      </w:r>
      <w:r>
        <w:rPr>
          <w:rFonts w:ascii="Arial" w:cs="Arial" w:eastAsia="Arial" w:hAnsi="Arial"/>
          <w:sz w:val="18"/>
          <w:szCs w:val="18"/>
          <w:color w:val="auto"/>
        </w:rPr>
        <w:t>”, and the remaining New Shares the “</w:t>
      </w:r>
      <w:r>
        <w:rPr>
          <w:rFonts w:ascii="Arial" w:cs="Arial" w:eastAsia="Arial" w:hAnsi="Arial"/>
          <w:sz w:val="18"/>
          <w:szCs w:val="18"/>
          <w:b w:val="1"/>
          <w:bCs w:val="1"/>
          <w:color w:val="auto"/>
        </w:rPr>
        <w:t>Further</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79" w:lineRule="exact"/>
        <w:rPr>
          <w:sz w:val="20"/>
          <w:szCs w:val="20"/>
          <w:color w:val="auto"/>
        </w:rPr>
      </w:pPr>
    </w:p>
    <w:p>
      <w:pPr>
        <w:ind w:left="444" w:right="100"/>
        <w:spacing w:after="0" w:line="277" w:lineRule="auto"/>
        <w:rPr>
          <w:sz w:val="20"/>
          <w:szCs w:val="20"/>
          <w:color w:val="auto"/>
        </w:rPr>
      </w:pPr>
      <w:r>
        <w:rPr>
          <w:rFonts w:ascii="Arial" w:cs="Arial" w:eastAsia="Arial" w:hAnsi="Arial"/>
          <w:sz w:val="18"/>
          <w:szCs w:val="18"/>
          <w:color w:val="auto"/>
        </w:rPr>
        <w:t>The existing issued ordinary shares of the Company are admitted to trading, and application will be required to be made for the Further Shares to be admitted to trading, on the AIM market operated by London Stock Exchange plc (</w:t>
      </w:r>
      <w:r>
        <w:rPr>
          <w:rFonts w:ascii="Arial" w:cs="Arial" w:eastAsia="Arial" w:hAnsi="Arial"/>
          <w:sz w:val="18"/>
          <w:szCs w:val="18"/>
          <w:b w:val="1"/>
          <w:bCs w:val="1"/>
          <w:color w:val="auto"/>
        </w:rPr>
        <w:t>“AIM”</w:t>
      </w:r>
      <w:r>
        <w:rPr>
          <w:rFonts w:ascii="Arial" w:cs="Arial" w:eastAsia="Arial" w:hAnsi="Arial"/>
          <w:sz w:val="18"/>
          <w:szCs w:val="18"/>
          <w:color w:val="auto"/>
        </w:rPr>
        <w: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connection with the Registration Statement, we have been asked to provide an opinion on certain matters, as set out below.</w:t>
      </w:r>
    </w:p>
    <w:p>
      <w:pPr>
        <w:spacing w:after="0" w:line="113" w:lineRule="exact"/>
        <w:rPr>
          <w:sz w:val="20"/>
          <w:szCs w:val="20"/>
          <w:color w:val="auto"/>
        </w:rPr>
      </w:pPr>
    </w:p>
    <w:p>
      <w:pPr>
        <w:ind w:left="444" w:right="160"/>
        <w:spacing w:after="0" w:line="282" w:lineRule="auto"/>
        <w:rPr>
          <w:sz w:val="20"/>
          <w:szCs w:val="20"/>
          <w:color w:val="auto"/>
        </w:rPr>
      </w:pPr>
      <w:r>
        <w:rPr>
          <w:rFonts w:ascii="Arial" w:cs="Arial" w:eastAsia="Arial" w:hAnsi="Arial"/>
          <w:sz w:val="18"/>
          <w:szCs w:val="18"/>
          <w:color w:val="auto"/>
        </w:rPr>
        <w:t xml:space="preserve">For the purpose of this letter the Warrants and the Tranche 1 Notes are collectively referred to as the </w:t>
      </w:r>
      <w:r>
        <w:rPr>
          <w:rFonts w:ascii="Arial" w:cs="Arial" w:eastAsia="Arial" w:hAnsi="Arial"/>
          <w:sz w:val="18"/>
          <w:szCs w:val="18"/>
          <w:b w:val="1"/>
          <w:bCs w:val="1"/>
          <w:color w:val="auto"/>
        </w:rPr>
        <w:t>“Convertible Securities”</w:t>
      </w:r>
      <w:r>
        <w:rPr>
          <w:rFonts w:ascii="Arial" w:cs="Arial" w:eastAsia="Arial" w:hAnsi="Arial"/>
          <w:sz w:val="18"/>
          <w:szCs w:val="18"/>
          <w:color w:val="auto"/>
        </w:rPr>
        <w:t xml:space="preserve">, and New Shares and Convertible Securities are collectively referred to as the </w:t>
      </w:r>
      <w:r>
        <w:rPr>
          <w:rFonts w:ascii="Arial" w:cs="Arial" w:eastAsia="Arial" w:hAnsi="Arial"/>
          <w:sz w:val="18"/>
          <w:szCs w:val="18"/>
          <w:b w:val="1"/>
          <w:bCs w:val="1"/>
          <w:color w:val="auto"/>
        </w:rPr>
        <w:t>“Equity Securities”</w:t>
      </w:r>
      <w:r>
        <w:rPr>
          <w:rFonts w:ascii="Arial" w:cs="Arial" w:eastAsia="Arial" w:hAnsi="Arial"/>
          <w:sz w:val="18"/>
          <w:szCs w:val="18"/>
          <w:color w:val="auto"/>
        </w:rPr>
        <w:t>.</w:t>
      </w:r>
    </w:p>
    <w:p>
      <w:pPr>
        <w:spacing w:after="0" w:line="310" w:lineRule="exact"/>
        <w:rPr>
          <w:sz w:val="20"/>
          <w:szCs w:val="20"/>
          <w:color w:val="auto"/>
        </w:rPr>
      </w:pPr>
    </w:p>
    <w:p>
      <w:pPr>
        <w:ind w:left="424" w:hanging="424"/>
        <w:spacing w:after="0"/>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Examination and enquiries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the purpose of giving this opinion, we have examined:</w:t>
      </w:r>
    </w:p>
    <w:p>
      <w:pPr>
        <w:spacing w:after="0" w:line="130" w:lineRule="exact"/>
        <w:rPr>
          <w:rFonts w:ascii="Arial" w:cs="Arial" w:eastAsia="Arial" w:hAnsi="Arial"/>
          <w:sz w:val="18"/>
          <w:szCs w:val="18"/>
          <w:color w:val="auto"/>
        </w:rPr>
      </w:pPr>
    </w:p>
    <w:p>
      <w:pPr>
        <w:ind w:left="1424" w:right="460" w:hanging="439"/>
        <w:spacing w:after="0" w:line="277" w:lineRule="auto"/>
        <w:tabs>
          <w:tab w:leader="none" w:pos="1424"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copy of the Registration Statement (excluding its exhibits and any documents incorporated by reference into the Registration Statement);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copy of the Securities Purchase Agreement;</w:t>
      </w:r>
    </w:p>
    <w:p>
      <w:pPr>
        <w:spacing w:after="0" w:line="126" w:lineRule="exact"/>
        <w:rPr>
          <w:rFonts w:ascii="Arial" w:cs="Arial" w:eastAsia="Arial" w:hAnsi="Arial"/>
          <w:sz w:val="18"/>
          <w:szCs w:val="18"/>
          <w:color w:val="auto"/>
        </w:rPr>
      </w:pPr>
    </w:p>
    <w:p>
      <w:pPr>
        <w:ind w:left="1424" w:right="340" w:hanging="439"/>
        <w:spacing w:after="0" w:line="266" w:lineRule="auto"/>
        <w:tabs>
          <w:tab w:leader="none" w:pos="1424" w:val="left"/>
        </w:tabs>
        <w:numPr>
          <w:ilvl w:val="2"/>
          <w:numId w:val="35"/>
        </w:numPr>
        <w:rPr>
          <w:rFonts w:ascii="Arial" w:cs="Arial" w:eastAsia="Arial" w:hAnsi="Arial"/>
          <w:sz w:val="18"/>
          <w:szCs w:val="18"/>
          <w:color w:val="auto"/>
        </w:rPr>
      </w:pPr>
      <w:r>
        <w:rPr>
          <w:rFonts w:ascii="Arial" w:cs="Arial" w:eastAsia="Arial" w:hAnsi="Arial"/>
          <w:sz w:val="18"/>
          <w:szCs w:val="18"/>
          <w:color w:val="auto"/>
        </w:rPr>
        <w:t xml:space="preserve">a certificate dated 6 July 2020 signed by the company secretary of the Company (the </w:t>
      </w:r>
      <w:r>
        <w:rPr>
          <w:rFonts w:ascii="Arial" w:cs="Arial" w:eastAsia="Arial" w:hAnsi="Arial"/>
          <w:sz w:val="18"/>
          <w:szCs w:val="18"/>
          <w:b w:val="1"/>
          <w:bCs w:val="1"/>
          <w:color w:val="auto"/>
        </w:rPr>
        <w:t>“Officer’s Certificate”</w:t>
      </w:r>
      <w:r>
        <w:rPr>
          <w:rFonts w:ascii="Arial" w:cs="Arial" w:eastAsia="Arial" w:hAnsi="Arial"/>
          <w:sz w:val="18"/>
          <w:szCs w:val="18"/>
          <w:color w:val="auto"/>
        </w:rPr>
        <w:t>) relating to certain factual matters and having annexed thereto copies (certified by the company secretary as being true, complete, accurate and up-to-date in each case) of the following documents:</w:t>
      </w:r>
    </w:p>
    <w:p>
      <w:pPr>
        <w:spacing w:after="0" w:line="85" w:lineRule="exact"/>
        <w:rPr>
          <w:rFonts w:ascii="Arial" w:cs="Arial" w:eastAsia="Arial" w:hAnsi="Arial"/>
          <w:sz w:val="18"/>
          <w:szCs w:val="18"/>
          <w:color w:val="auto"/>
        </w:rPr>
      </w:pPr>
    </w:p>
    <w:p>
      <w:pPr>
        <w:ind w:left="1964" w:right="220" w:hanging="533"/>
        <w:spacing w:after="0" w:line="277" w:lineRule="auto"/>
        <w:tabs>
          <w:tab w:leader="none" w:pos="1964" w:val="left"/>
        </w:tabs>
        <w:numPr>
          <w:ilvl w:val="3"/>
          <w:numId w:val="35"/>
        </w:numPr>
        <w:rPr>
          <w:rFonts w:ascii="Arial" w:cs="Arial" w:eastAsia="Arial" w:hAnsi="Arial"/>
          <w:sz w:val="18"/>
          <w:szCs w:val="18"/>
          <w:color w:val="auto"/>
        </w:rPr>
      </w:pPr>
      <w:r>
        <w:rPr>
          <w:rFonts w:ascii="Arial" w:cs="Arial" w:eastAsia="Arial" w:hAnsi="Arial"/>
          <w:sz w:val="18"/>
          <w:szCs w:val="18"/>
          <w:color w:val="auto"/>
        </w:rPr>
        <w:t>the Company’s certificate of incorporation, certificate of incorporation on re-registration, memorandum of association and articles of association;</w:t>
      </w:r>
    </w:p>
    <w:p>
      <w:pPr>
        <w:spacing w:after="0" w:line="75" w:lineRule="exact"/>
        <w:rPr>
          <w:rFonts w:ascii="Arial" w:cs="Arial" w:eastAsia="Arial" w:hAnsi="Arial"/>
          <w:sz w:val="18"/>
          <w:szCs w:val="18"/>
          <w:color w:val="auto"/>
        </w:rPr>
      </w:pPr>
    </w:p>
    <w:p>
      <w:pPr>
        <w:ind w:left="1964" w:hanging="533"/>
        <w:spacing w:after="0" w:line="254" w:lineRule="auto"/>
        <w:tabs>
          <w:tab w:leader="none" w:pos="1964" w:val="left"/>
        </w:tabs>
        <w:numPr>
          <w:ilvl w:val="3"/>
          <w:numId w:val="35"/>
        </w:numPr>
        <w:rPr>
          <w:rFonts w:ascii="Arial" w:cs="Arial" w:eastAsia="Arial" w:hAnsi="Arial"/>
          <w:sz w:val="18"/>
          <w:szCs w:val="18"/>
          <w:color w:val="auto"/>
        </w:rPr>
      </w:pPr>
      <w:r>
        <w:rPr>
          <w:rFonts w:ascii="Arial" w:cs="Arial" w:eastAsia="Arial" w:hAnsi="Arial"/>
          <w:sz w:val="18"/>
          <w:szCs w:val="18"/>
          <w:color w:val="auto"/>
        </w:rPr>
        <w:t>the minutes of meetings of the board of directors of the Company held on 8 October 2019, 8 February 2020, 13 February 2020 (extract only), 6 March 2020, 11 May 2020 and 1 June 2020 and of the financing committee of the board of directors of the Company held on 17 February 2020, 18 February 2020, 3 June 2020 and 30 June 2020, at which it was resolved variously, inter alia, to approve the Securities Purchase Agreement, the Warrant Instrument, the Loan Note Instrument, the Private Placement Agreement (each of the Warrant Instrument, the Loan Note Instrument and the Private Placement Agreement as defined below) and to approve the filing of the Registration Statement with the U.S. Securities and Exchange Commission; and</w:t>
      </w:r>
    </w:p>
    <w:p>
      <w:pPr>
        <w:spacing w:after="0" w:line="100" w:lineRule="exact"/>
        <w:rPr>
          <w:rFonts w:ascii="Arial" w:cs="Arial" w:eastAsia="Arial" w:hAnsi="Arial"/>
          <w:sz w:val="18"/>
          <w:szCs w:val="18"/>
          <w:color w:val="auto"/>
        </w:rPr>
      </w:pPr>
    </w:p>
    <w:p>
      <w:pPr>
        <w:ind w:left="1964" w:right="60" w:hanging="533"/>
        <w:spacing w:after="0" w:line="277" w:lineRule="auto"/>
        <w:tabs>
          <w:tab w:leader="none" w:pos="1964" w:val="left"/>
        </w:tabs>
        <w:numPr>
          <w:ilvl w:val="3"/>
          <w:numId w:val="35"/>
        </w:numPr>
        <w:rPr>
          <w:rFonts w:ascii="Arial" w:cs="Arial" w:eastAsia="Arial" w:hAnsi="Arial"/>
          <w:sz w:val="18"/>
          <w:szCs w:val="18"/>
          <w:color w:val="auto"/>
        </w:rPr>
      </w:pPr>
      <w:r>
        <w:rPr>
          <w:rFonts w:ascii="Arial" w:cs="Arial" w:eastAsia="Arial" w:hAnsi="Arial"/>
          <w:sz w:val="18"/>
          <w:szCs w:val="18"/>
          <w:color w:val="auto"/>
        </w:rPr>
        <w:t>the written resolutions of shareholders of the Company passed on 2 June 2016, and the resolutions of the shareholders of the Company passed on 19 June 2019, 29 June 2020 and 30 June 2020;</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45" w:name="page46"/>
    <w:bookmarkEnd w:id="45"/>
    <w:p>
      <w:pPr>
        <w:ind w:left="1424" w:hanging="439"/>
        <w:spacing w:after="0"/>
        <w:tabs>
          <w:tab w:leader="none" w:pos="1424" w:val="left"/>
        </w:tabs>
        <w:numPr>
          <w:ilvl w:val="1"/>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copy of the warrant instrument of the Company constituting the Warrants dated 3 June 2020 (the </w:t>
      </w:r>
      <w:r>
        <w:rPr>
          <w:rFonts w:ascii="Arial" w:cs="Arial" w:eastAsia="Arial" w:hAnsi="Arial"/>
          <w:sz w:val="17"/>
          <w:szCs w:val="17"/>
          <w:b w:val="1"/>
          <w:bCs w:val="1"/>
          <w:color w:val="auto"/>
        </w:rPr>
        <w:t>“Warrant Instrument”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424" w:right="240" w:hanging="439"/>
        <w:spacing w:after="0" w:line="277" w:lineRule="auto"/>
        <w:tabs>
          <w:tab w:leader="none" w:pos="14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copy of the convertible loan note instrument of the Company constituting, inter alia, the Tranche 1 Notes dated 3 June 2020 (the </w:t>
      </w:r>
      <w:r>
        <w:rPr>
          <w:rFonts w:ascii="Arial" w:cs="Arial" w:eastAsia="Arial" w:hAnsi="Arial"/>
          <w:sz w:val="18"/>
          <w:szCs w:val="18"/>
          <w:b w:val="1"/>
          <w:bCs w:val="1"/>
          <w:color w:val="auto"/>
        </w:rPr>
        <w:t>“Loan Note Instrument”</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copy of the securities purchase agreement dated as of 19 February 2020 by and among the Company and Boxer Capital, LLC (the </w:t>
      </w:r>
      <w:r>
        <w:rPr>
          <w:rFonts w:ascii="Arial" w:cs="Arial" w:eastAsia="Arial" w:hAnsi="Arial"/>
          <w:sz w:val="18"/>
          <w:szCs w:val="18"/>
          <w:b w:val="1"/>
          <w:bCs w:val="1"/>
          <w:color w:val="auto"/>
        </w:rPr>
        <w:t>“Private Placement Agreement”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purpose of giving this opinion, we have:</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6 July 2020 an online search of the register kept by the Registrar of Companies in respect of the Company (the </w:t>
      </w:r>
      <w:r>
        <w:rPr>
          <w:rFonts w:ascii="Arial" w:cs="Arial" w:eastAsia="Arial" w:hAnsi="Arial"/>
          <w:sz w:val="18"/>
          <w:szCs w:val="18"/>
          <w:b w:val="1"/>
          <w:bCs w:val="1"/>
          <w:color w:val="auto"/>
        </w:rPr>
        <w:t>“Company Search”</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424" w:right="500" w:hanging="439"/>
        <w:spacing w:after="0" w:line="263" w:lineRule="auto"/>
        <w:tabs>
          <w:tab w:leader="none" w:pos="14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6 July 2020 at approximately 10.00 a.m. an online search in respect of the Company of the Central Registry of Winding Up Petitions (the </w:t>
      </w:r>
      <w:r>
        <w:rPr>
          <w:rFonts w:ascii="Arial" w:cs="Arial" w:eastAsia="Arial" w:hAnsi="Arial"/>
          <w:sz w:val="18"/>
          <w:szCs w:val="18"/>
          <w:b w:val="1"/>
          <w:bCs w:val="1"/>
          <w:color w:val="auto"/>
        </w:rPr>
        <w:t>“Central Registry Enquiry”</w:t>
      </w:r>
      <w:r>
        <w:rPr>
          <w:rFonts w:ascii="Arial" w:cs="Arial" w:eastAsia="Arial" w:hAnsi="Arial"/>
          <w:sz w:val="18"/>
          <w:szCs w:val="18"/>
          <w:color w:val="auto"/>
        </w:rPr>
        <w:t xml:space="preserve"> and, together with the Company Search,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and reviewed the information we received from our agents from the Searches (the </w:t>
      </w:r>
      <w:r>
        <w:rPr>
          <w:rFonts w:ascii="Arial" w:cs="Arial" w:eastAsia="Arial" w:hAnsi="Arial"/>
          <w:sz w:val="18"/>
          <w:szCs w:val="18"/>
          <w:b w:val="1"/>
          <w:bCs w:val="1"/>
          <w:color w:val="auto"/>
        </w:rPr>
        <w:t>“Search Results”</w:t>
      </w:r>
      <w:r>
        <w:rPr>
          <w:rFonts w:ascii="Arial" w:cs="Arial" w:eastAsia="Arial" w:hAnsi="Arial"/>
          <w:sz w:val="18"/>
          <w:szCs w:val="18"/>
          <w:color w:val="auto"/>
        </w:rPr>
        <w:t>).</w:t>
      </w:r>
    </w:p>
    <w:p>
      <w:pPr>
        <w:spacing w:after="0" w:line="135" w:lineRule="exact"/>
        <w:rPr>
          <w:sz w:val="20"/>
          <w:szCs w:val="20"/>
          <w:color w:val="auto"/>
        </w:rPr>
      </w:pPr>
    </w:p>
    <w:p>
      <w:pPr>
        <w:ind w:left="964" w:hanging="532"/>
        <w:spacing w:after="0" w:line="263" w:lineRule="auto"/>
        <w:tabs>
          <w:tab w:leader="none" w:pos="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For the purposes of giving this opinion, we have only examined and relied on those documents referred to in paragraph 2(a) and arranged or obtained the Searches and reviewed the Search Results. We have made no further enquiries concerning the Company or any other matter in connection with the giving of this opinion.</w:t>
      </w:r>
    </w:p>
    <w:p>
      <w:pPr>
        <w:spacing w:after="0" w:line="89" w:lineRule="exact"/>
        <w:rPr>
          <w:rFonts w:ascii="Arial" w:cs="Arial" w:eastAsia="Arial" w:hAnsi="Arial"/>
          <w:sz w:val="18"/>
          <w:szCs w:val="18"/>
          <w:color w:val="auto"/>
        </w:rPr>
      </w:pPr>
    </w:p>
    <w:p>
      <w:pPr>
        <w:ind w:left="964" w:right="340" w:hanging="532"/>
        <w:spacing w:after="0" w:line="308" w:lineRule="auto"/>
        <w:tabs>
          <w:tab w:leader="none" w:pos="964" w:val="left"/>
        </w:tabs>
        <w:numPr>
          <w:ilvl w:val="1"/>
          <w:numId w:val="38"/>
        </w:numPr>
        <w:rPr>
          <w:rFonts w:ascii="Arial" w:cs="Arial" w:eastAsia="Arial" w:hAnsi="Arial"/>
          <w:sz w:val="17"/>
          <w:szCs w:val="17"/>
          <w:color w:val="auto"/>
        </w:rPr>
      </w:pPr>
      <w:r>
        <w:rPr>
          <w:rFonts w:ascii="Arial" w:cs="Arial" w:eastAsia="Arial" w:hAnsi="Arial"/>
          <w:sz w:val="17"/>
          <w:szCs w:val="17"/>
          <w:color w:val="auto"/>
        </w:rPr>
        <w:t>We have made no enquiry, and express no opinion, as to any matter of fact. As to matters of fact which are material to this opinion, we have relied entirely and without further enquiry on statements made in the documents listed in paragraph 2(a).</w:t>
      </w:r>
    </w:p>
    <w:p>
      <w:pPr>
        <w:spacing w:after="0" w:line="290" w:lineRule="exact"/>
        <w:rPr>
          <w:rFonts w:ascii="Arial" w:cs="Arial" w:eastAsia="Arial" w:hAnsi="Arial"/>
          <w:sz w:val="17"/>
          <w:szCs w:val="17"/>
          <w:color w:val="auto"/>
        </w:rPr>
      </w:pPr>
    </w:p>
    <w:p>
      <w:pPr>
        <w:ind w:left="424" w:hanging="424"/>
        <w:spacing w:after="0"/>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giving this opinion we have assumed: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genuineness of all signatures, seals and stamps;</w:t>
      </w:r>
    </w:p>
    <w:p>
      <w:pPr>
        <w:spacing w:after="0" w:line="130" w:lineRule="exact"/>
        <w:rPr>
          <w:rFonts w:ascii="Arial" w:cs="Arial" w:eastAsia="Arial" w:hAnsi="Arial"/>
          <w:sz w:val="18"/>
          <w:szCs w:val="18"/>
          <w:color w:val="auto"/>
        </w:rPr>
      </w:pPr>
    </w:p>
    <w:p>
      <w:pPr>
        <w:ind w:left="1424" w:right="400" w:hanging="439"/>
        <w:spacing w:after="0" w:line="277" w:lineRule="auto"/>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that each of the individuals who signs as, or otherwise claims to be, an officer of the Company is the individual whom he or she claims to be and holds the office he or she claims to hold;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1424" w:right="460" w:hanging="439"/>
        <w:spacing w:after="0" w:line="277" w:lineRule="auto"/>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conformity with the original documents of all documents reviewed by us as drafts, specimens, pro formas or copies and the authenticity and completeness of all such original documents;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46" w:name="page47"/>
    <w:bookmarkEnd w:id="46"/>
    <w:p>
      <w:pPr>
        <w:ind w:left="439" w:hanging="439"/>
        <w:spacing w:after="0" w:line="255" w:lineRule="auto"/>
        <w:tabs>
          <w:tab w:leader="none" w:pos="439"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in relation to each of the meetings referred to in paragraphs 2(a)(iii)(B) and 2(a)(iii)(C)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it was duly convened, constituted and held in accordance with all applicable laws and regulations; that in particular, but without limitation, a duly qualified quorum of directors or, as the case may be, shareholders was present throughout the meeting and voted in favour of the resolutions; and that in the case of a board or board committee meeting each provision contained in the Companies Act 2006 or the articles of association of the Company relating to the declaration of directors’ interests or the power of interested directors to vote and to count in the quorum was duly observed;</w:t>
      </w:r>
    </w:p>
    <w:p>
      <w:pPr>
        <w:spacing w:after="0" w:line="97" w:lineRule="exact"/>
        <w:rPr>
          <w:rFonts w:ascii="Arial" w:cs="Arial" w:eastAsia="Arial" w:hAnsi="Arial"/>
          <w:sz w:val="18"/>
          <w:szCs w:val="18"/>
          <w:color w:val="auto"/>
        </w:rPr>
      </w:pPr>
    </w:p>
    <w:p>
      <w:pPr>
        <w:ind w:left="439" w:right="80" w:hanging="439"/>
        <w:spacing w:after="0" w:line="342" w:lineRule="auto"/>
        <w:tabs>
          <w:tab w:leader="none" w:pos="4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that the minutes referred to in paragraph 2(a)(iii)(B)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are a true record of the proceedings of the relevant meeting and that each resolution recorded in those minutes has not been amended or rescinded and remains in full force and effect;</w:t>
      </w:r>
    </w:p>
    <w:p>
      <w:pPr>
        <w:spacing w:after="0" w:line="29" w:lineRule="exact"/>
        <w:rPr>
          <w:rFonts w:ascii="Arial" w:cs="Arial" w:eastAsia="Arial" w:hAnsi="Arial"/>
          <w:sz w:val="16"/>
          <w:szCs w:val="16"/>
          <w:color w:val="auto"/>
        </w:rPr>
      </w:pPr>
    </w:p>
    <w:p>
      <w:pPr>
        <w:ind w:left="439" w:right="620" w:hanging="439"/>
        <w:spacing w:after="0" w:line="308" w:lineRule="auto"/>
        <w:tabs>
          <w:tab w:leader="none" w:pos="43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the resolutions referred to in paragraph 2(a)(iii)(C) (</w:t>
      </w:r>
      <w:r>
        <w:rPr>
          <w:rFonts w:ascii="Arial" w:cs="Arial" w:eastAsia="Arial" w:hAnsi="Arial"/>
          <w:sz w:val="17"/>
          <w:szCs w:val="17"/>
          <w:i w:val="1"/>
          <w:iCs w:val="1"/>
          <w:color w:val="auto"/>
        </w:rPr>
        <w:t>Examination and enquiries</w:t>
      </w:r>
      <w:r>
        <w:rPr>
          <w:rFonts w:ascii="Arial" w:cs="Arial" w:eastAsia="Arial" w:hAnsi="Arial"/>
          <w:sz w:val="17"/>
          <w:szCs w:val="17"/>
          <w:color w:val="auto"/>
        </w:rPr>
        <w:t>) were duly passed in accordance with all applicable laws and regulations and have not been amended or rescinded and remain in full force and effect;</w:t>
      </w:r>
    </w:p>
    <w:p>
      <w:pPr>
        <w:spacing w:after="0" w:line="51" w:lineRule="exact"/>
        <w:rPr>
          <w:rFonts w:ascii="Arial" w:cs="Arial" w:eastAsia="Arial" w:hAnsi="Arial"/>
          <w:sz w:val="17"/>
          <w:szCs w:val="17"/>
          <w:color w:val="auto"/>
        </w:rPr>
      </w:pPr>
    </w:p>
    <w:p>
      <w:pPr>
        <w:ind w:left="439" w:right="120" w:hanging="439"/>
        <w:spacing w:after="0" w:line="263" w:lineRule="auto"/>
        <w:tabs>
          <w:tab w:leader="none" w:pos="4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the directors of the Company acted in accordance with ss171 to 174 Companies Act 2006 in approving the resolutions recorded in the minutes referred to in paragraph 2(a)(iii)(B)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and that all actions to be carried out by the Company pursuant to those resolutions are in its commercial interests;</w:t>
      </w:r>
    </w:p>
    <w:p>
      <w:pPr>
        <w:spacing w:after="0" w:line="89" w:lineRule="exact"/>
        <w:rPr>
          <w:rFonts w:ascii="Arial" w:cs="Arial" w:eastAsia="Arial" w:hAnsi="Arial"/>
          <w:sz w:val="18"/>
          <w:szCs w:val="18"/>
          <w:color w:val="auto"/>
        </w:rPr>
      </w:pPr>
    </w:p>
    <w:p>
      <w:pPr>
        <w:jc w:val="both"/>
        <w:ind w:left="439" w:right="140" w:hanging="439"/>
        <w:spacing w:after="0" w:line="263" w:lineRule="auto"/>
        <w:tabs>
          <w:tab w:leader="none" w:pos="4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in relation to any document examined by us which is governed by the laws of any jurisdiction outside England and Wales, that document and the obligations created by it constitute the legal, valid, binding and enforceable obligations of each of the parties to it under the laws by which it is expressed to be governed;</w:t>
      </w:r>
    </w:p>
    <w:p>
      <w:pPr>
        <w:spacing w:after="0" w:line="89" w:lineRule="exact"/>
        <w:rPr>
          <w:rFonts w:ascii="Arial" w:cs="Arial" w:eastAsia="Arial" w:hAnsi="Arial"/>
          <w:sz w:val="18"/>
          <w:szCs w:val="18"/>
          <w:color w:val="auto"/>
        </w:rPr>
      </w:pPr>
    </w:p>
    <w:p>
      <w:pPr>
        <w:ind w:left="439" w:right="20" w:hanging="439"/>
        <w:spacing w:after="0" w:line="263" w:lineRule="auto"/>
        <w:tabs>
          <w:tab w:leader="none" w:pos="4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89" w:lineRule="exact"/>
        <w:rPr>
          <w:rFonts w:ascii="Arial" w:cs="Arial" w:eastAsia="Arial" w:hAnsi="Arial"/>
          <w:sz w:val="18"/>
          <w:szCs w:val="18"/>
          <w:color w:val="auto"/>
        </w:rPr>
      </w:pPr>
    </w:p>
    <w:p>
      <w:pPr>
        <w:ind w:left="439" w:right="20" w:hanging="439"/>
        <w:spacing w:after="0" w:line="259" w:lineRule="auto"/>
        <w:tabs>
          <w:tab w:leader="none" w:pos="4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each consent, licence, approval, authorisation or order of any governmental authority or other person which is required under any applicable law in connection with the transactions contemplated by the Securities Purchase Agreement, the Warrant Instrument, the Loan Note Instrument, the Private Placement Agreement and the Registration Statement, has been or will have been obtained and is or will be in full force and effect;</w:t>
      </w:r>
    </w:p>
    <w:p>
      <w:pPr>
        <w:spacing w:after="0" w:line="92" w:lineRule="exact"/>
        <w:rPr>
          <w:rFonts w:ascii="Arial" w:cs="Arial" w:eastAsia="Arial" w:hAnsi="Arial"/>
          <w:sz w:val="18"/>
          <w:szCs w:val="18"/>
          <w:color w:val="auto"/>
        </w:rPr>
      </w:pPr>
    </w:p>
    <w:p>
      <w:pPr>
        <w:ind w:left="439" w:right="200" w:hanging="439"/>
        <w:spacing w:after="0" w:line="308" w:lineRule="auto"/>
        <w:tabs>
          <w:tab w:leader="none" w:pos="43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the Company is and will at all relevant times remain in compliance with all applicable anti-corruption, anti-money laundering, anti-terrorism, sanctions, exchange control and human rights laws and regulations of any applicable jurisdiction;</w:t>
      </w:r>
    </w:p>
    <w:p>
      <w:pPr>
        <w:spacing w:after="0" w:line="79"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39"/>
          </w:cols>
          <w:pgMar w:left="1421" w:top="274" w:right="439" w:bottom="1440" w:gutter="0" w:footer="0" w:header="0"/>
        </w:sectPr>
      </w:pPr>
    </w:p>
    <w:bookmarkStart w:id="47" w:name="page48"/>
    <w:bookmarkEnd w:id="47"/>
    <w:p>
      <w:pPr>
        <w:ind w:left="655" w:right="20" w:hanging="655"/>
        <w:spacing w:after="0" w:line="279"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no agreement, document or obligation to or by which the Company (or its assets) is a party or bound and no injunction or other court order against or affecting the Company would be breached or infringed by the performance of actions to be carried out pursuant to, or any other aspect of the transactions contemplated by, the Securities Purchase Agreement, the Warrant Instrument, the Loan Note Instrument, the Private Placement Agreement and the Registration Statement;</w:t>
      </w:r>
    </w:p>
    <w:p>
      <w:pPr>
        <w:spacing w:after="0" w:line="76" w:lineRule="exact"/>
        <w:rPr>
          <w:rFonts w:ascii="Arial" w:cs="Arial" w:eastAsia="Arial" w:hAnsi="Arial"/>
          <w:sz w:val="17"/>
          <w:szCs w:val="17"/>
          <w:color w:val="auto"/>
        </w:rPr>
      </w:pPr>
    </w:p>
    <w:p>
      <w:pPr>
        <w:ind w:left="655" w:right="120" w:hanging="655"/>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the information disclosed by the Searches is true, accurate, complete and up-to-date and that there is no information which, for any reason, should have been disclosed by those Searches and was not;</w:t>
      </w:r>
    </w:p>
    <w:p>
      <w:pPr>
        <w:spacing w:after="0" w:line="75" w:lineRule="exact"/>
        <w:rPr>
          <w:rFonts w:ascii="Arial" w:cs="Arial" w:eastAsia="Arial" w:hAnsi="Arial"/>
          <w:sz w:val="18"/>
          <w:szCs w:val="18"/>
          <w:color w:val="auto"/>
        </w:rPr>
      </w:pPr>
    </w:p>
    <w:p>
      <w:pPr>
        <w:ind w:left="655" w:right="180" w:hanging="655"/>
        <w:spacing w:after="0" w:line="259"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all applicable laws (for the avoidance of doubt, as in force at all relevant times) have been and will be complied with with respect to anything done in relation to the offering, sale, issue and (where applicable) allotment of the Equity Securities, including without limitation the Financial Services and Markets Act 2000, Regulation (EU) No. 596/2014 of the European Parliament and Regulation (EU) No. 2017/1129 of the European Parliament;</w:t>
      </w:r>
    </w:p>
    <w:p>
      <w:pPr>
        <w:spacing w:after="0" w:line="92" w:lineRule="exact"/>
        <w:rPr>
          <w:rFonts w:ascii="Arial" w:cs="Arial" w:eastAsia="Arial" w:hAnsi="Arial"/>
          <w:sz w:val="18"/>
          <w:szCs w:val="18"/>
          <w:color w:val="auto"/>
        </w:rPr>
      </w:pPr>
    </w:p>
    <w:p>
      <w:pPr>
        <w:ind w:left="655" w:right="20" w:hanging="655"/>
        <w:spacing w:after="0" w:line="255"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in relation to the allotment of the Further Shares, those Further Shares will be duly allotted by a valid resolution of the board of directors of the Company or committee of the board of directors duly passed, in accordance with the Company’s articles of association (for the avoidance of doubt, as in force at all relevant times) and the Companies Act 2006, and pursuant to (A) a valid authorisation under s551 Companies Act 2006 and (B) a valid power under s570 or s571 Companies Act 2006 to allot the Ordinary Shares as if s561 of that Act did not apply to the allotment; and that those sections of the Companies Act 2006 will continue in force unamended at all relevant times;</w:t>
      </w:r>
    </w:p>
    <w:p>
      <w:pPr>
        <w:spacing w:after="0" w:line="97" w:lineRule="exact"/>
        <w:rPr>
          <w:rFonts w:ascii="Arial" w:cs="Arial" w:eastAsia="Arial" w:hAnsi="Arial"/>
          <w:sz w:val="18"/>
          <w:szCs w:val="18"/>
          <w:color w:val="auto"/>
        </w:rPr>
      </w:pPr>
    </w:p>
    <w:p>
      <w:pPr>
        <w:ind w:left="655" w:right="180" w:hanging="655"/>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no pre-emptive rights or similar rights exist or have been created over or in respect of any New Shares other than pre-emption rights arising under s561 Companies Act 2006;</w:t>
      </w:r>
    </w:p>
    <w:p>
      <w:pPr>
        <w:spacing w:after="0" w:line="75" w:lineRule="exact"/>
        <w:rPr>
          <w:rFonts w:ascii="Arial" w:cs="Arial" w:eastAsia="Arial" w:hAnsi="Arial"/>
          <w:sz w:val="18"/>
          <w:szCs w:val="18"/>
          <w:color w:val="auto"/>
        </w:rPr>
      </w:pPr>
    </w:p>
    <w:p>
      <w:pPr>
        <w:jc w:val="both"/>
        <w:ind w:left="655" w:hanging="655"/>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the Convertible Securities have been and will be accurately and properly prepared and duly completed, authorised, executed and delivered by or on behalf of the Company and issued, paid for, registered and authenticated, all subject to and in accordance with the Warrant Instrument and/or the Loan Note Instrument (as appropriate);</w:t>
      </w:r>
    </w:p>
    <w:p>
      <w:pPr>
        <w:spacing w:after="0" w:line="89" w:lineRule="exact"/>
        <w:rPr>
          <w:rFonts w:ascii="Arial" w:cs="Arial" w:eastAsia="Arial" w:hAnsi="Arial"/>
          <w:sz w:val="18"/>
          <w:szCs w:val="18"/>
          <w:color w:val="auto"/>
        </w:rPr>
      </w:pPr>
    </w:p>
    <w:p>
      <w:pPr>
        <w:ind w:left="655" w:right="380" w:hanging="655"/>
        <w:spacing w:after="0" w:line="311"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that as at each date on which the Company allots and issues any Further Shares, the documents examined, and the results of the searches and enquiries made, as set out in paragraph 2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would not be rendered untrue, inaccurate, incomplete or out-of-date in any relevant respect by reference to subsequent facts, matters, circumstances or events;</w:t>
      </w:r>
    </w:p>
    <w:p>
      <w:pPr>
        <w:spacing w:after="0" w:line="54" w:lineRule="exact"/>
        <w:rPr>
          <w:rFonts w:ascii="Arial" w:cs="Arial" w:eastAsia="Arial" w:hAnsi="Arial"/>
          <w:sz w:val="16"/>
          <w:szCs w:val="16"/>
          <w:color w:val="auto"/>
        </w:rPr>
      </w:pPr>
    </w:p>
    <w:p>
      <w:pPr>
        <w:ind w:left="655" w:right="140" w:hanging="655"/>
        <w:spacing w:after="0" w:line="259"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as at each date on which the Company allotted or allots any New Shares, the Company received or will have received the aggregate consideration payable for those New Shares in full as “cash consideration” (as defined in s583(3) Companies Act 2006), such aggregate consideration being not less than the nominal value of those New Shares; and that s583 Companies Act 2006 will continue in force unamended at all relevant times;</w:t>
      </w:r>
    </w:p>
    <w:p>
      <w:pPr>
        <w:spacing w:after="0" w:line="119" w:lineRule="exact"/>
        <w:rPr>
          <w:sz w:val="20"/>
          <w:szCs w:val="20"/>
          <w:color w:val="auto"/>
        </w:rPr>
      </w:pPr>
    </w:p>
    <w:p>
      <w:pPr>
        <w:ind w:left="469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95"/>
          </w:cols>
          <w:pgMar w:left="1205" w:top="274" w:right="499" w:bottom="1440" w:gutter="0" w:footer="0" w:header="0"/>
        </w:sectPr>
      </w:pPr>
    </w:p>
    <w:bookmarkStart w:id="48" w:name="page49"/>
    <w:bookmarkEnd w:id="48"/>
    <w:p>
      <w:pPr>
        <w:ind w:left="1000" w:right="40" w:hanging="655"/>
        <w:spacing w:after="0" w:line="263" w:lineRule="auto"/>
        <w:tabs>
          <w:tab w:leader="none" w:pos="1000"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the right to convert or exchange Convertible Securities into, or to purchase, Further Shares will be exercised, and Further Shares to which holders of Convertible Securities are entitled thereupon will be allotted and issued, in accordance with the terms of the relevant Convertible Securities;</w:t>
      </w:r>
    </w:p>
    <w:p>
      <w:pPr>
        <w:spacing w:after="0" w:line="89" w:lineRule="exact"/>
        <w:rPr>
          <w:rFonts w:ascii="Arial" w:cs="Arial" w:eastAsia="Arial" w:hAnsi="Arial"/>
          <w:sz w:val="18"/>
          <w:szCs w:val="18"/>
          <w:color w:val="auto"/>
        </w:rPr>
      </w:pPr>
    </w:p>
    <w:p>
      <w:pPr>
        <w:ind w:left="1000" w:hanging="655"/>
        <w:spacing w:after="0" w:line="275" w:lineRule="auto"/>
        <w:tabs>
          <w:tab w:leader="none" w:pos="10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that there is and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and no additional document between any relevant parties which in either case would or might affect this opinion and which was not revealed to us by the documents examined or the searches and enquiries made by us in connection with the giving of this opinion;</w:t>
      </w:r>
    </w:p>
    <w:p>
      <w:pPr>
        <w:spacing w:after="0" w:line="81" w:lineRule="exact"/>
        <w:rPr>
          <w:rFonts w:ascii="Arial" w:cs="Arial" w:eastAsia="Arial" w:hAnsi="Arial"/>
          <w:sz w:val="17"/>
          <w:szCs w:val="17"/>
          <w:color w:val="auto"/>
        </w:rPr>
      </w:pPr>
    </w:p>
    <w:p>
      <w:pPr>
        <w:ind w:left="1000" w:right="200" w:hanging="655"/>
        <w:spacing w:after="0" w:line="277" w:lineRule="auto"/>
        <w:tabs>
          <w:tab w:leader="none" w:pos="10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that no allotment or issue of Equity Securities will result in a requirement to make a mandatory offer under rule 9 of the City Code on Takeovers and Mergers; and</w:t>
      </w:r>
    </w:p>
    <w:p>
      <w:pPr>
        <w:spacing w:after="0" w:line="75" w:lineRule="exact"/>
        <w:rPr>
          <w:rFonts w:ascii="Arial" w:cs="Arial" w:eastAsia="Arial" w:hAnsi="Arial"/>
          <w:sz w:val="18"/>
          <w:szCs w:val="18"/>
          <w:color w:val="auto"/>
        </w:rPr>
      </w:pPr>
    </w:p>
    <w:p>
      <w:pPr>
        <w:ind w:left="1000" w:right="100" w:hanging="655"/>
        <w:spacing w:after="0" w:line="291" w:lineRule="auto"/>
        <w:tabs>
          <w:tab w:leader="none" w:pos="10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that resolutions of the board of directors of the Company or committee of the board of directors referred to in paragraph 3(a)(xvi) will be passed in each case at a meeting duly convened, constituted and held in accordance with all applicable laws and regulations; that in particular, but without limitation, a duly qualified quorum of directors will be present throughout the meeting and vote in favour of the resolutions; that each provision contained in the Companies Act 2006 or the articles of association of the Company relating to the declaration of directors’ interests or the power of interested directors to vote and count in the quorum will be duly observed; that in approving those resolutions the directors will act in accordance with ss171 to 174 Companies Act 2006; and that actions to be carried out by the Company pursuant to those resolutions will be in its commercial interests.</w:t>
      </w:r>
    </w:p>
    <w:p>
      <w:pPr>
        <w:spacing w:after="0" w:line="71" w:lineRule="exact"/>
        <w:rPr>
          <w:rFonts w:ascii="Arial" w:cs="Arial" w:eastAsia="Arial" w:hAnsi="Arial"/>
          <w:sz w:val="16"/>
          <w:szCs w:val="16"/>
          <w:color w:val="auto"/>
        </w:rPr>
      </w:pPr>
    </w:p>
    <w:p>
      <w:pPr>
        <w:ind w:left="540" w:right="680" w:hanging="532"/>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relation to paragraph 3(a)(xiv), it should be noted that the information included in the Search Results may not be true, accurate, complete or up-to-date. In particular, but without limitation:</w:t>
      </w:r>
    </w:p>
    <w:p>
      <w:pPr>
        <w:spacing w:after="0" w:line="75" w:lineRule="exact"/>
        <w:rPr>
          <w:rFonts w:ascii="Arial" w:cs="Arial" w:eastAsia="Arial" w:hAnsi="Arial"/>
          <w:sz w:val="18"/>
          <w:szCs w:val="18"/>
          <w:color w:val="auto"/>
        </w:rPr>
      </w:pPr>
    </w:p>
    <w:p>
      <w:pPr>
        <w:ind w:left="1000" w:right="360" w:hanging="439"/>
        <w:spacing w:after="0" w:line="308" w:lineRule="auto"/>
        <w:tabs>
          <w:tab w:leader="none" w:pos="1000"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51" w:lineRule="exact"/>
        <w:rPr>
          <w:rFonts w:ascii="Arial" w:cs="Arial" w:eastAsia="Arial" w:hAnsi="Arial"/>
          <w:sz w:val="17"/>
          <w:szCs w:val="17"/>
          <w:color w:val="auto"/>
        </w:rPr>
      </w:pPr>
    </w:p>
    <w:p>
      <w:pPr>
        <w:ind w:left="1000" w:right="160" w:hanging="439"/>
        <w:spacing w:after="0" w:line="275" w:lineRule="auto"/>
        <w:tabs>
          <w:tab w:leader="none" w:pos="1000"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there is no requirement to register with the Registrar of Companies notice of a petition for the winding-up of, or application for an administration order in respect of, a company. Such a notice or notice of a winding-up or administration order having been made, a resolution having been passed for the winding-up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4" w:right="459" w:bottom="1440" w:gutter="0" w:footer="0" w:header="0"/>
        </w:sectPr>
      </w:pPr>
    </w:p>
    <w:bookmarkStart w:id="49" w:name="page50"/>
    <w:bookmarkEnd w:id="49"/>
    <w:p>
      <w:pPr>
        <w:ind w:left="1424" w:right="40" w:hanging="439"/>
        <w:spacing w:after="0" w:line="301" w:lineRule="auto"/>
        <w:tabs>
          <w:tab w:leader="none" w:pos="1424" w:val="left"/>
        </w:tabs>
        <w:numPr>
          <w:ilvl w:val="2"/>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results of the Central Registry Enquiry relate only to petitions for the compulsory winding up of, or applications for an administration order in respect of, the Company presented prior to the enquiry and entered on the records of the Central Registry of Winding Up Petitions. The presentation of such a petition, or the making of such an application, may not have been notified to the Central Registry or entered on its records immediately or, if presented to a County Court or Chancery District Registry, at all; and</w:t>
      </w:r>
    </w:p>
    <w:p>
      <w:pPr>
        <w:spacing w:after="0" w:line="62" w:lineRule="exact"/>
        <w:rPr>
          <w:rFonts w:ascii="Arial" w:cs="Arial" w:eastAsia="Arial" w:hAnsi="Arial"/>
          <w:sz w:val="16"/>
          <w:szCs w:val="16"/>
          <w:color w:val="auto"/>
        </w:rPr>
      </w:pPr>
    </w:p>
    <w:p>
      <w:pPr>
        <w:ind w:left="1424" w:hanging="439"/>
        <w:spacing w:after="0"/>
        <w:tabs>
          <w:tab w:leader="none" w:pos="1424" w:val="left"/>
        </w:tabs>
        <w:numPr>
          <w:ilvl w:val="2"/>
          <w:numId w:val="44"/>
        </w:numPr>
        <w:rPr>
          <w:rFonts w:ascii="Arial" w:cs="Arial" w:eastAsia="Arial" w:hAnsi="Arial"/>
          <w:sz w:val="18"/>
          <w:szCs w:val="18"/>
          <w:color w:val="auto"/>
        </w:rPr>
      </w:pPr>
      <w:r>
        <w:rPr>
          <w:rFonts w:ascii="Arial" w:cs="Arial" w:eastAsia="Arial" w:hAnsi="Arial"/>
          <w:sz w:val="18"/>
          <w:szCs w:val="18"/>
          <w:color w:val="auto"/>
        </w:rPr>
        <w:t>in each case, further information might have become available on the relevant register after the Searches were made.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34" w:lineRule="exact"/>
        <w:rPr>
          <w:rFonts w:ascii="Arial" w:cs="Arial" w:eastAsia="Arial" w:hAnsi="Arial"/>
          <w:sz w:val="18"/>
          <w:szCs w:val="18"/>
          <w:color w:val="auto"/>
        </w:rPr>
      </w:pPr>
    </w:p>
    <w:p>
      <w:pPr>
        <w:ind w:left="964" w:right="520" w:hanging="532"/>
        <w:spacing w:after="0" w:line="342" w:lineRule="auto"/>
        <w:tabs>
          <w:tab w:leader="none" w:pos="964" w:val="left"/>
        </w:tabs>
        <w:numPr>
          <w:ilvl w:val="1"/>
          <w:numId w:val="45"/>
        </w:numPr>
        <w:rPr>
          <w:rFonts w:ascii="Arial" w:cs="Arial" w:eastAsia="Arial" w:hAnsi="Arial"/>
          <w:sz w:val="16"/>
          <w:szCs w:val="16"/>
          <w:color w:val="auto"/>
        </w:rPr>
      </w:pPr>
      <w:r>
        <w:rPr>
          <w:rFonts w:ascii="Arial" w:cs="Arial" w:eastAsia="Arial" w:hAnsi="Arial"/>
          <w:sz w:val="16"/>
          <w:szCs w:val="16"/>
          <w:color w:val="auto"/>
        </w:rPr>
        <w:t>On the basis of the examination and enquiries referred to in paragraph 2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and the assumptions made in paragraph 3 (</w:t>
      </w:r>
      <w:r>
        <w:rPr>
          <w:rFonts w:ascii="Arial" w:cs="Arial" w:eastAsia="Arial" w:hAnsi="Arial"/>
          <w:sz w:val="16"/>
          <w:szCs w:val="16"/>
          <w:i w:val="1"/>
          <w:iCs w:val="1"/>
          <w:color w:val="auto"/>
        </w:rPr>
        <w:t>Assumptions</w:t>
      </w:r>
      <w:r>
        <w:rPr>
          <w:rFonts w:ascii="Arial" w:cs="Arial" w:eastAsia="Arial" w:hAnsi="Arial"/>
          <w:sz w:val="16"/>
          <w:szCs w:val="16"/>
          <w:color w:val="auto"/>
        </w:rPr>
        <w:t>) and subject to the qualifications set out in paragraph 5 (</w:t>
      </w:r>
      <w:r>
        <w:rPr>
          <w:rFonts w:ascii="Arial" w:cs="Arial" w:eastAsia="Arial" w:hAnsi="Arial"/>
          <w:sz w:val="16"/>
          <w:szCs w:val="16"/>
          <w:i w:val="1"/>
          <w:iCs w:val="1"/>
          <w:color w:val="auto"/>
        </w:rPr>
        <w:t>Qualifications</w:t>
      </w:r>
      <w:r>
        <w:rPr>
          <w:rFonts w:ascii="Arial" w:cs="Arial" w:eastAsia="Arial" w:hAnsi="Arial"/>
          <w:sz w:val="16"/>
          <w:szCs w:val="16"/>
          <w:color w:val="auto"/>
        </w:rPr>
        <w:t>), we are of the opinion that:</w:t>
      </w:r>
    </w:p>
    <w:p>
      <w:pPr>
        <w:spacing w:after="0" w:line="29" w:lineRule="exact"/>
        <w:rPr>
          <w:rFonts w:ascii="Arial" w:cs="Arial" w:eastAsia="Arial" w:hAnsi="Arial"/>
          <w:sz w:val="16"/>
          <w:szCs w:val="16"/>
          <w:color w:val="auto"/>
        </w:rPr>
      </w:pPr>
    </w:p>
    <w:p>
      <w:pPr>
        <w:ind w:left="1424" w:right="380" w:hanging="439"/>
        <w:spacing w:after="0" w:line="286" w:lineRule="auto"/>
        <w:tabs>
          <w:tab w:leader="none" w:pos="1424" w:val="left"/>
        </w:tabs>
        <w:numPr>
          <w:ilvl w:val="2"/>
          <w:numId w:val="45"/>
        </w:numPr>
        <w:rPr>
          <w:rFonts w:ascii="Arial" w:cs="Arial" w:eastAsia="Arial" w:hAnsi="Arial"/>
          <w:sz w:val="17"/>
          <w:szCs w:val="17"/>
          <w:color w:val="auto"/>
        </w:rPr>
      </w:pPr>
      <w:r>
        <w:rPr>
          <w:rFonts w:ascii="Arial" w:cs="Arial" w:eastAsia="Arial" w:hAnsi="Arial"/>
          <w:sz w:val="17"/>
          <w:szCs w:val="17"/>
          <w:color w:val="auto"/>
        </w:rPr>
        <w:t>in relation to the Initial Shares, upon receipt of the aggregate consideration for those Initial Shares, entry of the names of the appropriate persons in the Company’s register of members, and admission of those Initial Shares to trading on AIM, the Initial Shares will have been validly issued, fully paid and no further amount may be called thereon; and</w:t>
      </w:r>
    </w:p>
    <w:p>
      <w:pPr>
        <w:spacing w:after="0" w:line="70" w:lineRule="exact"/>
        <w:rPr>
          <w:rFonts w:ascii="Arial" w:cs="Arial" w:eastAsia="Arial" w:hAnsi="Arial"/>
          <w:sz w:val="17"/>
          <w:szCs w:val="17"/>
          <w:color w:val="auto"/>
        </w:rPr>
      </w:pPr>
    </w:p>
    <w:p>
      <w:pPr>
        <w:ind w:left="1424" w:right="140" w:hanging="439"/>
        <w:spacing w:after="0" w:line="286" w:lineRule="auto"/>
        <w:tabs>
          <w:tab w:leader="none" w:pos="1424" w:val="left"/>
        </w:tabs>
        <w:numPr>
          <w:ilvl w:val="2"/>
          <w:numId w:val="45"/>
        </w:numPr>
        <w:rPr>
          <w:rFonts w:ascii="Arial" w:cs="Arial" w:eastAsia="Arial" w:hAnsi="Arial"/>
          <w:sz w:val="17"/>
          <w:szCs w:val="17"/>
          <w:color w:val="auto"/>
        </w:rPr>
      </w:pPr>
      <w:r>
        <w:rPr>
          <w:rFonts w:ascii="Arial" w:cs="Arial" w:eastAsia="Arial" w:hAnsi="Arial"/>
          <w:sz w:val="17"/>
          <w:szCs w:val="17"/>
          <w:color w:val="auto"/>
        </w:rPr>
        <w:t>in relation to Further Shares, upon receipt of the aggregate consideration for those Further Shares, entry of the names of the appropriate persons in the Company’s register of members, and admission of those Further Shares to trading on AIM, the relevant Further Shares will be validly issued, fully paid and no further amount may be called thereon.</w:t>
      </w:r>
    </w:p>
    <w:p>
      <w:pPr>
        <w:spacing w:after="0" w:line="70" w:lineRule="exact"/>
        <w:rPr>
          <w:rFonts w:ascii="Arial" w:cs="Arial" w:eastAsia="Arial" w:hAnsi="Arial"/>
          <w:sz w:val="17"/>
          <w:szCs w:val="17"/>
          <w:color w:val="auto"/>
        </w:rPr>
      </w:pPr>
    </w:p>
    <w:p>
      <w:pPr>
        <w:ind w:left="964" w:right="40" w:hanging="532"/>
        <w:spacing w:after="0" w:line="277"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This opinion is strictly limited to the matters expressly stated in this paragraph 4 and is not to be construed as extending by implication to any other matter.</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opinions set out in paragraph 4 (</w:t>
      </w:r>
      <w:r>
        <w:rPr>
          <w:rFonts w:ascii="Arial" w:cs="Arial" w:eastAsia="Arial" w:hAnsi="Arial"/>
          <w:sz w:val="18"/>
          <w:szCs w:val="18"/>
          <w:i w:val="1"/>
          <w:iCs w:val="1"/>
          <w:color w:val="auto"/>
        </w:rPr>
        <w:t>Opinion</w:t>
      </w:r>
      <w:r>
        <w:rPr>
          <w:rFonts w:ascii="Arial" w:cs="Arial" w:eastAsia="Arial" w:hAnsi="Arial"/>
          <w:sz w:val="18"/>
          <w:szCs w:val="18"/>
          <w:color w:val="auto"/>
        </w:rPr>
        <w:t>) are subject to the qualifications set out in the remainder of this paragraph 5.</w:t>
      </w:r>
    </w:p>
    <w:p>
      <w:pPr>
        <w:spacing w:after="0" w:line="130" w:lineRule="exact"/>
        <w:rPr>
          <w:rFonts w:ascii="Arial" w:cs="Arial" w:eastAsia="Arial" w:hAnsi="Arial"/>
          <w:sz w:val="18"/>
          <w:szCs w:val="18"/>
          <w:color w:val="auto"/>
        </w:rPr>
      </w:pPr>
    </w:p>
    <w:p>
      <w:pPr>
        <w:ind w:left="964" w:right="340" w:hanging="532"/>
        <w:spacing w:after="0" w:line="263"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We express no opinion as to matters of United Kingdom taxation or any liability to tax (including, without limitation, stamp duty and stamp duty reserve tax) which may arise or be incurred as a result of or in connection with the New Shares or the transactions contemplated thereby, or as to tax matters generally.</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opinions set out in paragraph 4(a) (</w:t>
      </w:r>
      <w:r>
        <w:rPr>
          <w:rFonts w:ascii="Arial" w:cs="Arial" w:eastAsia="Arial" w:hAnsi="Arial"/>
          <w:sz w:val="18"/>
          <w:szCs w:val="18"/>
          <w:i w:val="1"/>
          <w:iCs w:val="1"/>
          <w:color w:val="auto"/>
        </w:rPr>
        <w:t>Opinion</w:t>
      </w:r>
      <w:r>
        <w:rPr>
          <w:rFonts w:ascii="Arial" w:cs="Arial" w:eastAsia="Arial" w:hAnsi="Arial"/>
          <w:sz w:val="18"/>
          <w:szCs w:val="18"/>
          <w:color w:val="auto"/>
        </w:rPr>
        <w:t>) relate only to New Shares allotted and issued pursuant to the Securities Purchase Agreement, the Warrant Instrument, the Loan Note Instrument and the Private Placement Agreement. We express no opinion in respect of any other securities of the Company.</w:t>
      </w:r>
    </w:p>
    <w:p>
      <w:pPr>
        <w:spacing w:after="0" w:line="116"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4"/>
          </w:cols>
          <w:pgMar w:left="436" w:top="274" w:right="559" w:bottom="1440" w:gutter="0" w:footer="0" w:header="0"/>
        </w:sectPr>
      </w:pPr>
    </w:p>
    <w:bookmarkStart w:id="50" w:name="page51"/>
    <w:bookmarkEnd w:id="50"/>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w:t>
      </w:r>
    </w:p>
    <w:p>
      <w:pPr>
        <w:spacing w:after="0" w:line="134"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opinion and any non-contractual obligations arising out of or in connection with this opinion shall be governed by, and construed in accordance with, English law.</w:t>
      </w:r>
    </w:p>
    <w:p>
      <w:pPr>
        <w:spacing w:after="0" w:line="75" w:lineRule="exact"/>
        <w:rPr>
          <w:rFonts w:ascii="Arial" w:cs="Arial" w:eastAsia="Arial" w:hAnsi="Arial"/>
          <w:sz w:val="18"/>
          <w:szCs w:val="18"/>
          <w:color w:val="auto"/>
        </w:rPr>
      </w:pPr>
    </w:p>
    <w:p>
      <w:pPr>
        <w:ind w:left="964" w:right="40" w:hanging="532"/>
        <w:spacing w:after="0" w:line="275" w:lineRule="auto"/>
        <w:tabs>
          <w:tab w:leader="none" w:pos="964"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This opinion relates only to English law (being for these purposes, except to the extent we make specific reference to an English law “conflict of law” (private international law) rule or principle, English domestic law on the assumption that English domestic law applies to all relevant issues) as applied by the English courts as at today’s date, including the laws of the European Union to the extent having the force of law in England by virtue of s1A European Union (Withdrawal) Act 2018 (as introduced by s1 European Union (Withdrawal Agreement) Act 2020). In construing any European Union directive or regulation, we have read only the English version.</w:t>
      </w:r>
    </w:p>
    <w:p>
      <w:pPr>
        <w:spacing w:after="0" w:line="81" w:lineRule="exact"/>
        <w:rPr>
          <w:rFonts w:ascii="Arial" w:cs="Arial" w:eastAsia="Arial" w:hAnsi="Arial"/>
          <w:sz w:val="17"/>
          <w:szCs w:val="17"/>
          <w:color w:val="auto"/>
        </w:rPr>
      </w:pPr>
    </w:p>
    <w:p>
      <w:pPr>
        <w:ind w:left="964" w:hanging="532"/>
        <w:spacing w:after="0"/>
        <w:tabs>
          <w:tab w:leader="none" w:pos="964" w:val="left"/>
        </w:tabs>
        <w:numPr>
          <w:ilvl w:val="1"/>
          <w:numId w:val="46"/>
        </w:numPr>
        <w:rPr>
          <w:rFonts w:ascii="Arial" w:cs="Arial" w:eastAsia="Arial" w:hAnsi="Arial"/>
          <w:sz w:val="17"/>
          <w:szCs w:val="17"/>
          <w:color w:val="auto"/>
        </w:rPr>
      </w:pPr>
      <w:r>
        <w:rPr>
          <w:rFonts w:ascii="Arial" w:cs="Arial" w:eastAsia="Arial" w:hAnsi="Arial"/>
          <w:sz w:val="17"/>
          <w:szCs w:val="17"/>
          <w:color w:val="auto"/>
        </w:rPr>
        <w:t>We do not undertake or accept any obligation to update this opinion to reflect subsequent changes in English law or factual matters.</w:t>
      </w:r>
    </w:p>
    <w:p>
      <w:pPr>
        <w:spacing w:after="0" w:line="142" w:lineRule="exact"/>
        <w:rPr>
          <w:rFonts w:ascii="Arial" w:cs="Arial" w:eastAsia="Arial" w:hAnsi="Arial"/>
          <w:sz w:val="17"/>
          <w:szCs w:val="17"/>
          <w:color w:val="auto"/>
        </w:rPr>
      </w:pPr>
    </w:p>
    <w:p>
      <w:pPr>
        <w:ind w:left="964" w:hanging="532"/>
        <w:spacing w:after="0" w:line="275" w:lineRule="auto"/>
        <w:tabs>
          <w:tab w:leader="none" w:pos="964" w:val="left"/>
        </w:tabs>
        <w:numPr>
          <w:ilvl w:val="1"/>
          <w:numId w:val="46"/>
        </w:numPr>
        <w:rPr>
          <w:rFonts w:ascii="Arial" w:cs="Arial" w:eastAsia="Arial" w:hAnsi="Arial"/>
          <w:sz w:val="17"/>
          <w:szCs w:val="17"/>
          <w:color w:val="auto"/>
        </w:rPr>
      </w:pPr>
      <w:r>
        <w:rPr>
          <w:rFonts w:ascii="Arial" w:cs="Arial" w:eastAsia="Arial" w:hAnsi="Arial"/>
          <w:sz w:val="17"/>
          <w:szCs w:val="17"/>
          <w:color w:val="auto"/>
        </w:rPr>
        <w:t>We express no opinion as to, and we have not investigated for the purposes of this opinion, the laws of any jurisdiction other than England. It is assumed that no foreign law which may apply to the matters contemplated by the Securities Purchase Agreement, the Warrant Instrument, the Loan Note Instrument, the Private Placement Agreement and the Registration Statement, or any document relating to, or any party to, any transaction contemplated by the Securities Purchase Agreement, the Warrant Instrument, the Loan Note Instrument, the Private Placement Agreement or the Registration Statement, would or might affect this opinion.</w:t>
      </w:r>
    </w:p>
    <w:p>
      <w:pPr>
        <w:spacing w:after="0" w:line="176"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Mayer Brown International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22371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Mayer Brown International LLP</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0" w:right="4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F-3 ) and related Prospectus of Mereo Biopharma Group plc for the registration of 515,494,255 ordinary shares of its common stock and to the incorporation by reference therein of our report dated June 15, 2020, with respect to the consolidated financial statements of Mereo Biopharma Group plc included in its Annual Report (Form 20-F) for the year ended December 31, 2019, filed with the Securities and Exchange Commission.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lowerRoman"/>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lowerRoman"/>
      <w:start w:val="2"/>
    </w:lvl>
  </w:abstractNum>
  <w:abstractNum w:abstractNumId="12">
    <w:nsid w:val="3A95F874"/>
    <w:multiLevelType w:val="hybridMultilevel"/>
    <w:lvl w:ilvl="0">
      <w:lvlJc w:val="left"/>
      <w:lvlText w:val="\endash "/>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4"/>
    </w:lvl>
  </w:abstractNum>
  <w:abstractNum w:abstractNumId="16">
    <w:nsid w:val="737B8DDC"/>
    <w:multiLevelType w:val="hybridMultilevel"/>
    <w:lvl w:ilvl="0">
      <w:lvlJc w:val="left"/>
      <w:lvlText w:val="(%1)"/>
      <w:numFmt w:val="decimal"/>
      <w:start w:val="7"/>
    </w:lvl>
  </w:abstractNum>
  <w:abstractNum w:abstractNumId="17">
    <w:nsid w:val="6CEAF087"/>
    <w:multiLevelType w:val="hybridMultilevel"/>
    <w:lvl w:ilvl="0">
      <w:lvlJc w:val="left"/>
      <w:lvlText w:val="(%1)"/>
      <w:numFmt w:val="decimal"/>
      <w:start w:val="12"/>
    </w:lvl>
  </w:abstractNum>
  <w:abstractNum w:abstractNumId="18">
    <w:nsid w:val="22221A70"/>
    <w:multiLevelType w:val="hybridMultilevel"/>
    <w:lvl w:ilvl="0">
      <w:lvlJc w:val="left"/>
      <w:lvlText w:val="(%1)"/>
      <w:numFmt w:val="decimal"/>
      <w:start w:val="14"/>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7724C67E"/>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29">
    <w:nsid w:val="5C482A97"/>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0">
    <w:nsid w:val="2463B9E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1">
    <w:nsid w:val="5E884ADC"/>
    <w:multiLevelType w:val="hybridMultilevel"/>
    <w:lvl w:ilvl="0">
      <w:lvlJc w:val="left"/>
      <w:lvlText w:val="(%1)"/>
      <w:numFmt w:val="lowerLetter"/>
      <w:start w:val="3"/>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5">
    <w:nsid w:val="153EA438"/>
    <w:multiLevelType w:val="hybridMultilevel"/>
    <w:lvl w:ilvl="0">
      <w:lvlJc w:val="left"/>
      <w:lvlText w:val="%1"/>
      <w:numFmt w:val="lowerLetter"/>
      <w:start w:val="1"/>
    </w:lvl>
    <w:lvl w:ilvl="1">
      <w:lvlJc w:val="left"/>
      <w:lvlText w:val="(%2)"/>
      <w:numFmt w:val="lowerRoman"/>
      <w:start w:val="4"/>
    </w:lvl>
  </w:abstractNum>
  <w:abstractNum w:abstractNumId="36">
    <w:nsid w:val="3855585C"/>
    <w:multiLevelType w:val="hybridMultilevel"/>
    <w:lvl w:ilvl="0">
      <w:lvlJc w:val="left"/>
      <w:lvlText w:val="(%1)"/>
      <w:numFmt w:val="lowerLetter"/>
      <w:start w:val="2"/>
    </w:lvl>
    <w:lvl w:ilvl="1">
      <w:lvlJc w:val="left"/>
      <w:lvlText w:val="(%2)"/>
      <w:numFmt w:val="lowerRoman"/>
      <w:start w:val="1"/>
    </w:lvl>
  </w:abstractNum>
  <w:abstractNum w:abstractNumId="37">
    <w:nsid w:val="70A64E2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
    <w:nsid w:val="6A2342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9">
    <w:nsid w:val="2A487CB0"/>
    <w:multiLevelType w:val="hybridMultilevel"/>
    <w:lvl w:ilvl="0">
      <w:lvlJc w:val="left"/>
      <w:lvlText w:val="(%1)"/>
      <w:numFmt w:val="lowerRoman"/>
      <w:start w:val="5"/>
    </w:lvl>
  </w:abstractNum>
  <w:abstractNum w:abstractNumId="40">
    <w:nsid w:val="1D4ED43B"/>
    <w:multiLevelType w:val="hybridMultilevel"/>
    <w:lvl w:ilvl="0">
      <w:lvlJc w:val="left"/>
      <w:lvlText w:val="(%1)"/>
      <w:numFmt w:val="lowerRoman"/>
      <w:start w:val="13"/>
    </w:lvl>
  </w:abstractNum>
  <w:abstractNum w:abstractNumId="41">
    <w:nsid w:val="725A06FB"/>
    <w:multiLevelType w:val="hybridMultilevel"/>
    <w:lvl w:ilvl="0">
      <w:lvlJc w:val="left"/>
      <w:lvlText w:val="%1"/>
      <w:numFmt w:val="lowerLetter"/>
      <w:start w:val="1"/>
    </w:lvl>
    <w:lvl w:ilvl="1">
      <w:lvlJc w:val="left"/>
      <w:lvlText w:val="(%2)"/>
      <w:numFmt w:val="lowerRoman"/>
      <w:start w:val="21"/>
    </w:lvl>
    <w:lvl w:ilvl="2">
      <w:lvlJc w:val="left"/>
      <w:lvlText w:val="%3"/>
      <w:numFmt w:val="lowerRoman"/>
      <w:start w:val="1"/>
    </w:lvl>
  </w:abstractNum>
  <w:abstractNum w:abstractNumId="42">
    <w:nsid w:val="2CD89A3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4">
    <w:nsid w:val="7A6D8D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5">
    <w:nsid w:val="4B588F54"/>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jpe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67" Type="http://schemas.openxmlformats.org/officeDocument/2006/relationships/hyperlink" Target="http://www.sec.gov/Archives/edgar/data/1719714/000119312520169533/d876622d20f.htm" TargetMode="External"/><Relationship Id="rId68" Type="http://schemas.openxmlformats.org/officeDocument/2006/relationships/hyperlink" Target="http://www.sec.gov/Archives/edgar/data/1719714/000119312518111700/d566514d8a12b.htm" TargetMode="External"/><Relationship Id="rId69" Type="http://schemas.openxmlformats.org/officeDocument/2006/relationships/hyperlink" Target="http://www.sec.gov/Archives/edgar/data/1719714/000095010319004787/dp105138_8a12ba.htm" TargetMode="External"/><Relationship Id="rId70" Type="http://schemas.openxmlformats.org/officeDocument/2006/relationships/hyperlink" Target="http://www.sec.gov/Archives/edgar/data/1719714/000119312520169533/d876622dex22.htm" TargetMode="External"/><Relationship Id="rId82" Type="http://schemas.openxmlformats.org/officeDocument/2006/relationships/hyperlink" Target="http://www.sec.gov/Archives/edgar/data/1719714/000119312519016112/d680874dex31.htm" TargetMode="External"/><Relationship Id="rId83" Type="http://schemas.openxmlformats.org/officeDocument/2006/relationships/hyperlink" Target="http://www.sec.gov/Archives/edgar/data/1719714/000119312519016112/d680874dex42.htm" TargetMode="External"/><Relationship Id="rId84" Type="http://schemas.openxmlformats.org/officeDocument/2006/relationships/hyperlink" Target="http://www.sec.gov/Archives/edgar/data/1719714/000119312520161012/d935734dex103.htm" TargetMode="External"/><Relationship Id="rId85" Type="http://schemas.openxmlformats.org/officeDocument/2006/relationships/hyperlink" Target="http://www.sec.gov/Archives/edgar/data/1719714/000119312520161012/d935734dex104.htm" TargetMode="External"/><Relationship Id="rId86" Type="http://schemas.openxmlformats.org/officeDocument/2006/relationships/hyperlink" Target="http://www.sec.gov/Archives/edgar/data/1719714/000119312520029019/d884665dex101.htm" TargetMode="External"/><Relationship Id="rId87" Type="http://schemas.openxmlformats.org/officeDocument/2006/relationships/hyperlink" Target="http://www.sec.gov/Archives/edgar/data/1719714/000119312520029019/d884665dex102.htm" TargetMode="External"/><Relationship Id="rId88" Type="http://schemas.openxmlformats.org/officeDocument/2006/relationships/hyperlink" Target="http://www.sec.gov/Archives/edgar/data/1719714/000119312520041452/d886556dex101.htm" TargetMode="External"/><Relationship Id="rId89" Type="http://schemas.openxmlformats.org/officeDocument/2006/relationships/hyperlink" Target="http://www.sec.gov/Archives/edgar/data/1719714/000119312520041452/d886556dex102.htm" TargetMode="External"/><Relationship Id="rId90" Type="http://schemas.openxmlformats.org/officeDocument/2006/relationships/hyperlink" Target="http://www.sec.gov/Archives/edgar/data/1719714/000119312520161012/d935734dex101.htm" TargetMode="External"/><Relationship Id="rId91" Type="http://schemas.openxmlformats.org/officeDocument/2006/relationships/hyperlink" Target="http://www.sec.gov/Archives/edgar/data/1719714/000119312520161012/d935734dex102.htm" TargetMode="External"/><Relationship Id="rId92" Type="http://schemas.openxmlformats.org/officeDocument/2006/relationships/hyperlink" Target="http://www.sec.gov/Archives/edgar/data/1719714/000119312519125560/d734372d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2020-07-06T15:59:37Z</dcterms:created>
  <dcterms:modified xsi:type="dcterms:W3CDTF">2020-07-06T15:59:37Z</dcterms:modified>
</cp:coreProperties>
</file>