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February, 2021</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1539"/>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6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Entry into Underwriting Agreement.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February 9, 2021, Mereo BioPharma Group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SVB Leerink LLC, as representative of the several underwriters named therein (collectively,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relating to an underwritten public offering of 34,500,000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each representing five ordinary shares, nominal value £0.003 per share (the “</w:t>
      </w:r>
      <w:r>
        <w:rPr>
          <w:rFonts w:ascii="Times New Roman" w:cs="Times New Roman" w:eastAsia="Times New Roman" w:hAnsi="Times New Roman"/>
          <w:sz w:val="18"/>
          <w:szCs w:val="18"/>
          <w:u w:val="single" w:color="auto"/>
          <w:color w:val="auto"/>
        </w:rPr>
        <w:t>Underwritten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All of the Underwritten Securities are being sold by the Company. The offering price to the public of the Underwritten Securities is $2.900 per ADS, and the Underwriters have agreed to purchase the Underwritten Securities from the Company pursuant to the Underwriting Agreement at a price of $2.726 per ADS. The Company expects to receive net proceeds from the offering of approximately $93.5 million, after deducting underwriting discounts and commissions and estimated offering expenses. Under the terms of the Underwriting Agreement, the Company granted the Underwriters an option, exercisable for 30 days, to purchase up to an additional 5,175,000 ADSs (the “</w:t>
      </w:r>
      <w:r>
        <w:rPr>
          <w:rFonts w:ascii="Times New Roman" w:cs="Times New Roman" w:eastAsia="Times New Roman" w:hAnsi="Times New Roman"/>
          <w:sz w:val="18"/>
          <w:szCs w:val="18"/>
          <w:u w:val="single" w:color="auto"/>
          <w:color w:val="auto"/>
        </w:rPr>
        <w:t>Option Securities</w:t>
      </w:r>
      <w:r>
        <w:rPr>
          <w:rFonts w:ascii="Times New Roman" w:cs="Times New Roman" w:eastAsia="Times New Roman" w:hAnsi="Times New Roman"/>
          <w:sz w:val="18"/>
          <w:szCs w:val="18"/>
          <w:color w:val="auto"/>
        </w:rPr>
        <w:t>” and together with the Underwritten Securities,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at the public offering price, less the underwriting discounts and commissions. The offering is expected to close on or about February 12, 2021, subject to the satisfaction of customary closing conditions.</w:t>
      </w:r>
    </w:p>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Securities will be issued pursuant to the Company’s shelf registration statement on Form F-3 (Registration Statement No. 333-249341) that was previously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October 6, 2020 and became effective on October 21, 2020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 final prospectus supplement relating to the offering dated February 9, 2021 was filed with the Commission.</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and warranties, agreements and obligations, conditions to closing and termination provisions. The Underwriting Agreement provides for indemnification by the Underwriters of the Company, its directors and certain of its executive officers, and by the Company of the Underwriters, for certain liabilities, including liabilities arising under the Securities Act of 1933, as amended, and affords certain rights of contribution with respect thereto. The foregoing description of the Underwriting Agreement is qualified in its entirety by reference to the Underwriting Agreement, which is attached as Exhibit 1.1 hereto and incorporated by reference herein.</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copy of the legal opinion and consent of Mayer Brown International LLP relating to the validity of the issuance and sale of the Securities is attached as Exhibit 5.1 hereto and is incorporated by reference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February 9, 2021, the Company issued a press release announcing the commencement of the underwritten public offering and on February 10, 2021 the Company issued a press release announcing the pricing of the underwritten public offering, copies of which are attached hereto as Exhibit 99.1 and Exhibit 99.2, respectively, and incorporated herein by reference.</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contained in this Report, including Exhibits 1.1 and 5.1 hereto, but excluding Exhibits 99.1 and 99.2 hereto, is hereby incorporated by reference into the Company’s Registration Statements on Form F-3 (File No. 333-249341) and (File No. 333-239708).</w:t>
      </w:r>
    </w:p>
    <w:p>
      <w:pPr>
        <w:sectPr>
          <w:pgSz w:w="11900" w:h="16838" w:orient="portrait"/>
          <w:cols w:equalWidth="0" w:num="1">
            <w:col w:w="11000"/>
          </w:cols>
          <w:pgMar w:left="440" w:top="266"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0"/>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2020" w:type="dxa"/>
            <w:vAlign w:val="bottom"/>
          </w:tcPr>
          <w:p>
            <w:pPr>
              <w:spacing w:after="0"/>
              <w:rPr>
                <w:sz w:val="16"/>
                <w:szCs w:val="16"/>
                <w:color w:val="auto"/>
              </w:rPr>
            </w:pPr>
          </w:p>
        </w:tc>
        <w:tc>
          <w:tcPr>
            <w:tcW w:w="7660" w:type="dxa"/>
            <w:vAlign w:val="bottom"/>
          </w:tcPr>
          <w:p>
            <w:pPr>
              <w:spacing w:after="0"/>
              <w:rPr>
                <w:sz w:val="16"/>
                <w:szCs w:val="16"/>
                <w:color w:val="auto"/>
              </w:rPr>
            </w:pPr>
          </w:p>
        </w:tc>
      </w:tr>
      <w:tr>
        <w:trPr>
          <w:trHeight w:val="26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96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Underwriting Agreement, dated February 9, 2021, by and among the Company and SVB Leerink LLC, as representative of the several</w:t>
              </w:r>
            </w:hyperlink>
          </w:p>
        </w:tc>
      </w:tr>
      <w:tr>
        <w:trPr>
          <w:trHeight w:val="196"/>
        </w:trPr>
        <w:tc>
          <w:tcPr>
            <w:tcW w:w="1040" w:type="dxa"/>
            <w:vAlign w:val="bottom"/>
          </w:tcPr>
          <w:p>
            <w:pPr>
              <w:spacing w:after="0"/>
              <w:rPr>
                <w:sz w:val="17"/>
                <w:szCs w:val="17"/>
                <w:color w:val="auto"/>
              </w:rPr>
            </w:pPr>
          </w:p>
        </w:tc>
        <w:tc>
          <w:tcPr>
            <w:tcW w:w="20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underwriters named therein.</w:t>
              </w:r>
            </w:hyperlink>
          </w:p>
        </w:tc>
        <w:tc>
          <w:tcPr>
            <w:tcW w:w="7660" w:type="dxa"/>
            <w:vAlign w:val="bottom"/>
          </w:tcPr>
          <w:p>
            <w:pPr>
              <w:spacing w:after="0"/>
              <w:rPr>
                <w:sz w:val="17"/>
                <w:szCs w:val="17"/>
                <w:color w:val="auto"/>
              </w:rPr>
            </w:pP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9680" w:type="dxa"/>
            <w:vAlign w:val="bottom"/>
            <w:gridSpan w:val="2"/>
          </w:tcPr>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Opinion of Mayer Brown International LLP.</w:t>
              </w:r>
            </w:hyperlink>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680" w:type="dxa"/>
            <w:vAlign w:val="bottom"/>
            <w:gridSpan w:val="2"/>
          </w:tcPr>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Consent of Mayer Brown International LLP (contained in Exhibit 5.1).</w:t>
              </w:r>
            </w:hyperlink>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680" w:type="dxa"/>
            <w:vAlign w:val="bottom"/>
            <w:gridSpan w:val="2"/>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Press Release, dated February 9, 2021.</w:t>
              </w:r>
            </w:hyperlink>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9680" w:type="dxa"/>
            <w:vAlign w:val="bottom"/>
            <w:gridSpan w:val="2"/>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Press Release, dated February 10, 2021.</w:t>
              </w:r>
            </w:hyperlink>
          </w:p>
        </w:tc>
      </w:tr>
    </w:tbl>
    <w:p>
      <w:pPr>
        <w:spacing w:after="0"/>
        <w:rPr>
          <w:sz w:val="20"/>
          <w:szCs w:val="20"/>
          <w:color w:val="auto"/>
        </w:rPr>
        <w:sectPr>
          <w:pgSz w:w="11900" w:h="16838" w:orient="portrait"/>
          <w:cols w:equalWidth="0" w:num="1">
            <w:col w:w="10720"/>
          </w:cols>
          <w:pgMar w:left="440" w:top="263" w:right="7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2021</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700"/>
          </w:cols>
          <w:pgMar w:left="440" w:top="266"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public limited company incorporated under the laws of England and Wales)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34,500,000 American Depositary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Representing 172,500,000 Ordinary Shares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9,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Leerink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SVB Leerink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1301 Avenue of the Americas, 12</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Mereo BioPharma Group plc, a public limited company incorporated under the laws of England and Wales with registered number 09481161 (the “Company”), confirms its agreement with SVB Leerink LLC (“SVB Leerink”) and each of the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(collectively, the “Underwriters”, which term shall also include any underwriter substituted as hereinafter provided in Section 10 hereof), for which SVB Leerink is acting as representative (in such capacity, the “Representative”), with respect to (i) the sale by the Company and the purchase by the Underwriters, of 172,500,000 Ordinary Shares (as defined below), nominal value £0.003 per share to be delivered and for which the Underwriters will subscribe, acting severally and not jointly, in the form of an aggregate of 34,500,000 ADSs (as defined below), each representing five Ordinary Shares (the “Initial Securities”) and (ii) the grant by the Company to the Underwriters, acting severally and not jointly, of the option described in Section 2(b) hereof to purchase all or any part of 172,500,000 additional Ordinary Shares to be delivered in the form of 34,500,000 ADSs, each representing five Ordinary Shares (the “Option Securities”). The aforesaid Initial Securities and Option Securities are herein called, collectively, the “Offered Securities.” The Offered Securities and the Ordinary Shares represented thereby (the “Underlying Shares”) are herein collectively called the “Securities”. References in this Agreement to (i) “Ordinary Shares” shall mean ordinary shares of nominal value £0.003 each in the capital of the Company; (ii) “ADSs” shall mean American Depositary Shares; (iii) the “sale” of any Offered Securities or any similar or analogous expressions shall, unless the context otherwise requires, mean the allotment and issue of such Offered Securities; and (iv) the “purchase” of any Offered Securities or any similar or analogous expressions shall, unless the context otherwise requires, mean the subscription for such Offered Securities.</w:t>
      </w:r>
    </w:p>
    <w:p>
      <w:pPr>
        <w:spacing w:after="0" w:line="197"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Underlying Shares are to be deposited, and the Offered Securities are to be issued and delivered, pursuant to a deposit agreement (the “Deposit Agreement”), dated as of April 23, 2019, by and among the Company, Citibank, N.A., as depositary (the “Depositary”), and all holders and beneficial holders of the ADSs issued thereunder.</w:t>
      </w:r>
    </w:p>
    <w:p>
      <w:pPr>
        <w:sectPr>
          <w:pgSz w:w="11900" w:h="16838" w:orient="portrait"/>
          <w:cols w:equalWidth="0" w:num="1">
            <w:col w:w="11020"/>
          </w:cols>
          <w:pgMar w:left="440" w:top="117" w:right="439" w:bottom="1440" w:gutter="0" w:footer="0" w:header="0"/>
        </w:sectPr>
      </w:pPr>
    </w:p>
    <w:bookmarkStart w:id="5" w:name="page6"/>
    <w:bookmarkEnd w:id="5"/>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understands that the Underwriters propose to make a public offering of the Offered Securities as soon as the Representative deems advisable after this Underwriting Agreement (this “Agreement”) has been executed and delivered.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prepared and filed with the Securities and Exchange Commission (the “Commission”) a shelf registration statement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F-3 (No. 333-249341), including a base prospectus to be used in connection with the public offering and sale of the Offered Securities,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of 1933, as amended, and the rules and regulations promulgated thereunder (collectively, the “1933 Act” or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Promptly after execution and delivery of this Agreement, the Company will prepare and file a prospectus in accordance with the provisions of Rule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430B (“Rule 430B”) of the rules and regulations of the Commission under the 1933 Act (the “1933 Act Regulations”) and Rule 424(b) (“Rule 424(b)”)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1933 Act Regulations. The information included in such prospectus that was omitted from such registration statement at the time such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became effective but that is deemed to be part of such registration statement at the time it became effective pursuant to Rule 430B(b) is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called the “Rule 430B Information.” Such registration statement, including the amendments thereto, the exhibits thereto and any schedules thereto, at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it became effective, the documents incorporated by reference therein at such time pursuant to Item 5 of Form F-3 under the 1933 Act and the Rule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430B Information, is herein called the “Registration Statement.” Any registration statement filed pursuant to Rule 462(b) of the 1933 Act Regulations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called the “Rule 462(b) Registration Statement” and, after such filing, the term “Registration Statement” shall include the Rule 462(b)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Each prospectus used prior to the effectiveness of the Registration Statement, and each prospectus that omitted the Rule 430B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that was used after such effectiveness and prior to the execution and delivery of this Agreement, in each case including the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therein, is herein called a “preliminary prospectus.” The final prospectus, in the form first furnished to the Underwriters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in connection with the offering of the Offered Securities, including the documents incorporated by reference therein, is herein called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The Company has filed with the Commission a registration statement on Form F-6 (No. 333-249338), filed with the Commission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and the Company on October 6, 2020, covering the registration of the ADSs under the 1933 Act. The registration statement relating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as amended at the time it became effective, is hereinafter referred to as the “ADS Registration Statement.” The Company has also filed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in accordance with Section 12 of the Securities Exchange Act of 1934, as amended (the “1934 Act”), and the rules and regulations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thereunder (the “1934 Act Regulations”), a registration statement on Form 8-A (File No. 001-38452) under the 1934 Act to register,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12(b) of the 1934 Act, the ADSs and the Ordinary Shares. The registration statement relating to the ADSs and the Ordinary Shares,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time it became effective, is hereinafter referred to as the “1934 Act Registration Statement.” For purposes of this Agreement, all references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the ADS Registration Statement, the 1934 Act Registration Statement, any preliminary prospectus, the Prospectus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or supplement to any of the foregoing shall be deemed to include the copy filed with the Commission pursuant to its Electronic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Gathering, Analysis and Retrieval system (“EDGAR”).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225" w:lineRule="exact"/>
        <w:rPr>
          <w:sz w:val="20"/>
          <w:szCs w:val="20"/>
          <w:color w:val="auto"/>
        </w:rPr>
      </w:pPr>
    </w:p>
    <w:p>
      <w:pPr>
        <w:ind w:left="440" w:right="560" w:firstLine="423"/>
        <w:spacing w:after="0" w:line="282" w:lineRule="auto"/>
        <w:rPr>
          <w:sz w:val="20"/>
          <w:szCs w:val="20"/>
          <w:color w:val="auto"/>
        </w:rPr>
      </w:pPr>
      <w:r>
        <w:rPr>
          <w:rFonts w:ascii="Times New Roman" w:cs="Times New Roman" w:eastAsia="Times New Roman" w:hAnsi="Times New Roman"/>
          <w:sz w:val="18"/>
          <w:szCs w:val="18"/>
          <w:color w:val="auto"/>
        </w:rPr>
        <w:t>“Applicable Time” means 6:45 P.M., New York City time, on February 9, 2021 or such other time as agreed by the Company and the Representative.</w:t>
      </w:r>
    </w:p>
    <w:p>
      <w:pPr>
        <w:spacing w:after="0" w:line="162" w:lineRule="exact"/>
        <w:rPr>
          <w:sz w:val="20"/>
          <w:szCs w:val="20"/>
          <w:color w:val="auto"/>
        </w:rPr>
      </w:pPr>
    </w:p>
    <w:p>
      <w:pPr>
        <w:jc w:val="both"/>
        <w:ind w:left="440" w:right="120" w:firstLine="423"/>
        <w:spacing w:after="0" w:line="266" w:lineRule="auto"/>
        <w:rPr>
          <w:sz w:val="20"/>
          <w:szCs w:val="20"/>
          <w:color w:val="auto"/>
        </w:rPr>
      </w:pPr>
      <w:r>
        <w:rPr>
          <w:rFonts w:ascii="Times New Roman" w:cs="Times New Roman" w:eastAsia="Times New Roman" w:hAnsi="Times New Roman"/>
          <w:sz w:val="18"/>
          <w:szCs w:val="18"/>
          <w:color w:val="auto"/>
        </w:rPr>
        <w:t>“General Disclosure Package”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Schedule B-1 hereto, all considered together.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left="440" w:right="40" w:firstLine="42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“Issuer Free Writing Prospectus” means any “issuer free writing prospectus,” as defined in Rule 433 of the 1933 Act Regulations (“Rule 433”) relating to the Offered Securities, including without limitation any “free writing prospectus” (as defined in Rule 405 of the 1933 Act Regulations (“Rule 405”)) that is (i) required to be filed with the Commission by the Company, (ii) a “road show for an offering that is a written communication” within the meaning of Rule 433(d)(8)(i), whether or not required to be filed with the Commission, or (iii) exempt from filing with the Commission pursuant to Rule 433(d)(5)(i) because it contains a description of the Offered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89" w:lineRule="exact"/>
        <w:rPr>
          <w:sz w:val="20"/>
          <w:szCs w:val="20"/>
          <w:color w:val="auto"/>
        </w:rPr>
      </w:pPr>
    </w:p>
    <w:p>
      <w:pPr>
        <w:ind w:left="440" w:right="40" w:firstLine="423"/>
        <w:spacing w:after="0" w:line="266" w:lineRule="auto"/>
        <w:rPr>
          <w:sz w:val="20"/>
          <w:szCs w:val="20"/>
          <w:color w:val="auto"/>
        </w:rPr>
      </w:pPr>
      <w:r>
        <w:rPr>
          <w:rFonts w:ascii="Times New Roman" w:cs="Times New Roman" w:eastAsia="Times New Roman" w:hAnsi="Times New Roman"/>
          <w:sz w:val="18"/>
          <w:szCs w:val="18"/>
          <w:color w:val="auto"/>
        </w:rPr>
        <w:t>“Issuer General Use Free Writing Prospectus” means any Issuer Free Writing Prospectus that is intended for general distribution to prospective investors (other than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electronic road show,” as defined in Rule 433 (a “Bona Fide Electronic Road Show”)), as evidenced by its being specified in </w:t>
      </w:r>
      <w:r>
        <w:rPr>
          <w:rFonts w:ascii="Times New Roman" w:cs="Times New Roman" w:eastAsia="Times New Roman" w:hAnsi="Times New Roman"/>
          <w:sz w:val="18"/>
          <w:szCs w:val="18"/>
          <w:u w:val="single" w:color="auto"/>
          <w:color w:val="auto"/>
        </w:rPr>
        <w:t>Schedule B-2</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ind w:left="440" w:right="400" w:firstLine="423"/>
        <w:spacing w:after="0" w:line="282" w:lineRule="auto"/>
        <w:rPr>
          <w:sz w:val="20"/>
          <w:szCs w:val="20"/>
          <w:color w:val="auto"/>
        </w:rPr>
      </w:pPr>
      <w:r>
        <w:rPr>
          <w:rFonts w:ascii="Times New Roman" w:cs="Times New Roman" w:eastAsia="Times New Roman" w:hAnsi="Times New Roman"/>
          <w:sz w:val="18"/>
          <w:szCs w:val="18"/>
          <w:color w:val="auto"/>
        </w:rPr>
        <w:t>“Issuer Limited Use Free Writing Prospectus” means any Issuer Free Writing Prospectus that is not an Issuer General Use Free Writing Prospectus.</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1934 Act incorporated by reference in the Registration Statement, such preliminary prospectus or the Prospectus, as the case may be, at or after the execution and delivery of this Agreement.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440" w:firstLine="436"/>
        <w:spacing w:after="0" w:line="315" w:lineRule="auto"/>
        <w:tabs>
          <w:tab w:leader="none" w:pos="68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Representations and Warranties by the Company</w:t>
      </w:r>
      <w:r>
        <w:rPr>
          <w:rFonts w:ascii="Times New Roman" w:cs="Times New Roman" w:eastAsia="Times New Roman" w:hAnsi="Times New Roman"/>
          <w:sz w:val="17"/>
          <w:szCs w:val="17"/>
          <w:color w:val="auto"/>
        </w:rPr>
        <w:t>. The Company represents and warrants to each Underwriter as of the date hereof,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Time, the Closing Time (as defined below) and any Date of Delivery (as defined below), and agrees with each Underwriter, as follows:</w:t>
      </w:r>
    </w:p>
    <w:p>
      <w:pPr>
        <w:spacing w:after="0" w:line="28" w:lineRule="exact"/>
        <w:rPr>
          <w:rFonts w:ascii="Times New Roman" w:cs="Times New Roman" w:eastAsia="Times New Roman" w:hAnsi="Times New Roman"/>
          <w:sz w:val="17"/>
          <w:szCs w:val="17"/>
          <w:color w:val="auto"/>
        </w:rPr>
      </w:pPr>
    </w:p>
    <w:p>
      <w:pPr>
        <w:ind w:left="440" w:firstLine="419"/>
        <w:spacing w:after="0" w:line="255" w:lineRule="auto"/>
        <w:tabs>
          <w:tab w:leader="none" w:pos="1078"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Statements and Prospectuses</w:t>
      </w:r>
      <w:r>
        <w:rPr>
          <w:rFonts w:ascii="Times New Roman" w:cs="Times New Roman" w:eastAsia="Times New Roman" w:hAnsi="Times New Roman"/>
          <w:sz w:val="18"/>
          <w:szCs w:val="18"/>
          <w:color w:val="auto"/>
        </w:rPr>
        <w:t>. The Company meets the requirements to incorporate documents by reference in the Registration Statement pursuant to General Instructions 1.A and 1.B.1 to Form F-3 under the 1933 Act and the 1933 Act Regulations. Each of the Registration Statement and any amendment thereto has become effective under the 1933 Act and the 1933 Act Regulations. No stop order suspending the effectiveness of the Registration Statement or any post-effective amendments thereto has been issued by the Commission under the 1933 Act, no order preventing or suspending the use of any preliminary prospectus or the Prospectus has been issued by the Commission and no proceedings for any of those purposes have been instituted by the Commission or are pending or, to the Company’s knowledge, contemplated by the Commission. The Company has complied with each request (if any) from the Commission for additional information.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ind w:right="160" w:firstLine="42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Registration Statement and any post-effective amendments thereto, at the time it became effective, complied in all material respects with the requirements of the 1933 Act and the 1933 Act Regulations. Each preliminary prospectus, the Prospectus and any amendment or supplement thereto, at the time each was filed with the Commission, complied in all material respects with the requirements of the 1933 Act and the 1933 Act Regulations. Each preliminary prospectus delivered to the Underwriters for use in connection with the offering of the Offered Securities and the Prospectus was or will be identical to the electronically transmitted copies thereof filed with the Commission pursuant to EDGAR, except to the extent permitted by Regulation S-T.</w:t>
      </w:r>
    </w:p>
    <w:p>
      <w:pPr>
        <w:spacing w:after="0" w:line="79" w:lineRule="exact"/>
        <w:rPr>
          <w:sz w:val="20"/>
          <w:szCs w:val="20"/>
          <w:color w:val="auto"/>
        </w:rPr>
      </w:pPr>
    </w:p>
    <w:p>
      <w:pPr>
        <w:ind w:right="420" w:firstLine="423"/>
        <w:spacing w:after="0" w:line="266" w:lineRule="auto"/>
        <w:rPr>
          <w:sz w:val="20"/>
          <w:szCs w:val="20"/>
          <w:color w:val="auto"/>
        </w:rPr>
      </w:pPr>
      <w:r>
        <w:rPr>
          <w:rFonts w:ascii="Times New Roman" w:cs="Times New Roman" w:eastAsia="Times New Roman" w:hAnsi="Times New Roman"/>
          <w:sz w:val="18"/>
          <w:szCs w:val="18"/>
          <w:color w:val="auto"/>
        </w:rPr>
        <w:t>The documents incorporated or deemed incorporated by reference in the Registration Statement and the Prospectus, when they became effective or at the time they were or hereafter are filed with the Commission, complied and will comply in all material respects with the requirements of the 1934 Act and the 1934 Act Regulations.</w:t>
      </w:r>
    </w:p>
    <w:p>
      <w:pPr>
        <w:spacing w:after="0" w:line="68" w:lineRule="exact"/>
        <w:rPr>
          <w:sz w:val="20"/>
          <w:szCs w:val="20"/>
          <w:color w:val="auto"/>
        </w:rPr>
      </w:pPr>
    </w:p>
    <w:p>
      <w:pPr>
        <w:jc w:val="both"/>
        <w:ind w:right="300" w:firstLine="423"/>
        <w:spacing w:after="0" w:line="289" w:lineRule="auto"/>
        <w:rPr>
          <w:sz w:val="20"/>
          <w:szCs w:val="20"/>
          <w:color w:val="auto"/>
        </w:rPr>
      </w:pPr>
      <w:r>
        <w:rPr>
          <w:rFonts w:ascii="Times New Roman" w:cs="Times New Roman" w:eastAsia="Times New Roman" w:hAnsi="Times New Roman"/>
          <w:sz w:val="17"/>
          <w:szCs w:val="17"/>
          <w:color w:val="auto"/>
        </w:rPr>
        <w:t>The Registration Statement, any preliminary prospectus and the Prospectus, and the filing of the Registration Statement, any preliminary prospectus and the Prospectus with the Commission have been duly authorized by and on behalf of the Company, and each of the Registration Statement and the ADS Registration Statement has been duly executed by and on behalf of the Company pursuant to such authorization.</w:t>
      </w:r>
    </w:p>
    <w:p>
      <w:pPr>
        <w:spacing w:after="0" w:line="50" w:lineRule="exact"/>
        <w:rPr>
          <w:sz w:val="20"/>
          <w:szCs w:val="20"/>
          <w:color w:val="auto"/>
        </w:rPr>
      </w:pPr>
    </w:p>
    <w:p>
      <w:pPr>
        <w:ind w:right="20" w:firstLine="419"/>
        <w:spacing w:after="0" w:line="255" w:lineRule="auto"/>
        <w:tabs>
          <w:tab w:leader="none" w:pos="68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Registration Statement</w:t>
      </w:r>
      <w:r>
        <w:rPr>
          <w:rFonts w:ascii="Times New Roman" w:cs="Times New Roman" w:eastAsia="Times New Roman" w:hAnsi="Times New Roman"/>
          <w:sz w:val="18"/>
          <w:szCs w:val="18"/>
          <w:color w:val="auto"/>
        </w:rPr>
        <w:t>. The ADS Registration Statement has (i) been prepared by the Company in conformity with the requirements of the 1933 Act and the rules and regulations thereunder, (ii) been filed with the Commission under the 1933 Act, and (iii) become effective under the 1933 Act. The Commission has not issued any order suspending the effectiveness of the ADS Registration Statement, and no proceeding for that purpose has been instituted or, to the Company’s knowledge, threatened by the Commission. The ADS Registration Statement, at the time it became effective under the 1933 Act, (i) conformed in all respects to the requirements of the 1933 Act and the rules and regulations thereunder and (ii) and did not, as of the applicable effective date, contain an untrue statement of a material fact or omit to state a material fact required to be stated therein or necessary to make the statements therein not misleading.</w:t>
      </w:r>
    </w:p>
    <w:p>
      <w:pPr>
        <w:spacing w:after="0" w:line="80" w:lineRule="exact"/>
        <w:rPr>
          <w:rFonts w:ascii="Times New Roman" w:cs="Times New Roman" w:eastAsia="Times New Roman" w:hAnsi="Times New Roman"/>
          <w:sz w:val="18"/>
          <w:szCs w:val="18"/>
          <w:color w:val="auto"/>
        </w:rPr>
      </w:pPr>
    </w:p>
    <w:p>
      <w:pPr>
        <w:ind w:firstLine="419"/>
        <w:spacing w:after="0" w:line="268" w:lineRule="auto"/>
        <w:tabs>
          <w:tab w:leader="none" w:pos="738"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Accurate Disclosure</w:t>
      </w:r>
      <w:r>
        <w:rPr>
          <w:rFonts w:ascii="Times New Roman" w:cs="Times New Roman" w:eastAsia="Times New Roman" w:hAnsi="Times New Roman"/>
          <w:sz w:val="17"/>
          <w:szCs w:val="17"/>
          <w:color w:val="auto"/>
        </w:rPr>
        <w:t>. None of the Registration Statement, the ADS Registration Statement and any amendment thereto, at its effective time, at the Closing Time or at any Date of Delivery, contained, contains or will contain an untrue statement of a material fact or omitted, omits or will omit to state a material fact required to be stated therein or necessary to make the statements therein not misleading. As of the Applicable Time, none of (A) the General Disclosure Package or (B) any individual Issuer Limited Use Free Writing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8" w:name="page9"/>
    <w:bookmarkEnd w:id="8"/>
    <w:p>
      <w:pPr>
        <w:ind w:right="40" w:firstLine="42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representations and warranties in this subsection shall not apply to statements in or omissions from the Registration Statement (or any amendment thereto), the ADS Registration Statement (or any amendment thereto), the General Disclosure Package or the Prospectus (or any amendment or supplement thereto, including any prospectus wrapper) made in reliance upon and in conformity with written information furnished to the Company by any Underwriter through the Representative expressly for use therein. For purposes of this Agreement, the only information so furnished shall be the information in the statements set forth in the first sentence of the third paragraph under the caption “Underwriting,” the first paragraph under the caption “Underwriting—Commission and Expenses” and the first sentence of the first paragraph and the first sentence of the fifth paragraph under the caption “Underwriting—Stabilization”, in each case contained in the Prospectus (collectively, the “Underwriter Information”).</w:t>
      </w:r>
    </w:p>
    <w:p>
      <w:pPr>
        <w:spacing w:after="0" w:line="84" w:lineRule="exact"/>
        <w:rPr>
          <w:sz w:val="20"/>
          <w:szCs w:val="20"/>
          <w:color w:val="auto"/>
        </w:rPr>
      </w:pPr>
    </w:p>
    <w:p>
      <w:pPr>
        <w:ind w:right="180" w:firstLine="419"/>
        <w:spacing w:after="0" w:line="258" w:lineRule="auto"/>
        <w:tabs>
          <w:tab w:leader="none" w:pos="7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Free Writing Prospectuses</w:t>
      </w:r>
      <w:r>
        <w:rPr>
          <w:rFonts w:ascii="Times New Roman" w:cs="Times New Roman" w:eastAsia="Times New Roman" w:hAnsi="Times New Roman"/>
          <w:sz w:val="18"/>
          <w:szCs w:val="18"/>
          <w:color w:val="auto"/>
        </w:rPr>
        <w:t>.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Each Issuer Free Writing Prospectus that the Company has filed, or is required to file, pursuant to Rule 433(d) under the 1933 Act or that was prepared by or behalf of or used or referred to by the Company complies or will comply in all material respects with the requirements of the 1933 Act and the 1933 Act Regulations.</w:t>
      </w:r>
    </w:p>
    <w:p>
      <w:pPr>
        <w:spacing w:after="0" w:line="75"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Ineligible Issuer</w:t>
      </w:r>
      <w:r>
        <w:rPr>
          <w:rFonts w:ascii="Times New Roman" w:cs="Times New Roman" w:eastAsia="Times New Roman" w:hAnsi="Times New Roman"/>
          <w:sz w:val="18"/>
          <w:szCs w:val="18"/>
          <w:color w:val="auto"/>
        </w:rPr>
        <w:t xml:space="preserve">. At the time of filing the Registration Statement and any post-effective amendments thereto, at the earliest time thereafter that the Company or another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of the 1933 Act Regulations) of the Offered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75" w:lineRule="exact"/>
        <w:rPr>
          <w:rFonts w:ascii="Times New Roman" w:cs="Times New Roman" w:eastAsia="Times New Roman" w:hAnsi="Times New Roman"/>
          <w:sz w:val="18"/>
          <w:szCs w:val="18"/>
          <w:color w:val="auto"/>
        </w:rPr>
      </w:pPr>
    </w:p>
    <w:p>
      <w:pPr>
        <w:ind w:right="260" w:firstLine="419"/>
        <w:spacing w:after="0" w:line="266" w:lineRule="auto"/>
        <w:tabs>
          <w:tab w:leader="none" w:pos="7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 Status.</w:t>
      </w:r>
      <w:r>
        <w:rPr>
          <w:rFonts w:ascii="Times New Roman" w:cs="Times New Roman" w:eastAsia="Times New Roman" w:hAnsi="Times New Roman"/>
          <w:sz w:val="18"/>
          <w:szCs w:val="18"/>
          <w:color w:val="auto"/>
        </w:rPr>
        <w:t xml:space="preserve"> From the time of the initial filing of the Registration Statement with the Commission through the date hereof, the Company has been and is an “emerging growth company,” as defined in Section 2(a) of the 1933 Act (an “Emerging Growth Company”).</w:t>
      </w:r>
    </w:p>
    <w:p>
      <w:pPr>
        <w:spacing w:after="0" w:line="67" w:lineRule="exact"/>
        <w:rPr>
          <w:rFonts w:ascii="Times New Roman" w:cs="Times New Roman" w:eastAsia="Times New Roman" w:hAnsi="Times New Roman"/>
          <w:sz w:val="18"/>
          <w:szCs w:val="18"/>
          <w:color w:val="auto"/>
        </w:rPr>
      </w:pPr>
    </w:p>
    <w:p>
      <w:pPr>
        <w:ind w:firstLine="419"/>
        <w:spacing w:after="0" w:line="256" w:lineRule="auto"/>
        <w:tabs>
          <w:tab w:leader="none" w:pos="7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Stamp Taxes</w:t>
      </w:r>
      <w:r>
        <w:rPr>
          <w:rFonts w:ascii="Times New Roman" w:cs="Times New Roman" w:eastAsia="Times New Roman" w:hAnsi="Times New Roman"/>
          <w:sz w:val="18"/>
          <w:szCs w:val="18"/>
          <w:color w:val="auto"/>
        </w:rPr>
        <w:t>. Except as described in the Registration Statement or the Prospectus, no stamp duty, stamp duty reserve, registration, stamp or other issuance or transfer taxes or other similar taxes or duties (“Transfer Taxes”) are payable in the U.S. or the United Kingdom by or on behalf of the Underwriters in connection with (i) the issuance and the delivery of the Underlying Shares in the manner contemplated by this Underwriting Agreement, (ii) the deposit with the Depositary or its nominee of the Underlying Shares against issuance by the Depositary of the ADSs, including ADSs evidenced by American Depositary Receipts (“ADRs”) in the manner contemplated by the Deposit Agreement or (iii) the initial sale and delivery by the Underwriters of the ADSs as contemplated herein.</w:t>
      </w:r>
    </w:p>
    <w:p>
      <w:pPr>
        <w:spacing w:after="0" w:line="79" w:lineRule="exact"/>
        <w:rPr>
          <w:rFonts w:ascii="Times New Roman" w:cs="Times New Roman" w:eastAsia="Times New Roman" w:hAnsi="Times New Roman"/>
          <w:sz w:val="18"/>
          <w:szCs w:val="18"/>
          <w:color w:val="auto"/>
        </w:rPr>
      </w:pPr>
    </w:p>
    <w:p>
      <w:pPr>
        <w:ind w:right="320" w:firstLine="419"/>
        <w:spacing w:after="0" w:line="261" w:lineRule="auto"/>
        <w:tabs>
          <w:tab w:leader="none" w:pos="8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 Except as described in each of the Disclosure Package and the Prospectus, all dividends and other distributions declared and payable on the Underlying Shares may, under applicable English law and regulations, be paid to the Depositary in pounds sterling and may be converted into foreign currency that may be transferred out of the United Kingdom in accordance with the Deposit Agreement.</w:t>
      </w:r>
    </w:p>
    <w:p>
      <w:pPr>
        <w:spacing w:after="0" w:line="71"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880" w:top="270" w:right="439" w:bottom="1440" w:gutter="0" w:footer="0" w:header="0"/>
        </w:sectPr>
      </w:pPr>
    </w:p>
    <w:bookmarkStart w:id="9" w:name="page10"/>
    <w:bookmarkEnd w:id="9"/>
    <w:p>
      <w:pPr>
        <w:ind w:left="680" w:hanging="26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Foreign Private Issuer</w:t>
      </w:r>
      <w:r>
        <w:rPr>
          <w:rFonts w:ascii="Times New Roman" w:cs="Times New Roman" w:eastAsia="Times New Roman" w:hAnsi="Times New Roman"/>
          <w:sz w:val="18"/>
          <w:szCs w:val="18"/>
          <w:color w:val="auto"/>
        </w:rPr>
        <w:t>. The Company is a “foreign private issuer” within the meaning of Rule 405 under the 1933 Act.</w:t>
      </w:r>
    </w:p>
    <w:p>
      <w:pPr>
        <w:spacing w:after="0" w:line="117" w:lineRule="exact"/>
        <w:rPr>
          <w:rFonts w:ascii="Times New Roman" w:cs="Times New Roman" w:eastAsia="Times New Roman" w:hAnsi="Times New Roman"/>
          <w:sz w:val="18"/>
          <w:szCs w:val="18"/>
          <w:color w:val="auto"/>
        </w:rPr>
      </w:pPr>
    </w:p>
    <w:p>
      <w:pPr>
        <w:jc w:val="both"/>
        <w:ind w:right="140" w:firstLine="419"/>
        <w:spacing w:after="0" w:line="261" w:lineRule="auto"/>
        <w:tabs>
          <w:tab w:leader="none" w:pos="7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The accountants who certified the audited financial statements of the Company included or incorporated by reference in the Registration Statement, the General Disclosure Package and the Prospectus are an independent registered public accounting firm as required by, and delivered their report thereon in compliance with, the Securities Act and the Public Company Accounting Oversight Board (United States).</w:t>
      </w:r>
    </w:p>
    <w:p>
      <w:pPr>
        <w:spacing w:after="0" w:line="71" w:lineRule="exact"/>
        <w:rPr>
          <w:rFonts w:ascii="Times New Roman" w:cs="Times New Roman" w:eastAsia="Times New Roman" w:hAnsi="Times New Roman"/>
          <w:sz w:val="18"/>
          <w:szCs w:val="18"/>
          <w:color w:val="auto"/>
        </w:rPr>
      </w:pPr>
    </w:p>
    <w:p>
      <w:pPr>
        <w:ind w:firstLine="419"/>
        <w:spacing w:after="0" w:line="254" w:lineRule="auto"/>
        <w:tabs>
          <w:tab w:leader="none" w:pos="7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consolidated financial statements of the Company included or incorporated by reference in the Registration Statement, the General Disclosure Package and the Prospectus, together with the related notes, comply as to form in all material respects with Regulation S-X under the Securities Act and present fairly, in all material respects, the financial position of the Company and its consolidated Subsidiaries (as defined below) at the dates indicated and the results of operations and cash flows of the Company and its consolidated Subsidiaries for the periods specified; said financial statements have been prepared in conformity with International Financial Reporting Standards as issued by the International Accounting Standards Board (“IFRS”) applied on a consistent basis throughout the periods involved except as may be expressly stated in the related notes thereto. The interactive data in eXtensible Business Reporting Language incorporated by reference in the Registration Statement and the Prospectus fairly presents the information called for in all material respects and has been prepared in accordance with the Commission’s rules and guidelines applicable thereto.</w:t>
      </w:r>
    </w:p>
    <w:p>
      <w:pPr>
        <w:spacing w:after="0" w:line="80" w:lineRule="exact"/>
        <w:rPr>
          <w:rFonts w:ascii="Times New Roman" w:cs="Times New Roman" w:eastAsia="Times New Roman" w:hAnsi="Times New Roman"/>
          <w:sz w:val="18"/>
          <w:szCs w:val="18"/>
          <w:color w:val="auto"/>
        </w:rPr>
      </w:pPr>
    </w:p>
    <w:p>
      <w:pPr>
        <w:ind w:right="40" w:firstLine="419"/>
        <w:spacing w:after="0" w:line="261" w:lineRule="auto"/>
        <w:tabs>
          <w:tab w:leader="none" w:pos="8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the Sarbanes-Oxley Act of 2002</w:t>
      </w:r>
      <w:r>
        <w:rPr>
          <w:rFonts w:ascii="Times New Roman" w:cs="Times New Roman" w:eastAsia="Times New Roman" w:hAnsi="Times New Roman"/>
          <w:sz w:val="18"/>
          <w:szCs w:val="18"/>
          <w:color w:val="auto"/>
        </w:rPr>
        <w:t>. There is and has been no failure on the part of the Company or any of the Company’s directors or officers, in their capacities as such, to comply in all material respects with any applicable provision of the Sarbanes-Oxley Act of 2002 and the rules and regulations promulgated in connection therewith, including Section 402 related to loans and Sections 302 and 906 related to certifications.</w:t>
      </w:r>
    </w:p>
    <w:p>
      <w:pPr>
        <w:spacing w:after="0" w:line="71" w:lineRule="exact"/>
        <w:rPr>
          <w:rFonts w:ascii="Times New Roman" w:cs="Times New Roman" w:eastAsia="Times New Roman" w:hAnsi="Times New Roman"/>
          <w:sz w:val="18"/>
          <w:szCs w:val="18"/>
          <w:color w:val="auto"/>
        </w:rPr>
      </w:pPr>
    </w:p>
    <w:p>
      <w:pPr>
        <w:ind w:firstLine="419"/>
        <w:spacing w:after="0" w:line="254" w:lineRule="auto"/>
        <w:tabs>
          <w:tab w:leader="none" w:pos="8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(a “Material Adverse Effect”), (B) there have been no transactions entered into by the Company or any of its Subsidiaries, other than those in the ordinary course of business, which are material with respect to the Company and its Subsidiaries considered as one enterprise, (C) there have been no material liabilities or obligations, direct or contingent, entered into by the Company or any of its Subsidiaries and (D) there has been no dividend or distribution of any kind declared, paid or made by the Company on any class of its capital stock.</w:t>
      </w:r>
    </w:p>
    <w:p>
      <w:pPr>
        <w:spacing w:after="0" w:line="83" w:lineRule="exact"/>
        <w:rPr>
          <w:rFonts w:ascii="Times New Roman" w:cs="Times New Roman" w:eastAsia="Times New Roman" w:hAnsi="Times New Roman"/>
          <w:sz w:val="18"/>
          <w:szCs w:val="18"/>
          <w:color w:val="auto"/>
        </w:rPr>
      </w:pPr>
    </w:p>
    <w:p>
      <w:pPr>
        <w:ind w:right="160" w:firstLine="419"/>
        <w:spacing w:after="0" w:line="255" w:lineRule="auto"/>
        <w:tabs>
          <w:tab w:leader="none" w:pos="7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w:t>
      </w:r>
      <w:r>
        <w:rPr>
          <w:rFonts w:ascii="Times New Roman" w:cs="Times New Roman" w:eastAsia="Times New Roman" w:hAnsi="Times New Roman"/>
          <w:sz w:val="18"/>
          <w:szCs w:val="18"/>
          <w:color w:val="auto"/>
        </w:rPr>
        <w:t>. The Company has been duly incorporated and is validly existing as a public limited company under the laws of England and Wales and has corporate or similar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(to the extent such concept applies) in each other jurisdiction in which such qualification is required, whether by reason of the ownership or leasing of property or the conduct of business, except where the failure to be so qualified or to be in good standing would not reasonably be expected to result in a Material Adverse Effect.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10" w:name="page11"/>
    <w:bookmarkEnd w:id="10"/>
    <w:p>
      <w:pPr>
        <w:ind w:right="120" w:firstLine="419"/>
        <w:spacing w:after="0" w:line="253" w:lineRule="auto"/>
        <w:tabs>
          <w:tab w:leader="none" w:pos="8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Good Standing of the Company’s Subsidiaries</w:t>
      </w:r>
      <w:r>
        <w:rPr>
          <w:rFonts w:ascii="Times New Roman" w:cs="Times New Roman" w:eastAsia="Times New Roman" w:hAnsi="Times New Roman"/>
          <w:sz w:val="18"/>
          <w:szCs w:val="18"/>
          <w:color w:val="auto"/>
        </w:rPr>
        <w:t>. Each subsidiary of the Company (each, a “Subsidiary” and, collectively, the “Subsidiaries”) has been duly organized and is validly existing in good standing (to the extent such concept applies) under the laws of the jurisdiction of its incorporation or organization, has corporate or similar power and authority to own, lease and operate its properties and to conduct its business as described in the Registration Statement, the General Disclosure Package and the Prospectus and is duly qualified to transact business and is in good standing (to the extent such concept applies) in each jurisdiction in which such qualification is required, whether by reason of the ownership or leasing of property or the conduct of business, except where the failure to be so qualified or to be in good standing (to the extent such concept applies) would not reasonably be expected to result in a Material Adverse Effect. Except as otherwise disclosed in the Registration Statement, the General Disclosure Package and the Prospectus, all of the issued and outstanding capital stock of each Subsidiary has been duly authorized and validly issued, is fully paid and non-assessable (to the extent such concept applies) and is owned by the Company, directly or through Subsidiaries, free and clear of any security interest, mortgage, pledge, lien, encumbrance, claim or equity. None of the outstanding shares of capital stock of any Subsidiary was issued in violation of the preemptive or similar rights of any securityholder of such Subsidiary. The only Subsidiaries of the Company are the entities listed on Exhibit 8.1 to the Form 20-F.</w:t>
      </w:r>
    </w:p>
    <w:p>
      <w:pPr>
        <w:spacing w:after="0" w:line="81" w:lineRule="exact"/>
        <w:rPr>
          <w:rFonts w:ascii="Times New Roman" w:cs="Times New Roman" w:eastAsia="Times New Roman" w:hAnsi="Times New Roman"/>
          <w:sz w:val="18"/>
          <w:szCs w:val="18"/>
          <w:color w:val="auto"/>
        </w:rPr>
      </w:pPr>
    </w:p>
    <w:p>
      <w:pPr>
        <w:ind w:left="860" w:hanging="441"/>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140" w:firstLine="7"/>
        <w:spacing w:after="0" w:line="258" w:lineRule="auto"/>
        <w:tabs>
          <w:tab w:leader="none" w:pos="78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share capital of the Company is as set forth in the Registration Statement and the Prospectus. The issued and outstanding Ordinary Shares of the Company have been duly authorized and are validly issued and fully paid and no further contribution of capital in respect of such Ordinary Shares will be required to be made to the Company by the holders of such shares by reason solely of them being such holders. None of the issued and outstanding Ordinary Shares of the Company was issued in violation of the preemptive or other similar rights of any securityholder of the Company.</w:t>
      </w:r>
    </w:p>
    <w:p>
      <w:pPr>
        <w:spacing w:after="0" w:line="75" w:lineRule="exact"/>
        <w:rPr>
          <w:rFonts w:ascii="Times New Roman" w:cs="Times New Roman" w:eastAsia="Times New Roman" w:hAnsi="Times New Roman"/>
          <w:sz w:val="18"/>
          <w:szCs w:val="18"/>
          <w:color w:val="auto"/>
        </w:rPr>
      </w:pPr>
    </w:p>
    <w:p>
      <w:pPr>
        <w:ind w:left="540" w:firstLine="7"/>
        <w:spacing w:after="0" w:line="252" w:lineRule="auto"/>
        <w:tabs>
          <w:tab w:leader="none" w:pos="79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Shares may be issued to the Depositary’s custodian or its nominee against payment therefor to the Company following which the Depositary will issue ADSs (or ADRs evidencing ADSs) against the deposit of Underlying Shares and at the time of issue such issuance of Underlying Shares will be within all authorizations of the directors for the issuance of Ordinary Shares under the Companies Act 2006 (the “CA 2006”). Upon due issuance by the Depositary of the ADSs against the deposit of the Underlying Shares in respect thereof in accordance with the provisions of the Deposit Agreement, such ADSs will be duly and validly issued and the persons in whose names the ADSs are registered will be entitled to the rights specified therein and in the Deposit Agreement. Except as disclosed in the Registration Statement, the allotment and issue of the Ordinary Shares in the form of ADSs by the Company and the deposit of the Underlying Shares with the Depositary or its nominee and the issuance of the ADSs evidencing such Ordinary Shares as contemplated by this Agreement and the Deposit Agreement will not trigger any anti-dilution rights of any holder of any Ordinary Shares or ADSs, securities convertible into or exchangeable or exercisable for Ordinary Shares or ADSs or options, warrants or other rights to purchase Ordinary Shares or ADSs or any other securities of the Company with respect to such Ordinary Shares, ADSs, securities, options, warrants or rights, save for any rights of preemption under the CA 2006 that will, at the time of allotment of the relevant Underlying Shares, have been validly waived or disapplied. The Deposit Agreement and the ADRs evidencing ADSs (if any) or ADSs conform in all material respects to each description thereof in the Registration Statement and the Prospectus. Each holder of ADSs and, to the extent applicable, ADRs issued pursuant to the Deposit Agreement shall be entitled, subject to the Deposit Agreement, to seek enforcement of its rights through the Depositary or its nominee registered as a representative of the holders of the ADSs and ADRs, as applicable, in a direct suit, action or proceeding against the Company.</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1" w:name="page12"/>
    <w:bookmarkEnd w:id="11"/>
    <w:p>
      <w:pPr>
        <w:ind w:left="920" w:hanging="501"/>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Authorization of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right="40" w:firstLine="419"/>
        <w:spacing w:after="0" w:line="254" w:lineRule="auto"/>
        <w:tabs>
          <w:tab w:leader="none" w:pos="8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Securities</w:t>
      </w:r>
      <w:r>
        <w:rPr>
          <w:rFonts w:ascii="Times New Roman" w:cs="Times New Roman" w:eastAsia="Times New Roman" w:hAnsi="Times New Roman"/>
          <w:sz w:val="18"/>
          <w:szCs w:val="18"/>
          <w:color w:val="auto"/>
        </w:rPr>
        <w:t>. The Company and its directors have authorized the allotment and issuance of the Underlying Shares, to be delivered on the Date of Delivery pursuant to this Agreement and no further sanction or consent by any security holder of the Company (including under section 551 of the CA 2006) is required in connection therewith and, when such Underlying Shares are issued and allotted by the Company to the Depositary’s custodian (or its nominee) and the ADSs are issued and delivered pursuant to the Deposit Agreement against payment of the consideration therefor, those ADSs (and the Underlying Shares) will be validly issued and fully paid without any encumbrance; and on the Date of Delivery, the issuance of the relevant Underlying Shares will not be subject to the preemptive or other similar rights of any securityholder of the Company, or any such rights will have been validly disapplied. The Underlying Shares will conform in all material respects to all statements relating thereto contained in the Registration Statement and the Prospectus and such description conforms in all material respects to the rights set forth in the instruments defining the same.</w:t>
      </w:r>
    </w:p>
    <w:p>
      <w:pPr>
        <w:spacing w:after="0" w:line="80" w:lineRule="exact"/>
        <w:rPr>
          <w:rFonts w:ascii="Times New Roman" w:cs="Times New Roman" w:eastAsia="Times New Roman" w:hAnsi="Times New Roman"/>
          <w:sz w:val="18"/>
          <w:szCs w:val="18"/>
          <w:color w:val="auto"/>
        </w:rPr>
      </w:pPr>
    </w:p>
    <w:p>
      <w:pPr>
        <w:ind w:right="80" w:firstLine="419"/>
        <w:spacing w:after="0" w:line="253" w:lineRule="auto"/>
        <w:tabs>
          <w:tab w:leader="none" w:pos="7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Deposit Agreement</w:t>
      </w:r>
      <w:r>
        <w:rPr>
          <w:rFonts w:ascii="Times New Roman" w:cs="Times New Roman" w:eastAsia="Times New Roman" w:hAnsi="Times New Roman"/>
          <w:sz w:val="18"/>
          <w:szCs w:val="18"/>
          <w:color w:val="auto"/>
        </w:rPr>
        <w:t>. The Deposit Agreement has been duly authorized, executed and delivered by the Company and, assuming due authorization, execution and delivery by the Depositary, constitutes a valid and legally binding obligation of the Company, enforceable in accordance with its terms, except as rights to indemnification thereunder may be limited by applicable law and public policy considerations, and subject, as to enforceability, to bankruptcy, insolvency, reorganization, moratorium and similar laws of general applicability relating to or affecting creditors’ rights and to general equity principles; upon due issuance by the Depositary of the ADSs against the deposit of the Underlying Shares in respect thereof in accordance with the provisions of the Deposit Agreement, such ADSs will be duly and validly issued, and the persons in whose names the ADSs are registered will be entitled to the rights specified therein, respectively, and in the Deposit Agreement; and the Deposit Agreement and the ADSs conform in all material respects to the descriptions thereof contained in the Registration Statement, the General Disclosure Package and the Prospectus. There has been no change in the Company’s agreement with the Depositary in connection with any pre-release of the Company’s ADSs and no such change is currently contemplated.</w:t>
      </w:r>
    </w:p>
    <w:p>
      <w:pPr>
        <w:spacing w:after="0" w:line="86" w:lineRule="exact"/>
        <w:rPr>
          <w:rFonts w:ascii="Times New Roman" w:cs="Times New Roman" w:eastAsia="Times New Roman" w:hAnsi="Times New Roman"/>
          <w:sz w:val="18"/>
          <w:szCs w:val="18"/>
          <w:color w:val="auto"/>
        </w:rPr>
      </w:pPr>
    </w:p>
    <w:p>
      <w:pPr>
        <w:ind w:right="160" w:firstLine="419"/>
        <w:spacing w:after="0" w:line="261" w:lineRule="auto"/>
        <w:tabs>
          <w:tab w:leader="none" w:pos="8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and have been waived.</w:t>
      </w:r>
    </w:p>
    <w:p>
      <w:pPr>
        <w:spacing w:after="0" w:line="71" w:lineRule="exact"/>
        <w:rPr>
          <w:rFonts w:ascii="Times New Roman" w:cs="Times New Roman" w:eastAsia="Times New Roman" w:hAnsi="Times New Roman"/>
          <w:sz w:val="18"/>
          <w:szCs w:val="18"/>
          <w:color w:val="auto"/>
        </w:rPr>
      </w:pPr>
    </w:p>
    <w:p>
      <w:pPr>
        <w:ind w:firstLine="419"/>
        <w:spacing w:after="0" w:line="256" w:lineRule="auto"/>
        <w:tabs>
          <w:tab w:leader="none" w:pos="8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Defaults and Conflicts</w:t>
      </w:r>
      <w:r>
        <w:rPr>
          <w:rFonts w:ascii="Times New Roman" w:cs="Times New Roman" w:eastAsia="Times New Roman" w:hAnsi="Times New Roman"/>
          <w:sz w:val="18"/>
          <w:szCs w:val="18"/>
          <w:color w:val="auto"/>
        </w:rPr>
        <w:t>. Neither the Company nor any Subsidiary is (A) in violation of its charter, articles of association,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Subsidiary is a party or by which either of them may be bound or to which any of the properties or assets of the Company or any Subsidiary is subject (collectively, “</w:t>
      </w:r>
      <w:r>
        <w:rPr>
          <w:rFonts w:ascii="Times New Roman" w:cs="Times New Roman" w:eastAsia="Times New Roman" w:hAnsi="Times New Roman"/>
          <w:sz w:val="18"/>
          <w:szCs w:val="18"/>
          <w:u w:val="single" w:color="auto"/>
          <w:color w:val="auto"/>
        </w:rPr>
        <w:t>Agreements and Instruments</w:t>
      </w:r>
      <w:r>
        <w:rPr>
          <w:rFonts w:ascii="Times New Roman" w:cs="Times New Roman" w:eastAsia="Times New Roman" w:hAnsi="Times New Roman"/>
          <w:sz w:val="18"/>
          <w:szCs w:val="18"/>
          <w:color w:val="auto"/>
        </w:rPr>
        <w:t>”), or (C) in violation of any applicable law, statute, rule, regulation, judgment, order, writ or decree of any arbitrator, court,</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0"/>
          </w:cols>
          <w:pgMar w:left="880" w:top="270" w:right="479" w:bottom="1440" w:gutter="0" w:footer="0" w:header="0"/>
        </w:sectPr>
      </w:pPr>
    </w:p>
    <w:bookmarkStart w:id="12" w:name="page13"/>
    <w:bookmarkEnd w:id="1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governmental body, regulatory body, administrative agency or other authority, body or agency having jurisdiction over the Company or its Subsidiaries or any of their respective properties, assets or operations (each, a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except in the case of each of (B) and (C) above, for such defaults or violations that would not, singly or in the aggregate, reasonably be expected to result in a Material Adverse Effect. The execution, delivery and performance of this Agreement and the performance of the Deposit Agreement and the consummation of the transactions contemplated herein or therein and in the Registration Statement, the General Disclosure Package and the Prospectus (including the allotment and issuance of the Offered Securities and deposit with the Depositary or its nominee of the Underlying Shares represented by the ADSs and the use of the proceeds from the sale of the Offered Securities as described therein under the caption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and compliance by the Company with its obligations hereunder have been duly authorized by all necessary corporate action by the Company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its Subsidiaries pursuant to, the Agreements and Instruments (except for such conflicts, breaches, defaults or Repayment Events or liens, charges or encumbrances that would not, singly or in the aggregate, result in a Material Adverse Effect), nor will such action result in any violation of the provisions of the charter, by-laws or similar organizational document of the Company or its Subsidiaries or any law, statute, rule, regulation, judgment, order, writ or decree of any Governmental Entity.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its Subsidiaries.</w:t>
      </w:r>
    </w:p>
    <w:p>
      <w:pPr>
        <w:spacing w:after="0" w:line="87" w:lineRule="exact"/>
        <w:rPr>
          <w:sz w:val="20"/>
          <w:szCs w:val="20"/>
          <w:color w:val="auto"/>
        </w:rPr>
      </w:pPr>
    </w:p>
    <w:p>
      <w:pPr>
        <w:ind w:left="920" w:hanging="501"/>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ADSs have been approved for listing on the Nasdaq Global Market, subject to notice of issuance.</w:t>
      </w:r>
    </w:p>
    <w:p>
      <w:pPr>
        <w:spacing w:after="0" w:line="117" w:lineRule="exact"/>
        <w:rPr>
          <w:rFonts w:ascii="Times New Roman" w:cs="Times New Roman" w:eastAsia="Times New Roman" w:hAnsi="Times New Roman"/>
          <w:sz w:val="18"/>
          <w:szCs w:val="18"/>
          <w:color w:val="auto"/>
        </w:rPr>
      </w:pPr>
    </w:p>
    <w:p>
      <w:pPr>
        <w:ind w:right="60" w:firstLine="419"/>
        <w:spacing w:after="0" w:line="261" w:lineRule="auto"/>
        <w:tabs>
          <w:tab w:leader="none" w:pos="9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Labor Dispute</w:t>
      </w:r>
      <w:r>
        <w:rPr>
          <w:rFonts w:ascii="Times New Roman" w:cs="Times New Roman" w:eastAsia="Times New Roman" w:hAnsi="Times New Roman"/>
          <w:sz w:val="18"/>
          <w:szCs w:val="18"/>
          <w:color w:val="auto"/>
        </w:rPr>
        <w:t>. No labor dispute with the employees of the Company or its Subsidiaries exists or, to the knowledge of the Company, is imminent, and the Company is not aware of any existing or imminent labor disturbance by the employees of any of its or its Subsidiaries’ principal suppliers, manufacturers, customers or contractors, which, in either case, would reasonably be expected to result in a Material Adverse Effect.</w:t>
      </w:r>
    </w:p>
    <w:p>
      <w:pPr>
        <w:spacing w:after="0" w:line="71" w:lineRule="exact"/>
        <w:rPr>
          <w:rFonts w:ascii="Times New Roman" w:cs="Times New Roman" w:eastAsia="Times New Roman" w:hAnsi="Times New Roman"/>
          <w:sz w:val="18"/>
          <w:szCs w:val="18"/>
          <w:color w:val="auto"/>
        </w:rPr>
      </w:pPr>
    </w:p>
    <w:p>
      <w:pPr>
        <w:ind w:right="20" w:firstLine="419"/>
        <w:spacing w:after="0" w:line="256" w:lineRule="auto"/>
        <w:tabs>
          <w:tab w:leader="none" w:pos="8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Monitoring Agreements</w:t>
      </w:r>
      <w:r>
        <w:rPr>
          <w:rFonts w:ascii="Times New Roman" w:cs="Times New Roman" w:eastAsia="Times New Roman" w:hAnsi="Times New Roman"/>
          <w:sz w:val="18"/>
          <w:szCs w:val="18"/>
          <w:color w:val="auto"/>
        </w:rPr>
        <w:t>. Neither the Company nor any of its Subsidiaries is a party to any corporate integrity agreements, monitoring agreements, consent decrees, settlement orders, or similar agreements with or imposed by any governmental or regulatory authority. The Company and each of its Subsidiaries is in compliance with all applicable U.S. or non-U.S. laws, rules, regulations, orders and decrees governing its business and the regulation of pharmaceuticals or biohazardous substances or materials, including without limitation the U.S. federal Food, Drug and Cosmetic Act, U.S. data privacy and securities laws and U.S. health care fraud and abuse laws, except where noncompliance would not, individually or in the aggregate, reasonably be expected to have a Material Adverse Effect.</w:t>
      </w:r>
    </w:p>
    <w:p>
      <w:pPr>
        <w:spacing w:after="0" w:line="79" w:lineRule="exact"/>
        <w:rPr>
          <w:rFonts w:ascii="Times New Roman" w:cs="Times New Roman" w:eastAsia="Times New Roman" w:hAnsi="Times New Roman"/>
          <w:sz w:val="18"/>
          <w:szCs w:val="18"/>
          <w:color w:val="auto"/>
        </w:rPr>
      </w:pPr>
    </w:p>
    <w:p>
      <w:pPr>
        <w:ind w:firstLine="419"/>
        <w:spacing w:after="0" w:line="266" w:lineRule="auto"/>
        <w:tabs>
          <w:tab w:leader="none" w:pos="9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Exhibits.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3" w:name="page14"/>
    <w:bookmarkEnd w:id="13"/>
    <w:p>
      <w:pPr>
        <w:ind w:right="100" w:firstLine="419"/>
        <w:spacing w:after="0" w:line="277" w:lineRule="auto"/>
        <w:tabs>
          <w:tab w:leader="none" w:pos="95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Absence of Further Requirements</w:t>
      </w:r>
      <w:r>
        <w:rPr>
          <w:rFonts w:ascii="Times New Roman" w:cs="Times New Roman" w:eastAsia="Times New Roman" w:hAnsi="Times New Roman"/>
          <w:sz w:val="17"/>
          <w:szCs w:val="17"/>
          <w:color w:val="auto"/>
        </w:rPr>
        <w:t>. No filing with, or authorization, approval, consent, license, order, registration, qualification or decree of, any Governmental Entity is necessary or required for the performance by the Company of its obligations hereunder, in connection with the offering, allotment or issuance of the Offered Securities or the issuance and deposit with the Depositary or its nominee of the Underlying Shares hereunder or the consummation of the transactions contemplated by this Agreement, except such as have been already obtained or as may be required under the 1933 Act, the 1933 Act Regulations, the rules of the Nasdaq Global Market, state securities laws or the rules of FINRA.</w:t>
      </w:r>
    </w:p>
    <w:p>
      <w:pPr>
        <w:spacing w:after="0" w:line="59" w:lineRule="exact"/>
        <w:rPr>
          <w:rFonts w:ascii="Times New Roman" w:cs="Times New Roman" w:eastAsia="Times New Roman" w:hAnsi="Times New Roman"/>
          <w:sz w:val="17"/>
          <w:szCs w:val="17"/>
          <w:color w:val="auto"/>
        </w:rPr>
      </w:pPr>
    </w:p>
    <w:p>
      <w:pPr>
        <w:ind w:firstLine="419"/>
        <w:spacing w:after="0" w:line="252" w:lineRule="auto"/>
        <w:tabs>
          <w:tab w:leader="none" w:pos="10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The Company and each of its Subsidiaries possess all licenses, certificates, authorizations and permits issued by, and has made all declarations and filings with, the appropriate U.S. or non-U.S. governmental or regulatory authorities of competent jurisdiction (including, without limitation, the FDA, the EMA or comparable U.S. or non-U.S. governmental authorities of competent jurisdiction) that are necessary for the ownership or lease of their respective properties or the conduct of their respective businesses as described in the Registration Statement and the Prospectus (collectively, the “Governmental Permits”), except where any failures to possess or make the same would not, individually or in the aggregate, reasonably be expected to have a Material Adverse Effect. The Company and its Subsidiaries are in compliance with all such Governmental Permits, and all such Governmental Permits are valid and in full force and effect, except where such non-compliance, invalidity or failure to be in full force and effect would not reasonably be expected, individually or in the aggregate, to have a Material Adverse Effect. Neither the Company nor any Subsidiary has received written notification of any revocation, modification, suspension, termination or invalidation (or proceedings related thereto) of any such Governmental Permit and the Company has no knowledge that any such Governmental Permit requiring renewal will not be renewed, except where any revocation, modification, suspension, termination or invalidation (or proceedings related thereto) would not, individually or in the aggregate, reasonably be expected to have a Material Adverse Effect. The Company and each of its Subsidiaries have filed, obtained, maintained or submitted all material reports, documents, forms, notices, applications, records, claims, submissions and supplements or amendments as required by any applicable laws or Governmental Permits, and all such material reports, documents, forms, notices, applications, records, claims, submissions and supplements or amendments were complete and accurate on the date filed in all material respects (or were materially corrected or supplemented by a subsequent submission), except where the failure to so file, obtain, maintain or submit, or such incompleteness or inaccuracy, would not reasonably be expected to have a Material Adverse Effect.</w:t>
      </w:r>
    </w:p>
    <w:p>
      <w:pPr>
        <w:spacing w:after="0" w:line="85" w:lineRule="exact"/>
        <w:rPr>
          <w:rFonts w:ascii="Times New Roman" w:cs="Times New Roman" w:eastAsia="Times New Roman" w:hAnsi="Times New Roman"/>
          <w:sz w:val="18"/>
          <w:szCs w:val="18"/>
          <w:color w:val="auto"/>
        </w:rPr>
      </w:pPr>
    </w:p>
    <w:p>
      <w:pPr>
        <w:ind w:right="40" w:firstLine="419"/>
        <w:spacing w:after="0" w:line="253" w:lineRule="auto"/>
        <w:tabs>
          <w:tab w:leader="none" w:pos="9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Studies and Trials</w:t>
      </w:r>
      <w:r>
        <w:rPr>
          <w:rFonts w:ascii="Times New Roman" w:cs="Times New Roman" w:eastAsia="Times New Roman" w:hAnsi="Times New Roman"/>
          <w:sz w:val="18"/>
          <w:szCs w:val="18"/>
          <w:color w:val="auto"/>
        </w:rPr>
        <w:t>. The studies, tests and preclinical studies or clinical trials conducted by or on behalf of the Company and its Subsidiaries that are described in the General Disclosure Package and the Prospectus (the “Company Studies and Trials”) were and, if still pending, are being conducted, to the Company’s knowledge, in all material respects in accordance with applicable laws and regulations; the descriptions of the results of the Company Studies and Trials contained in the Registration Statement, General Disclosure Package and the Prospectus are, to the Company’s knowledge, accurate in all material respects; except to the extent disclosed in the Registration Statement, General Disclosure Package and the Prospectus, the Company has no knowledge of any other studies or trials not described in the General Disclosure Package and the Prospectus, the results of which materially call into question the results described or referred to in the General Disclosure Package and the Prospectus when viewed in the context in which such results are described and the clinical state of development; and except to the extent disclosed in the Registration Statement, General Disclosure Package and the Prospectus, the Company has not received any written notices or correspondence from the FDA, the EMA or comparable U.S. or non-U.S. governmental authorities of competent jurisdiction requiring the termination, suspension or material modification of any Company Studies and Trials where such termination, suspension or material modification would reasonably be expected to have a Material</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4" w:name="page15"/>
    <w:bookmarkEnd w:id="14"/>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Adverse Effect. Neither the Company, nor its Subsidiaries nor to the Company’s knowledge, any of their respective directors, officers, employees or agents is debarred, suspended or excluded, or has been convicted of any crime that would result in a debarment, suspension or exclusion from any U.S. federal or state government health care program or human clinical research.</w:t>
      </w:r>
    </w:p>
    <w:p>
      <w:pPr>
        <w:spacing w:after="0" w:line="68" w:lineRule="exact"/>
        <w:rPr>
          <w:sz w:val="20"/>
          <w:szCs w:val="20"/>
          <w:color w:val="auto"/>
        </w:rPr>
      </w:pPr>
    </w:p>
    <w:p>
      <w:pPr>
        <w:ind w:left="4" w:right="40" w:firstLine="419"/>
        <w:spacing w:after="0" w:line="266" w:lineRule="auto"/>
        <w:tabs>
          <w:tab w:leader="none" w:pos="8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Relationships</w:t>
      </w:r>
      <w:r>
        <w:rPr>
          <w:rFonts w:ascii="Times New Roman" w:cs="Times New Roman" w:eastAsia="Times New Roman" w:hAnsi="Times New Roman"/>
          <w:sz w:val="18"/>
          <w:szCs w:val="18"/>
          <w:color w:val="auto"/>
        </w:rPr>
        <w:t>. No relationship, direct or indirect, exists between or among the Company, on the one hand, and the directors, officers, shareholders, customers or suppliers of the Company, on the other hand, that is required to be described in the Registration Statement, the General Disclosure Package or the Prospectus which is not so described.</w:t>
      </w:r>
    </w:p>
    <w:p>
      <w:pPr>
        <w:spacing w:after="0" w:line="67"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91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The Company and its Subsidiaries do not own any real property and any material real property and buildings held under lease by the Company and its Subsidiaries is held by them under valid, subsisting and enforceable leases with such exceptions as are not material and do not materially interfere with the use made and proposed to be made of such property by the Company and its Subsidiaries. The Company and its Subsidiaries have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 (B) would not, individually or in the aggregate, reasonably be expected to have a Material Adverse Effect; and all of the leases and subleases material to the business of the Company or its Subsidiaries, considered as one enterprise, and under which the Company and its Subsidiaries holds properties described in the Registration Statement, the General Disclosure Package or the Prospectus,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81" w:lineRule="exact"/>
        <w:rPr>
          <w:rFonts w:ascii="Times New Roman" w:cs="Times New Roman" w:eastAsia="Times New Roman" w:hAnsi="Times New Roman"/>
          <w:sz w:val="18"/>
          <w:szCs w:val="18"/>
          <w:color w:val="auto"/>
        </w:rPr>
      </w:pPr>
    </w:p>
    <w:p>
      <w:pPr>
        <w:ind w:left="4" w:right="80" w:firstLine="419"/>
        <w:spacing w:after="0" w:line="276" w:lineRule="auto"/>
        <w:tabs>
          <w:tab w:leader="none" w:pos="961"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Title to Intellectual Property; Privacy and Data Protection</w:t>
      </w:r>
      <w:r>
        <w:rPr>
          <w:rFonts w:ascii="Times New Roman" w:cs="Times New Roman" w:eastAsia="Times New Roman" w:hAnsi="Times New Roman"/>
          <w:sz w:val="17"/>
          <w:szCs w:val="17"/>
          <w:color w:val="auto"/>
        </w:rPr>
        <w:t>. Except as disclosed in the Registration Statement, the General Disclosure Package or the Prospectus, and except as would not individually or in the aggregate reasonably be expected to have a Material Adverse Effect,</w:t>
      </w:r>
    </w:p>
    <w:p>
      <w:pPr>
        <w:ind w:left="4" w:right="340" w:hanging="4"/>
        <w:spacing w:after="0" w:line="250" w:lineRule="auto"/>
        <w:tabs>
          <w:tab w:leader="none" w:pos="2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solely owns or otherwise possesses the valid right to use all (A) patents, patent applications, trademarks, trademark registrations, service marks, service mark registrations, Internet domain name registrations, copyrights, copyright registrations, licenses and trade secret rights and (B) inventions, software, works of authorships, trademarks, service marks, trade names, databases, formulae, know how, Internet domain names and all other intellectual property (including trade secrets and other unpatented and/or unpatentable proprietary confidential information, systems, or procedures) and all rights associated with any of the foregoing ((A) and</w:t>
      </w:r>
    </w:p>
    <w:p>
      <w:pPr>
        <w:spacing w:after="0" w:line="1"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collectively, “Intellectual Property Rights”) that are necessary to conduct their respective businesses as currently conducted, or otherwise used or held for use in, their respective businesses as currently conducted, and as proposed to be conducted as described in the Registration Statement, the General Disclosure Package or the Prospectus, (ii) the Company’s and its respective Subsidiaries’ businesses as now conducted and as proposed to be conducted as described in the Registration Statement, General Disclosure Package or the Prospectus do not and will not give rise to any infringement of, any misappropriation of, or other violation of, any valid and enforceable Intellectual Property Rights of any other person, and neither the Company nor any of its respective Subsidiaries has in the past three (3) years infringed, misappropriated, or otherwise violated, any Intellectual Property Rights of any other person, (iii) there are no third parties who have any rights to the Intellectual Property Rights described in the Registration Statement, the General Disclosure Package or the Prospectus as being owned by or exclusively licensed to the Company or any of its Subsidiaries (collectively, “Company Intellectual Property Rights”), including no liens, security</w:t>
      </w:r>
    </w:p>
    <w:p>
      <w:pPr>
        <w:spacing w:after="0" w:line="12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4"/>
          </w:cols>
          <w:pgMar w:left="876" w:top="270" w:right="459" w:bottom="1440" w:gutter="0" w:footer="0" w:header="0"/>
        </w:sectPr>
      </w:pPr>
    </w:p>
    <w:bookmarkStart w:id="15" w:name="page16"/>
    <w:bookmarkEnd w:id="15"/>
    <w:p>
      <w:pPr>
        <w:ind w:left="4" w:right="6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interests, or other encumbrances, except for customary reversionary rights of third-party licensors with respect to Intellectual Property Rights that are disclosed as licensed to the Company or one or more of its Subsidiaries and non-exclusive licenses of Intellectual Property Rights granted by the Company or its Subsidiaries in the ordinary course of business, (iv), to the Company’s knowledge, there is no infringement, misappropriation or other violation by third parties of any Company Owned IP (as defined below), (v) there is no pending, and neither the Company nor or any of its Subsidiaries has received written notice of any threatened, action, suit, proceeding, or claim against the Company or any of its Subsidiaries</w:t>
      </w:r>
    </w:p>
    <w:p>
      <w:pPr>
        <w:spacing w:after="0" w:line="3" w:lineRule="exact"/>
        <w:rPr>
          <w:sz w:val="20"/>
          <w:szCs w:val="20"/>
          <w:color w:val="auto"/>
        </w:rPr>
      </w:pPr>
    </w:p>
    <w:p>
      <w:pPr>
        <w:ind w:left="4" w:hanging="4"/>
        <w:spacing w:after="0" w:line="251" w:lineRule="auto"/>
        <w:tabs>
          <w:tab w:leader="none" w:pos="29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alleging the infringement, misappropriation or other violation by the Company or any of its Subsidiaries of any Intellectual Property Right of any person; or (B) challenging the ownership, validity, enforceability, patentability or scope of any Company Intellectual Property Rights or other Intellectual Property Rights owned by, or to the Company’s knowledge, exclusively licensed to the Company or any of its Subsidiaries (collectively, “Company Owned IP”), including no interferences, oppositions, reexaminations, or government proceedings, and the Company is unaware of any facts which would form a reasonable basis for any such action, suit, proceeding, or claim, (vi) the Company and its Subsidiaries maintain commercially reasonable policies and procedures designed to protect the security, integrity and privacy of personally identifiable information (“Protected Information”), as defined under any applicable law and have taken all reasonable steps to protect, maintain and safeguard the confidentiality of any confidential Company Owned IP, including the execution of appropriate nondisclosure and confidentiality agreements with their employees, (vii) the Company and its Subsidiaries are presently and were in the past three (3) years in compliance in all material respects with all applicable U.S. and/or non-U.S. laws relating to privacy, data protection, or the collection and use of personal information collected, used, or held for use by the Company or any of its Subsidiaries in the conduct of their respective businesses there has been no unauthorized access to, or any unauthorized use, disclosure, losses or theft of, or security breaches relating to, any Protected Information received, or transmitted by, or in the possession, custody or control of the Company or any of its Subsidiaries business, (viii) no claims have been asserted or threatened in writing against the Company or any of its Subsidiaries alleging a violation of any person’s privacy or personal information or data rights, (ix) the Company and each of its Subsidiaries solely owns all right, title and interest in and to all Intellectual Property Rights created or otherwise developed by any present or former employee, consultant or contractor of the Company or any of its Subsidiaries in the course of his, her, or its employment or other relationship with the Company or such Subsidiaries, free of any restrictions on the use or ownership of such Intellectual Property Rights, and (x) the Company Owned IP is subsisting, in full force and effect, is being duly maintained and, to the Company’s knowledge, if issued or registered, valid and enforceable.</w:t>
      </w:r>
    </w:p>
    <w:p>
      <w:pPr>
        <w:spacing w:after="0" w:line="80" w:lineRule="exact"/>
        <w:rPr>
          <w:rFonts w:ascii="Times New Roman" w:cs="Times New Roman" w:eastAsia="Times New Roman" w:hAnsi="Times New Roman"/>
          <w:sz w:val="18"/>
          <w:szCs w:val="18"/>
          <w:color w:val="auto"/>
        </w:rPr>
      </w:pPr>
    </w:p>
    <w:p>
      <w:pPr>
        <w:ind w:left="4" w:firstLine="419"/>
        <w:spacing w:after="0" w:line="253" w:lineRule="auto"/>
        <w:tabs>
          <w:tab w:leader="none" w:pos="101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Patents and Patent Applications</w:t>
      </w:r>
      <w:r>
        <w:rPr>
          <w:rFonts w:ascii="Times New Roman" w:cs="Times New Roman" w:eastAsia="Times New Roman" w:hAnsi="Times New Roman"/>
          <w:sz w:val="18"/>
          <w:szCs w:val="18"/>
          <w:color w:val="auto"/>
        </w:rPr>
        <w:t>. All patents and patent applications owned by or licensed to the Company or under which the Company has rights have, to the knowledge of the Company, been duly and properly filed and maintained; to the knowledge of the Company, the parties prosecuting such patent applications have complied with their duty of candor and disclosure to the USPTO in connection with such applications; and the Company is not aware of any facts required to be disclosed to the USPTO that were not disclosed to the USPTO and which would preclude the grant of a patent in connection with any such application or would reasonably be expected to form the basis of a finding of invalidity with respect to any patents that have issued with respect to such applications. To the Company’s knowledge, all patents and patent applications owned by the Company and filed with the USPTO or any foreign or international patent authority (the “Company Patent Rights”) and all patents and patent applications in-licensed by the Company and filed with the USPTO or any foreign or international patent authority (the “In-licensed Patent Rights”) have been duly and properly filed; the Company believes it has complied with its duty of candor and disclosure to the USPTO for the Company Patent Rights and, to the Company’s knowledge, the licensors of the In-licensed Patent Rights have complied with their duty of candor and disclosure to the USPTO for the In-licensed Patent Rights.</w:t>
      </w:r>
    </w:p>
    <w:p>
      <w:pPr>
        <w:spacing w:after="0" w:line="12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4"/>
          </w:cols>
          <w:pgMar w:left="876" w:top="270" w:right="479" w:bottom="1440" w:gutter="0" w:footer="0" w:header="0"/>
        </w:sectPr>
      </w:pPr>
    </w:p>
    <w:bookmarkStart w:id="16" w:name="page17"/>
    <w:bookmarkEnd w:id="16"/>
    <w:p>
      <w:pPr>
        <w:ind w:left="1000" w:hanging="581"/>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FDA Compliance</w:t>
      </w:r>
      <w:r>
        <w:rPr>
          <w:rFonts w:ascii="Times New Roman" w:cs="Times New Roman" w:eastAsia="Times New Roman" w:hAnsi="Times New Roman"/>
          <w:sz w:val="18"/>
          <w:szCs w:val="18"/>
          <w:color w:val="auto"/>
        </w:rPr>
        <w:t>. Except as described in the Registration Statement, the General Disclosure Package and the Prospectus, the</w:t>
      </w:r>
    </w:p>
    <w:p>
      <w:pPr>
        <w:spacing w:after="0" w:line="27" w:lineRule="exact"/>
        <w:rPr>
          <w:rFonts w:ascii="Times New Roman" w:cs="Times New Roman" w:eastAsia="Times New Roman" w:hAnsi="Times New Roman"/>
          <w:sz w:val="18"/>
          <w:szCs w:val="18"/>
          <w:color w:val="auto"/>
        </w:rPr>
      </w:pP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 is and at all times has been in material compliance with all statutes, rules or regulations of the FDA and other comparable Governmental Entities applicable to the ownership, testing, development, manufacture, packaging, processing, use, distribution, marketing, labeling, promotion, sale, offer for sale, storage, import, export or disposal of any product under development, manufactured or distributed by the Company (“Applicable Laws”); (B) has not received any FDA Form 483, notice of adverse finding, warning letter, untitled letter or other correspondence or notice from the FDA or any Governmental Authority alleging or asserting material noncompliance with any Applicable Laws or any licenses, certificates, approvals, clearances, exemptions, authorizations, permits and supplements or amendments thereto required by any such Applicable Laws (“Authorizations”); (C) possesses all material Authorizations and such Authorizations are valid and in full force and effect and the Company is not in material violation of any term of any such Authorizations; (D) has not received notice of any claim, action, suit, proceeding, hearing, enforcement, investigation, arbitration or other action from the FDA or any Governmental Authority or third party alleging that any product operation or activity is in material violation of any Applicable Laws or Authorizations and has no knowledge that the FDA or any Governmental Authority or third party is considering any such claim, litigation, arbitration, action, suit, investigation or proceeding; (E) has not received notice that the FDA or any Governmental Authority has taken, is taking or intends to take action to limit, suspend, modify or revoke any material Authorizations and has no knowledge that the FDA or any Governmental Authority is considering such action; and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materially complete and correct on the date filed (or were corrected or supplemented by a subsequent submission).</w:t>
      </w:r>
    </w:p>
    <w:p>
      <w:pPr>
        <w:spacing w:after="0" w:line="81" w:lineRule="exact"/>
        <w:rPr>
          <w:rFonts w:ascii="Times New Roman" w:cs="Times New Roman" w:eastAsia="Times New Roman" w:hAnsi="Times New Roman"/>
          <w:sz w:val="18"/>
          <w:szCs w:val="18"/>
          <w:color w:val="auto"/>
        </w:rPr>
      </w:pPr>
    </w:p>
    <w:p>
      <w:pPr>
        <w:ind w:firstLine="419"/>
        <w:spacing w:after="0" w:line="252" w:lineRule="auto"/>
        <w:tabs>
          <w:tab w:leader="none" w:pos="9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Health Care Laws</w:t>
      </w:r>
      <w:r>
        <w:rPr>
          <w:rFonts w:ascii="Times New Roman" w:cs="Times New Roman" w:eastAsia="Times New Roman" w:hAnsi="Times New Roman"/>
          <w:sz w:val="18"/>
          <w:szCs w:val="18"/>
          <w:color w:val="auto"/>
        </w:rPr>
        <w:t xml:space="preserve">. To the Company’s knowledge, it has operated and currently is in compliance with all applicable health care laws, rules and regulations (except where such failure to operate or non-compliance would not, singly or in the aggregate, result in a Material Adverse Effect), including, without limitation, (i) the Federal, Food, Drug and Cosmetic Act (21 U.S.C. §§ 301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(ii) all applicable federal, state, local and all applicable foreign healthcare related fraud and abuse laws, including, without limitation, the federal Anti-kickback Statute (42 U.S.C. § 1320a-7b(b)), the U.S. Physician Payments Sunshine Act (42 U.S.C. § 1320a-7h), the civil False Claims Act (31 U.S.C. §§ 3729 et seq.), the criminal False Claims Law (42 U.S.C. § 1320a-7b(a)), all criminal laws relating to healthcare fraud and abuse, including but not limited to 18 U.S.C. Sections 286 and 287, the healthcare fraud criminal provisions under the U.S. Health Insurance Portability and Accountability Act of 1996 (“HIPAA”) (42 U.S.C. Section 1320d et seq.), the exclusion laws (42 U.S.C. § 1320a-7), and the civil monetary penalties law (42 U.S.C. § 1320a-7a); (iii) HIPAA, as amended by the Health Information Technology for Economic Clinical Health Act (42 U.S.C. Section 17921 et seq.); (iv) the regulations promulgated pursuant to such laws; and (v) any other similar local, state, federal, or foreign laws (collectively, the “Health Care Laws”). Neither the Company, nor to the Company’s knowledge, any of its officers, directors, employees or agents have engaged in activities which are, as applicable, cause for false claims liability, civil penalties, or mandatory or permissive exclusion from Medicare, Medicaid, or any other state or federal healthcare program. The Company has not received written notice or other correspondence of any claim, action, suit, audit, survey, proceeding, hearing, enforcement, investigation, arbitration or other action from any court or arbitrator or governmental or regulatory</w:t>
      </w:r>
    </w:p>
    <w:p>
      <w:pPr>
        <w:spacing w:after="0" w:line="1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880" w:top="270" w:right="439" w:bottom="1440" w:gutter="0" w:footer="0" w:header="0"/>
        </w:sectPr>
      </w:pPr>
    </w:p>
    <w:bookmarkStart w:id="17" w:name="page18"/>
    <w:bookmarkEnd w:id="17"/>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authority or third party alleging that any product operation or activity is in violation of any Health Care Laws, and, to the Company’s knowledge, no such claim, action, suit, proceeding, hearing, enforcement, investigation, arbitration or other action is threatened. The Company is not a party to and does not have any ongoing reporting obligations pursuant to any corporate integrity agreement, deferred prosecution agreement, monitoring agreement, consent decree, settlement order, plan of correction or similar agreement imposed by any governmental or regulatory authority. Additionally, neither the Company, nor to the Company’s knowledge, any of its employees, officers or directors, has been excluded, suspended or debarred from participation in any U.S. state or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84" w:lineRule="exact"/>
        <w:rPr>
          <w:sz w:val="20"/>
          <w:szCs w:val="20"/>
          <w:color w:val="auto"/>
        </w:rPr>
      </w:pPr>
    </w:p>
    <w:p>
      <w:pPr>
        <w:ind w:left="4" w:right="20" w:firstLine="419"/>
        <w:spacing w:after="0" w:line="252" w:lineRule="auto"/>
        <w:tabs>
          <w:tab w:leader="none" w:pos="100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as described in the Registration Statement, the General Disclosure Package and the Prospectus or would not, singly or in the aggregate, reasonably be expected to result in a Material Adverse Effect, (A) neither the Company nor any Subsidiary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or handling of Hazardous Materials (collectively, “Environmental Laws”), (B) the Company and its Subsidiaries have all permits, authorizations and approvals required under any applicable Environmental Laws and are each in compliance with their requirements, (C)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Subsidiary and (D) there are no events or circumstances that would reasonably be expected to form the basis of an order for clean-up or remediation, or an action, suit or proceeding by any private party or Governmental Entity, against or affecting the Company or any Subsidiary relating to Hazardous Materials or any Environmental Laws.</w:t>
      </w:r>
    </w:p>
    <w:p>
      <w:pPr>
        <w:spacing w:after="0" w:line="87" w:lineRule="exact"/>
        <w:rPr>
          <w:rFonts w:ascii="Times New Roman" w:cs="Times New Roman" w:eastAsia="Times New Roman" w:hAnsi="Times New Roman"/>
          <w:sz w:val="18"/>
          <w:szCs w:val="18"/>
          <w:color w:val="auto"/>
        </w:rPr>
      </w:pPr>
    </w:p>
    <w:p>
      <w:pPr>
        <w:ind w:left="4" w:right="140" w:firstLine="419"/>
        <w:spacing w:after="0" w:line="272" w:lineRule="auto"/>
        <w:tabs>
          <w:tab w:leader="none" w:pos="1051"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Accounting Controls and Disclosure Controls</w:t>
      </w:r>
      <w:r>
        <w:rPr>
          <w:rFonts w:ascii="Times New Roman" w:cs="Times New Roman" w:eastAsia="Times New Roman" w:hAnsi="Times New Roman"/>
          <w:sz w:val="17"/>
          <w:szCs w:val="17"/>
          <w:color w:val="auto"/>
        </w:rPr>
        <w:t>. The Company and its Subsidiaries maintain effective internal control over financial reporting (as defined under Rule 13-a15 and 15d-15 under the 1934 Act Regulations) and a system of internal accounting controls sufficient to provide reasonable assurances that (A) transactions are executed in accordance with management’s general or specific authorization;</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IFRS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incorporated by reference in the Registration Statement, the General Disclosure Package and the Prospectus fairly presents the information called for in all material respects and is prepared in accordance with the Commission’s rules and guidelines applicable thereto. Except as described in the Registration Statement, the General Disclosure Package and the Prospectus, since the end of the Company’s most recent audited fiscal year, there has been (1) no material weakness in the Company’s internal control over financial reporting (that has not been remediated) and (2) no change in the Company’s internal</w:t>
      </w:r>
    </w:p>
    <w:p>
      <w:pPr>
        <w:spacing w:after="0" w:line="12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4"/>
          </w:cols>
          <w:pgMar w:left="876" w:top="270" w:right="459" w:bottom="1440" w:gutter="0" w:footer="0" w:header="0"/>
        </w:sectPr>
      </w:pPr>
    </w:p>
    <w:bookmarkStart w:id="18" w:name="page19"/>
    <w:bookmarkEnd w:id="18"/>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control over financial reporting that has materially adversely affected, or is reasonably likely to materially adversely affect, the Company’s internal control over financial reporting. The Company maintains disclosure controls and procedures (as defined in Rule 13a-15 and Rule 15d-15 under the 1934 Act Regulations)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79" w:lineRule="exact"/>
        <w:rPr>
          <w:sz w:val="20"/>
          <w:szCs w:val="20"/>
          <w:color w:val="auto"/>
        </w:rPr>
      </w:pPr>
    </w:p>
    <w:p>
      <w:pPr>
        <w:ind w:firstLine="419"/>
        <w:spacing w:after="0" w:line="253" w:lineRule="auto"/>
        <w:tabs>
          <w:tab w:leader="none" w:pos="109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All tax returns of the Company and its Subsidiaries required by law to be filed have been timely filed (taking into account any extensions which have been obtained)pursuant to applicable U.S., non-U.S. (including the United Kingdom), state, local or other law, except insofar as the failure to file such tax returns or request such extensions would not, individually or in the aggregate, reasonably be expected to result in a Material Adverse Effect. The Company and its Subsidiaries have timely paid all taxes due and payable by the Company and its Subsidiaries pursuant to such tax returns or pursuant to any assessment received by the Company and its Subsidiaries or otherwise pursuant to applicable law, except (i) for such taxes, if any, as are being contested in good faith and as to which adequate reserves have been established by the Company or its respective Subsidiary in conformity with IFRS or other applicable accounting principles or (ii) insofar as the failure to pay would not, individually or in the aggregate, reasonably be expected to result in a Material Adverse Effect. The charges, accruals and reserves on the books of the Company in respect of any tax liability for any years not finally determined are, in conformity with IFRS, adequate to meet any assessments or re-assessments for additional tax for any years not finally determined, except to the extent of any inadequacy that would not, individually or in the aggregate, reasonably be expected to result in a Material Adverse Effect.</w:t>
      </w:r>
    </w:p>
    <w:p>
      <w:pPr>
        <w:spacing w:after="0" w:line="83" w:lineRule="exact"/>
        <w:rPr>
          <w:rFonts w:ascii="Times New Roman" w:cs="Times New Roman" w:eastAsia="Times New Roman" w:hAnsi="Times New Roman"/>
          <w:sz w:val="18"/>
          <w:szCs w:val="18"/>
          <w:color w:val="auto"/>
        </w:rPr>
      </w:pPr>
    </w:p>
    <w:p>
      <w:pPr>
        <w:ind w:right="100" w:firstLine="419"/>
        <w:spacing w:after="0" w:line="255" w:lineRule="auto"/>
        <w:tabs>
          <w:tab w:leader="none" w:pos="99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disclosed in the Registration Statement, the General Disclosure Package or the Prospectus, the Company and its Subsidiaries carry or are entitled to the benefits of insurance, with financially sound and reputable insurers, in such amounts and covering such risks as is generally maintained by companies of established repute and similar size engaged in the same or similar business, and all such insurance is in full force and effect. The Company has no reason to believe that it or its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Neither the Company nor any of its Subsidiaries has been denied any insurance coverage which it has sought or for which it has applied.</w:t>
      </w:r>
    </w:p>
    <w:p>
      <w:pPr>
        <w:spacing w:after="0" w:line="81" w:lineRule="exact"/>
        <w:rPr>
          <w:sz w:val="20"/>
          <w:szCs w:val="20"/>
          <w:color w:val="auto"/>
        </w:rPr>
      </w:pPr>
    </w:p>
    <w:p>
      <w:pPr>
        <w:ind w:right="40" w:firstLine="423"/>
        <w:spacing w:after="0" w:line="261"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required, and upon the allotment and issuance of the Underlying Shares and the deposit with the Depositary or its nominee of the Underlying Shares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“1940 Act”).</w:t>
      </w:r>
    </w:p>
    <w:p>
      <w:pPr>
        <w:spacing w:after="0" w:line="72" w:lineRule="exact"/>
        <w:rPr>
          <w:sz w:val="20"/>
          <w:szCs w:val="20"/>
          <w:color w:val="auto"/>
        </w:rPr>
      </w:pPr>
    </w:p>
    <w:p>
      <w:pPr>
        <w:jc w:val="both"/>
        <w:ind w:right="40" w:firstLine="423"/>
        <w:spacing w:after="0" w:line="261"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u w:val="single" w:color="auto"/>
          <w:color w:val="auto"/>
        </w:rPr>
        <w:t>Absence of Manipulation</w:t>
      </w:r>
      <w:r>
        <w:rPr>
          <w:rFonts w:ascii="Times New Roman" w:cs="Times New Roman" w:eastAsia="Times New Roman" w:hAnsi="Times New Roman"/>
          <w:sz w:val="18"/>
          <w:szCs w:val="18"/>
          <w:color w:val="auto"/>
        </w:rPr>
        <w:t>. Neither the Company nor, to the Company’s knowledge any affiliate of the Company has taken, nor will the Company or any affiliate take, directly or indirectly, any action which is designed, or would reasonably be expected, to cause or result in, or which constitutes, the stabilization or manipulation of the price of any security of the Company to facilitate the sale or resale of the Offered Securities or to result in a violation of Regulation M under</w:t>
      </w:r>
    </w:p>
    <w:p>
      <w:pPr>
        <w:spacing w:after="0" w:line="1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0"/>
          </w:cols>
          <w:pgMar w:left="880" w:top="270" w:right="439" w:bottom="1440" w:gutter="0" w:footer="0" w:header="0"/>
        </w:sectPr>
      </w:pPr>
    </w:p>
    <w:bookmarkStart w:id="19" w:name="page20"/>
    <w:bookmarkEnd w:id="19"/>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1934 Act. Neither the Company, nor any of its Subsidiaries, nor any person acting on its or their behalf (save for the Underwriters, in respect of whom no representation is provided) will take, directly or indirectly, any action designed to cause or to result in, or that has constituted or that might reasonably be expected to cause or result in, the stabilization of the Offered Securities in violation of applicable European Union or English laws or manipulation of the price of any security of the Company to facilitate the sale or resale of the Offered Securities.</w:t>
      </w:r>
    </w:p>
    <w:p>
      <w:pPr>
        <w:spacing w:after="0" w:line="72" w:lineRule="exact"/>
        <w:rPr>
          <w:sz w:val="20"/>
          <w:szCs w:val="20"/>
          <w:color w:val="auto"/>
        </w:rPr>
      </w:pPr>
    </w:p>
    <w:p>
      <w:pPr>
        <w:ind w:left="4" w:right="20" w:firstLine="423"/>
        <w:spacing w:after="0" w:line="254" w:lineRule="auto"/>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None of the Company, its Subsidiaries or, to the knowledge of the Company, any director, officer, agent, employee, affiliate or other person acting on behalf of the Company or its Subsidiaries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has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80" w:lineRule="exact"/>
        <w:rPr>
          <w:sz w:val="20"/>
          <w:szCs w:val="20"/>
          <w:color w:val="auto"/>
        </w:rPr>
      </w:pPr>
    </w:p>
    <w:p>
      <w:pPr>
        <w:ind w:left="4" w:firstLine="423"/>
        <w:spacing w:after="0" w:line="256"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“Money Laundering Laws”); and no action, suit or proceeding by or before any Governmental Entity involving the Company or its Subsidiaries with respect to the Money Laundering Laws is pending or, to the knowledge of the Company, threatened.</w:t>
      </w:r>
    </w:p>
    <w:p>
      <w:pPr>
        <w:spacing w:after="0" w:line="7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7"/>
          <w:szCs w:val="17"/>
          <w:color w:val="auto"/>
        </w:rPr>
        <w:t xml:space="preserve">(xliv) </w:t>
      </w: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 None of the Company, its Subsidiaries or, to the knowledge of the Company, any director, officer, agent, employee, affiliate or</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representative of the Company or its Subsidiaries is an individual or entity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currently the subject or target of any sanctions administered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 enforced by the United States Government, including, without limitation, the U.S. Department of the Treasury’s Office of Foreign Assets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Control, the United Nations Security Council, the European Union, Her Majesty’s Treasury, or other relevant sanctions authority (collectively,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the Company located, organized or resident in a country or territory that is the subject of Sanctions; and the Company will not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directly or indirectly use the proceeds of the sale of the Securities, or lend, contribute or otherwise make available such proceeds to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Subsidiary, joint venture partners or other Person, to fund any activities of or business with any Person, or in any country or territory, that, at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time of such funding, is the subject of Sanctions or in any other manner that will result in a violation by any Person (including any Person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participating in the transaction, whether as underwriter, advisor, investor or otherwise) of Sanctions.</w:t>
      </w:r>
    </w:p>
    <w:p>
      <w:pPr>
        <w:spacing w:after="0" w:line="97" w:lineRule="exact"/>
        <w:rPr>
          <w:sz w:val="20"/>
          <w:szCs w:val="20"/>
          <w:color w:val="auto"/>
        </w:rPr>
      </w:pPr>
    </w:p>
    <w:p>
      <w:pPr>
        <w:ind w:left="4" w:right="440" w:firstLine="423"/>
        <w:spacing w:after="0" w:line="277" w:lineRule="auto"/>
        <w:rPr>
          <w:sz w:val="20"/>
          <w:szCs w:val="20"/>
          <w:color w:val="auto"/>
        </w:rPr>
      </w:pPr>
      <w:r>
        <w:rPr>
          <w:rFonts w:ascii="Times New Roman" w:cs="Times New Roman" w:eastAsia="Times New Roman" w:hAnsi="Times New Roman"/>
          <w:sz w:val="17"/>
          <w:szCs w:val="17"/>
          <w:color w:val="auto"/>
        </w:rPr>
        <w:t xml:space="preserve">(xlv) </w:t>
      </w:r>
      <w:r>
        <w:rPr>
          <w:rFonts w:ascii="Times New Roman" w:cs="Times New Roman" w:eastAsia="Times New Roman" w:hAnsi="Times New Roman"/>
          <w:sz w:val="17"/>
          <w:szCs w:val="17"/>
          <w:u w:val="single" w:color="auto"/>
          <w:color w:val="auto"/>
        </w:rPr>
        <w:t>Lending Relationship</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Except as disclosed in the Registration Statement, the General Disclosure Package and the Prospectus, the Company (i) does not have any material lending or other material relationship with any banking or lending affiliate of any Underwriter and</w:t>
      </w:r>
    </w:p>
    <w:p>
      <w:pPr>
        <w:spacing w:after="0" w:line="1" w:lineRule="exact"/>
        <w:rPr>
          <w:sz w:val="20"/>
          <w:szCs w:val="20"/>
          <w:color w:val="auto"/>
        </w:rPr>
      </w:pPr>
    </w:p>
    <w:p>
      <w:pPr>
        <w:ind w:left="4" w:right="260" w:hanging="4"/>
        <w:spacing w:after="0" w:line="260" w:lineRule="auto"/>
        <w:tabs>
          <w:tab w:leader="none" w:pos="2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intend to use any of the proceeds from the sale of the Offered Securities to repay any outstanding debt owed to any affiliate of any Underwriter.</w:t>
      </w:r>
    </w:p>
    <w:p>
      <w:pPr>
        <w:spacing w:after="0" w:line="11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44"/>
          </w:cols>
          <w:pgMar w:left="876" w:top="270" w:right="479" w:bottom="1440" w:gutter="0" w:footer="0" w:header="0"/>
        </w:sectPr>
      </w:pPr>
    </w:p>
    <w:bookmarkStart w:id="20" w:name="page21"/>
    <w:bookmarkEnd w:id="20"/>
    <w:p>
      <w:pPr>
        <w:ind w:right="8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(xlvi) </w:t>
      </w: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Any statistical and market-related data included in the Registration Statement, the General Disclosure Package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72" w:lineRule="exact"/>
        <w:rPr>
          <w:sz w:val="20"/>
          <w:szCs w:val="20"/>
          <w:color w:val="auto"/>
        </w:rPr>
      </w:pPr>
    </w:p>
    <w:p>
      <w:pPr>
        <w:ind w:right="360" w:firstLine="423"/>
        <w:spacing w:after="0" w:line="282" w:lineRule="auto"/>
        <w:rPr>
          <w:sz w:val="20"/>
          <w:szCs w:val="20"/>
          <w:color w:val="auto"/>
        </w:rPr>
      </w:pPr>
      <w:r>
        <w:rPr>
          <w:rFonts w:ascii="Times New Roman" w:cs="Times New Roman" w:eastAsia="Times New Roman" w:hAnsi="Times New Roman"/>
          <w:sz w:val="18"/>
          <w:szCs w:val="18"/>
          <w:color w:val="auto"/>
        </w:rPr>
        <w:t xml:space="preserve">(xlvii) </w:t>
      </w:r>
      <w:r>
        <w:rPr>
          <w:rFonts w:ascii="Times New Roman" w:cs="Times New Roman" w:eastAsia="Times New Roman" w:hAnsi="Times New Roman"/>
          <w:sz w:val="18"/>
          <w:szCs w:val="18"/>
          <w:u w:val="single" w:color="auto"/>
          <w:color w:val="auto"/>
        </w:rPr>
        <w:t>No Rated Securities</w:t>
      </w:r>
      <w:r>
        <w:rPr>
          <w:rFonts w:ascii="Times New Roman" w:cs="Times New Roman" w:eastAsia="Times New Roman" w:hAnsi="Times New Roman"/>
          <w:sz w:val="18"/>
          <w:szCs w:val="18"/>
          <w:color w:val="auto"/>
        </w:rPr>
        <w:t>. The Company has no debt securities or preferred stock that is rated by any “nationally recognized statistical rating organization” (as that term is defined by the Commission for purposes of Rule 436(g)(2) under the 1933 Act).</w:t>
      </w:r>
    </w:p>
    <w:p>
      <w:pPr>
        <w:spacing w:after="0" w:line="54" w:lineRule="exact"/>
        <w:rPr>
          <w:sz w:val="20"/>
          <w:szCs w:val="20"/>
          <w:color w:val="auto"/>
        </w:rPr>
      </w:pPr>
    </w:p>
    <w:p>
      <w:pPr>
        <w:ind w:firstLine="423"/>
        <w:spacing w:after="0" w:line="251" w:lineRule="auto"/>
        <w:rPr>
          <w:sz w:val="20"/>
          <w:szCs w:val="20"/>
          <w:color w:val="auto"/>
        </w:rPr>
      </w:pPr>
      <w:r>
        <w:rPr>
          <w:rFonts w:ascii="Times New Roman" w:cs="Times New Roman" w:eastAsia="Times New Roman" w:hAnsi="Times New Roman"/>
          <w:sz w:val="18"/>
          <w:szCs w:val="18"/>
          <w:color w:val="auto"/>
        </w:rPr>
        <w:t xml:space="preserve">(xlviii) </w:t>
      </w:r>
      <w:r>
        <w:rPr>
          <w:rFonts w:ascii="Times New Roman" w:cs="Times New Roman" w:eastAsia="Times New Roman" w:hAnsi="Times New Roman"/>
          <w:sz w:val="18"/>
          <w:szCs w:val="18"/>
          <w:u w:val="single" w:color="auto"/>
          <w:color w:val="auto"/>
        </w:rPr>
        <w:t>Privacy and Data Protection</w:t>
      </w:r>
      <w:r>
        <w:rPr>
          <w:rFonts w:ascii="Times New Roman" w:cs="Times New Roman" w:eastAsia="Times New Roman" w:hAnsi="Times New Roman"/>
          <w:sz w:val="18"/>
          <w:szCs w:val="18"/>
          <w:color w:val="auto"/>
        </w:rPr>
        <w:t>. The Company and its Subsidiaries have operated their business in a manner compliant in all material respects with all U.S. federal, state, local and non-U.S. privacy, data security and data protection laws and regulations applicable to the Company’s collection, use, transfer, protection, disposal, disclosure, handling, storage and analysis of personal data. The Company and its Subsidiaries have been and are in compliance in all material respects with internal policies and procedures designed to ensure the integrity and security of the data collected, handled or stored in connection with its business; the Company and its Subsidiaries have been and are in compliance in all material respects with internal policies and procedures designed to ensure compliance with the Health Care Laws that govern privacy and data security and take, and have taken reasonably appropriate steps designed to assure compliance with such policies and procedures. The Company and its Subsidiaries have taken reasonable steps to maintain the confidentiality of its personally identifiable information, protected health information, consumer information and other confidential information of the Company, its Subsidiaries and any third parties in its possession (“Sensitive Company Data”). The tangible or digital information technology systems (including computers, screens, servers, workstations, routers, hubs, switches, networks, data communications lines, technical data and hardware), software and telecommunications systems used or held for use by the Company and its Subsidiaries (the “Company IT Assets”) are adequate and operational for, in accordance with their documentation and functional specifications, the business of the Company and its Subsidiaries as now operated and as currently proposed to be conducted as described in the Registration Statement, the General Disclosure Package and the Prospectus. The Company and its Subsidiaries have used reasonable efforts to establish, and have established, commercially reasonable disaster recovery and security plans, procedures and facilities for the business consistent with industry standards and practices in all material respects, including, without limitation, for the Company IT Assets and data held or used by or for the Company and its Subsidiaries. The Company and its Subsidiaries have not suffered or incurred any security breaches, compromises or incidents with respect to any Company IT Asset or Sensitive Company Data, except where such breaches, compromises or incidents would not reasonably be expected to, singly or in the aggregate, result in a Material Adverse Effect; and there has been no unauthorized or illegal use of or access to any Company IT Asset or Sensitive Company Data by any unauthorized third party. The Company and its Subsidiaries have not been required to notify any individual of any information security breach, compromise or incident involving Sensitive Company Data.</w:t>
      </w:r>
    </w:p>
    <w:p>
      <w:pPr>
        <w:spacing w:after="0" w:line="98" w:lineRule="exact"/>
        <w:rPr>
          <w:sz w:val="20"/>
          <w:szCs w:val="20"/>
          <w:color w:val="auto"/>
        </w:rPr>
      </w:pPr>
    </w:p>
    <w:p>
      <w:pPr>
        <w:ind w:right="20" w:firstLine="423"/>
        <w:spacing w:after="0" w:line="266" w:lineRule="auto"/>
        <w:rPr>
          <w:sz w:val="20"/>
          <w:szCs w:val="20"/>
          <w:color w:val="auto"/>
        </w:rPr>
      </w:pPr>
      <w:r>
        <w:rPr>
          <w:rFonts w:ascii="Times New Roman" w:cs="Times New Roman" w:eastAsia="Times New Roman" w:hAnsi="Times New Roman"/>
          <w:sz w:val="18"/>
          <w:szCs w:val="18"/>
          <w:color w:val="auto"/>
        </w:rPr>
        <w:t xml:space="preserve">(xlix) </w:t>
      </w:r>
      <w:r>
        <w:rPr>
          <w:rFonts w:ascii="Times New Roman" w:cs="Times New Roman" w:eastAsia="Times New Roman" w:hAnsi="Times New Roman"/>
          <w:sz w:val="18"/>
          <w:szCs w:val="18"/>
          <w:u w:val="single" w:color="auto"/>
          <w:color w:val="auto"/>
        </w:rPr>
        <w:t>No Broker Fees</w:t>
      </w:r>
      <w:r>
        <w:rPr>
          <w:rFonts w:ascii="Times New Roman" w:cs="Times New Roman" w:eastAsia="Times New Roman" w:hAnsi="Times New Roman"/>
          <w:sz w:val="18"/>
          <w:szCs w:val="18"/>
          <w:color w:val="auto"/>
        </w:rPr>
        <w:t>. Except as disclosed in the General Disclosure Package, there are no contracts, agreements or understandings between the Company and any person that would give rise to a valid claim against the Company or any Underwriter for a brokerage commission, finder’s fee or other like payment in connection with the offering of the Securities contemplated hereby.</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21" w:name="page22"/>
    <w:bookmarkEnd w:id="21"/>
    <w:p>
      <w:pPr>
        <w:ind w:right="40" w:firstLine="419"/>
        <w:spacing w:after="0" w:line="253" w:lineRule="auto"/>
        <w:tabs>
          <w:tab w:leader="none" w:pos="6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Valid Choice of Laws</w:t>
      </w:r>
      <w:r>
        <w:rPr>
          <w:rFonts w:ascii="Times New Roman" w:cs="Times New Roman" w:eastAsia="Times New Roman" w:hAnsi="Times New Roman"/>
          <w:sz w:val="18"/>
          <w:szCs w:val="18"/>
          <w:color w:val="auto"/>
        </w:rPr>
        <w:t>. The choice of the laws of the State of New York as the governing law of this Agreement is a valid choice of law under the laws of England and Wales and will be recognized by courts in England and Wales except as may be limited by general principles of equity and except where to do so would be inconsistent with or overridden by the Regulation (EC) No 593/2008 on the Law Applicable to Contractual Obligations (Rome I) (as it forms part of English domestic law pursuant to European Union (Withdrawal) Act 2018). The Company has the corporate power to submit, and pursuant to Section 16 of this Agreement, has legally, validly, effectively and irrevocably submitted, to the personal jurisdiction of each New York State and United States federal court sitting in The City of New York, New York (each, a “New York Court”) and has validly and irrevocably waived any objection to the laying of venue of any suit, action or proceeding brought in any such court; and the Company has the power to designate, appoint and empower an authorized agent for service of process in any action arising out of or relating to this Agreement, the Registration Statement, the General Disclosure Package, the Prospectus or the offering of the Offered Securities in any New York Court and service of process effected on such authorized agent will be effective to notify the Company of any action under this Agreement.</w:t>
      </w:r>
    </w:p>
    <w:p>
      <w:pPr>
        <w:spacing w:after="0" w:line="84" w:lineRule="exact"/>
        <w:rPr>
          <w:sz w:val="20"/>
          <w:szCs w:val="20"/>
          <w:color w:val="auto"/>
        </w:rPr>
      </w:pPr>
    </w:p>
    <w:p>
      <w:pPr>
        <w:ind w:right="20" w:firstLine="423"/>
        <w:spacing w:after="0" w:line="261" w:lineRule="auto"/>
        <w:rPr>
          <w:sz w:val="20"/>
          <w:szCs w:val="20"/>
          <w:color w:val="auto"/>
        </w:rPr>
      </w:pPr>
      <w:r>
        <w:rPr>
          <w:rFonts w:ascii="Times New Roman" w:cs="Times New Roman" w:eastAsia="Times New Roman" w:hAnsi="Times New Roman"/>
          <w:sz w:val="18"/>
          <w:szCs w:val="18"/>
          <w:color w:val="auto"/>
        </w:rPr>
        <w:t xml:space="preserve">(li) </w:t>
      </w:r>
      <w:r>
        <w:rPr>
          <w:rFonts w:ascii="Times New Roman" w:cs="Times New Roman" w:eastAsia="Times New Roman" w:hAnsi="Times New Roman"/>
          <w:sz w:val="18"/>
          <w:szCs w:val="18"/>
          <w:u w:val="single" w:color="auto"/>
          <w:color w:val="auto"/>
        </w:rPr>
        <w:t>No Sovereign Immunity</w:t>
      </w:r>
      <w:r>
        <w:rPr>
          <w:rFonts w:ascii="Times New Roman" w:cs="Times New Roman" w:eastAsia="Times New Roman" w:hAnsi="Times New Roman"/>
          <w:sz w:val="18"/>
          <w:szCs w:val="18"/>
          <w:color w:val="auto"/>
        </w:rPr>
        <w:t>. Neither the Company nor any of its Subsidiaries nor any of their respective properties, assets or revenues enjoy any rights of immunity from legal proceedings or the execution of judgement or other attachment in England and Wales, pursuant to the State Immunity Act 1978, or the United States, pursuant to the Foreign Sovereign Immunities Act 1976, with respect to this Agreement, the Deposit Agreement or the Offered Securities.</w:t>
      </w:r>
    </w:p>
    <w:p>
      <w:pPr>
        <w:spacing w:after="0" w:line="72" w:lineRule="exact"/>
        <w:rPr>
          <w:sz w:val="20"/>
          <w:szCs w:val="20"/>
          <w:color w:val="auto"/>
        </w:rPr>
      </w:pPr>
    </w:p>
    <w:p>
      <w:pPr>
        <w:ind w:right="20" w:firstLine="423"/>
        <w:spacing w:after="0" w:line="261" w:lineRule="auto"/>
        <w:rPr>
          <w:sz w:val="20"/>
          <w:szCs w:val="20"/>
          <w:color w:val="auto"/>
        </w:rPr>
      </w:pPr>
      <w:r>
        <w:rPr>
          <w:rFonts w:ascii="Times New Roman" w:cs="Times New Roman" w:eastAsia="Times New Roman" w:hAnsi="Times New Roman"/>
          <w:sz w:val="18"/>
          <w:szCs w:val="18"/>
          <w:color w:val="auto"/>
        </w:rPr>
        <w:t xml:space="preserve">(lii) </w:t>
      </w:r>
      <w:r>
        <w:rPr>
          <w:rFonts w:ascii="Times New Roman" w:cs="Times New Roman" w:eastAsia="Times New Roman" w:hAnsi="Times New Roman"/>
          <w:sz w:val="18"/>
          <w:szCs w:val="18"/>
          <w:u w:val="single" w:color="auto"/>
          <w:color w:val="auto"/>
        </w:rPr>
        <w:t>Proper Form</w:t>
      </w:r>
      <w:r>
        <w:rPr>
          <w:rFonts w:ascii="Times New Roman" w:cs="Times New Roman" w:eastAsia="Times New Roman" w:hAnsi="Times New Roman"/>
          <w:sz w:val="18"/>
          <w:szCs w:val="18"/>
          <w:color w:val="auto"/>
        </w:rPr>
        <w:t>. This Agreement and the Deposit Agreement are each in proper form to be enforceable in England and Wales in accordance with its terms; to ensure the legality, validity, enforceability or admissibility into evidence in England and Wales of this Agreement or the Deposit Agreement it is not necessary that this Agreement or the Deposit Agreement, respectively, be filed or recorded with any court or other authority in England and Wales (other than court filings in the ordinary course of proceedings).</w:t>
      </w:r>
    </w:p>
    <w:p>
      <w:pPr>
        <w:spacing w:after="0" w:line="72"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color w:val="auto"/>
        </w:rPr>
        <w:t xml:space="preserve">(liii) </w:t>
      </w:r>
      <w:r>
        <w:rPr>
          <w:rFonts w:ascii="Times New Roman" w:cs="Times New Roman" w:eastAsia="Times New Roman" w:hAnsi="Times New Roman"/>
          <w:sz w:val="18"/>
          <w:szCs w:val="18"/>
          <w:u w:val="single" w:color="auto"/>
          <w:color w:val="auto"/>
        </w:rPr>
        <w:t>Enforceability of Judgment</w:t>
      </w:r>
      <w:r>
        <w:rPr>
          <w:rFonts w:ascii="Times New Roman" w:cs="Times New Roman" w:eastAsia="Times New Roman" w:hAnsi="Times New Roman"/>
          <w:sz w:val="18"/>
          <w:szCs w:val="18"/>
          <w:color w:val="auto"/>
        </w:rPr>
        <w:t>. Any final judgment for a fixed or readily calculable sum of money rendered by a New York Court having jurisdiction under its own domestic laws and recognized by the English courts as having jurisdiction (according to English conflicts of laws principles and rules of English private international law at the time when proceedings were initiated) to give such final judgment in respect of any suit, action or proceeding against the Company based upon this Agreement or the Deposit Agreement and any instruments or agreements entered into for the consummation of the transactions contemplated herein and therein would be declared enforceable against the Company, without re-examination or review of the merits of the cause of action in respect of which the original judgment was given or relitigation of the matters adjudicated upon, by the courts of England and Wales; provided, however, that the Company may have defenses open to it and enforcement may not be permitted if, among other things, (a) the judgment was obtained by fraud, or in proceedings contrary to natural or substantial justice, or contravenes public policy in England or the Human Rights Act 1998 (or any subordinate legislation made thereunder, to the extent applicable); (b) the judgment is for a sum payable in respect of taxes, or other charges of a like nature or is in respect of a fine or other penalty or otherwise based on a foreign law that an English court considers to relate to a penal, revenue or other public law; (c) the judgment amounts to judgment on a matter previously determined by an English court or conflicts with a judgment on the same matter given by a court other than a New York Court or was obtained in breach of a jurisdiction or arbitration clause except with the agreement of the defendant or the defendant’s subsequent submission to the jurisdiction of the court; (d) the judgment is given in proceedings brought in breach of an agreement for the settlement of disputes; (e) the judgment has been arrived at by doubling, trebling or otherwise multiplying a sum assessed as compensation for</w:t>
      </w:r>
    </w:p>
    <w:p>
      <w:pPr>
        <w:spacing w:after="0" w:line="12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40"/>
          </w:cols>
          <w:pgMar w:left="880" w:top="270" w:right="479" w:bottom="1440" w:gutter="0" w:footer="0" w:header="0"/>
        </w:sectPr>
      </w:pPr>
    </w:p>
    <w:bookmarkStart w:id="22" w:name="page23"/>
    <w:bookmarkEnd w:id="22"/>
    <w:p>
      <w:pPr>
        <w:ind w:left="44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loss or damage sustained, or is a judgment that is otherwise specified in section 5 of the Protection of Trading Interests Act 1980, or is a judgment based on measures designated by the Secretary of State under section 1 of that Act; and (f) enforcement proceedings are not commenced within six years of the date of such judgment. The Company is not aware of any reason why the enforcement in England and Wales of such a New York Court judgment would be, as of the date hereof, contrary to public policy of England and Wales or the Human Rights Act 1998 (or any subordinate legislation made thereunder, to the extent applicable).</w:t>
      </w:r>
    </w:p>
    <w:p>
      <w:pPr>
        <w:spacing w:after="0" w:line="75" w:lineRule="exact"/>
        <w:rPr>
          <w:sz w:val="20"/>
          <w:szCs w:val="20"/>
          <w:color w:val="auto"/>
        </w:rPr>
      </w:pPr>
    </w:p>
    <w:p>
      <w:pPr>
        <w:ind w:left="440" w:firstLine="423"/>
        <w:spacing w:after="0" w:line="253" w:lineRule="auto"/>
        <w:rPr>
          <w:sz w:val="20"/>
          <w:szCs w:val="20"/>
          <w:color w:val="auto"/>
        </w:rPr>
      </w:pPr>
      <w:r>
        <w:rPr>
          <w:rFonts w:ascii="Times New Roman" w:cs="Times New Roman" w:eastAsia="Times New Roman" w:hAnsi="Times New Roman"/>
          <w:sz w:val="18"/>
          <w:szCs w:val="18"/>
          <w:color w:val="auto"/>
        </w:rPr>
        <w:t xml:space="preserve">(liv) </w:t>
      </w:r>
      <w:r>
        <w:rPr>
          <w:rFonts w:ascii="Times New Roman" w:cs="Times New Roman" w:eastAsia="Times New Roman" w:hAnsi="Times New Roman"/>
          <w:sz w:val="18"/>
          <w:szCs w:val="18"/>
          <w:u w:val="single" w:color="auto"/>
          <w:color w:val="auto"/>
        </w:rPr>
        <w:t>No Immunity from Suit</w:t>
      </w:r>
      <w:r>
        <w:rPr>
          <w:rFonts w:ascii="Times New Roman" w:cs="Times New Roman" w:eastAsia="Times New Roman" w:hAnsi="Times New Roman"/>
          <w:sz w:val="18"/>
          <w:szCs w:val="18"/>
          <w:color w:val="auto"/>
        </w:rPr>
        <w:t>. Except as provided by laws or statutes generally applicable to transactions of the type described in this Agreement, neither the Company nor any of its respective properties, assets or revenues has any right of immunity under United Kingdom, New York or United States law, from any legal action, suit or proceeding, from the giving of any relief in any such legal action, suit or proceeding, from set-off or counterclaim, from the jurisdiction of any law of the United Kingdom,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or the Deposit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Section 16 of this Agreement.</w:t>
      </w:r>
    </w:p>
    <w:p>
      <w:pPr>
        <w:spacing w:after="0" w:line="84" w:lineRule="exact"/>
        <w:rPr>
          <w:sz w:val="20"/>
          <w:szCs w:val="20"/>
          <w:color w:val="auto"/>
        </w:rPr>
      </w:pPr>
    </w:p>
    <w:p>
      <w:pPr>
        <w:jc w:val="both"/>
        <w:ind w:right="380" w:firstLine="436"/>
        <w:spacing w:after="0" w:line="315" w:lineRule="auto"/>
        <w:tabs>
          <w:tab w:leader="none" w:pos="69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Officer’s Certificates</w:t>
      </w:r>
      <w:r>
        <w:rPr>
          <w:rFonts w:ascii="Times New Roman" w:cs="Times New Roman" w:eastAsia="Times New Roman" w:hAnsi="Times New Roman"/>
          <w:sz w:val="17"/>
          <w:szCs w:val="17"/>
          <w:color w:val="auto"/>
        </w:rPr>
        <w:t>. Any certificate signed by any officer of the Company or any of its Subsidiaries delivered to the Representative or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counsel for the Underwriters shall be deemed a representation and warranty by the Company to each Underwriter as to the matters covered thereby.</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Sale and Delivery to Underwriters; Closing</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40" w:firstLine="436"/>
        <w:spacing w:after="0" w:line="257"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Securities</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agrees to cause the Depositary or its nominee to allot and issue to each Underwriter, severally and not jointly, and each Underwriter, severally and not jointly, agrees to subscribe for, at the price per ADS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that number of Initial Securities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(representing the number of Underlying Shares set forth therein), plus any additional number of Initial Securities which such Underwriter may become obligated to purchase pursuant to the provisions of Section 10 hereof, subject, in each case, to such adjustments among the Underwriters as the Representative in its sole discretion shall make to eliminate any sales or purchases of fractional ADSs.</w:t>
      </w:r>
    </w:p>
    <w:p>
      <w:pPr>
        <w:spacing w:after="0" w:line="74" w:lineRule="exact"/>
        <w:rPr>
          <w:rFonts w:ascii="Times New Roman" w:cs="Times New Roman" w:eastAsia="Times New Roman" w:hAnsi="Times New Roman"/>
          <w:sz w:val="18"/>
          <w:szCs w:val="18"/>
          <w:color w:val="auto"/>
        </w:rPr>
      </w:pPr>
    </w:p>
    <w:p>
      <w:pPr>
        <w:ind w:right="120" w:firstLine="436"/>
        <w:spacing w:after="0" w:line="255"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Securities</w:t>
      </w:r>
      <w:r>
        <w:rPr>
          <w:rFonts w:ascii="Times New Roman" w:cs="Times New Roman" w:eastAsia="Times New Roman" w:hAnsi="Times New Roman"/>
          <w:sz w:val="18"/>
          <w:szCs w:val="18"/>
          <w:color w:val="auto"/>
        </w:rPr>
        <w:t>. In addition, on the basis of the representations and warranties herein contained and subject to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herein set forth, the Company hereby grants an option to the Underwriters, severally and not jointly, to oblige the Company to procure that up to an additional 5,175,000 Option Securities representing an aggregate of 25,875,000 Underlying Shares, be allotted and issued by the Depositary or its nominee to the Underwriter, at the price per ADS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option hereby granted may be exercised for 30 days after the date hereof and may be exercised in whole or in part at any time from time to time upon notice by the Representative to the Company setting forth the number of Option Securities. Any such time and date of delivery (a “</w:t>
      </w:r>
      <w:r>
        <w:rPr>
          <w:rFonts w:ascii="Times New Roman" w:cs="Times New Roman" w:eastAsia="Times New Roman" w:hAnsi="Times New Roman"/>
          <w:sz w:val="18"/>
          <w:szCs w:val="18"/>
          <w:u w:val="single" w:color="auto"/>
          <w:color w:val="auto"/>
        </w:rPr>
        <w:t>Date of Delivery</w:t>
      </w:r>
      <w:r>
        <w:rPr>
          <w:rFonts w:ascii="Times New Roman" w:cs="Times New Roman" w:eastAsia="Times New Roman" w:hAnsi="Times New Roman"/>
          <w:sz w:val="18"/>
          <w:szCs w:val="18"/>
          <w:color w:val="auto"/>
        </w:rPr>
        <w:t>”) shall be determined by the Representative, but any Date of Delivery after the Closing Time shall not be later than seven full business days nor earlier than three full business days after the exercise of said option, nor in any event prior to the Closing Time. If the option is exercised as to all or any portion of the Option Securities, each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3" w:name="page24"/>
    <w:bookmarkEnd w:id="23"/>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 the Underwriters, acting severally and not jointly, will subscribe for that proportion of the total number of Option Securities then being subscribed for which the number of Initial Securities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bears to the total number of Initial Securities, subject, in each case, to such adjustments as the Representative in its sole discretion shall make to eliminate any sales or purchases of fractional ADSs.</w:t>
      </w:r>
    </w:p>
    <w:p>
      <w:pPr>
        <w:spacing w:after="0" w:line="66" w:lineRule="exact"/>
        <w:rPr>
          <w:sz w:val="20"/>
          <w:szCs w:val="20"/>
          <w:color w:val="auto"/>
        </w:rPr>
      </w:pPr>
    </w:p>
    <w:p>
      <w:pPr>
        <w:ind w:firstLine="436"/>
        <w:spacing w:after="0" w:line="255"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Payment of the subscription price for the Initial Securities (and the allotment and issue of the Underlying Shares represented thereby)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delivery of the Initial Securities shall be made at the offices of Kirkland &amp; Ellis LLP, or at such other place as shall be agreed upon by the Representative and the Company, at 10:00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 and the Company (such time and date of payment and delivery being herein called “</w:t>
      </w:r>
      <w:r>
        <w:rPr>
          <w:rFonts w:ascii="Times New Roman" w:cs="Times New Roman" w:eastAsia="Times New Roman" w:hAnsi="Times New Roman"/>
          <w:sz w:val="18"/>
          <w:szCs w:val="18"/>
          <w:u w:val="single" w:color="auto"/>
          <w:color w:val="auto"/>
        </w:rPr>
        <w:t>Closing Time</w:t>
      </w:r>
      <w:r>
        <w:rPr>
          <w:rFonts w:ascii="Times New Roman" w:cs="Times New Roman" w:eastAsia="Times New Roman" w:hAnsi="Times New Roman"/>
          <w:sz w:val="18"/>
          <w:szCs w:val="18"/>
          <w:color w:val="auto"/>
        </w:rPr>
        <w:t>”). Delivery of the Initial Securities at the Closing Time shall be made through the facilities of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unless the Representative shall otherwise instruct, to the DTC accounts of the Underwriters and in such denominations as the Representative shall request.</w:t>
      </w:r>
    </w:p>
    <w:p>
      <w:pPr>
        <w:spacing w:after="0" w:line="18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In addition, in the event that any or all of the Option Securities are subscribed for by the Underwriters, payment of the subscription price for such Option Securities (and the allotment and issue of the Underlying Shares represented thereby) and the delivery of the Option Securities shall be made at the above-mentioned offices, or at such other place as shall be agreed upon by the Representative and the Company, on each Date of Delivery as specified in the notice from the Representative to the Company. Delivery of the Option Securities on each such Date of Delivery shall be made through the facilities of DTC unless the Representative shall otherwise instruct.</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Payment of the subscription monies due in respect of the Underlying Shares shall be made to the Company by wire transfer of immediately available funds to a bank account designated by the Company immediately at the Closing Time upon the satisfaction of all conditions to be performed or satisfied at or prior to the Closing Time, and the Company shall as soon as possible after receipt thereof issue the relevant Underlying Shares to the Custodian and procure the delivery of the Initial Securities or the relevant Option Securities, as the case may be, to the Underwriters as soon as possible thereafter.</w:t>
      </w:r>
    </w:p>
    <w:p>
      <w:pPr>
        <w:spacing w:after="0" w:line="183"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It is understood that each Underwriter has authorized the Representative, for its account, to accept delivery of, receipt for, and make payment of the purchase price for, the Initial Securities and the Option Securities, if any, which it has agreed to purchase. SVB Leerink, individually and not as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73" w:lineRule="exact"/>
        <w:rPr>
          <w:sz w:val="20"/>
          <w:szCs w:val="20"/>
          <w:color w:val="auto"/>
        </w:rPr>
      </w:pPr>
    </w:p>
    <w:p>
      <w:pPr>
        <w:ind w:right="60" w:firstLine="436"/>
        <w:spacing w:after="0" w:line="267"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w:t>
      </w:r>
      <w:r>
        <w:rPr>
          <w:rFonts w:ascii="Times New Roman" w:cs="Times New Roman" w:eastAsia="Times New Roman" w:hAnsi="Times New Roman"/>
          <w:sz w:val="18"/>
          <w:szCs w:val="18"/>
          <w:color w:val="auto"/>
        </w:rPr>
        <w:t>. The ADSs evidencing the Initial Securities and the Option Securities, if any, shall be registered in such names and in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denominations as the Representative may request not less than one full business day prior to the Closing Time or such Date of Delivery, as the case may be.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5" w:lineRule="exact"/>
        <w:rPr>
          <w:sz w:val="20"/>
          <w:szCs w:val="20"/>
          <w:color w:val="auto"/>
        </w:rPr>
      </w:pPr>
    </w:p>
    <w:p>
      <w:pPr>
        <w:jc w:val="both"/>
        <w:ind w:right="60" w:firstLine="436"/>
        <w:spacing w:after="0" w:line="267"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Regulations and Commission Requests</w:t>
      </w:r>
      <w:r>
        <w:rPr>
          <w:rFonts w:ascii="Times New Roman" w:cs="Times New Roman" w:eastAsia="Times New Roman" w:hAnsi="Times New Roman"/>
          <w:sz w:val="18"/>
          <w:szCs w:val="18"/>
          <w:color w:val="auto"/>
        </w:rPr>
        <w:t>. The Company, subject to Section 3(b), will comply with the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Rule 430B, and will notify the Representative as soon as practicable, and confirm the notice in writing, (i) when any post-effective amendment to the Registration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4" w:name="page25"/>
    <w:bookmarkEnd w:id="2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Statement or the ADS Registration Statement shall become effective or any amendment or supplement to the Prospectus shall have been filed, (ii) of the receipt of any comments from the Commission, (iii) of any request by the Commission for any amendment to the Registration Statement or the ADS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Offered Securities for offering or sale in any jurisdiction, or of the initiation or threatening of any proceedings for any of such purposes or of any examination pursuant to Section 8(d) or 8(e) of the 1933 Act concerning the Registration Statement or the ADS Registration Statement and (v) if the Company becomes the subject of a proceeding under Section 8A of the 1933 Act in connection with the offering of the Offered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at the earliest possible moment.</w:t>
      </w:r>
    </w:p>
    <w:p>
      <w:pPr>
        <w:spacing w:after="0" w:line="77" w:lineRule="exact"/>
        <w:rPr>
          <w:sz w:val="20"/>
          <w:szCs w:val="20"/>
          <w:color w:val="auto"/>
        </w:rPr>
      </w:pPr>
    </w:p>
    <w:p>
      <w:pPr>
        <w:ind w:firstLine="436"/>
        <w:spacing w:after="0" w:line="252"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The Company will comply with the 1933 Act, the 1933 Act Regulations, the 1934 Act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1934 Act Regulations so as to permit the completion of the distribution of the Offered Securities as contemplated in this Agreement and in the Registration Statement, the General Disclosure Package and the Prospectus. If at any time when a prospectus relating to the Securities is (or, but for the exception afforded by Rule 172 of the 1933 Act Regulations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would be) required by the 1933 Act to be delivered in connection with sales of the Offered Securities, any event shall occur or condition shall exist as a result of which it is necessary, in the opinion of counsel for the Underwriters or for the Company, to (i) amend the Registration Statement or the ADS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the ADS Registration Statement or amend or supplement the General Disclosure Package or the Prospectus, as the case may be, in order to comply with the requirements of the 1933 Act or the 1933 Act Regulations, the Company will promptly (A) give the Representative notice of such event, (B) prepare any amendment or supplement as may be necessary to correct such statement or omission or to make the Registration Statement, the ADS Registration Statement, the General Disclosure Package or the Prospectus comply with such requirements and, a reasonable amount of time prior to any proposed filing or use, furnish the Representative with copies of any such amendment or supplement and (C) file with the Commission any such amendment or supplement; provided that the Company shall not file or use any such amendment or supplement to which the Representative or counsel for the Underwriters shall reasonably object. The Company will furnish to the Underwriters such number of copies of such amendment or supplement as the Underwriters may reasonably request. The Company has given the Representative notice of any filings made pursuant to the 1934 Act or the 1934 Act Regulations within 48 hours prior to the Applicable Time; the Company will give the Representative notice of its intention to make any such filing from the Applicable Time to the Closing Time and will furnish the Representative with copies of any such documents a reasonable amount of time prior to such proposed filing, as the case may be, and will not file or use any such document to which the Representative or counsel for the Underwriters shall reasonably object.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5" w:name="page26"/>
    <w:bookmarkEnd w:id="25"/>
    <w:p>
      <w:pPr>
        <w:ind w:firstLine="436"/>
        <w:spacing w:after="0" w:line="255" w:lineRule="auto"/>
        <w:tabs>
          <w:tab w:leader="none" w:pos="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Delivery of Registration Statements</w:t>
      </w:r>
      <w:r>
        <w:rPr>
          <w:rFonts w:ascii="Times New Roman" w:cs="Times New Roman" w:eastAsia="Times New Roman" w:hAnsi="Times New Roman"/>
          <w:sz w:val="18"/>
          <w:szCs w:val="18"/>
          <w:color w:val="auto"/>
        </w:rPr>
        <w:t>. The Company has furnished or will deliver to the Representative and counsel for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charge, signed copies of the Registration Statement, the ADS Registration Statement and the 1934 Act Registration Statement, each as originally filed and each amendment thereto (including exhibits filed therewith or incorporated by reference therein and documents incorporated or deemed incorporated by reference therein) and signed copies of all consents and certificates of experts, and will also deliver to the Representative, without charge, a conformed copy of the Registration Statement as originally filed and each amendment thereto (without exhibits) for each of the Underwriters. The copies of the Registration Statement, the ADS Registration Statement, the 1934 Act Registration Statement and each amendment thereto furnished to the Underwriters will be identical to the electronically transmitted copies thereof filed with the Commission pursuant to EDGAR, except to the extent permitted by Regulation S-T.</w:t>
      </w:r>
    </w:p>
    <w:p>
      <w:pPr>
        <w:spacing w:after="0" w:line="76" w:lineRule="exact"/>
        <w:rPr>
          <w:rFonts w:ascii="Times New Roman" w:cs="Times New Roman" w:eastAsia="Times New Roman" w:hAnsi="Times New Roman"/>
          <w:sz w:val="18"/>
          <w:szCs w:val="18"/>
          <w:color w:val="auto"/>
        </w:rPr>
      </w:pPr>
    </w:p>
    <w:p>
      <w:pPr>
        <w:ind w:right="120" w:firstLine="436"/>
        <w:spacing w:after="0" w:line="256"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has delivered to each Underwriter, without charge, as many copies of each preliminary prospectus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Underwriter reasonably requested, and the Company hereby consents to the use of such copies for purposes permitted by the 1933 Act. The Company will furnish to each Underwriter, without charge, during the period when a prospectus relating to the Offered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74" w:lineRule="exact"/>
        <w:rPr>
          <w:rFonts w:ascii="Times New Roman" w:cs="Times New Roman" w:eastAsia="Times New Roman" w:hAnsi="Times New Roman"/>
          <w:sz w:val="18"/>
          <w:szCs w:val="18"/>
          <w:color w:val="auto"/>
        </w:rPr>
      </w:pPr>
    </w:p>
    <w:p>
      <w:pPr>
        <w:ind w:right="40" w:firstLine="436"/>
        <w:spacing w:after="0" w:line="257" w:lineRule="auto"/>
        <w:tabs>
          <w:tab w:leader="none" w:pos="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use commercially reasonable efforts, in cooperation with the Underwriters, to qualify the Offered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for offering and sale under the applicable securities laws of such states and other jurisdictions (domestic or foreign) as the Representative may reasonably designate and to maintain such qualifications in effect so long as required to complete the distribution of the Offered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74" w:lineRule="exact"/>
        <w:rPr>
          <w:rFonts w:ascii="Times New Roman" w:cs="Times New Roman" w:eastAsia="Times New Roman" w:hAnsi="Times New Roman"/>
          <w:sz w:val="18"/>
          <w:szCs w:val="18"/>
          <w:color w:val="auto"/>
        </w:rPr>
      </w:pPr>
    </w:p>
    <w:p>
      <w:pPr>
        <w:ind w:right="20" w:firstLine="436"/>
        <w:spacing w:after="0" w:line="267" w:lineRule="auto"/>
        <w:tabs>
          <w:tab w:leader="none" w:pos="6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The Company will timely file such reports pursuant to the 1934 Act as are necessary in order to make generally available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securityholders as soon as practicable an earnings statement for the purposes of, and to provide to the Underwriters the benefits contemplated by, the last paragraph of Section 11(a) of the 1933 Act.</w:t>
      </w:r>
    </w:p>
    <w:p>
      <w:pPr>
        <w:spacing w:after="0" w:line="65" w:lineRule="exact"/>
        <w:rPr>
          <w:rFonts w:ascii="Times New Roman" w:cs="Times New Roman" w:eastAsia="Times New Roman" w:hAnsi="Times New Roman"/>
          <w:sz w:val="18"/>
          <w:szCs w:val="18"/>
          <w:color w:val="auto"/>
        </w:rPr>
      </w:pPr>
    </w:p>
    <w:p>
      <w:pPr>
        <w:ind w:right="300" w:firstLine="436"/>
        <w:spacing w:after="0" w:line="284"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by it from the sale of the Securities in all material respects in the manner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 the Registration Statement, the General Disclosure Package and the Prospectus under the heading “Use of Proceeds.”</w:t>
      </w:r>
    </w:p>
    <w:p>
      <w:pPr>
        <w:spacing w:after="0" w:line="50" w:lineRule="exact"/>
        <w:rPr>
          <w:rFonts w:ascii="Times New Roman" w:cs="Times New Roman" w:eastAsia="Times New Roman" w:hAnsi="Times New Roman"/>
          <w:sz w:val="18"/>
          <w:szCs w:val="18"/>
          <w:color w:val="auto"/>
        </w:rPr>
      </w:pPr>
    </w:p>
    <w:p>
      <w:pPr>
        <w:ind w:right="420" w:firstLine="436"/>
        <w:spacing w:after="0" w:line="284"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Company will use its reasonable best efforts to maintain the listing for ADSs issued and sold by the Company on the Nasdaq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Market.</w:t>
      </w:r>
    </w:p>
    <w:p>
      <w:pPr>
        <w:spacing w:after="0" w:line="50" w:lineRule="exact"/>
        <w:rPr>
          <w:rFonts w:ascii="Times New Roman" w:cs="Times New Roman" w:eastAsia="Times New Roman" w:hAnsi="Times New Roman"/>
          <w:sz w:val="18"/>
          <w:szCs w:val="18"/>
          <w:color w:val="auto"/>
        </w:rPr>
      </w:pPr>
    </w:p>
    <w:p>
      <w:pPr>
        <w:ind w:right="60" w:firstLine="436"/>
        <w:spacing w:after="0" w:line="25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 on Sale of Securities</w:t>
      </w:r>
      <w:r>
        <w:rPr>
          <w:rFonts w:ascii="Times New Roman" w:cs="Times New Roman" w:eastAsia="Times New Roman" w:hAnsi="Times New Roman"/>
          <w:sz w:val="18"/>
          <w:szCs w:val="18"/>
          <w:color w:val="auto"/>
        </w:rPr>
        <w:t>. During a period of 90 days from the date of the Prospectus, the Company will not, without the prior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of the Representative, (i) directly or indirectly, offer, pledge, sell, contract to sell, sell any option or contract to purchase, purchase any option or contract to sell, grant any option, right or warrant to purchase or otherwise transfer or dispose of any ADSs or Ordinary Shares or any securities convertible into or exercisable or exchangeable for ADSs or Ordinary Shares or file any registration statement under the 1933 Act with respect to any of the foregoing, (ii) enter into any swap or any other agreement or any transaction that transfers, in whole or in part, directly or indirectly, the economic consequence of ownership of ADSs or Ordinary Shares, whether any such swap</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68" w:right="439" w:bottom="1440" w:gutter="0" w:footer="0" w:header="0"/>
        </w:sectPr>
      </w:pPr>
    </w:p>
    <w:bookmarkStart w:id="26" w:name="page27"/>
    <w:bookmarkEnd w:id="26"/>
    <w:p>
      <w:pPr>
        <w:ind w:left="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transaction described in clause (i) or (ii) above is to be settled by delivery of ADSs or Ordinary Shares or such other securities, in cash or otherwise or</w:t>
      </w:r>
    </w:p>
    <w:p>
      <w:pPr>
        <w:spacing w:after="0" w:line="39" w:lineRule="exact"/>
        <w:rPr>
          <w:sz w:val="20"/>
          <w:szCs w:val="20"/>
          <w:color w:val="auto"/>
        </w:rPr>
      </w:pPr>
    </w:p>
    <w:p>
      <w:pPr>
        <w:ind w:left="4" w:right="20" w:hanging="4"/>
        <w:spacing w:after="0" w:line="251" w:lineRule="auto"/>
        <w:tabs>
          <w:tab w:leader="none" w:pos="3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 intention to effect any such swap, agreement or other transaction described in clauses (i) and (ii). The foregoing sentence shall not apply to (A) the Offered Securities to be sold hereunder and the Underlying Shares to be deposited with the Depositary or its nominee in connection therewith; (B) any ADSs or Ordinary Shares issued by the Company or the Depositary under, or upon the exercise of any option, warrant, convertible note or other instrument, or contingent value right, in each case, outstanding on the date hereof and referred to in the Registration Statement, the General Disclosure Package and the Prospectus; (C) any ADSs or Ordinary Shares issued or options to purchase ADSs or Ordinary Shares or other awards granted pursuant to any existing director or employee benefit plan, stock ownership plan or dividend reinvestment plan of the Company referred to in the Registration Statement, the General Disclosure Package and the Prospectus; (D) any ADSs or Ordinary Shares issued in connection with any joint venture, commercial or collaborative relationship or the acquisition or license by the Company of the securities, business, property or other assets of another person or entity or pursuant to any employee benefit plan as assumed by the Company in connection with any such acquisition; provided that any ADSs and Ordinary Shares issued under this clause (D) shall not in the aggregate exceed five percent (5%) of the Company’s outstanding share capital immediately following the consummation of the offering or the Offered Securities contemplated by this Agreement, or (E) the filing by the Company of any registration statement on Form S-8 or a successor form thereto.</w:t>
      </w:r>
    </w:p>
    <w:p>
      <w:pPr>
        <w:spacing w:after="0" w:line="82"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65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during the period when a Prospectus relating to the Offered Securities is (or, but for the exception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afforded 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71" w:lineRule="exact"/>
        <w:rPr>
          <w:rFonts w:ascii="Times New Roman" w:cs="Times New Roman" w:eastAsia="Times New Roman" w:hAnsi="Times New Roman"/>
          <w:sz w:val="18"/>
          <w:szCs w:val="18"/>
          <w:color w:val="auto"/>
        </w:rPr>
      </w:pPr>
    </w:p>
    <w:p>
      <w:pPr>
        <w:ind w:left="4" w:right="60" w:firstLine="436"/>
        <w:spacing w:after="0" w:line="253" w:lineRule="auto"/>
        <w:tabs>
          <w:tab w:leader="none" w:pos="6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Prospectuses</w:t>
      </w:r>
      <w:r>
        <w:rPr>
          <w:rFonts w:ascii="Times New Roman" w:cs="Times New Roman" w:eastAsia="Times New Roman" w:hAnsi="Times New Roman"/>
          <w:sz w:val="18"/>
          <w:szCs w:val="18"/>
          <w:color w:val="auto"/>
        </w:rPr>
        <w:t>. The Company agrees that, unless it obtains the prior written consent of the Representative, it will not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offer relating to the Offered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 will be deemed to have consented to the Issuer Free Writing Prospectuses listed on </w:t>
      </w:r>
      <w:r>
        <w:rPr>
          <w:rFonts w:ascii="Times New Roman" w:cs="Times New Roman" w:eastAsia="Times New Roman" w:hAnsi="Times New Roman"/>
          <w:sz w:val="18"/>
          <w:szCs w:val="18"/>
          <w:u w:val="single" w:color="auto"/>
          <w:color w:val="auto"/>
        </w:rPr>
        <w:t>Schedule B-2</w:t>
      </w:r>
      <w:r>
        <w:rPr>
          <w:rFonts w:ascii="Times New Roman" w:cs="Times New Roman" w:eastAsia="Times New Roman" w:hAnsi="Times New Roman"/>
          <w:sz w:val="18"/>
          <w:szCs w:val="18"/>
          <w:color w:val="auto"/>
        </w:rPr>
        <w:t xml:space="preserve"> hereto and any “road show that is a written communication” within the meaning of Rule 433(d)(8)(i) that has been reviewed by the Representative. The Company represents that it has treated or agrees that it will treat each such free writing prospectus consented to, or deemed consented to, by the Representative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Issuer Free Writing Prospectus to eliminate or correct such conflict, untrue statement or omission.</w:t>
      </w:r>
    </w:p>
    <w:p>
      <w:pPr>
        <w:spacing w:after="0" w:line="79" w:lineRule="exact"/>
        <w:rPr>
          <w:rFonts w:ascii="Times New Roman" w:cs="Times New Roman" w:eastAsia="Times New Roman" w:hAnsi="Times New Roman"/>
          <w:sz w:val="18"/>
          <w:szCs w:val="18"/>
          <w:color w:val="auto"/>
        </w:rPr>
      </w:pPr>
    </w:p>
    <w:p>
      <w:pPr>
        <w:ind w:left="4" w:firstLine="436"/>
        <w:spacing w:after="0" w:line="284" w:lineRule="auto"/>
        <w:tabs>
          <w:tab w:leader="none" w:pos="65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Deposit of Underlying Shares</w:t>
      </w:r>
      <w:r>
        <w:rPr>
          <w:rFonts w:ascii="Times New Roman" w:cs="Times New Roman" w:eastAsia="Times New Roman" w:hAnsi="Times New Roman"/>
          <w:sz w:val="18"/>
          <w:szCs w:val="18"/>
          <w:color w:val="auto"/>
        </w:rPr>
        <w:t>. The Deposit Agreement shall be in full force and effect and the Company and the Depositary shall have taken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to permit the deposit of underlying Ordinary Shares and the issuance of the ADSs in accordance with the Deposit Agreement.</w:t>
      </w:r>
    </w:p>
    <w:p>
      <w:pPr>
        <w:spacing w:after="0" w:line="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27" w:name="page28"/>
    <w:bookmarkEnd w:id="27"/>
    <w:p>
      <w:pPr>
        <w:ind w:left="4" w:right="120" w:firstLine="436"/>
        <w:spacing w:after="0" w:line="262" w:lineRule="auto"/>
        <w:tabs>
          <w:tab w:leader="none" w:pos="74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Emerging Growth Company Status</w:t>
      </w:r>
      <w:r>
        <w:rPr>
          <w:rFonts w:ascii="Times New Roman" w:cs="Times New Roman" w:eastAsia="Times New Roman" w:hAnsi="Times New Roman"/>
          <w:sz w:val="18"/>
          <w:szCs w:val="18"/>
          <w:color w:val="auto"/>
        </w:rPr>
        <w:t>. The Company will promptly notify the Representative if the Company ceases to be an Emerging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at any time prior to the later of (i) completion of the distribution of the Offered Securities within the meaning of the 1933 Act and</w:t>
      </w:r>
    </w:p>
    <w:p>
      <w:pPr>
        <w:ind w:left="264" w:hanging="264"/>
        <w:spacing w:after="0"/>
        <w:tabs>
          <w:tab w:leader="none" w:pos="2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90-day restricted period referred to in Section 3(i).</w:t>
      </w:r>
    </w:p>
    <w:p>
      <w:pPr>
        <w:spacing w:after="0" w:line="96" w:lineRule="exact"/>
        <w:rPr>
          <w:rFonts w:ascii="Times New Roman" w:cs="Times New Roman" w:eastAsia="Times New Roman" w:hAnsi="Times New Roman"/>
          <w:sz w:val="18"/>
          <w:szCs w:val="18"/>
          <w:color w:val="auto"/>
        </w:rPr>
      </w:pPr>
    </w:p>
    <w:p>
      <w:pPr>
        <w:ind w:left="4" w:firstLine="436"/>
        <w:spacing w:after="0" w:line="255" w:lineRule="auto"/>
        <w:tabs>
          <w:tab w:leader="none" w:pos="6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Deductions or Withholdings</w:t>
      </w:r>
      <w:r>
        <w:rPr>
          <w:rFonts w:ascii="Times New Roman" w:cs="Times New Roman" w:eastAsia="Times New Roman" w:hAnsi="Times New Roman"/>
          <w:sz w:val="18"/>
          <w:szCs w:val="18"/>
          <w:color w:val="auto"/>
        </w:rPr>
        <w:t>. All sums payable by the Company under this Agreement shall be paid free and clear of and without deductions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withholdings for or on account of any and all present or future taxes, levies, imposts or duties, unless the deduction or withholding is required by applicable law, in which case the Company shall pay such additional amount as will result in the receipt by each Underwriter of the full amount that would have been received had no deduction or withholding been made, except to the extent of withholding or deduction for (i) any income, capital gains or franchise taxes that would not have been imposed but for a present or former connection between an Underwriter and the jurisdiction imposing such taxes or duties, other than as a result of this Agreement and the transactions contemplated hereunder, or (ii) taxes that would not have been imposed but for a failure to comply with a reasonable request in writing for identification, documentation or certification required in order to reduce or eliminate such withholding or deduction, other than as a result of any binding confidentially or other legal obligations of any Underwriter.</w:t>
      </w:r>
    </w:p>
    <w:p>
      <w:pPr>
        <w:spacing w:after="0" w:line="76" w:lineRule="exact"/>
        <w:rPr>
          <w:rFonts w:ascii="Times New Roman" w:cs="Times New Roman" w:eastAsia="Times New Roman" w:hAnsi="Times New Roman"/>
          <w:sz w:val="18"/>
          <w:szCs w:val="18"/>
          <w:color w:val="auto"/>
        </w:rPr>
      </w:pPr>
    </w:p>
    <w:p>
      <w:pPr>
        <w:ind w:left="4" w:right="40" w:firstLine="436"/>
        <w:spacing w:after="0" w:line="253" w:lineRule="auto"/>
        <w:tabs>
          <w:tab w:leader="none" w:pos="6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Value Added Tax</w:t>
      </w:r>
      <w:r>
        <w:rPr>
          <w:rFonts w:ascii="Times New Roman" w:cs="Times New Roman" w:eastAsia="Times New Roman" w:hAnsi="Times New Roman"/>
          <w:sz w:val="18"/>
          <w:szCs w:val="18"/>
          <w:color w:val="auto"/>
        </w:rPr>
        <w:t>. The Company agrees that, if the performance by the Underwriters of any of their obligations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shall represent for VAT purposes under any applicable law the making by the Underwriters of any supply of goods or services to the Company (to the extent applicable), the Company shall pay to the Underwriters, in addition to the amounts otherwise payable by the Company pursuant to this Underwriting Agreement, an amount equal to the VAT chargeable on any such supply of goods and services provided that the Underwriters have issued the Company with an appropriate VAT invoice in respect of the supply to which the payment relates. Where a sum (a “Relevant Sum”) is paid or reimbursed to the Underwriters pursuant to this Agreement in respect of any cost, expense or other amount and that cost, expense or other amount includes an amount in respect of irrecoverable VAT (the “VAT Element”) which has been certified as such by the Underwriters (acting reasonably), then the Company, to the extent applicable, shall, in addition, pay an amount equal to the VAT Element to the Underwriters. For the purposes of this Agreement, “VAT” means value added tax as provided for in the Value Added Tax Act 1994 (“VATA”) and subordinate legislation made under VATA as amended, modified or re-enacted (whether before or after the date of this Agreement) and any similar sales, consumption, use or turnover tax whether within the United Kingdom or elsewhere in the world.</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 w:right="20" w:firstLine="436"/>
        <w:spacing w:after="0" w:line="253" w:lineRule="auto"/>
        <w:tabs>
          <w:tab w:leader="none" w:pos="68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Company will pay or cause to be paid all expenses incidental to the performance of its obligations under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 the preparation, printing and filing of the Registration Statement (including financial statements and exhibits) each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ADSs representing the Offered Securities to the Underwriters, including any Transfer Taxes payable upon the allotment, issuance or delivery of the Offered Securities to the Underwriters in the manner contemplated herein, (iv) the fees and disbursements of the Company’s counsel, accountants and other advisors, (v) the qualification of the Offered Securities (and if necessary, the Underlying Shares) under securities laws in accordance with the provisions of Section 3(e) hereof, including filing fees and the reasonable fees and disbursements of counsel for the Underwriters in connection therewith and in connection with the preparation of a “Blue Sky Survey” and any supplement thereto, (vi) the fees and expenses of any transfer agent, registrar, and/or depositary for the Offered Securities, (vii) the costs and expenses of the Company relating to investor presentations on</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68" w:right="459" w:bottom="1440" w:gutter="0" w:footer="0" w:header="0"/>
        </w:sectPr>
      </w:pPr>
    </w:p>
    <w:bookmarkStart w:id="28" w:name="page29"/>
    <w:bookmarkEnd w:id="2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“road show” undertaken in connection with the marketing of the Offered Securities, including without limitation, expenses associated with the production of road show slides and graphics, fees and expenses of any consultants engaged by the Company in connection with the road show presentations, travel and lodging expenses of the representatives and officers of the Company and any such consultants, and the cost of aircraft and other transportation chartered in connection with the road show, (viii) the filing fees incident to, and the reasonable fees and disbursements of counsel to the Underwriters in connection with, the review by FINRA of the terms of the sale of the Offered Securities (which fees and expenses of counsel, together with the fees and expenses of counsel described in clause (v) above shall not exceed $25,000 in the aggregate) and (ix) the fees and expenses incurred in connection with the listing of the Offered Securities on the Nasdaq Global Market.</w:t>
      </w:r>
    </w:p>
    <w:p>
      <w:pPr>
        <w:spacing w:after="0" w:line="79" w:lineRule="exact"/>
        <w:rPr>
          <w:sz w:val="20"/>
          <w:szCs w:val="20"/>
          <w:color w:val="auto"/>
        </w:rPr>
      </w:pPr>
    </w:p>
    <w:p>
      <w:pPr>
        <w:ind w:right="60" w:firstLine="436"/>
        <w:spacing w:after="0" w:line="267"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this Agreement is terminated by the Representative in accordance with the provisions of Section 5, Section 9(a)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 Section 9(a)(iii) or Section 10 hereof, the Company shall reimburse the Underwriters for all of their reasonably documented out-of-pocket expenses, including the reasonable fees and disbursements of counsel for the Underwriters.</w:t>
      </w:r>
    </w:p>
    <w:p>
      <w:pPr>
        <w:spacing w:after="0" w:line="175"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spacing w:after="0" w:line="70" w:lineRule="exact"/>
        <w:rPr>
          <w:sz w:val="20"/>
          <w:szCs w:val="20"/>
          <w:color w:val="auto"/>
        </w:rPr>
      </w:pPr>
    </w:p>
    <w:p>
      <w:pPr>
        <w:ind w:right="300" w:firstLine="436"/>
        <w:spacing w:after="0" w:line="254"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Registration Statement; Rule 430B Information</w:t>
      </w:r>
      <w:r>
        <w:rPr>
          <w:rFonts w:ascii="Times New Roman" w:cs="Times New Roman" w:eastAsia="Times New Roman" w:hAnsi="Times New Roman"/>
          <w:sz w:val="18"/>
          <w:szCs w:val="18"/>
          <w:color w:val="auto"/>
        </w:rPr>
        <w:t>. The Registration Statement, including any Rule 462(b)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and the ADS Registration Statement have become effective and, at the Closing Time, no stop order suspending the effectiveness of the Registration Statement, the ADS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to the reasonable satisfaction of counsel to the Underwriters. A prospectus containing the Rule 430A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430B.</w:t>
      </w:r>
    </w:p>
    <w:p>
      <w:pPr>
        <w:spacing w:after="0" w:line="80"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Company</w:t>
      </w:r>
      <w:r>
        <w:rPr>
          <w:rFonts w:ascii="Times New Roman" w:cs="Times New Roman" w:eastAsia="Times New Roman" w:hAnsi="Times New Roman"/>
          <w:sz w:val="18"/>
          <w:szCs w:val="18"/>
          <w:color w:val="auto"/>
        </w:rPr>
        <w:t>. At the Closing Time, the Representative shall have received the opinion and the negative assurance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dated the Closing Time, of Mayer Brown LLP and Mayer Brown International LLP, counsel for the Company, together with the opinion of each of Carpmaels &amp; Ransford LLP, Gill Jennings &amp; Every LLP and Wolff IP, P.C., each special counsel for the Company with respect to intellectual property matters, each substantially in the form as previously agreed with, and satisfactory to, counsel for the Representative.</w:t>
      </w:r>
    </w:p>
    <w:p>
      <w:pPr>
        <w:spacing w:after="0" w:line="71" w:lineRule="exact"/>
        <w:rPr>
          <w:rFonts w:ascii="Times New Roman" w:cs="Times New Roman" w:eastAsia="Times New Roman" w:hAnsi="Times New Roman"/>
          <w:sz w:val="18"/>
          <w:szCs w:val="18"/>
          <w:color w:val="auto"/>
        </w:rPr>
      </w:pPr>
    </w:p>
    <w:p>
      <w:pPr>
        <w:ind w:right="160" w:firstLine="436"/>
        <w:spacing w:after="0" w:line="258"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Underwriters</w:t>
      </w:r>
      <w:r>
        <w:rPr>
          <w:rFonts w:ascii="Times New Roman" w:cs="Times New Roman" w:eastAsia="Times New Roman" w:hAnsi="Times New Roman"/>
          <w:sz w:val="18"/>
          <w:szCs w:val="18"/>
          <w:color w:val="auto"/>
        </w:rPr>
        <w:t>. At the Closing Time, the Representative shall have received the opinion and the negative assurance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 each dated the Closing Time, of Kirkland &amp; Ellis LLP, U.S. counsel for the Underwriters, together with the opinion of Kirkland &amp; Ellis (International) LLP, English counsel for the Underwriters, in substantially the form as previously agreed with, and satisfactory to, the Representative. Such counsel may also state that, insofar as such opinions involve factual matters, they have relied, to the extent they deem proper, upon certificates of officers and other representatives of the Company and its Subsidiaries and certificates of public officials.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9" w:name="page30"/>
    <w:bookmarkEnd w:id="29"/>
    <w:p>
      <w:pPr>
        <w:ind w:left="-20" w:right="120" w:firstLine="436"/>
        <w:spacing w:after="0" w:line="267" w:lineRule="auto"/>
        <w:tabs>
          <w:tab w:leader="none" w:pos="6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Opinion of Counsel for Depositary</w:t>
      </w:r>
      <w:r>
        <w:rPr>
          <w:rFonts w:ascii="Times New Roman" w:cs="Times New Roman" w:eastAsia="Times New Roman" w:hAnsi="Times New Roman"/>
          <w:sz w:val="18"/>
          <w:szCs w:val="18"/>
          <w:color w:val="auto"/>
        </w:rPr>
        <w:t>. At the Closing Time, the Representative shall have received the opinion, dated as of the Closing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Patterson Belknap Webb &amp; Tyler LLP, counsel for the Depositary, substantially in the form as previously agreed with, and satisfactory to, the Representative.</w:t>
      </w:r>
    </w:p>
    <w:p>
      <w:pPr>
        <w:spacing w:after="0" w:line="65" w:lineRule="exact"/>
        <w:rPr>
          <w:rFonts w:ascii="Times New Roman" w:cs="Times New Roman" w:eastAsia="Times New Roman" w:hAnsi="Times New Roman"/>
          <w:sz w:val="18"/>
          <w:szCs w:val="18"/>
          <w:color w:val="auto"/>
        </w:rPr>
      </w:pPr>
    </w:p>
    <w:p>
      <w:pPr>
        <w:ind w:left="-20" w:firstLine="436"/>
        <w:spacing w:after="0" w:line="254" w:lineRule="auto"/>
        <w:tabs>
          <w:tab w:leader="none" w:pos="6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At the Closing Time, there shall not have been, since the date hereof or since the respective dates as of which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most recently given in the Registration Statement, the General Disclosure Package or the Prospectus, any Material Adverse Effect, and the Representative shall have received a certificate of the principal executive officer of the Company and of the principal financial officer of the Company, dated the Closing Time, to the effect that (i) there has been no such Material Adverse Effect,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80" w:lineRule="exact"/>
        <w:rPr>
          <w:rFonts w:ascii="Times New Roman" w:cs="Times New Roman" w:eastAsia="Times New Roman" w:hAnsi="Times New Roman"/>
          <w:sz w:val="18"/>
          <w:szCs w:val="18"/>
          <w:color w:val="auto"/>
        </w:rPr>
      </w:pPr>
    </w:p>
    <w:p>
      <w:pPr>
        <w:ind w:left="-20" w:right="320" w:firstLine="436"/>
        <w:spacing w:after="0" w:line="261" w:lineRule="auto"/>
        <w:tabs>
          <w:tab w:leader="none" w:pos="6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Depositary’s Certificate</w:t>
      </w:r>
      <w:r>
        <w:rPr>
          <w:rFonts w:ascii="Times New Roman" w:cs="Times New Roman" w:eastAsia="Times New Roman" w:hAnsi="Times New Roman"/>
          <w:sz w:val="18"/>
          <w:szCs w:val="18"/>
          <w:color w:val="auto"/>
        </w:rPr>
        <w:t>. The Depositary shall have furnished or caused to be furnished to the Underwriters a certificate satisfactory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 of one of its authorized officers with respect to the deposit with it of the Underlying Shares, the issuance of the ADSs evidencing the Underlying Shares pursuant to the Deposit Agreement and other such other customary matters related thereto as the Representative may reasonably request.</w:t>
      </w:r>
    </w:p>
    <w:p>
      <w:pPr>
        <w:spacing w:after="0" w:line="71" w:lineRule="exact"/>
        <w:rPr>
          <w:rFonts w:ascii="Times New Roman" w:cs="Times New Roman" w:eastAsia="Times New Roman" w:hAnsi="Times New Roman"/>
          <w:sz w:val="18"/>
          <w:szCs w:val="18"/>
          <w:color w:val="auto"/>
        </w:rPr>
      </w:pPr>
    </w:p>
    <w:p>
      <w:pPr>
        <w:ind w:left="-20" w:firstLine="436"/>
        <w:spacing w:after="0" w:line="258" w:lineRule="auto"/>
        <w:tabs>
          <w:tab w:leader="none" w:pos="6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 At the time of the execution of this Agreement, the Representative shall have received from Ernst &amp; Young LLP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letter, dated such date, in form and substance satisfactory to the Representative,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of Mereo BioPharma Group plc contained in the Registration Statement, the General Disclosure Package and the Prospectus.</w:t>
      </w:r>
    </w:p>
    <w:p>
      <w:pPr>
        <w:spacing w:after="0" w:line="75" w:lineRule="exact"/>
        <w:rPr>
          <w:rFonts w:ascii="Times New Roman" w:cs="Times New Roman" w:eastAsia="Times New Roman" w:hAnsi="Times New Roman"/>
          <w:sz w:val="18"/>
          <w:szCs w:val="18"/>
          <w:color w:val="auto"/>
        </w:rPr>
      </w:pPr>
    </w:p>
    <w:p>
      <w:pPr>
        <w:ind w:left="-20" w:right="360" w:firstLine="436"/>
        <w:spacing w:after="0" w:line="267" w:lineRule="auto"/>
        <w:tabs>
          <w:tab w:leader="none" w:pos="6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Bring-down Comfort Letter</w:t>
      </w:r>
      <w:r>
        <w:rPr>
          <w:rFonts w:ascii="Times New Roman" w:cs="Times New Roman" w:eastAsia="Times New Roman" w:hAnsi="Times New Roman"/>
          <w:sz w:val="18"/>
          <w:szCs w:val="18"/>
          <w:color w:val="auto"/>
        </w:rPr>
        <w:t>. At the Closing Time, the Representative shall have received from Ernst &amp; Young LLP a letter, dated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Time, to the effect that they reaffirm the statements made in the letter furnished pursuant to subsection (g) of this Section, except that the specified date referred to shall be a date not more than three business days prior to the Closing Time.</w:t>
      </w:r>
    </w:p>
    <w:p>
      <w:pPr>
        <w:spacing w:after="0" w:line="65" w:lineRule="exact"/>
        <w:rPr>
          <w:rFonts w:ascii="Times New Roman" w:cs="Times New Roman" w:eastAsia="Times New Roman" w:hAnsi="Times New Roman"/>
          <w:sz w:val="18"/>
          <w:szCs w:val="18"/>
          <w:color w:val="auto"/>
        </w:rPr>
      </w:pPr>
    </w:p>
    <w:p>
      <w:pPr>
        <w:ind w:left="640" w:hanging="224"/>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 Deposit Agreement</w:t>
      </w:r>
      <w:r>
        <w:rPr>
          <w:rFonts w:ascii="Times New Roman" w:cs="Times New Roman" w:eastAsia="Times New Roman" w:hAnsi="Times New Roman"/>
          <w:sz w:val="18"/>
          <w:szCs w:val="18"/>
          <w:color w:val="auto"/>
        </w:rPr>
        <w:t>. The Deposit Agreement shall be in full force and effect.</w:t>
      </w:r>
    </w:p>
    <w:p>
      <w:pPr>
        <w:spacing w:after="0" w:line="117" w:lineRule="exact"/>
        <w:rPr>
          <w:rFonts w:ascii="Times New Roman" w:cs="Times New Roman" w:eastAsia="Times New Roman" w:hAnsi="Times New Roman"/>
          <w:sz w:val="18"/>
          <w:szCs w:val="18"/>
          <w:color w:val="auto"/>
        </w:rPr>
      </w:pPr>
    </w:p>
    <w:p>
      <w:pPr>
        <w:ind w:left="-20" w:right="120" w:firstLine="436"/>
        <w:spacing w:after="0" w:line="261"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of Listing</w:t>
      </w:r>
      <w:r>
        <w:rPr>
          <w:rFonts w:ascii="Times New Roman" w:cs="Times New Roman" w:eastAsia="Times New Roman" w:hAnsi="Times New Roman"/>
          <w:sz w:val="18"/>
          <w:szCs w:val="18"/>
          <w:color w:val="auto"/>
        </w:rPr>
        <w:t>. At the Closing Time, the Initial Securities and the Option Securities shall have been approved for listing on the Nasdaq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Market, subject only to official notice of issuance. The Company shall not have received any objection from the NASDAQ Global Market as to the absence of a submission to the NASDAQ Global Market of a listing application or a listing of additional shares notification in connection with the issuance and sale of the Offered Securities.</w:t>
      </w:r>
    </w:p>
    <w:p>
      <w:pPr>
        <w:spacing w:after="0" w:line="71" w:lineRule="exact"/>
        <w:rPr>
          <w:rFonts w:ascii="Times New Roman" w:cs="Times New Roman" w:eastAsia="Times New Roman" w:hAnsi="Times New Roman"/>
          <w:sz w:val="18"/>
          <w:szCs w:val="18"/>
          <w:color w:val="auto"/>
        </w:rPr>
      </w:pPr>
    </w:p>
    <w:p>
      <w:pPr>
        <w:ind w:left="-20" w:right="280" w:firstLine="436"/>
        <w:spacing w:after="0" w:line="284" w:lineRule="auto"/>
        <w:tabs>
          <w:tab w:leader="none" w:pos="6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Objection</w:t>
      </w:r>
      <w:r>
        <w:rPr>
          <w:rFonts w:ascii="Times New Roman" w:cs="Times New Roman" w:eastAsia="Times New Roman" w:hAnsi="Times New Roman"/>
          <w:sz w:val="18"/>
          <w:szCs w:val="18"/>
          <w:color w:val="auto"/>
        </w:rPr>
        <w:t>. FINRA has confirmed that it has not raised any objection with respect to the fairness and reasonableness of the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arrangements relating to the offering of the Offered Securities.</w:t>
      </w:r>
    </w:p>
    <w:p>
      <w:pPr>
        <w:spacing w:after="0" w:line="50" w:lineRule="exact"/>
        <w:rPr>
          <w:rFonts w:ascii="Times New Roman" w:cs="Times New Roman" w:eastAsia="Times New Roman" w:hAnsi="Times New Roman"/>
          <w:sz w:val="18"/>
          <w:szCs w:val="18"/>
          <w:color w:val="auto"/>
        </w:rPr>
      </w:pPr>
    </w:p>
    <w:p>
      <w:pPr>
        <w:ind w:left="-20" w:right="40" w:firstLine="436"/>
        <w:spacing w:after="0" w:line="28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At the date of this Agreement, the Representative shall have received an agreement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signed by all of the Company’s directors and officers.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60" w:top="268" w:right="479" w:bottom="1440" w:gutter="0" w:footer="0" w:header="0"/>
        </w:sectPr>
      </w:pPr>
    </w:p>
    <w:bookmarkStart w:id="30" w:name="page31"/>
    <w:bookmarkEnd w:id="30"/>
    <w:p>
      <w:pPr>
        <w:ind w:left="-20" w:right="100" w:firstLine="436"/>
        <w:spacing w:after="0" w:line="267" w:lineRule="auto"/>
        <w:tabs>
          <w:tab w:leader="none" w:pos="7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Chief Financial Officer’s Certificate. </w:t>
      </w:r>
      <w:r>
        <w:rPr>
          <w:rFonts w:ascii="Times New Roman" w:cs="Times New Roman" w:eastAsia="Times New Roman" w:hAnsi="Times New Roman"/>
          <w:sz w:val="18"/>
          <w:szCs w:val="18"/>
          <w:color w:val="auto"/>
        </w:rPr>
        <w:t>On the date of this Agreement and at the Closing Time, the Representative shall have received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a certificate of its principal financial officer with respect to certain financial data contained in the General Disclosure Package and the Prospectus, which certificate shall be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20" w:right="20" w:firstLine="436"/>
        <w:spacing w:after="0" w:line="290" w:lineRule="auto"/>
        <w:tabs>
          <w:tab w:leader="none" w:pos="67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Conditions to Subscription of Option Securities</w:t>
      </w:r>
      <w:r>
        <w:rPr>
          <w:rFonts w:ascii="Times New Roman" w:cs="Times New Roman" w:eastAsia="Times New Roman" w:hAnsi="Times New Roman"/>
          <w:sz w:val="17"/>
          <w:szCs w:val="17"/>
          <w:color w:val="auto"/>
        </w:rPr>
        <w:t>. In the event that the Underwriters exercise their option provided in Section 2(b)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representations and warranties of the Company contained herein and the statements in any certificates furnished by the Company and any of its Subsidiaries hereunder shall be true and correct as of each Date of Delivery and, at the relevant Date of Delivery, the Representative shall have received:</w:t>
      </w:r>
    </w:p>
    <w:p>
      <w:pPr>
        <w:spacing w:after="0" w:line="49" w:lineRule="exact"/>
        <w:rPr>
          <w:rFonts w:ascii="Times New Roman" w:cs="Times New Roman" w:eastAsia="Times New Roman" w:hAnsi="Times New Roman"/>
          <w:sz w:val="17"/>
          <w:szCs w:val="17"/>
          <w:color w:val="auto"/>
        </w:rPr>
      </w:pPr>
    </w:p>
    <w:p>
      <w:pPr>
        <w:jc w:val="both"/>
        <w:ind w:left="420" w:right="300" w:firstLine="419"/>
        <w:spacing w:after="0" w:line="266" w:lineRule="auto"/>
        <w:tabs>
          <w:tab w:leader="none" w:pos="105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A certificate, dated such Date of Delivery, of the principal executive officer of the Company and of the principal financial officer of the Company confirming that the certificate delivered at the Closing Time pursuant to Section 5(e) hereof remains true and correct as of such Date of Delivery.</w:t>
      </w:r>
    </w:p>
    <w:p>
      <w:pPr>
        <w:spacing w:after="0" w:line="67" w:lineRule="exact"/>
        <w:rPr>
          <w:rFonts w:ascii="Times New Roman" w:cs="Times New Roman" w:eastAsia="Times New Roman" w:hAnsi="Times New Roman"/>
          <w:sz w:val="18"/>
          <w:szCs w:val="18"/>
          <w:color w:val="auto"/>
        </w:rPr>
      </w:pPr>
    </w:p>
    <w:p>
      <w:pPr>
        <w:ind w:left="420" w:firstLine="419"/>
        <w:spacing w:after="0" w:line="261" w:lineRule="auto"/>
        <w:tabs>
          <w:tab w:leader="none" w:pos="110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for Company</w:t>
      </w:r>
      <w:r>
        <w:rPr>
          <w:rFonts w:ascii="Times New Roman" w:cs="Times New Roman" w:eastAsia="Times New Roman" w:hAnsi="Times New Roman"/>
          <w:sz w:val="18"/>
          <w:szCs w:val="18"/>
          <w:color w:val="auto"/>
        </w:rPr>
        <w:t>. The opinion and negative assurance letter of Mayer Brown LLP, counsel for the Company, together with the opinion of Carpmaels &amp; Ransford LLP, Gill Jennings &amp; Every LLP and Wolff IP, P.C., each special counsel for the Company with respect to intellectual property matters, dated such Date of Delivery, relating to the Option Securities and otherwise to the same effect as the opinions and negative assurance letter required by Section 5(b) hereof.</w:t>
      </w:r>
    </w:p>
    <w:p>
      <w:pPr>
        <w:spacing w:after="0" w:line="71" w:lineRule="exact"/>
        <w:rPr>
          <w:rFonts w:ascii="Times New Roman" w:cs="Times New Roman" w:eastAsia="Times New Roman" w:hAnsi="Times New Roman"/>
          <w:sz w:val="18"/>
          <w:szCs w:val="18"/>
          <w:color w:val="auto"/>
        </w:rPr>
      </w:pPr>
    </w:p>
    <w:p>
      <w:pPr>
        <w:ind w:left="420" w:right="160" w:firstLine="419"/>
        <w:spacing w:after="0" w:line="261" w:lineRule="auto"/>
        <w:tabs>
          <w:tab w:leader="none" w:pos="115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for Underwriters</w:t>
      </w:r>
      <w:r>
        <w:rPr>
          <w:rFonts w:ascii="Times New Roman" w:cs="Times New Roman" w:eastAsia="Times New Roman" w:hAnsi="Times New Roman"/>
          <w:sz w:val="18"/>
          <w:szCs w:val="18"/>
          <w:color w:val="auto"/>
        </w:rPr>
        <w:t>. The opinion and negative assurance letter of Kirkland &amp; Ellis LLP, U.S. counsel for the Underwriters, together with the opinion of Kirkland &amp; Ellis (International) LLP, English counsel for the Underwriters, each dated such Date of Delivery, relating to the Option Securities and otherwise to the same effect as the opinions and negative assurance letter required by Section 5(c) hereof.</w:t>
      </w:r>
    </w:p>
    <w:p>
      <w:pPr>
        <w:spacing w:after="0" w:line="71" w:lineRule="exact"/>
        <w:rPr>
          <w:rFonts w:ascii="Times New Roman" w:cs="Times New Roman" w:eastAsia="Times New Roman" w:hAnsi="Times New Roman"/>
          <w:sz w:val="18"/>
          <w:szCs w:val="18"/>
          <w:color w:val="auto"/>
        </w:rPr>
      </w:pPr>
    </w:p>
    <w:p>
      <w:pPr>
        <w:ind w:left="420" w:right="180" w:firstLine="419"/>
        <w:spacing w:after="0" w:line="282" w:lineRule="auto"/>
        <w:tabs>
          <w:tab w:leader="none" w:pos="114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for Depositary</w:t>
      </w:r>
      <w:r>
        <w:rPr>
          <w:rFonts w:ascii="Times New Roman" w:cs="Times New Roman" w:eastAsia="Times New Roman" w:hAnsi="Times New Roman"/>
          <w:sz w:val="18"/>
          <w:szCs w:val="18"/>
          <w:color w:val="auto"/>
        </w:rPr>
        <w:t>. The opinion of Patterson Belknap Webb &amp; Tyler LLP, counsel for the Depositary, dated such Date of Delivery, relating to the Option Securities and to the same effect as the opinion required by Section 5(d) hereof.</w:t>
      </w:r>
    </w:p>
    <w:p>
      <w:pPr>
        <w:spacing w:after="0" w:line="53" w:lineRule="exact"/>
        <w:rPr>
          <w:rFonts w:ascii="Times New Roman" w:cs="Times New Roman" w:eastAsia="Times New Roman" w:hAnsi="Times New Roman"/>
          <w:sz w:val="18"/>
          <w:szCs w:val="18"/>
          <w:color w:val="auto"/>
        </w:rPr>
      </w:pPr>
    </w:p>
    <w:p>
      <w:pPr>
        <w:ind w:left="420" w:right="220" w:firstLine="419"/>
        <w:spacing w:after="0" w:line="276" w:lineRule="auto"/>
        <w:tabs>
          <w:tab w:leader="none" w:pos="1098"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Bring-down Comfort Letters</w:t>
      </w:r>
      <w:r>
        <w:rPr>
          <w:rFonts w:ascii="Times New Roman" w:cs="Times New Roman" w:eastAsia="Times New Roman" w:hAnsi="Times New Roman"/>
          <w:sz w:val="17"/>
          <w:szCs w:val="17"/>
          <w:color w:val="auto"/>
        </w:rPr>
        <w:t>. A letter or letters from Ernst &amp; Young LLP, in form and substance satisfactory to the Representative and dated such Date of Delivery, substantially in the same form and substance as the letter furnished to the Representative pursuant to subsection</w:t>
      </w:r>
    </w:p>
    <w:p>
      <w:pPr>
        <w:ind w:left="420" w:right="280" w:hanging="4"/>
        <w:spacing w:after="0" w:line="260" w:lineRule="auto"/>
        <w:tabs>
          <w:tab w:leader="none" w:pos="6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except that, with respect to the financial information of the Company, the “specified date” in the letter furnished pursuant to this paragraph shall be a date not more than three business days prior to such Date of Delivery.</w:t>
      </w:r>
    </w:p>
    <w:p>
      <w:pPr>
        <w:spacing w:after="0" w:line="73" w:lineRule="exact"/>
        <w:rPr>
          <w:rFonts w:ascii="Times New Roman" w:cs="Times New Roman" w:eastAsia="Times New Roman" w:hAnsi="Times New Roman"/>
          <w:sz w:val="18"/>
          <w:szCs w:val="18"/>
          <w:color w:val="auto"/>
        </w:rPr>
      </w:pPr>
    </w:p>
    <w:p>
      <w:pPr>
        <w:ind w:left="420" w:right="60" w:firstLine="419"/>
        <w:spacing w:after="0" w:line="312" w:lineRule="auto"/>
        <w:tabs>
          <w:tab w:leader="none" w:pos="1148"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Chief Financial Officer’s Certificate</w:t>
      </w:r>
      <w:r>
        <w:rPr>
          <w:rFonts w:ascii="Times New Roman" w:cs="Times New Roman" w:eastAsia="Times New Roman" w:hAnsi="Times New Roman"/>
          <w:sz w:val="17"/>
          <w:szCs w:val="17"/>
          <w:color w:val="auto"/>
        </w:rPr>
        <w:t>. A certificate, dated such Date of Delivery, of the principal financial officer of the Company confirming that the certificate delivered at the Closing Time pursuant to Section 5(m) hereof remains true and correct as of such Date of Delivery.</w:t>
      </w:r>
    </w:p>
    <w:p>
      <w:pPr>
        <w:spacing w:after="0" w:line="31" w:lineRule="exact"/>
        <w:rPr>
          <w:rFonts w:ascii="Times New Roman" w:cs="Times New Roman" w:eastAsia="Times New Roman" w:hAnsi="Times New Roman"/>
          <w:sz w:val="17"/>
          <w:szCs w:val="17"/>
          <w:color w:val="auto"/>
        </w:rPr>
      </w:pPr>
    </w:p>
    <w:p>
      <w:pPr>
        <w:ind w:left="420" w:right="20" w:firstLine="419"/>
        <w:spacing w:after="0" w:line="282" w:lineRule="auto"/>
        <w:tabs>
          <w:tab w:leader="none" w:pos="119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Depositary’s Certificate</w:t>
      </w:r>
      <w:r>
        <w:rPr>
          <w:rFonts w:ascii="Times New Roman" w:cs="Times New Roman" w:eastAsia="Times New Roman" w:hAnsi="Times New Roman"/>
          <w:sz w:val="18"/>
          <w:szCs w:val="18"/>
          <w:color w:val="auto"/>
        </w:rPr>
        <w:t>. A certificate from the Depositary in form and substance satisfactory to the Representative and dated such Date of Delivery, substantially in the same form and substance as the certificate furnished to the Representative pursuant to Section 5(f) 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60" w:top="268" w:right="459" w:bottom="1440" w:gutter="0" w:footer="0" w:header="0"/>
        </w:sectPr>
      </w:pPr>
    </w:p>
    <w:bookmarkStart w:id="31" w:name="page32"/>
    <w:bookmarkEnd w:id="31"/>
    <w:p>
      <w:pPr>
        <w:ind w:left="-20" w:right="60" w:firstLine="436"/>
        <w:spacing w:after="0" w:line="258" w:lineRule="auto"/>
        <w:tabs>
          <w:tab w:leader="none" w:pos="6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Documents</w:t>
      </w:r>
      <w:r>
        <w:rPr>
          <w:rFonts w:ascii="Times New Roman" w:cs="Times New Roman" w:eastAsia="Times New Roman" w:hAnsi="Times New Roman"/>
          <w:sz w:val="18"/>
          <w:szCs w:val="18"/>
          <w:color w:val="auto"/>
        </w:rPr>
        <w:t>. At the Closing Time and at each Date of Delivery (if any), counsel for the Underwriters shall have been furnished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other documents and opinions as they may reasonably require for the purpose of enabling them to pass upon the allotment and issuance of the Offered Securities as herein contemplated, or in order to evidence the accuracy of any of the representations or warranties, or the fulfillment of any of the conditions, herein contained; and all proceedings taken by the Company in connection with the allotment and issuance of the Offered Securities as herein contemplated shall be reasonably satisfactory in form and substance to the Representative and counsel for the Underwriters.</w:t>
      </w:r>
    </w:p>
    <w:p>
      <w:pPr>
        <w:spacing w:after="0" w:line="75" w:lineRule="exact"/>
        <w:rPr>
          <w:rFonts w:ascii="Times New Roman" w:cs="Times New Roman" w:eastAsia="Times New Roman" w:hAnsi="Times New Roman"/>
          <w:sz w:val="18"/>
          <w:szCs w:val="18"/>
          <w:color w:val="auto"/>
        </w:rPr>
      </w:pPr>
    </w:p>
    <w:p>
      <w:pPr>
        <w:ind w:left="-20" w:firstLine="436"/>
        <w:spacing w:after="0" w:line="257" w:lineRule="auto"/>
        <w:tabs>
          <w:tab w:leader="none" w:pos="6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any condition specified in this Section shall not have been fulfilled when and as required to be fulfilled,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in the case of any condition to the purchase of Option Securities on a Date of Delivery which is after the Closing Time, the obligations of the several Underwriters to purchase the relevant Option Securities, may be terminated by the Representative by notice to the Company at any time at or prior to Closing Time or such Date of Delivery, as the case may be, and such termination shall be without liability of any party to any other party except as provided in Section 4(b) and except that Sections 1, 4(b), 6, 7, 8, 13, 14, 15 and 16 shall survive any such termination and remain in full force and effect.</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20" w:right="400" w:firstLine="436"/>
        <w:spacing w:after="0" w:line="261" w:lineRule="auto"/>
        <w:tabs>
          <w:tab w:leader="none" w:pos="6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Underwriters</w:t>
      </w:r>
      <w:r>
        <w:rPr>
          <w:rFonts w:ascii="Times New Roman" w:cs="Times New Roman" w:eastAsia="Times New Roman" w:hAnsi="Times New Roman"/>
          <w:sz w:val="18"/>
          <w:szCs w:val="18"/>
          <w:color w:val="auto"/>
        </w:rPr>
        <w:t>. The Company agrees to indemnify and hold harmless to the fullest extent permitted by applicable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CA 2006, each Underwriter, its affiliates (as such term is defined in Rule 501(b) under the 1933 Act (each, an “Affiliate”)), its selling agents and each person, if any, who controls any Underwriter within the meaning of Section 15 of the 1933 Act or Section 20 of the 1934 Act as follows:</w:t>
      </w:r>
    </w:p>
    <w:p>
      <w:pPr>
        <w:spacing w:after="0" w:line="73" w:lineRule="exact"/>
        <w:rPr>
          <w:rFonts w:ascii="Times New Roman" w:cs="Times New Roman" w:eastAsia="Times New Roman" w:hAnsi="Times New Roman"/>
          <w:sz w:val="18"/>
          <w:szCs w:val="18"/>
          <w:color w:val="auto"/>
        </w:rPr>
      </w:pPr>
    </w:p>
    <w:p>
      <w:pPr>
        <w:ind w:left="420" w:right="80" w:firstLine="419"/>
        <w:spacing w:after="0" w:line="253" w:lineRule="auto"/>
        <w:tabs>
          <w:tab w:leader="none" w:pos="105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430A Information,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the General Disclosure Package or the Prospectus (or any amendment or supplement thereto), or (B) in any materials or information provided to investors by, or on behalf of, the Company in connection with the marketing of the offering of the Offered Securities (“Marketing Materials”), including any roadshow or investor presentations made to investors by the Company (whether in person or electronically), or the omission or alleged omission in any preliminary prospectus, any Issuer Free Writing Prospectus, the General Disclosure Package, the Prospectus (or any amendment or supplement thereto) or in any Marketing Materials of a material fact necessary in order to make the statements therein, in the light of the circumstances under which they were made, not misleading;</w:t>
      </w:r>
    </w:p>
    <w:p>
      <w:pPr>
        <w:spacing w:after="0" w:line="83" w:lineRule="exact"/>
        <w:rPr>
          <w:rFonts w:ascii="Times New Roman" w:cs="Times New Roman" w:eastAsia="Times New Roman" w:hAnsi="Times New Roman"/>
          <w:sz w:val="18"/>
          <w:szCs w:val="18"/>
          <w:color w:val="auto"/>
        </w:rPr>
      </w:pPr>
    </w:p>
    <w:p>
      <w:pPr>
        <w:ind w:left="420" w:right="240" w:firstLine="419"/>
        <w:spacing w:after="0" w:line="261" w:lineRule="auto"/>
        <w:tabs>
          <w:tab w:leader="none" w:pos="110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spacing w:after="0" w:line="71" w:lineRule="exact"/>
        <w:rPr>
          <w:rFonts w:ascii="Times New Roman" w:cs="Times New Roman" w:eastAsia="Times New Roman" w:hAnsi="Times New Roman"/>
          <w:sz w:val="18"/>
          <w:szCs w:val="18"/>
          <w:color w:val="auto"/>
        </w:rPr>
      </w:pPr>
    </w:p>
    <w:p>
      <w:pPr>
        <w:ind w:left="420" w:right="280" w:firstLine="419"/>
        <w:spacing w:after="0" w:line="261" w:lineRule="auto"/>
        <w:tabs>
          <w:tab w:leader="none" w:pos="115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reasonable fees and disbursements of counsel chosen by the Representative) reasonably incurred and documented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60" w:top="268" w:right="459" w:bottom="1440" w:gutter="0" w:footer="0" w:header="0"/>
        </w:sectPr>
      </w:pPr>
    </w:p>
    <w:bookmarkStart w:id="32" w:name="page33"/>
    <w:bookmarkEnd w:id="32"/>
    <w:p>
      <w:pPr>
        <w:ind w:left="440" w:right="120" w:firstLine="419"/>
        <w:spacing w:after="0" w:line="276" w:lineRule="auto"/>
        <w:tabs>
          <w:tab w:leader="none" w:pos="1168"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against any Transfer Taxes, including any interest and penalties, that are payable by or on behalf of the Underwriters on (i) the issuance and delivery of the Offered Securities to or for the account of the Underwriters in the manner contemplated by this Underwriting Agreement;</w:t>
      </w:r>
    </w:p>
    <w:p>
      <w:pPr>
        <w:ind w:left="700" w:hanging="264"/>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sale and delivery by the Underwriters of the Offered Securities to purchasers thereof through the facilities of DTC in the manner</w:t>
      </w:r>
    </w:p>
    <w:p>
      <w:pPr>
        <w:spacing w:after="0" w:line="9" w:lineRule="exact"/>
        <w:rPr>
          <w:rFonts w:ascii="Times New Roman" w:cs="Times New Roman" w:eastAsia="Times New Roman" w:hAnsi="Times New Roman"/>
          <w:sz w:val="18"/>
          <w:szCs w:val="18"/>
          <w:color w:val="auto"/>
        </w:rPr>
      </w:pPr>
    </w:p>
    <w:p>
      <w:pPr>
        <w:ind w:left="44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contemplated by this Underwriting Agreement; (iii) the deposit of the Underlying Shares with the Depositary and the issuance and delivery of the ADSs in the manner contemplated by this Underwriting Agreement and the Deposit Agreement; or (iv) the execution and delivery of this Underwriting Agreement or the Deposit Agreement;</w:t>
      </w:r>
    </w:p>
    <w:p>
      <w:pPr>
        <w:spacing w:after="0" w:line="18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430A Information, the General Disclosure Package or the Prospectus (or any amendment or supplement thereto) in reliance upon and in conformity with the Underwriter Information.</w:t>
      </w:r>
    </w:p>
    <w:p>
      <w:pPr>
        <w:spacing w:after="0" w:line="70" w:lineRule="exact"/>
        <w:rPr>
          <w:sz w:val="20"/>
          <w:szCs w:val="20"/>
          <w:color w:val="auto"/>
        </w:rPr>
      </w:pPr>
    </w:p>
    <w:p>
      <w:pPr>
        <w:ind w:right="40" w:firstLine="436"/>
        <w:spacing w:after="0" w:line="256"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Company, Directors and Officers</w:t>
      </w:r>
      <w:r>
        <w:rPr>
          <w:rFonts w:ascii="Times New Roman" w:cs="Times New Roman" w:eastAsia="Times New Roman" w:hAnsi="Times New Roman"/>
          <w:sz w:val="18"/>
          <w:szCs w:val="18"/>
          <w:color w:val="auto"/>
        </w:rPr>
        <w:t>. Each Underwriter severally agrees to indemnify and hold harmless the Company,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430A Information, the General Disclosure Package or the Prospectus (or any amendment or supplement thereto) in reliance upon and in conformity with the Underwriter Information.</w:t>
      </w:r>
    </w:p>
    <w:p>
      <w:pPr>
        <w:spacing w:after="0" w:line="74"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 indemnifying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the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33" w:name="page34"/>
    <w:bookmarkEnd w:id="33"/>
    <w:p>
      <w:pPr>
        <w:ind w:right="100" w:firstLine="436"/>
        <w:spacing w:after="0" w:line="257"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 the indemnified party for reasonable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Offered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19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relative benefits received by the Company, on the one hand, and the Underwriters, on the other hand, in connection with the offering of the Offered Securities pursuant to this Agreement shall be deemed to be in the same respective proportions as the total net proceeds from the offering of the Offered Securities pursuant to this Agreement (before deducting expenses) received by the Company, on the one hand, and the total underwriting discount received by the Underwriters, on the other hand, in each case as set forth on the cover of the Prospectus, bear to the aggregate initial public offering price of the Offered Securities as set forth on the cover of the Prospectus.</w:t>
      </w:r>
    </w:p>
    <w:p>
      <w:pPr>
        <w:spacing w:after="0" w:line="183"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7" w:lineRule="exact"/>
        <w:rPr>
          <w:sz w:val="20"/>
          <w:szCs w:val="20"/>
          <w:color w:val="auto"/>
        </w:rPr>
      </w:pPr>
    </w:p>
    <w:p>
      <w:pPr>
        <w:ind w:right="680" w:firstLine="440"/>
        <w:spacing w:after="0" w:line="312" w:lineRule="auto"/>
        <w:rPr>
          <w:sz w:val="20"/>
          <w:szCs w:val="20"/>
          <w:color w:val="auto"/>
        </w:rPr>
      </w:pPr>
      <w:r>
        <w:rPr>
          <w:rFonts w:ascii="Times New Roman" w:cs="Times New Roman" w:eastAsia="Times New Roman" w:hAnsi="Times New Roman"/>
          <w:sz w:val="17"/>
          <w:szCs w:val="17"/>
          <w:color w:val="auto"/>
        </w:rPr>
        <w:t>Notwithstanding the provisions of this Section 7, no Underwriter shall be required to contribute any amount in excess of the underwriting discounts and commissions received by such Underwriter in connection with the Securities underwritten by it and distributed to the public.</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68" w:right="439" w:bottom="1440" w:gutter="0" w:footer="0" w:header="0"/>
        </w:sectPr>
      </w:pPr>
    </w:p>
    <w:bookmarkStart w:id="34" w:name="page35"/>
    <w:bookmarkEnd w:id="34"/>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person guilty of fraudulent misrepresentation (within the meaning of Section 11(f) of the 1933 Act) shall be entitled to contribution from any person who was not guilty of such fraudulent misrepresentation.</w:t>
      </w:r>
    </w:p>
    <w:p>
      <w:pPr>
        <w:spacing w:after="0" w:line="162"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Securities set forth opposite their respective names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 not joint.</w:t>
      </w:r>
    </w:p>
    <w:p>
      <w:pPr>
        <w:spacing w:after="0" w:line="187"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Representations, Warranties and Agreements to Survive</w:t>
      </w:r>
      <w:r>
        <w:rPr>
          <w:rFonts w:ascii="Times New Roman" w:cs="Times New Roman" w:eastAsia="Times New Roman" w:hAnsi="Times New Roman"/>
          <w:sz w:val="18"/>
          <w:szCs w:val="18"/>
          <w:color w:val="auto"/>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684" w:hanging="244"/>
        <w:spacing w:after="0"/>
        <w:tabs>
          <w:tab w:leader="none" w:pos="68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Representative may terminate this Agreement, by written notice to the Company, at any time at or prior to the Closing Time</w:t>
      </w:r>
    </w:p>
    <w:p>
      <w:pPr>
        <w:spacing w:after="0" w:line="29" w:lineRule="exact"/>
        <w:rPr>
          <w:rFonts w:ascii="Times New Roman" w:cs="Times New Roman" w:eastAsia="Times New Roman" w:hAnsi="Times New Roman"/>
          <w:sz w:val="18"/>
          <w:szCs w:val="18"/>
          <w:color w:val="auto"/>
        </w:rPr>
      </w:pPr>
    </w:p>
    <w:p>
      <w:pPr>
        <w:ind w:left="4" w:right="120" w:hanging="4"/>
        <w:spacing w:after="0" w:line="251" w:lineRule="auto"/>
        <w:tabs>
          <w:tab w:leader="none" w:pos="2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has been, in the reasonable judgment of the Representative,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the United Kingdom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reasonable judgment of the Representative, impracticable or inadvisable to proceed with the completion of the offering or to enforce contracts for the sale of the Offered Securities, or (iii) if trading in any securities of the Company has been suspended or materially limited by the Commission or the Nasdaq Global Market, or (iv) if trading generally on the Nasdaq Global Market has been suspended or materially limited, or minimum or maximum prices for trading have been fixed, or maximum ranges for prices have been required, by any of said exchanges or markets or by order of the Commission, FINRA or any other governmental authority, or (v) a material disruption has occurred in commercial banking or securities settlement or clearance services in the United States, in the United Kingdom or with respect to Clearstream or Euroclear systems in Europe, or (vi) if a banking moratorium has been declared by either Federal or New York authorities or authorities in the United Kingdom.</w:t>
      </w:r>
    </w:p>
    <w:p>
      <w:pPr>
        <w:spacing w:after="0" w:line="81" w:lineRule="exact"/>
        <w:rPr>
          <w:rFonts w:ascii="Times New Roman" w:cs="Times New Roman" w:eastAsia="Times New Roman" w:hAnsi="Times New Roman"/>
          <w:sz w:val="18"/>
          <w:szCs w:val="18"/>
          <w:color w:val="auto"/>
        </w:rPr>
      </w:pPr>
    </w:p>
    <w:p>
      <w:pPr>
        <w:ind w:left="4" w:right="40" w:firstLine="436"/>
        <w:spacing w:after="0" w:line="267" w:lineRule="auto"/>
        <w:tabs>
          <w:tab w:leader="none" w:pos="6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provided in Section 4 hereof, and provided further that Sections 1, 4(b), 6, 7, 8, 14, 15 and 16 shall survive such termination and remain in full force and effect.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35" w:name="page36"/>
    <w:bookmarkEnd w:id="35"/>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 </w:t>
      </w:r>
      <w:r>
        <w:rPr>
          <w:rFonts w:ascii="Times New Roman" w:cs="Times New Roman" w:eastAsia="Times New Roman" w:hAnsi="Times New Roman"/>
          <w:sz w:val="18"/>
          <w:szCs w:val="18"/>
          <w:u w:val="single" w:color="auto"/>
          <w:color w:val="auto"/>
        </w:rPr>
        <w:t>Default by One or More of the Underwriters</w:t>
      </w:r>
      <w:r>
        <w:rPr>
          <w:rFonts w:ascii="Times New Roman" w:cs="Times New Roman" w:eastAsia="Times New Roman" w:hAnsi="Times New Roman"/>
          <w:sz w:val="18"/>
          <w:szCs w:val="18"/>
          <w:color w:val="auto"/>
        </w:rPr>
        <w:t xml:space="preserve">. This section will apply only if more than one Underwriter is listed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In such case, if one or more of the Underwriters shall fail at the Closing Time or a Date of Delivery to subscribe for the Offered Securities which it or for which they are obligated to subscribe under this Agreement (the “Defaulted Securities”), the Representative shall have the right, within 24 hours thereafter, to make arrangements for one or more of the non-defaulting Underwriters, or any other underwriters, to subscribe for all, but not less than all, of the Defaulted Securities in such amounts as may be agreed upon and upon the terms herein set forth; if, however, the Representative shall not have completed such arrangements within such 24-hour period, then:</w:t>
      </w:r>
    </w:p>
    <w:p>
      <w:pPr>
        <w:spacing w:after="0" w:line="79" w:lineRule="exact"/>
        <w:rPr>
          <w:sz w:val="20"/>
          <w:szCs w:val="20"/>
          <w:color w:val="auto"/>
        </w:rPr>
      </w:pPr>
    </w:p>
    <w:p>
      <w:pPr>
        <w:ind w:left="444" w:right="700" w:firstLine="419"/>
        <w:spacing w:after="0" w:line="266" w:lineRule="auto"/>
        <w:tabs>
          <w:tab w:leader="none" w:pos="108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67" w:lineRule="exact"/>
        <w:rPr>
          <w:rFonts w:ascii="Times New Roman" w:cs="Times New Roman" w:eastAsia="Times New Roman" w:hAnsi="Times New Roman"/>
          <w:sz w:val="18"/>
          <w:szCs w:val="18"/>
          <w:color w:val="auto"/>
        </w:rPr>
      </w:pPr>
    </w:p>
    <w:p>
      <w:pPr>
        <w:ind w:left="444" w:right="80" w:firstLine="419"/>
        <w:spacing w:after="0" w:line="261" w:lineRule="auto"/>
        <w:tabs>
          <w:tab w:leader="none" w:pos="11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Defaulted Securities exceeds 10% of the number of Offered Securities to be purchased on such date, this Agreement or, with respect to any Date of Delivery which occurs after subscribed for Closing Time, the obligation of the Underwriters to subscribe for, and the Company to cause the delivery of, the Option Securities to be issued on such Date of Delivery shall terminate without liability on the part of any non-defaulting Underwriter.</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subscribe for and the Company to cause the delivery of the relevant Option Securities, as the case may be, either the (i) Representative or (ii) the Company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87"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by any standard form of telecommunication. Notices to the Underwriters shall be directed to SVB Leerink at 1301 Avenue of the Americas, 12</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10019, attention of Stuart R. Nayman with a copy (which shall not constitute notice) to Kirkland &amp; Ellis LLP, 601 Lexington Avenue, New York, New York 10022, attention of Sophia Hudson, P.C. Notices to the Company shall be directed to Mereo BioPharma Group plc at One Cavendish Place, 4th Floor, London W1G 0QF United Kingdom, attention of Charles Sermon, with a copy (which shall not constitute notice) to Mayer Brown LLP at 1221 Avenue of the Americas, New York, New York 10020, attention of David Bakst.</w:t>
      </w:r>
    </w:p>
    <w:p>
      <w:pPr>
        <w:spacing w:after="0" w:line="187" w:lineRule="exact"/>
        <w:rPr>
          <w:sz w:val="20"/>
          <w:szCs w:val="20"/>
          <w:color w:val="auto"/>
        </w:rPr>
      </w:pPr>
    </w:p>
    <w:p>
      <w:pPr>
        <w:ind w:left="4" w:right="10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No Advisory or Fiduciary Relationship</w:t>
      </w:r>
      <w:r>
        <w:rPr>
          <w:rFonts w:ascii="Times New Roman" w:cs="Times New Roman" w:eastAsia="Times New Roman" w:hAnsi="Times New Roman"/>
          <w:sz w:val="17"/>
          <w:szCs w:val="17"/>
          <w:color w:val="auto"/>
        </w:rPr>
        <w:t>. The Company acknowledges and agrees that (a) the purchase and sale of the Offered Securities pursuant to this Agreement, including the determination of the initial public offering price of the Offered Securities and any related discounts and commissions, is an arm’s-length commercial transaction between the Company, on the one hand, and the several Underwriters, on the other hand,</w:t>
      </w:r>
    </w:p>
    <w:p>
      <w:pPr>
        <w:spacing w:after="0" w:line="2" w:lineRule="exact"/>
        <w:rPr>
          <w:sz w:val="20"/>
          <w:szCs w:val="20"/>
          <w:color w:val="auto"/>
        </w:rPr>
      </w:pPr>
    </w:p>
    <w:p>
      <w:pPr>
        <w:ind w:left="4" w:hanging="4"/>
        <w:spacing w:after="0" w:line="253" w:lineRule="auto"/>
        <w:tabs>
          <w:tab w:leader="none" w:pos="25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offering of the Offered Securities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 Company with respect to the offering of the Offered Securities or the process leading thereto (irrespective of whether such Underwriter has advised or is currently advising the Company or any of its Subsidiaries on other matters) and no Underwriter has any obligation to the Company with</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4"/>
          </w:cols>
          <w:pgMar w:left="436" w:top="270" w:right="439" w:bottom="1440" w:gutter="0" w:footer="0" w:header="0"/>
        </w:sectPr>
      </w:pPr>
    </w:p>
    <w:bookmarkStart w:id="36" w:name="page37"/>
    <w:bookmarkEnd w:id="36"/>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respect to the offering of the Offered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Offered Securities and the Company has consulted its own respective legal, accounting, regulatory and tax advisors to the extent it deemed appropriate.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36"/>
        <w:spacing w:after="0" w:line="261"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and becomes subject to,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right="20" w:firstLine="436"/>
        <w:spacing w:after="0" w:line="255"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13, (i) “BHC Act Affiliate” has the meaning assigned to the term “affiliate” in, and shall be interpreted in accordance with, 12 U.S.C. § 1841(k); (ii) “Covered Entity”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 (iii) “Default Right” has the meaning assigned to that term in, and shall be interpreted in accordance with, 12 C.F.R. §§ 252.81, 47.2 or 382.1, as applicable; and (iv) “U.S. Special Resolution Regime” means each of (A) the Federal Deposit Insurance Act and the regulations promulgated thereunder and (B) Title II of the Dodd-Frank Wall Street Reform and Consumer Protection Act and the regulations promulgated thereunder.</w:t>
      </w:r>
    </w:p>
    <w:p>
      <w:pPr>
        <w:spacing w:after="0" w:line="18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9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Waiver of Trial by Jury</w:t>
      </w:r>
      <w:r>
        <w:rPr>
          <w:rFonts w:ascii="Times New Roman" w:cs="Times New Roman" w:eastAsia="Times New Roman" w:hAnsi="Times New Roman"/>
          <w:sz w:val="18"/>
          <w:szCs w:val="18"/>
          <w:color w:val="auto"/>
        </w:rPr>
        <w:t>. The Company (on its behalf and, to the extent permitted by applicable law, on behalf of its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37" w:name="page38"/>
    <w:bookmarkEnd w:id="37"/>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76"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Consent to Jurisdiction; Waiver of Immunity</w:t>
      </w:r>
      <w:r>
        <w:rPr>
          <w:rFonts w:ascii="Times New Roman" w:cs="Times New Roman" w:eastAsia="Times New Roman" w:hAnsi="Times New Roman"/>
          <w:sz w:val="18"/>
          <w:szCs w:val="18"/>
          <w:color w:val="auto"/>
        </w:rPr>
        <w:t>. Any legal suit, action or proceeding arising out of or based upon this Agreement or the transactions contemplated hereby (“Related Proceedings”)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The Company irrevocably appoints Mereo US Holdings Inc. as its agent to receive service of process or other legal summons for purposes of any such suit, action or proceeding that may be instituted in any state or federal court in the City and County of New York. 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95"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The obligations of the Company pursuant to this Agreement in respect of any sum due to any Underwriter shall, notwithstanding any judgment in a currency other than U.S. dollars, not be discharged until the first business day following receipt by such Underwriter of any sum adjudged to be so due in such other currency on which (and only to the extent that) such Underwriter may in accordance with normal banking procedures purchase U.S. dollars with such other currency. If the U.S. dollars so purchased are less than the sum originally due to such Underwriter hereunder, the Company agrees, as a separate obligation and notwithstanding any such judgment, to indemnify such Underwriter against such loss. If the U.S. dollars so purchased are greater than the sum originally due to such Underwriter hereunder, such Underwriter agrees to pay to the Company an amount equal to the excess of the dollars so purchased over the sum originally due to such Underwriter hereunder.</w:t>
      </w:r>
    </w:p>
    <w:p>
      <w:pPr>
        <w:spacing w:after="0" w:line="18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TIME SHALL BE OF THE ESSENCE OF THIS AGREEMENT. EXCEPT AS OTHERWISE SET FORTH HEREIN, SPECIFIED TIMES OF DAY REFER TO NEW YORK CITY TIME.</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38" w:name="page39"/>
    <w:bookmarkEnd w:id="38"/>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(which may include counterparts delivered by any standard form of telecommunication),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supersedes all prior agreements and understandings (whether written or oral) between the Company and the Underwriters, or any of them, with respect to the subject matter hereof.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39" w:name="page40"/>
    <w:bookmarkEnd w:id="39"/>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Denise Scots-Knight</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4"/>
          <w:szCs w:val="14"/>
          <w:color w:val="auto"/>
        </w:rPr>
        <w:t>NDERWRITING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920"/>
          </w:cols>
          <w:pgMar w:left="440" w:top="270" w:right="5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CONFIRMED AND ACCEPTED</w:t>
      </w: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LEERINK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Gabriel P. Cavazos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Gabriel P. Cavazos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itself and as Representative of the other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158" w:lineRule="exact"/>
        <w:rPr>
          <w:sz w:val="20"/>
          <w:szCs w:val="20"/>
          <w:color w:val="auto"/>
        </w:rPr>
      </w:pPr>
    </w:p>
    <w:p>
      <w:pPr>
        <w:jc w:val="right"/>
        <w:ind w:right="257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4"/>
          <w:szCs w:val="14"/>
          <w:color w:val="auto"/>
        </w:rPr>
        <w:t>NDERWRITING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980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SCHEDULE A</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The initial public offering price per ADS shall be $2.900.</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The subscription price per ADS to be paid by the several Underwriters shall be $2.726.</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9800" w:type="dxa"/>
            <w:vAlign w:val="bottom"/>
          </w:tcPr>
          <w:p>
            <w:pPr>
              <w:spacing w:after="0"/>
              <w:rPr>
                <w:sz w:val="24"/>
                <w:szCs w:val="24"/>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Number of</w:t>
            </w:r>
          </w:p>
        </w:tc>
      </w:tr>
      <w:tr>
        <w:trPr>
          <w:trHeight w:val="148"/>
        </w:trPr>
        <w:tc>
          <w:tcPr>
            <w:tcW w:w="980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Initial Securities to</w:t>
            </w:r>
          </w:p>
        </w:tc>
      </w:tr>
      <w:tr>
        <w:trPr>
          <w:trHeight w:val="185"/>
        </w:trPr>
        <w:tc>
          <w:tcPr>
            <w:tcW w:w="9800" w:type="dxa"/>
            <w:vAlign w:val="bottom"/>
          </w:tcPr>
          <w:p>
            <w:pPr>
              <w:spacing w:after="0"/>
              <w:rPr>
                <w:sz w:val="20"/>
                <w:szCs w:val="20"/>
                <w:color w:val="auto"/>
              </w:rPr>
            </w:pPr>
            <w:r>
              <w:rPr>
                <w:rFonts w:ascii="Times New Roman" w:cs="Times New Roman" w:eastAsia="Times New Roman" w:hAnsi="Times New Roman"/>
                <w:sz w:val="14"/>
                <w:szCs w:val="14"/>
                <w:color w:val="auto"/>
              </w:rPr>
              <w:t>Name of Underwriter</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be Purchased</w:t>
            </w: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SVB Leerink LLC</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25,875,000.00</w:t>
            </w:r>
          </w:p>
        </w:tc>
        <w:tc>
          <w:tcPr>
            <w:tcW w:w="60" w:type="dxa"/>
            <w:vAlign w:val="bottom"/>
            <w:shd w:val="clear" w:color="auto" w:fill="CCEEFF"/>
          </w:tcPr>
          <w:p>
            <w:pPr>
              <w:spacing w:after="0"/>
              <w:rPr>
                <w:sz w:val="18"/>
                <w:szCs w:val="18"/>
                <w:color w:val="auto"/>
              </w:rPr>
            </w:pPr>
          </w:p>
        </w:tc>
      </w:tr>
      <w:tr>
        <w:trPr>
          <w:trHeight w:val="216"/>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BTIG LLC</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4,312,500.00</w:t>
            </w:r>
          </w:p>
        </w:tc>
        <w:tc>
          <w:tcPr>
            <w:tcW w:w="60" w:type="dxa"/>
            <w:vAlign w:val="bottom"/>
          </w:tcPr>
          <w:p>
            <w:pPr>
              <w:spacing w:after="0"/>
              <w:rPr>
                <w:sz w:val="18"/>
                <w:szCs w:val="18"/>
                <w:color w:val="auto"/>
              </w:rPr>
            </w:pP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Needham &amp; Company, LLC</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4,312,500.00</w:t>
            </w:r>
          </w:p>
        </w:tc>
        <w:tc>
          <w:tcPr>
            <w:tcW w:w="60" w:type="dxa"/>
            <w:vAlign w:val="bottom"/>
            <w:shd w:val="clear" w:color="auto" w:fill="CCEEFF"/>
          </w:tcPr>
          <w:p>
            <w:pPr>
              <w:spacing w:after="0"/>
              <w:rPr>
                <w:sz w:val="18"/>
                <w:szCs w:val="18"/>
                <w:color w:val="auto"/>
              </w:rPr>
            </w:pPr>
          </w:p>
        </w:tc>
      </w:tr>
      <w:tr>
        <w:trPr>
          <w:trHeight w:val="223"/>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34,500,000.</w:t>
            </w:r>
            <w:r>
              <w:rPr>
                <w:rFonts w:ascii="Times New Roman" w:cs="Times New Roman" w:eastAsia="Times New Roman" w:hAnsi="Times New Roman"/>
                <w:sz w:val="18"/>
                <w:szCs w:val="18"/>
                <w:u w:val="single" w:color="auto"/>
                <w:color w:val="auto"/>
              </w:rPr>
              <w:t>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9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42" w:name="page43"/>
    <w:bookmarkEnd w:id="42"/>
    <w:p>
      <w:pPr>
        <w:jc w:val="center"/>
        <w:ind w:right="-5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B-1</w:t>
      </w:r>
    </w:p>
    <w:p>
      <w:pPr>
        <w:spacing w:after="0" w:line="225"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u w:val="single" w:color="auto"/>
          <w:color w:val="auto"/>
        </w:rPr>
        <w:t>Pricing Terms</w:t>
      </w:r>
    </w:p>
    <w:p>
      <w:pPr>
        <w:spacing w:after="0" w:line="225" w:lineRule="exact"/>
        <w:rPr>
          <w:sz w:val="20"/>
          <w:szCs w:val="20"/>
          <w:color w:val="auto"/>
        </w:rPr>
      </w:pPr>
    </w:p>
    <w:p>
      <w:pPr>
        <w:ind w:left="184" w:hanging="184"/>
        <w:spacing w:after="0"/>
        <w:tabs>
          <w:tab w:leader="none" w:pos="1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selling 34,500,000 Initial Securities.</w:t>
      </w:r>
    </w:p>
    <w:p>
      <w:pPr>
        <w:spacing w:after="0" w:line="11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granted an option to the Underwriters, severally and not jointly, to purchase up to an additional 5,175,000 Option Securities.</w:t>
      </w:r>
    </w:p>
    <w:p>
      <w:pPr>
        <w:spacing w:after="0" w:line="128" w:lineRule="exact"/>
        <w:rPr>
          <w:rFonts w:ascii="Times New Roman" w:cs="Times New Roman" w:eastAsia="Times New Roman" w:hAnsi="Times New Roman"/>
          <w:sz w:val="17"/>
          <w:szCs w:val="17"/>
          <w:color w:val="auto"/>
        </w:rPr>
      </w:pPr>
    </w:p>
    <w:p>
      <w:pPr>
        <w:ind w:left="184" w:hanging="184"/>
        <w:spacing w:after="0"/>
        <w:tabs>
          <w:tab w:leader="none" w:pos="1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per Security shall be $2.90 per Initial Security.</w:t>
      </w:r>
    </w:p>
    <w:p>
      <w:pPr>
        <w:sectPr>
          <w:pgSz w:w="11900" w:h="16838" w:orient="portrait"/>
          <w:cols w:equalWidth="0" w:num="1">
            <w:col w:w="10464"/>
          </w:cols>
          <w:pgMar w:left="436" w:top="270" w:right="999" w:bottom="1440" w:gutter="0" w:footer="0" w:header="0"/>
        </w:sectPr>
      </w:pPr>
    </w:p>
    <w:bookmarkStart w:id="43" w:name="page44"/>
    <w:bookmarkEnd w:id="43"/>
    <w:p>
      <w:pPr>
        <w:jc w:val="center"/>
        <w:ind w:righ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B-2</w:t>
      </w:r>
    </w:p>
    <w:p>
      <w:pPr>
        <w:spacing w:after="0" w:line="225" w:lineRule="exact"/>
        <w:rPr>
          <w:sz w:val="20"/>
          <w:szCs w:val="20"/>
          <w:color w:val="auto"/>
        </w:rPr>
      </w:pPr>
    </w:p>
    <w:p>
      <w:pPr>
        <w:jc w:val="right"/>
        <w:ind w:right="3579"/>
        <w:spacing w:after="0"/>
        <w:rPr>
          <w:sz w:val="20"/>
          <w:szCs w:val="20"/>
          <w:color w:val="auto"/>
        </w:rPr>
      </w:pPr>
      <w:r>
        <w:rPr>
          <w:rFonts w:ascii="Times New Roman" w:cs="Times New Roman" w:eastAsia="Times New Roman" w:hAnsi="Times New Roman"/>
          <w:sz w:val="18"/>
          <w:szCs w:val="18"/>
          <w:u w:val="single" w:color="auto"/>
          <w:color w:val="auto"/>
        </w:rPr>
        <w:t>Free Writing Prospectuses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70"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9,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Leerink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 (as defined below)</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c/o</w:t>
      </w:r>
      <w:r>
        <w:rPr>
          <w:sz w:val="20"/>
          <w:szCs w:val="20"/>
          <w:color w:val="auto"/>
        </w:rPr>
        <w:tab/>
      </w:r>
      <w:r>
        <w:rPr>
          <w:rFonts w:ascii="Times New Roman" w:cs="Times New Roman" w:eastAsia="Times New Roman" w:hAnsi="Times New Roman"/>
          <w:sz w:val="18"/>
          <w:szCs w:val="18"/>
          <w:color w:val="auto"/>
        </w:rPr>
        <w:t>SVB Leerink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1301 Avenue of the Americas, 12th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ectPr>
          <w:pgSz w:w="11900" w:h="16838" w:orient="portrait"/>
          <w:cols w:equalWidth="0" w:num="1">
            <w:col w:w="11020"/>
          </w:cols>
          <w:pgMar w:left="440" w:top="270" w:right="439" w:bottom="1440" w:gutter="0" w:footer="0" w:header="0"/>
        </w:sectPr>
      </w:pPr>
    </w:p>
    <w:p>
      <w:pPr>
        <w:spacing w:after="0" w:line="20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Proposed Public Offering by Mereo BioPharma Group plc</w:t>
      </w:r>
    </w:p>
    <w:p>
      <w:pPr>
        <w:spacing w:after="0" w:line="200" w:lineRule="exact"/>
        <w:rPr>
          <w:sz w:val="20"/>
          <w:szCs w:val="20"/>
          <w:color w:val="auto"/>
        </w:rPr>
      </w:pPr>
    </w:p>
    <w:p>
      <w:pPr>
        <w:sectPr>
          <w:pgSz w:w="11900" w:h="16838" w:orient="portrait"/>
          <w:cols w:equalWidth="0" w:num="2">
            <w:col w:w="680" w:space="420"/>
            <w:col w:w="9920"/>
          </w:cols>
          <w:pgMar w:left="440" w:top="270"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The undersigned, in its capacity as a securityholder, officer and/or director of Mereo BioPharma Group plc, a public limited company incorporated under the laws of England and Wales with registered number 09481161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understands that the Company proposes to enter into an Underwriting Agreement (the “</w:t>
      </w:r>
      <w:r>
        <w:rPr>
          <w:rFonts w:ascii="Times New Roman" w:cs="Times New Roman" w:eastAsia="Times New Roman" w:hAnsi="Times New Roman"/>
          <w:sz w:val="17"/>
          <w:szCs w:val="17"/>
          <w:u w:val="single" w:color="auto"/>
          <w:color w:val="auto"/>
        </w:rPr>
        <w:t>Underwriting Agreement</w:t>
      </w:r>
      <w:r>
        <w:rPr>
          <w:rFonts w:ascii="Times New Roman" w:cs="Times New Roman" w:eastAsia="Times New Roman" w:hAnsi="Times New Roman"/>
          <w:sz w:val="17"/>
          <w:szCs w:val="17"/>
          <w:color w:val="auto"/>
        </w:rPr>
        <w:t>”) with SVB Leerink LLC (“</w:t>
      </w:r>
      <w:r>
        <w:rPr>
          <w:rFonts w:ascii="Times New Roman" w:cs="Times New Roman" w:eastAsia="Times New Roman" w:hAnsi="Times New Roman"/>
          <w:sz w:val="17"/>
          <w:szCs w:val="17"/>
          <w:u w:val="single" w:color="auto"/>
          <w:color w:val="auto"/>
        </w:rPr>
        <w:t>SVB Leerink</w:t>
      </w:r>
      <w:r>
        <w:rPr>
          <w:rFonts w:ascii="Times New Roman" w:cs="Times New Roman" w:eastAsia="Times New Roman" w:hAnsi="Times New Roman"/>
          <w:sz w:val="17"/>
          <w:szCs w:val="17"/>
          <w:color w:val="auto"/>
        </w:rPr>
        <w:t>”), providing for the public offering (the “</w:t>
      </w:r>
      <w:r>
        <w:rPr>
          <w:rFonts w:ascii="Times New Roman" w:cs="Times New Roman" w:eastAsia="Times New Roman" w:hAnsi="Times New Roman"/>
          <w:sz w:val="17"/>
          <w:szCs w:val="17"/>
          <w:u w:val="single" w:color="auto"/>
          <w:color w:val="auto"/>
        </w:rPr>
        <w:t>Public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Offering</w:t>
      </w:r>
      <w:r>
        <w:rPr>
          <w:rFonts w:ascii="Times New Roman" w:cs="Times New Roman" w:eastAsia="Times New Roman" w:hAnsi="Times New Roman"/>
          <w:sz w:val="17"/>
          <w:szCs w:val="17"/>
          <w:color w:val="auto"/>
        </w:rPr>
        <w:t>”) of ordinary shares of the Company, nominal value £0.003 each (“</w:t>
      </w:r>
      <w:r>
        <w:rPr>
          <w:rFonts w:ascii="Times New Roman" w:cs="Times New Roman" w:eastAsia="Times New Roman" w:hAnsi="Times New Roman"/>
          <w:sz w:val="17"/>
          <w:szCs w:val="17"/>
          <w:u w:val="single" w:color="auto"/>
          <w:color w:val="auto"/>
        </w:rPr>
        <w:t>Ordinary Shares</w:t>
      </w:r>
      <w:r>
        <w:rPr>
          <w:rFonts w:ascii="Times New Roman" w:cs="Times New Roman" w:eastAsia="Times New Roman" w:hAnsi="Times New Roman"/>
          <w:sz w:val="17"/>
          <w:szCs w:val="17"/>
          <w:color w:val="auto"/>
        </w:rPr>
        <w:t>”), to be delivered in the form of American Depositary Shares (“</w:t>
      </w:r>
      <w:r>
        <w:rPr>
          <w:rFonts w:ascii="Times New Roman" w:cs="Times New Roman" w:eastAsia="Times New Roman" w:hAnsi="Times New Roman"/>
          <w:sz w:val="17"/>
          <w:szCs w:val="17"/>
          <w:u w:val="single" w:color="auto"/>
          <w:color w:val="auto"/>
        </w:rPr>
        <w:t>ADSs</w:t>
      </w:r>
      <w:r>
        <w:rPr>
          <w:rFonts w:ascii="Times New Roman" w:cs="Times New Roman" w:eastAsia="Times New Roman" w:hAnsi="Times New Roman"/>
          <w:sz w:val="17"/>
          <w:szCs w:val="17"/>
          <w:color w:val="auto"/>
        </w:rPr>
        <w:t>”), each representing five Ordinary Shares. The ADSs to be offered in the Public Offering are referred to herein as the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as used herein refers to the period beginning on the date hereof and ending on the date that is 90 days from the date of the Prospectus (as such term is defined in the Underwriting Agreement).</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In recognition of the benefit that the Public Offering will confer upon the undersigned as a securityholder, an officer and/or a director of the Company, and for other good and valuable consideration, the receipt and sufficiency of which are hereby acknowledged, the undersigned agrees with each underwriter to be named in the Underwriting Agreement (collectively,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that, during the Lock-Up Period, the undersigned will not, without the prior written consent of SVB Leerink, on behalf of the Underwriters, directly or indirectly, (i) offer, pledge, sell, contract to sell, sell any option or contract to purchase, purchase any option or contract to sell, grant any option, right or warrant for the sale of, or otherwise dispose of or transfer any ADSs or Ordinary Shares or any securities convertible into or exchangeable or exercisable for ADSs or Ordinary Shares, in each case whether now owned or hereafter acquired by the undersigned or with respect to which the undersigned has or hereafter acquires the power of disposition (collectively, the “</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or exercise any right with respect to the registration of any of the Lock-Up Securities, or file or cause to be filed any registration statement in connection therewith, under the U.S.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ADSs, Ordinary Shares or other securities, in cash or otherwise.</w:t>
      </w:r>
    </w:p>
    <w:p>
      <w:pPr>
        <w:sectPr>
          <w:pgSz w:w="11900" w:h="16838" w:orient="portrait"/>
          <w:cols w:equalWidth="0" w:num="1">
            <w:col w:w="11020"/>
          </w:cols>
          <w:pgMar w:left="440" w:top="270" w:right="439" w:bottom="1440" w:gutter="0" w:footer="0" w:header="0"/>
          <w:type w:val="continuous"/>
        </w:sectPr>
      </w:pPr>
    </w:p>
    <w:bookmarkStart w:id="45" w:name="page46"/>
    <w:bookmarkEnd w:id="45"/>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and subject to the conditions below, the undersigned may transfer Lock-Up Securities without the prior written consent of SVB Leerink, provided that (1) except with respect to a transfer described in any of clauses (iii), (v), and (vii), SVB Leerink receives a signed lock-up agreement for the balance of the Lock-Up Period from each donee, trustee, distributee, or transferee, as the case may be, with respect to the Lock-Up Securities that have been transferred, (2) any such transfer shall not involve a disposition for value and (3) the undersigned does not voluntarily effect any public filing or report regarding such transfers prior to the expiration of the Lock-Up Period:</w:t>
      </w:r>
    </w:p>
    <w:p>
      <w:pPr>
        <w:spacing w:after="0" w:line="208" w:lineRule="exact"/>
        <w:rPr>
          <w:sz w:val="20"/>
          <w:szCs w:val="20"/>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w:t>
      </w:r>
    </w:p>
    <w:p>
      <w:pPr>
        <w:spacing w:after="0" w:line="254"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of the undersigned (for purposes of this lock-up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“immediate family” shall mean any relationship by blood, marriage or adoption, not more remote than first cousin);</w:t>
      </w:r>
    </w:p>
    <w:p>
      <w:pPr>
        <w:spacing w:after="0" w:line="202"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distribution or other transfer of Lock-Up Securities acquired on the open market following the closing of the Public Offering;</w:t>
      </w:r>
    </w:p>
    <w:p>
      <w:pPr>
        <w:spacing w:after="0" w:line="252"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undersigned’s affiliates or to any investment fund or other entity controlled or managed by the undersigned;</w:t>
      </w:r>
    </w:p>
    <w:p>
      <w:pPr>
        <w:spacing w:after="0" w:line="252" w:lineRule="exact"/>
        <w:rPr>
          <w:rFonts w:ascii="Times New Roman" w:cs="Times New Roman" w:eastAsia="Times New Roman" w:hAnsi="Times New Roman"/>
          <w:sz w:val="18"/>
          <w:szCs w:val="18"/>
          <w:color w:val="auto"/>
        </w:rPr>
      </w:pPr>
    </w:p>
    <w:p>
      <w:pPr>
        <w:ind w:left="960" w:right="240" w:hanging="532"/>
        <w:spacing w:after="0" w:line="282"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by operation of law, including pursuant to a court or regulatory agency order, a qualified domestic relations order or in connection with a divorce settlement;</w:t>
      </w:r>
    </w:p>
    <w:p>
      <w:pPr>
        <w:spacing w:after="0" w:line="18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intestate succession upon the death of the undersigned; or</w:t>
      </w:r>
    </w:p>
    <w:p>
      <w:pPr>
        <w:spacing w:after="0" w:line="252"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satisfaction of any tax withholding obligation.</w:t>
      </w:r>
    </w:p>
    <w:p>
      <w:pPr>
        <w:spacing w:after="0" w:line="225"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Furthermore, no provision in this Agreement shall be deemed to restrict or prohibit (1) the transfer of the undersigned’s Lock-Up Securities to the Company in connection with the termination of the undersigned’s services to the Company, provided that no filing by any party under the Exchange Act or other public announcement shall be required or shall be made voluntarily in connection with such transfer prior to the expiration of the Lock-Up Period; (2) the award to, and the receipt, exercise or exchange by, the undersigned of any option or warrant to acquire any ADSs or Ordinary Shares or options to purchase ADSs or Ordinary Shares, provided that any exercise or exchange is done for cash or on a “cashless” or “net exercise” basis, pursuant to any share option, share bonus or other share plan or arrangement; provided, however, that the underlying ADSs or Ordinary Shares shall be subject to the restrictions on transfer set forth in this Agreement; (3) the transfer of Lock-Up Securities pursuant to a bona fide third-party tender offer for 100% of the Company’s outstanding share capital or a merger, consolidation or other similar transaction made to all holders of the Company’s Ordinary Shares involving a change of control of the Company, including, without limitation, the entering into any lock-up, voting or similar agreement or irrevocable undertaking pursuant to which the undersigned may agree to transfer, sell, tender or otherwise dispose of Lock-Up Securities in connection with such transaction, or vote any Lock-Up Securities in favor of any such transaction; provided, however, that in the event that such tender offer, merger, consolidation or other such transaction is not completed, Lock-Up Securities held by the undersigned that have not been transferred in accordance with the above provisions shall remain subject to the restrictions on transfer set forth in this Agreement during the Lock-Up Period; and (4) the conversion into Ordinary Shares of a convertible security of the Company outstanding on the date hereof (and in the case of the Public Offering, referred to in the registration statement and the prospectus pursuant to which the Securities are being offered), provided that any such Ordinary Shares received upon such conversion shall be subject to the restrictions on transfer set forth in this Agreement.</w:t>
      </w:r>
    </w:p>
    <w:p>
      <w:pPr>
        <w:sectPr>
          <w:pgSz w:w="11900" w:h="16838" w:orient="portrait"/>
          <w:cols w:equalWidth="0" w:num="1">
            <w:col w:w="11000"/>
          </w:cols>
          <w:pgMar w:left="440" w:top="270" w:right="459" w:bottom="1440" w:gutter="0" w:footer="0" w:header="0"/>
        </w:sectPr>
      </w:pPr>
    </w:p>
    <w:bookmarkStart w:id="46" w:name="page47"/>
    <w:bookmarkEnd w:id="46"/>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herein to the contrary, nothing herein shall prevent the undersigned from establishing a 10b5-1 trading plan that complies with Rule 10b5-1 under the Exchange Act (“</w:t>
      </w:r>
      <w:r>
        <w:rPr>
          <w:rFonts w:ascii="Times New Roman" w:cs="Times New Roman" w:eastAsia="Times New Roman" w:hAnsi="Times New Roman"/>
          <w:sz w:val="18"/>
          <w:szCs w:val="18"/>
          <w:u w:val="single" w:color="auto"/>
          <w:color w:val="auto"/>
        </w:rPr>
        <w:t>10b5-1 Trading Plan</w:t>
      </w:r>
      <w:r>
        <w:rPr>
          <w:rFonts w:ascii="Times New Roman" w:cs="Times New Roman" w:eastAsia="Times New Roman" w:hAnsi="Times New Roman"/>
          <w:sz w:val="18"/>
          <w:szCs w:val="18"/>
          <w:color w:val="auto"/>
        </w:rPr>
        <w:t>”) or from amending an existing 10b5-1 Trading Plan so long as there are no sales of Lock-Up Securities under any such 10b5-1 Trading Plan during the Lock-Up Period; and provided that, the establishment of a 10b5-1 Trading Plan or the amendment of a 10b5-1 Trading Plan during the Lock-Up Period, in either case, providing for sales of Ordinary Shares or ADSs, shall only be permitted if (i) the establishment or amendment of such plan is not required to be reported in any public report or filing with the Securities and Exchange Commission or otherwise, and (ii) the undersigned does not otherwise voluntarily effect any public filing or report regarding the establishment or amendment of such plan, in each of (i) and (ii) prior to the expiration of the Lock-Up Period.</w:t>
      </w:r>
    </w:p>
    <w:p>
      <w:pPr>
        <w:spacing w:after="0" w:line="189"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This Agreement shall automatically terminate, and the undersigned shall be released from the undersigned’s obligations hereunder, upon the earliest to occur, if any, of (i) prior to the execution of the Underwriting Agreement, the Company advises SVB Leerink in writing that it has determined not to proceed with the Public Offering; (ii) the Company files an application to withdraw the registration statement related to the Public Offering; (iii) the Underwriting Agreement is executed but is terminated prior to the closing of the Public Offering (other than the provisions thereof which survive termination), or (iv) March 12, 2021, in the event that the Underwriting Agreement has not been executed by such date; provided that the Company may, by written notice to the undersigned prior to March 12, 2021, extend such date for a period of up to an additional four months.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b w:val="1"/>
          <w:bCs w:val="1"/>
          <w:color w:val="auto"/>
        </w:rPr>
        <w:t>]</w:t>
      </w:r>
    </w:p>
    <w:p>
      <w:pPr>
        <w:sectPr>
          <w:pgSz w:w="11900" w:h="16838" w:orient="portrait"/>
          <w:cols w:equalWidth="0" w:num="1">
            <w:col w:w="11000"/>
          </w:cols>
          <w:pgMar w:left="440" w:top="270" w:right="459" w:bottom="1440" w:gutter="0" w:footer="0" w:header="0"/>
        </w:sectPr>
      </w:pPr>
    </w:p>
    <w:bookmarkStart w:id="47" w:name="page48"/>
    <w:bookmarkEnd w:id="4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3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Name of Security Holder </w:t>
      </w:r>
      <w:r>
        <w:rPr>
          <w:rFonts w:ascii="Times New Roman" w:cs="Times New Roman" w:eastAsia="Times New Roman" w:hAnsi="Times New Roman"/>
          <w:sz w:val="18"/>
          <w:szCs w:val="18"/>
          <w:i w:val="1"/>
          <w:iCs w:val="1"/>
          <w:color w:val="auto"/>
        </w:rPr>
        <w:t>(Print exact name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30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3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Name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3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Title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(indicate capacity of person signing if signing as custodian,</w:t>
      </w:r>
    </w:p>
    <w:p>
      <w:pPr>
        <w:spacing w:after="0" w:line="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trustee, or on behalf of an entity)</w:t>
      </w:r>
    </w:p>
    <w:p>
      <w:pPr>
        <w:spacing w:after="0" w:line="200" w:lineRule="exact"/>
        <w:rPr>
          <w:sz w:val="20"/>
          <w:szCs w:val="20"/>
          <w:color w:val="auto"/>
        </w:rPr>
      </w:pPr>
    </w:p>
    <w:p>
      <w:pPr>
        <w:spacing w:after="0" w:line="22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ectPr>
          <w:pgSz w:w="11900" w:h="16838" w:orient="portrait"/>
          <w:cols w:equalWidth="0" w:num="1">
            <w:col w:w="9920"/>
          </w:cols>
          <w:pgMar w:left="1440" w:top="270" w:right="5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CHIEF FINANCIAL OFFICER’S CERTIFICATE</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ISSUED PURSUANT TO SECTION 5(m)</w:t>
      </w:r>
    </w:p>
    <w:p>
      <w:pPr>
        <w:sectPr>
          <w:pgSz w:w="11900" w:h="16838" w:orient="portrait"/>
          <w:cols w:equalWidth="0" w:num="1">
            <w:col w:w="9019"/>
          </w:cols>
          <w:pgMar w:left="1440" w:top="378" w:right="1440" w:bottom="1440" w:gutter="0" w:footer="0" w:header="0"/>
        </w:sectPr>
      </w:pPr>
    </w:p>
    <w:bookmarkStart w:id="49" w:name="page50"/>
    <w:bookmarkEnd w:id="49"/>
    <w:p>
      <w:pPr>
        <w:ind w:left="10184"/>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Mayer Brown International LLP</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201 Bishopsgate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London EC2M 3AF</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United Kingdom</w:t>
      </w:r>
    </w:p>
    <w:p>
      <w:pPr>
        <w:spacing w:after="0" w:line="234" w:lineRule="exact"/>
        <w:rPr>
          <w:sz w:val="20"/>
          <w:szCs w:val="20"/>
          <w:color w:val="auto"/>
        </w:rPr>
      </w:pPr>
    </w:p>
    <w:p>
      <w:pPr>
        <w:ind w:left="9504"/>
        <w:spacing w:after="0"/>
        <w:rPr>
          <w:sz w:val="20"/>
          <w:szCs w:val="20"/>
          <w:color w:val="auto"/>
        </w:rPr>
      </w:pPr>
      <w:r>
        <w:rPr>
          <w:rFonts w:ascii="Times New Roman" w:cs="Times New Roman" w:eastAsia="Times New Roman" w:hAnsi="Times New Roman"/>
          <w:sz w:val="17"/>
          <w:szCs w:val="17"/>
          <w:color w:val="auto"/>
        </w:rPr>
        <w:t>T: +44 20 3130 3000</w:t>
      </w:r>
    </w:p>
    <w:p>
      <w:pPr>
        <w:spacing w:after="0" w:line="39" w:lineRule="exact"/>
        <w:rPr>
          <w:sz w:val="20"/>
          <w:szCs w:val="20"/>
          <w:color w:val="auto"/>
        </w:rPr>
      </w:pPr>
    </w:p>
    <w:p>
      <w:pPr>
        <w:ind w:left="9504"/>
        <w:spacing w:after="0"/>
        <w:rPr>
          <w:sz w:val="20"/>
          <w:szCs w:val="20"/>
          <w:color w:val="auto"/>
        </w:rPr>
      </w:pPr>
      <w:r>
        <w:rPr>
          <w:rFonts w:ascii="Times New Roman" w:cs="Times New Roman" w:eastAsia="Times New Roman" w:hAnsi="Times New Roman"/>
          <w:sz w:val="18"/>
          <w:szCs w:val="18"/>
          <w:color w:val="auto"/>
        </w:rPr>
        <w:t>F: +44 20 3130 3001</w:t>
      </w:r>
    </w:p>
    <w:p>
      <w:pPr>
        <w:spacing w:after="0" w:line="9" w:lineRule="exact"/>
        <w:rPr>
          <w:sz w:val="20"/>
          <w:szCs w:val="20"/>
          <w:color w:val="auto"/>
        </w:rPr>
      </w:pPr>
    </w:p>
    <w:p>
      <w:pPr>
        <w:ind w:left="9124"/>
        <w:spacing w:after="0"/>
        <w:rPr>
          <w:sz w:val="20"/>
          <w:szCs w:val="20"/>
          <w:color w:val="auto"/>
        </w:rPr>
      </w:pPr>
      <w:r>
        <w:rPr>
          <w:rFonts w:ascii="Times New Roman" w:cs="Times New Roman" w:eastAsia="Times New Roman" w:hAnsi="Times New Roman"/>
          <w:sz w:val="18"/>
          <w:szCs w:val="18"/>
          <w:color w:val="auto"/>
        </w:rPr>
        <w:t>DX: 556 London and City</w:t>
      </w:r>
    </w:p>
    <w:p>
      <w:pPr>
        <w:spacing w:after="0" w:line="9" w:lineRule="exact"/>
        <w:rPr>
          <w:sz w:val="20"/>
          <w:szCs w:val="20"/>
          <w:color w:val="auto"/>
        </w:rPr>
      </w:pPr>
    </w:p>
    <w:p>
      <w:pPr>
        <w:ind w:left="9744"/>
        <w:spacing w:after="0"/>
        <w:rPr>
          <w:sz w:val="20"/>
          <w:szCs w:val="20"/>
          <w:color w:val="auto"/>
        </w:rPr>
      </w:pPr>
      <w:r>
        <w:rPr>
          <w:rFonts w:ascii="Times New Roman" w:cs="Times New Roman" w:eastAsia="Times New Roman" w:hAnsi="Times New Roman"/>
          <w:sz w:val="18"/>
          <w:szCs w:val="18"/>
          <w:color w:val="auto"/>
        </w:rPr>
        <w:t>mayerbrown.com</w:t>
      </w:r>
    </w:p>
    <w:p>
      <w:pPr>
        <w:sectPr>
          <w:pgSz w:w="11900" w:h="16838" w:orient="portrait"/>
          <w:cols w:equalWidth="0" w:num="1">
            <w:col w:w="11024"/>
          </w:cols>
          <w:pgMar w:left="436" w:top="117" w:right="439" w:bottom="1440" w:gutter="0" w:footer="0" w:header="0"/>
        </w:sectPr>
      </w:pPr>
    </w:p>
    <w:p>
      <w:pPr>
        <w:spacing w:after="0" w:line="2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Mereo BioPharma Group plc</w:t>
      </w:r>
    </w:p>
    <w:p>
      <w:pPr>
        <w:spacing w:after="0" w:line="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One Cavendish Place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W1G 0QF</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 February 2021</w:t>
      </w:r>
    </w:p>
    <w:p>
      <w:pPr>
        <w:spacing w:after="0" w:line="1093" w:lineRule="exact"/>
        <w:rPr>
          <w:sz w:val="20"/>
          <w:szCs w:val="20"/>
          <w:color w:val="auto"/>
        </w:rPr>
      </w:pPr>
    </w:p>
    <w:p>
      <w:pPr>
        <w:sectPr>
          <w:pgSz w:w="11900" w:h="16838" w:orient="portrait"/>
          <w:cols w:equalWidth="0" w:num="2">
            <w:col w:w="9024" w:space="720"/>
            <w:col w:w="1280"/>
          </w:cols>
          <w:pgMar w:left="436" w:top="117" w:right="439" w:bottom="1440" w:gutter="0" w:footer="0" w:header="0"/>
          <w:type w:val="continuous"/>
        </w:sectPr>
      </w:pP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Our ref: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20456/19623354</w:t>
      </w:r>
    </w:p>
    <w:p>
      <w:pPr>
        <w:spacing w:after="0" w:line="211" w:lineRule="exact"/>
        <w:rPr>
          <w:sz w:val="20"/>
          <w:szCs w:val="20"/>
          <w:color w:val="auto"/>
        </w:rPr>
      </w:pPr>
    </w:p>
    <w:p>
      <w:pPr>
        <w:sectPr>
          <w:pgSz w:w="11900" w:h="16838" w:orient="portrait"/>
          <w:cols w:equalWidth="0" w:num="2">
            <w:col w:w="584" w:space="580"/>
            <w:col w:w="9860"/>
          </w:cols>
          <w:pgMar w:left="436" w:top="117" w:right="439" w:bottom="1440" w:gutter="0" w:footer="0" w:header="0"/>
          <w:type w:val="continuous"/>
        </w:sectPr>
      </w:pP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Sirs</w:t>
      </w:r>
    </w:p>
    <w:p>
      <w:pPr>
        <w:sectPr>
          <w:pgSz w:w="11900" w:h="16838" w:orient="portrait"/>
          <w:cols w:equalWidth="0" w:num="1">
            <w:col w:w="11024"/>
          </w:cols>
          <w:pgMar w:left="436" w:top="117" w:right="439" w:bottom="1440" w:gutter="0" w:footer="0" w:header="0"/>
          <w:type w:val="continuous"/>
        </w:sectPr>
      </w:pP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31" w:lineRule="exact"/>
        <w:rPr>
          <w:sz w:val="20"/>
          <w:szCs w:val="20"/>
          <w:color w:val="auto"/>
        </w:rPr>
      </w:pPr>
    </w:p>
    <w:p>
      <w:pPr>
        <w:ind w:left="544" w:hanging="544"/>
        <w:spacing w:after="0"/>
        <w:tabs>
          <w:tab w:leader="none" w:pos="5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Background</w:t>
      </w:r>
    </w:p>
    <w:p>
      <w:pPr>
        <w:spacing w:after="0" w:line="117" w:lineRule="exact"/>
        <w:rPr>
          <w:rFonts w:ascii="Times New Roman" w:cs="Times New Roman" w:eastAsia="Times New Roman" w:hAnsi="Times New Roman"/>
          <w:sz w:val="18"/>
          <w:szCs w:val="18"/>
          <w:color w:val="auto"/>
        </w:rPr>
      </w:pPr>
    </w:p>
    <w:p>
      <w:pPr>
        <w:ind w:left="544" w:right="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acted for Mereo BioPharma Group plc, a public limited company incorporated under the laws of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as its legal advisers in England in connection with the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xml:space="preserve">) by the Company of 172,500,000 new ordinary shares of £0.003 each in the Company (the </w:t>
      </w:r>
      <w:r>
        <w:rPr>
          <w:rFonts w:ascii="Times New Roman" w:cs="Times New Roman" w:eastAsia="Times New Roman" w:hAnsi="Times New Roman"/>
          <w:sz w:val="18"/>
          <w:szCs w:val="18"/>
          <w:b w:val="1"/>
          <w:bCs w:val="1"/>
          <w:color w:val="auto"/>
        </w:rPr>
        <w:t>“New Shares”</w:t>
      </w:r>
      <w:r>
        <w:rPr>
          <w:rFonts w:ascii="Times New Roman" w:cs="Times New Roman" w:eastAsia="Times New Roman" w:hAnsi="Times New Roman"/>
          <w:sz w:val="18"/>
          <w:szCs w:val="18"/>
          <w:color w:val="auto"/>
        </w:rPr>
        <w:t>). The New Shares are to be offered in the form of 34,500,000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xml:space="preserve">). Each ADS represents five ordinary shares of the Company. The underwriters to the Offering have the right to purchase up to an additional 5,175,000 ADSs, representing up to an additional 25,875,000 new ordinary shares of £0.003 each in the capital of the Company (the </w:t>
      </w:r>
      <w:r>
        <w:rPr>
          <w:rFonts w:ascii="Times New Roman" w:cs="Times New Roman" w:eastAsia="Times New Roman" w:hAnsi="Times New Roman"/>
          <w:sz w:val="18"/>
          <w:szCs w:val="18"/>
          <w:b w:val="1"/>
          <w:b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544" w:right="2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opinion is being furnished in connection with the Registration Statement on Form F-3 (No. 333-249341)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and the rules and regulations promulgated thereunder (the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xml:space="preserve">), the prospectus included within the Registration Statement, and the prospectus supplement dated 9 February 2021 to be filed with the SEC pursuant to Rule 424(b) of the Rules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w:t>
      </w:r>
    </w:p>
    <w:p>
      <w:pPr>
        <w:spacing w:after="0" w:line="72" w:lineRule="exact"/>
        <w:rPr>
          <w:rFonts w:ascii="Times New Roman" w:cs="Times New Roman" w:eastAsia="Times New Roman" w:hAnsi="Times New Roman"/>
          <w:sz w:val="18"/>
          <w:szCs w:val="18"/>
          <w:color w:val="auto"/>
        </w:rPr>
      </w:pPr>
    </w:p>
    <w:p>
      <w:pPr>
        <w:ind w:left="544"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that the ordinary shares of £0.003 each in the capital of the Company are not, and are not intended to be, admitted to trading on any market or exchange, or otherwise listed, in the United Kingdom.</w:t>
      </w:r>
    </w:p>
    <w:p>
      <w:pPr>
        <w:spacing w:after="0" w:line="30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Examination and enquiries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For the purpose of giving this opinion, we have examined:</w:t>
      </w:r>
    </w:p>
    <w:p>
      <w:pPr>
        <w:spacing w:after="0" w:line="131" w:lineRule="exact"/>
        <w:rPr>
          <w:sz w:val="20"/>
          <w:szCs w:val="20"/>
          <w:color w:val="auto"/>
        </w:rPr>
      </w:pPr>
    </w:p>
    <w:p>
      <w:pPr>
        <w:ind w:left="1184" w:hanging="644"/>
        <w:spacing w:after="0"/>
        <w:tabs>
          <w:tab w:leader="none" w:pos="11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preliminary prospectus supplement dated 9 February 2021 and the Prospectus Supplement; and</w:t>
      </w:r>
    </w:p>
    <w:p>
      <w:pPr>
        <w:spacing w:after="0" w:line="248"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4"/>
          <w:szCs w:val="14"/>
          <w:color w:val="auto"/>
        </w:rPr>
        <w:t>This is a legal communication, not a financial communication. Neither this nor any other communication from this firm is intended</w:t>
      </w:r>
    </w:p>
    <w:p>
      <w:pPr>
        <w:spacing w:after="0" w:line="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4"/>
          <w:szCs w:val="14"/>
          <w:color w:val="auto"/>
        </w:rPr>
        <w:t>to be, or should be construed as, an invitation or inducement (direct or indirect) to any person to engage in investment activity.</w:t>
      </w:r>
    </w:p>
    <w:p>
      <w:pPr>
        <w:spacing w:after="0" w:line="80" w:lineRule="exact"/>
        <w:rPr>
          <w:sz w:val="20"/>
          <w:szCs w:val="20"/>
          <w:color w:val="auto"/>
        </w:rPr>
      </w:pPr>
    </w:p>
    <w:p>
      <w:pPr>
        <w:jc w:val="center"/>
        <w:ind w:left="460" w:right="60"/>
        <w:spacing w:after="0" w:line="241" w:lineRule="auto"/>
        <w:rPr>
          <w:sz w:val="20"/>
          <w:szCs w:val="20"/>
          <w:color w:val="auto"/>
        </w:rPr>
      </w:pPr>
      <w:r>
        <w:rPr>
          <w:rFonts w:ascii="Times New Roman" w:cs="Times New Roman" w:eastAsia="Times New Roman" w:hAnsi="Times New Roman"/>
          <w:sz w:val="14"/>
          <w:szCs w:val="14"/>
          <w:color w:val="auto"/>
        </w:rPr>
        <w:t>Mayer Brown International LLP is a limited liability partnership (registered in England and Wales number OC303359), which is authorised and regulated by the Solicitors Regulation Authority with SRA number 369822. Mayer Brown is a global services provider comprising an association of legal practices that are separate entities including Mayer Brown LLP (Illinois, USA), Mayer Brown International LLP (England), Mayer Brown (a Hong Kong partnership) and Tauil &amp; Chequer Advogados (a Brazilian partnership).</w:t>
      </w:r>
    </w:p>
    <w:p>
      <w:pPr>
        <w:spacing w:after="0" w:line="6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4"/>
          <w:szCs w:val="14"/>
          <w:color w:val="auto"/>
        </w:rPr>
        <w:t>We use the term “partner” to refer to a member of Mayer Brown International LLP, or an employee or consultant who is a lawyer with equivalent standing and</w:t>
      </w:r>
    </w:p>
    <w:p>
      <w:pPr>
        <w:spacing w:after="0" w:line="4" w:lineRule="exact"/>
        <w:rPr>
          <w:sz w:val="20"/>
          <w:szCs w:val="20"/>
          <w:color w:val="auto"/>
        </w:rPr>
      </w:pPr>
    </w:p>
    <w:p>
      <w:pPr>
        <w:jc w:val="center"/>
        <w:ind w:left="480" w:right="660"/>
        <w:spacing w:after="0" w:line="239" w:lineRule="auto"/>
        <w:rPr>
          <w:sz w:val="20"/>
          <w:szCs w:val="20"/>
          <w:color w:val="auto"/>
        </w:rPr>
      </w:pPr>
      <w:r>
        <w:rPr>
          <w:rFonts w:ascii="Times New Roman" w:cs="Times New Roman" w:eastAsia="Times New Roman" w:hAnsi="Times New Roman"/>
          <w:sz w:val="14"/>
          <w:szCs w:val="14"/>
          <w:color w:val="auto"/>
        </w:rPr>
        <w:t>qualifications and to a partner of or lawyer with equivalent status in another Mayer Brown entity. A list of the names of members of Mayer Brown International LLP and their respective professional qualifications may be inspected at our registered office, 201 Bishopsgate, London EC2M 3AF, England or on www.mayerbrown.com.</w:t>
      </w:r>
    </w:p>
    <w:p>
      <w:pPr>
        <w:sectPr>
          <w:pgSz w:w="11900" w:h="16838" w:orient="portrait"/>
          <w:cols w:equalWidth="0" w:num="1">
            <w:col w:w="11024"/>
          </w:cols>
          <w:pgMar w:left="436" w:top="117" w:right="439" w:bottom="1440" w:gutter="0" w:footer="0" w:header="0"/>
          <w:type w:val="continuous"/>
        </w:sectPr>
      </w:pPr>
    </w:p>
    <w:bookmarkStart w:id="50" w:name="page51"/>
    <w:bookmarkEnd w:id="50"/>
    <w:p>
      <w:pPr>
        <w:ind w:left="1180" w:right="120" w:hanging="644"/>
        <w:spacing w:after="0" w:line="268" w:lineRule="auto"/>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 certificate dated 10 February 2021 (the </w:t>
      </w:r>
      <w:r>
        <w:rPr>
          <w:rFonts w:ascii="Times New Roman" w:cs="Times New Roman" w:eastAsia="Times New Roman" w:hAnsi="Times New Roman"/>
          <w:sz w:val="18"/>
          <w:szCs w:val="18"/>
          <w:b w:val="1"/>
          <w:bCs w:val="1"/>
          <w:color w:val="auto"/>
        </w:rPr>
        <w:t>“Reference Date”</w:t>
      </w:r>
      <w:r>
        <w:rPr>
          <w:rFonts w:ascii="Times New Roman" w:cs="Times New Roman" w:eastAsia="Times New Roman" w:hAnsi="Times New Roman"/>
          <w:sz w:val="18"/>
          <w:szCs w:val="18"/>
          <w:color w:val="auto"/>
        </w:rPr>
        <w:t xml:space="preserve">) signed by the company secretary (the </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relating to certain factual matters as at the Reference Date and having annexed thereto copies (certified by the company secretary as being true, complete, accurate and up-to-date in each case) of the following documents:</w:t>
      </w:r>
    </w:p>
    <w:p>
      <w:pPr>
        <w:spacing w:after="0" w:line="80" w:lineRule="exact"/>
        <w:rPr>
          <w:rFonts w:ascii="Times New Roman" w:cs="Times New Roman" w:eastAsia="Times New Roman" w:hAnsi="Times New Roman"/>
          <w:sz w:val="18"/>
          <w:szCs w:val="18"/>
          <w:color w:val="auto"/>
        </w:rPr>
      </w:pPr>
    </w:p>
    <w:p>
      <w:pPr>
        <w:ind w:left="1740" w:right="480" w:hanging="543"/>
        <w:spacing w:after="0" w:line="282" w:lineRule="auto"/>
        <w:tabs>
          <w:tab w:leader="none" w:pos="17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certificate of incorporation, certificate of incorporation on re-registration, memorandum of association and articles of association;</w:t>
      </w:r>
    </w:p>
    <w:p>
      <w:pPr>
        <w:spacing w:after="0" w:line="67" w:lineRule="exact"/>
        <w:rPr>
          <w:rFonts w:ascii="Times New Roman" w:cs="Times New Roman" w:eastAsia="Times New Roman" w:hAnsi="Times New Roman"/>
          <w:sz w:val="18"/>
          <w:szCs w:val="18"/>
          <w:color w:val="auto"/>
        </w:rPr>
      </w:pPr>
    </w:p>
    <w:p>
      <w:pPr>
        <w:ind w:left="1740" w:right="220" w:hanging="543"/>
        <w:spacing w:after="0" w:line="261" w:lineRule="auto"/>
        <w:tabs>
          <w:tab w:leader="none" w:pos="17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shareholder resolutions passed at the annual general meeting of the Company on 29 June 2020 and the general meeting of the Company on 1 February 2021, in each case authorising the directors of the Company for the purposes of s551 Companies Act 2006 and conferring power on the directors of the Company pursuant to s570 Companies Act 2006 (the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740" w:right="20" w:hanging="543"/>
        <w:spacing w:after="0" w:line="266" w:lineRule="auto"/>
        <w:tabs>
          <w:tab w:leader="none" w:pos="17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minutes of meetings of the board of directors of the Company held on 3 December 2020, 28 January 2021 and 9 February 2021 at which it was resolved, inter alia, to proceed with the Offering and to constitute a financing committee of the board of directors of the Company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740" w:right="100" w:hanging="543"/>
        <w:spacing w:after="0" w:line="282" w:lineRule="auto"/>
        <w:tabs>
          <w:tab w:leader="none" w:pos="17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resolutions of the board of directors of the Company passed on 10 February 2021 pursuant to which additional directors were appointed to the Committee;</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reference of the Committee adopted on 28 January 2021; and</w:t>
      </w:r>
    </w:p>
    <w:p>
      <w:pPr>
        <w:spacing w:after="0" w:line="130" w:lineRule="exact"/>
        <w:rPr>
          <w:rFonts w:ascii="Times New Roman" w:cs="Times New Roman" w:eastAsia="Times New Roman" w:hAnsi="Times New Roman"/>
          <w:sz w:val="18"/>
          <w:szCs w:val="18"/>
          <w:color w:val="auto"/>
        </w:rPr>
      </w:pPr>
    </w:p>
    <w:p>
      <w:pPr>
        <w:ind w:left="1740" w:hanging="543"/>
        <w:spacing w:after="0" w:line="261" w:lineRule="auto"/>
        <w:tabs>
          <w:tab w:leader="none" w:pos="17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two meetings of the Committee held on 9 February 2021 at which it was resolved, inter alia, to approve and file the preliminary Prospectus Supplement, to approve the Underwriting Agreement (as defined below) and to approve and file the final Prospectus Supplement, and of a meeting of the Committee held on 10 February 2021 at which it was resolved to allot the New Shares;</w:t>
      </w:r>
    </w:p>
    <w:p>
      <w:pPr>
        <w:spacing w:after="0" w:line="85" w:lineRule="exact"/>
        <w:rPr>
          <w:rFonts w:ascii="Times New Roman" w:cs="Times New Roman" w:eastAsia="Times New Roman" w:hAnsi="Times New Roman"/>
          <w:sz w:val="18"/>
          <w:szCs w:val="18"/>
          <w:color w:val="auto"/>
        </w:rPr>
      </w:pPr>
    </w:p>
    <w:p>
      <w:pPr>
        <w:ind w:left="1180" w:right="80" w:hanging="644"/>
        <w:spacing w:after="0" w:line="258" w:lineRule="auto"/>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draft minutes of a meeting of either the Committee or the board of directors of the Company to be held to resolve, inter alia, to allot Further Shares in the event that the underwriters to the Offering exercise their right to purchase the same (such draft resolutions, together with the resolutions of the board of directors of the Company and the Committee recorded in the minutes and written resolutions referred to in paragraphs 2.1(b)(iii), 2.1(b)(iv) and 2.1(b)(vi), the </w:t>
      </w:r>
      <w:r>
        <w:rPr>
          <w:rFonts w:ascii="Times New Roman" w:cs="Times New Roman" w:eastAsia="Times New Roman" w:hAnsi="Times New Roman"/>
          <w:sz w:val="18"/>
          <w:szCs w:val="18"/>
          <w:b w:val="1"/>
          <w:bCs w:val="1"/>
          <w:color w:val="auto"/>
        </w:rPr>
        <w:t>“Board Resolutions”</w:t>
      </w:r>
      <w:r>
        <w:rPr>
          <w:rFonts w:ascii="Times New Roman" w:cs="Times New Roman" w:eastAsia="Times New Roman" w:hAnsi="Times New Roman"/>
          <w:sz w:val="18"/>
          <w:szCs w:val="18"/>
          <w:color w:val="auto"/>
        </w:rPr>
        <w:t xml:space="preserve">, and the Board Resolutions together with the Shareholder Resolutions, the </w:t>
      </w:r>
      <w:r>
        <w:rPr>
          <w:rFonts w:ascii="Times New Roman" w:cs="Times New Roman" w:eastAsia="Times New Roman" w:hAnsi="Times New Roman"/>
          <w:sz w:val="18"/>
          <w:szCs w:val="18"/>
          <w:b w:val="1"/>
          <w:bCs w:val="1"/>
          <w:color w:val="auto"/>
        </w:rPr>
        <w:t>“Corporate Approvals”</w:t>
      </w:r>
      <w:r>
        <w:rPr>
          <w:rFonts w:ascii="Times New Roman" w:cs="Times New Roman" w:eastAsia="Times New Roman" w:hAnsi="Times New Roman"/>
          <w:sz w:val="18"/>
          <w:szCs w:val="18"/>
          <w:color w:val="auto"/>
        </w:rPr>
        <w:t>); and</w:t>
      </w:r>
    </w:p>
    <w:p>
      <w:pPr>
        <w:spacing w:after="0" w:line="88"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executed underwriting agreement dated 9 February 2021 in connection with the Offering among (1) the Company and</w:t>
      </w:r>
    </w:p>
    <w:p>
      <w:pPr>
        <w:spacing w:after="0" w:line="27" w:lineRule="exact"/>
        <w:rPr>
          <w:rFonts w:ascii="Times New Roman" w:cs="Times New Roman" w:eastAsia="Times New Roman" w:hAnsi="Times New Roman"/>
          <w:sz w:val="18"/>
          <w:szCs w:val="18"/>
          <w:color w:val="auto"/>
        </w:rPr>
      </w:pPr>
    </w:p>
    <w:p>
      <w:pPr>
        <w:ind w:left="1180" w:right="20" w:firstLine="4"/>
        <w:spacing w:after="0" w:line="260" w:lineRule="auto"/>
        <w:tabs>
          <w:tab w:leader="none" w:pos="143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SVB Leerink LLC as representative of the several underwriters named therein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but excluding any exhibits thereto.</w:t>
      </w:r>
    </w:p>
    <w:p>
      <w:pPr>
        <w:spacing w:after="0" w:line="8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For the purpose of giving this opinion, we have:</w:t>
      </w:r>
    </w:p>
    <w:p>
      <w:pPr>
        <w:spacing w:after="0" w:line="131" w:lineRule="exact"/>
        <w:rPr>
          <w:sz w:val="20"/>
          <w:szCs w:val="20"/>
          <w:color w:val="auto"/>
        </w:rPr>
      </w:pPr>
    </w:p>
    <w:p>
      <w:pPr>
        <w:ind w:left="1180" w:right="40" w:hanging="644"/>
        <w:spacing w:after="0" w:line="282" w:lineRule="auto"/>
        <w:tabs>
          <w:tab w:leader="none" w:pos="1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arranged for our agents to make on 10 February 2021 an online search of the register kept in respect of the Company by the Registrar of Companies (the </w:t>
      </w:r>
      <w:r>
        <w:rPr>
          <w:rFonts w:ascii="Times New Roman" w:cs="Times New Roman" w:eastAsia="Times New Roman" w:hAnsi="Times New Roman"/>
          <w:sz w:val="18"/>
          <w:szCs w:val="18"/>
          <w:b w:val="1"/>
          <w:bCs w:val="1"/>
          <w:color w:val="auto"/>
        </w:rPr>
        <w:t>“Company Search”</w:t>
      </w:r>
      <w:r>
        <w:rPr>
          <w:rFonts w:ascii="Times New Roman" w:cs="Times New Roman" w:eastAsia="Times New Roman" w:hAnsi="Times New Roman"/>
          <w:sz w:val="18"/>
          <w:szCs w:val="18"/>
          <w:color w:val="auto"/>
        </w:rPr>
        <w:t>) and reviewed the results of such search;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51" w:name="page52"/>
    <w:bookmarkEnd w:id="51"/>
    <w:p>
      <w:pPr>
        <w:ind w:left="1184" w:right="200" w:hanging="644"/>
        <w:spacing w:after="0" w:line="266" w:lineRule="auto"/>
        <w:tabs>
          <w:tab w:leader="none" w:pos="118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arranged for our agents to make on 10 February 2021 at 10:03 a.m. (GMT) an online search in respect of the Company of the Central Registry of Winding Up Petitions (the </w:t>
      </w:r>
      <w:r>
        <w:rPr>
          <w:rFonts w:ascii="Times New Roman" w:cs="Times New Roman" w:eastAsia="Times New Roman" w:hAnsi="Times New Roman"/>
          <w:sz w:val="18"/>
          <w:szCs w:val="18"/>
          <w:b w:val="1"/>
          <w:bCs w:val="1"/>
          <w:color w:val="auto"/>
        </w:rPr>
        <w:t>“Central Registry Enquiry”</w:t>
      </w:r>
      <w:r>
        <w:rPr>
          <w:rFonts w:ascii="Times New Roman" w:cs="Times New Roman" w:eastAsia="Times New Roman" w:hAnsi="Times New Roman"/>
          <w:sz w:val="18"/>
          <w:szCs w:val="18"/>
          <w:color w:val="auto"/>
        </w:rPr>
        <w:t xml:space="preserve">, and together with the Company Search, the </w:t>
      </w:r>
      <w:r>
        <w:rPr>
          <w:rFonts w:ascii="Times New Roman" w:cs="Times New Roman" w:eastAsia="Times New Roman" w:hAnsi="Times New Roman"/>
          <w:sz w:val="18"/>
          <w:szCs w:val="18"/>
          <w:b w:val="1"/>
          <w:bCs w:val="1"/>
          <w:color w:val="auto"/>
        </w:rPr>
        <w:t>“Searches”</w:t>
      </w:r>
      <w:r>
        <w:rPr>
          <w:rFonts w:ascii="Times New Roman" w:cs="Times New Roman" w:eastAsia="Times New Roman" w:hAnsi="Times New Roman"/>
          <w:sz w:val="18"/>
          <w:szCs w:val="18"/>
          <w:color w:val="auto"/>
        </w:rPr>
        <w:t>) and reviewed the results of such search.</w:t>
      </w:r>
    </w:p>
    <w:p>
      <w:pPr>
        <w:spacing w:after="0" w:line="81" w:lineRule="exact"/>
        <w:rPr>
          <w:sz w:val="20"/>
          <w:szCs w:val="20"/>
          <w:color w:val="auto"/>
        </w:rPr>
      </w:pPr>
    </w:p>
    <w:p>
      <w:pPr>
        <w:ind w:left="544" w:right="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For the purposes of giving this opinion, we have only examined and relied on those documents and made those searches and enquiries set out in paragraphs 2.1 and 2.2 respectively. We have made no further enquiries concerning the Company or any other matter in connection with the giving of this opinion.</w:t>
      </w:r>
    </w:p>
    <w:p>
      <w:pPr>
        <w:spacing w:after="0" w:line="81" w:lineRule="exact"/>
        <w:rPr>
          <w:sz w:val="20"/>
          <w:szCs w:val="20"/>
          <w:color w:val="auto"/>
        </w:rPr>
      </w:pPr>
    </w:p>
    <w:p>
      <w:pPr>
        <w:ind w:left="544" w:right="3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We have made no enquiry, and express no opinion, as to any matter of fact. As to matters of fact which are material to this opinion, we have relied entirely and without further enquiry on statements made in the documents listed in paragraph 2.1.</w:t>
      </w:r>
    </w:p>
    <w:p>
      <w:pPr>
        <w:spacing w:after="0" w:line="306" w:lineRule="exact"/>
        <w:rPr>
          <w:sz w:val="20"/>
          <w:szCs w:val="20"/>
          <w:color w:val="auto"/>
        </w:rPr>
      </w:pPr>
    </w:p>
    <w:p>
      <w:pPr>
        <w:ind w:left="544" w:hanging="544"/>
        <w:spacing w:after="0"/>
        <w:tabs>
          <w:tab w:leader="none" w:pos="5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Assumptions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In giving this opinion we have assumed:</w:t>
      </w:r>
    </w:p>
    <w:p>
      <w:pPr>
        <w:spacing w:after="0" w:line="131" w:lineRule="exact"/>
        <w:rPr>
          <w:sz w:val="20"/>
          <w:szCs w:val="20"/>
          <w:color w:val="auto"/>
        </w:rPr>
      </w:pPr>
    </w:p>
    <w:p>
      <w:pPr>
        <w:ind w:left="1184" w:hanging="644"/>
        <w:spacing w:after="0"/>
        <w:tabs>
          <w:tab w:leader="none" w:pos="11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seals and stamps;</w:t>
      </w:r>
    </w:p>
    <w:p>
      <w:pPr>
        <w:spacing w:after="0" w:line="130" w:lineRule="exact"/>
        <w:rPr>
          <w:rFonts w:ascii="Times New Roman" w:cs="Times New Roman" w:eastAsia="Times New Roman" w:hAnsi="Times New Roman"/>
          <w:sz w:val="18"/>
          <w:szCs w:val="18"/>
          <w:color w:val="auto"/>
        </w:rPr>
      </w:pPr>
    </w:p>
    <w:p>
      <w:pPr>
        <w:ind w:left="1184" w:right="80" w:hanging="644"/>
        <w:spacing w:after="0" w:line="282" w:lineRule="auto"/>
        <w:tabs>
          <w:tab w:leader="none" w:pos="11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the individuals who signs as, or otherwise claims to be, an officer of the Company is the individual whom he or she claims to be and holds the office he or she claims to hold;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and completeness of all documents submitted to us as originals;</w:t>
      </w:r>
    </w:p>
    <w:p>
      <w:pPr>
        <w:spacing w:after="0" w:line="130" w:lineRule="exact"/>
        <w:rPr>
          <w:rFonts w:ascii="Times New Roman" w:cs="Times New Roman" w:eastAsia="Times New Roman" w:hAnsi="Times New Roman"/>
          <w:sz w:val="18"/>
          <w:szCs w:val="18"/>
          <w:color w:val="auto"/>
        </w:rPr>
      </w:pPr>
    </w:p>
    <w:p>
      <w:pPr>
        <w:ind w:left="1184" w:right="640" w:hanging="644"/>
        <w:spacing w:after="0" w:line="282" w:lineRule="auto"/>
        <w:tabs>
          <w:tab w:leader="none" w:pos="11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conformity with the original documents of all documents reviewed by us as drafts, specimens, pro formas or copies and the authenticity and completeness of all such original documents;</w:t>
      </w:r>
    </w:p>
    <w:p>
      <w:pPr>
        <w:spacing w:after="0" w:line="65" w:lineRule="exact"/>
        <w:rPr>
          <w:rFonts w:ascii="Times New Roman" w:cs="Times New Roman" w:eastAsia="Times New Roman" w:hAnsi="Times New Roman"/>
          <w:sz w:val="18"/>
          <w:szCs w:val="18"/>
          <w:color w:val="auto"/>
        </w:rPr>
      </w:pPr>
    </w:p>
    <w:p>
      <w:pPr>
        <w:ind w:left="1184" w:hanging="644"/>
        <w:spacing w:after="0" w:line="257" w:lineRule="auto"/>
        <w:tabs>
          <w:tab w:leader="none" w:pos="11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the meetings referred to in paragraphs 2.1(b)(ii), 2.1(b)(iii), 2.1(b)(vi) and 2.1(c) (</w:t>
      </w:r>
      <w:r>
        <w:rPr>
          <w:rFonts w:ascii="Times New Roman" w:cs="Times New Roman" w:eastAsia="Times New Roman" w:hAnsi="Times New Roman"/>
          <w:sz w:val="18"/>
          <w:szCs w:val="18"/>
          <w:i w:val="1"/>
          <w:iCs w:val="1"/>
          <w:color w:val="auto"/>
        </w:rPr>
        <w:t>Examination and enquiries</w:t>
      </w:r>
      <w:r>
        <w:rPr>
          <w:rFonts w:ascii="Times New Roman" w:cs="Times New Roman" w:eastAsia="Times New Roman" w:hAnsi="Times New Roman"/>
          <w:sz w:val="18"/>
          <w:szCs w:val="18"/>
          <w:color w:val="auto"/>
        </w:rPr>
        <w:t>) was or will be duly convened, constituted and held in accordance with all applicable laws and regulations; that in particular, but without limitation, a duly qualified quorum of directors or, as the case may be, shareholders was or will be present in each case throughout the meeting and voted or will vote in favour of the resolutions; and that, in the case of a board or Committee meeting, each provision contained in the Companies Act 2006 or the articles of association of the Company relating to the declaration of directors’ interests or the power of interested directors to vote and to count in the quorum was or will be duly observed;</w:t>
      </w:r>
    </w:p>
    <w:p>
      <w:pPr>
        <w:spacing w:after="0" w:line="87" w:lineRule="exact"/>
        <w:rPr>
          <w:rFonts w:ascii="Times New Roman" w:cs="Times New Roman" w:eastAsia="Times New Roman" w:hAnsi="Times New Roman"/>
          <w:sz w:val="18"/>
          <w:szCs w:val="18"/>
          <w:color w:val="auto"/>
        </w:rPr>
      </w:pPr>
    </w:p>
    <w:p>
      <w:pPr>
        <w:ind w:left="1184" w:right="60" w:hanging="644"/>
        <w:spacing w:after="0" w:line="267" w:lineRule="auto"/>
        <w:tabs>
          <w:tab w:leader="none" w:pos="11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each case the documents referred to in paragraphs 2.1(b)(ii), 2.1(b)(iii), 2.1(b)(vi) and 2.1(c) (</w:t>
      </w:r>
      <w:r>
        <w:rPr>
          <w:rFonts w:ascii="Times New Roman" w:cs="Times New Roman" w:eastAsia="Times New Roman" w:hAnsi="Times New Roman"/>
          <w:sz w:val="18"/>
          <w:szCs w:val="18"/>
          <w:i w:val="1"/>
          <w:iCs w:val="1"/>
          <w:color w:val="auto"/>
        </w:rPr>
        <w:t>Examination and enquiries</w:t>
      </w:r>
      <w:r>
        <w:rPr>
          <w:rFonts w:ascii="Times New Roman" w:cs="Times New Roman" w:eastAsia="Times New Roman" w:hAnsi="Times New Roman"/>
          <w:sz w:val="18"/>
          <w:szCs w:val="18"/>
          <w:color w:val="auto"/>
        </w:rPr>
        <w:t>) are or will be a true record of the proceedings of the relevant meeting and that each resolution recorded in those documents has not been and will not be amended or rescinded and remains or will remain in full force and effect;</w:t>
      </w:r>
    </w:p>
    <w:p>
      <w:pPr>
        <w:spacing w:after="0" w:line="80" w:lineRule="exact"/>
        <w:rPr>
          <w:rFonts w:ascii="Times New Roman" w:cs="Times New Roman" w:eastAsia="Times New Roman" w:hAnsi="Times New Roman"/>
          <w:sz w:val="18"/>
          <w:szCs w:val="18"/>
          <w:color w:val="auto"/>
        </w:rPr>
      </w:pPr>
    </w:p>
    <w:p>
      <w:pPr>
        <w:ind w:left="1184" w:right="100" w:hanging="644"/>
        <w:spacing w:after="0" w:line="277" w:lineRule="auto"/>
        <w:tabs>
          <w:tab w:leader="none" w:pos="118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written resolutions referred to in paragraph 2.1(b)(iv) were duly passed in accordance with all applicable laws and regulations, including in accordance with the articles of association of the Company; that in particular, but without limitation, in relation to each written resolution each provision contained in the Companies Act 2006 or the articles of association of the Company relating to the declaration of directors’ interests or the power of interested directors to vote and to count in the quorum was or will be duly observed; and that each resolution has not been and will not be amended or rescinded and remains or will remain in full force and effect;</w:t>
      </w:r>
    </w:p>
    <w:p>
      <w:pPr>
        <w:spacing w:after="0" w:line="10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70" w:right="499" w:bottom="1440" w:gutter="0" w:footer="0" w:header="0"/>
        </w:sectPr>
      </w:pPr>
    </w:p>
    <w:bookmarkStart w:id="52" w:name="page53"/>
    <w:bookmarkEnd w:id="52"/>
    <w:p>
      <w:pPr>
        <w:ind w:left="644" w:right="140" w:hanging="644"/>
        <w:spacing w:after="0" w:line="261"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the directors of the Company acted and will act in accordance with ss171 to 174 Companies Act 2006 in approving the resolutions recorded in the minutes and written resolutions referred to in paragraphs 2.1(b)(iii), 2.1(b)(iv), 2.1(b)(vi) and 2.1(c) (</w:t>
      </w:r>
      <w:r>
        <w:rPr>
          <w:rFonts w:ascii="Times New Roman" w:cs="Times New Roman" w:eastAsia="Times New Roman" w:hAnsi="Times New Roman"/>
          <w:sz w:val="18"/>
          <w:szCs w:val="18"/>
          <w:i w:val="1"/>
          <w:iCs w:val="1"/>
          <w:color w:val="auto"/>
        </w:rPr>
        <w:t>Examination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enquiries</w:t>
      </w:r>
      <w:r>
        <w:rPr>
          <w:rFonts w:ascii="Times New Roman" w:cs="Times New Roman" w:eastAsia="Times New Roman" w:hAnsi="Times New Roman"/>
          <w:sz w:val="18"/>
          <w:szCs w:val="18"/>
          <w:color w:val="auto"/>
        </w:rPr>
        <w:t>) and that all actions to be carried out by the Company pursuant to the Corporate Approvals are or will be in its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w:t>
      </w:r>
    </w:p>
    <w:p>
      <w:pPr>
        <w:spacing w:after="0" w:line="85" w:lineRule="exact"/>
        <w:rPr>
          <w:rFonts w:ascii="Times New Roman" w:cs="Times New Roman" w:eastAsia="Times New Roman" w:hAnsi="Times New Roman"/>
          <w:sz w:val="18"/>
          <w:szCs w:val="18"/>
          <w:color w:val="auto"/>
        </w:rPr>
      </w:pPr>
    </w:p>
    <w:p>
      <w:pPr>
        <w:jc w:val="both"/>
        <w:ind w:left="644" w:right="320" w:hanging="644"/>
        <w:spacing w:after="0" w:line="266"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agreement, document or obligation to or by which the Company (or its assets) is a party or bound and no injunction or other court order against or affecting the Company would be breached or infringed by the matters contemplated by the performance of the actions to be carried out pursuant to, or any other aspect of the transactions contemplated by, the Corporate Approvals;</w:t>
      </w:r>
    </w:p>
    <w:p>
      <w:pPr>
        <w:spacing w:after="0" w:line="81" w:lineRule="exact"/>
        <w:rPr>
          <w:rFonts w:ascii="Times New Roman" w:cs="Times New Roman" w:eastAsia="Times New Roman" w:hAnsi="Times New Roman"/>
          <w:sz w:val="18"/>
          <w:szCs w:val="18"/>
          <w:color w:val="auto"/>
        </w:rPr>
      </w:pPr>
    </w:p>
    <w:p>
      <w:pPr>
        <w:ind w:left="644" w:right="300" w:hanging="644"/>
        <w:spacing w:after="0" w:line="282"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information included in the results of the Searches is true, accurate, complete and up-to-date and that there is no information which, for any reason, should have been included in those Searches but was not included in them;</w:t>
      </w:r>
    </w:p>
    <w:p>
      <w:pPr>
        <w:spacing w:after="0" w:line="67" w:lineRule="exact"/>
        <w:rPr>
          <w:rFonts w:ascii="Times New Roman" w:cs="Times New Roman" w:eastAsia="Times New Roman" w:hAnsi="Times New Roman"/>
          <w:sz w:val="18"/>
          <w:szCs w:val="18"/>
          <w:color w:val="auto"/>
        </w:rPr>
      </w:pPr>
    </w:p>
    <w:p>
      <w:pPr>
        <w:ind w:left="644" w:right="20" w:hanging="644"/>
        <w:spacing w:after="0" w:line="266"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 at each date on which the Company allots or issues New Shares or Further Shares the documents examined, and the results of the searches and enquiries made, as set out in paragraph 2 (</w:t>
      </w:r>
      <w:r>
        <w:rPr>
          <w:rFonts w:ascii="Times New Roman" w:cs="Times New Roman" w:eastAsia="Times New Roman" w:hAnsi="Times New Roman"/>
          <w:sz w:val="18"/>
          <w:szCs w:val="18"/>
          <w:i w:val="1"/>
          <w:iCs w:val="1"/>
          <w:color w:val="auto"/>
        </w:rPr>
        <w:t>Examination and enquiries</w:t>
      </w:r>
      <w:r>
        <w:rPr>
          <w:rFonts w:ascii="Times New Roman" w:cs="Times New Roman" w:eastAsia="Times New Roman" w:hAnsi="Times New Roman"/>
          <w:sz w:val="18"/>
          <w:szCs w:val="18"/>
          <w:color w:val="auto"/>
        </w:rPr>
        <w:t>) would not be rendered untrue, inaccurate, incomplete or out-of-date by reference to subsequent facts, matters and circumstances or events;</w:t>
      </w:r>
    </w:p>
    <w:p>
      <w:pPr>
        <w:spacing w:after="0" w:line="81" w:lineRule="exact"/>
        <w:rPr>
          <w:rFonts w:ascii="Times New Roman" w:cs="Times New Roman" w:eastAsia="Times New Roman" w:hAnsi="Times New Roman"/>
          <w:sz w:val="18"/>
          <w:szCs w:val="18"/>
          <w:color w:val="auto"/>
        </w:rPr>
      </w:pPr>
    </w:p>
    <w:p>
      <w:pPr>
        <w:ind w:left="644" w:right="60" w:hanging="644"/>
        <w:spacing w:after="0" w:line="282"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is and will at all relevant times remain in compliance with all applicable anti-corruption, anti-money laundering, anti-terrorism, sanctions, exchange controls and human rights laws and regulations of any applicable jurisdiction;</w:t>
      </w:r>
    </w:p>
    <w:p>
      <w:pPr>
        <w:spacing w:after="0" w:line="67" w:lineRule="exact"/>
        <w:rPr>
          <w:rFonts w:ascii="Times New Roman" w:cs="Times New Roman" w:eastAsia="Times New Roman" w:hAnsi="Times New Roman"/>
          <w:sz w:val="18"/>
          <w:szCs w:val="18"/>
          <w:color w:val="auto"/>
        </w:rPr>
      </w:pPr>
    </w:p>
    <w:p>
      <w:pPr>
        <w:ind w:left="644" w:right="100" w:hanging="644"/>
        <w:spacing w:after="0" w:line="266"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consents, licences, approvals, authorisations, notices, filings and registrations that are necessary under any applicable laws or regulations in order to permit the performance of the actions to be carried out pursuant to the Corporate Approvals have been or will be duly made or obtained and are, or will be, in full force and effect;</w:t>
      </w:r>
    </w:p>
    <w:p>
      <w:pPr>
        <w:spacing w:after="0" w:line="81" w:lineRule="exact"/>
        <w:rPr>
          <w:rFonts w:ascii="Times New Roman" w:cs="Times New Roman" w:eastAsia="Times New Roman" w:hAnsi="Times New Roman"/>
          <w:sz w:val="18"/>
          <w:szCs w:val="18"/>
          <w:color w:val="auto"/>
        </w:rPr>
      </w:pPr>
    </w:p>
    <w:p>
      <w:pPr>
        <w:jc w:val="both"/>
        <w:ind w:left="644" w:right="140" w:hanging="644"/>
        <w:spacing w:after="0" w:line="266"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are no provisions of the laws of any jurisdiction outside England and Wales that would have any implication for the opinions we express and that, insofar as the laws of any jurisdiction outside England and Wales may be relevant to this opinion letter, such laws have been and will be complied with;</w:t>
      </w:r>
    </w:p>
    <w:p>
      <w:pPr>
        <w:spacing w:after="0" w:line="81" w:lineRule="exact"/>
        <w:rPr>
          <w:rFonts w:ascii="Times New Roman" w:cs="Times New Roman" w:eastAsia="Times New Roman" w:hAnsi="Times New Roman"/>
          <w:sz w:val="18"/>
          <w:szCs w:val="18"/>
          <w:color w:val="auto"/>
        </w:rPr>
      </w:pPr>
    </w:p>
    <w:p>
      <w:pPr>
        <w:ind w:left="644" w:right="320" w:hanging="644"/>
        <w:spacing w:after="0" w:line="266"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New Shares and Further Shares will be issued and allotted pursuant to the authority and power granted to the directors of the Company respectively under the Shareholder Resolutions and that authority and that power are and shall remain unutilized to a sufficient extent to enable the issue and allotment of the New Shares and Further Shares;</w:t>
      </w:r>
    </w:p>
    <w:p>
      <w:pPr>
        <w:spacing w:after="0" w:line="81" w:lineRule="exact"/>
        <w:rPr>
          <w:rFonts w:ascii="Times New Roman" w:cs="Times New Roman" w:eastAsia="Times New Roman" w:hAnsi="Times New Roman"/>
          <w:sz w:val="18"/>
          <w:szCs w:val="18"/>
          <w:color w:val="auto"/>
        </w:rPr>
      </w:pPr>
    </w:p>
    <w:p>
      <w:pPr>
        <w:ind w:left="644" w:hanging="644"/>
        <w:spacing w:after="0" w:line="256"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party to each agreement or instrument pursuant to which New Shares or Further Shares are offered, issued and/or sold will have the capacity to enter into and deliver, and to exercise its rights and perform its obligations thereunder, will have taken all necessary corporate action to authorise that entry, delivery, exercise and performance, and will not be prohibited by any applicable law from that entry, delivery, exercise and performance; that each such agreement or instrument will have been duly executed by or on behalf of each party to it; and that the obligations created by each such agreement or instrument will constitute the legal, valid, binding and enforceable obligations of each of the parties to it under the laws by which it is expressed to be governed;</w:t>
      </w:r>
    </w:p>
    <w:p>
      <w:pPr>
        <w:spacing w:after="0" w:line="120"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84"/>
          </w:cols>
          <w:pgMar w:left="976" w:top="270" w:right="439" w:bottom="1440" w:gutter="0" w:footer="0" w:header="0"/>
        </w:sectPr>
      </w:pPr>
    </w:p>
    <w:bookmarkStart w:id="53" w:name="page54"/>
    <w:bookmarkEnd w:id="53"/>
    <w:p>
      <w:pPr>
        <w:ind w:left="1140" w:right="160" w:hanging="644"/>
        <w:spacing w:after="0" w:line="282"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no New Shares or Further Shares are acquired as a consequence of a communication made in breach of s21(1) Financial Services and Markets Act 2000;</w:t>
      </w:r>
    </w:p>
    <w:p>
      <w:pPr>
        <w:spacing w:after="0" w:line="67" w:lineRule="exact"/>
        <w:rPr>
          <w:rFonts w:ascii="Times New Roman" w:cs="Times New Roman" w:eastAsia="Times New Roman" w:hAnsi="Times New Roman"/>
          <w:sz w:val="18"/>
          <w:szCs w:val="18"/>
          <w:color w:val="auto"/>
        </w:rPr>
      </w:pPr>
    </w:p>
    <w:p>
      <w:pPr>
        <w:ind w:left="1140" w:hanging="644"/>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New Shares and Further Shares have been and will be offered and sold in accordance with all applicable laws;</w:t>
      </w:r>
    </w:p>
    <w:p>
      <w:pPr>
        <w:spacing w:after="0" w:line="130" w:lineRule="exact"/>
        <w:rPr>
          <w:rFonts w:ascii="Times New Roman" w:cs="Times New Roman" w:eastAsia="Times New Roman" w:hAnsi="Times New Roman"/>
          <w:sz w:val="18"/>
          <w:szCs w:val="18"/>
          <w:color w:val="auto"/>
        </w:rPr>
      </w:pPr>
    </w:p>
    <w:p>
      <w:pPr>
        <w:ind w:left="1140" w:right="320" w:hanging="644"/>
        <w:spacing w:after="0" w:line="282"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application has been or will be made for any New Shares or Further Shares to be listed or admitted to trading on a regulated market situated or operating in the United Kingdom;</w:t>
      </w:r>
    </w:p>
    <w:p>
      <w:pPr>
        <w:spacing w:after="0" w:line="67" w:lineRule="exact"/>
        <w:rPr>
          <w:rFonts w:ascii="Times New Roman" w:cs="Times New Roman" w:eastAsia="Times New Roman" w:hAnsi="Times New Roman"/>
          <w:sz w:val="18"/>
          <w:szCs w:val="18"/>
          <w:color w:val="auto"/>
        </w:rPr>
      </w:pPr>
    </w:p>
    <w:p>
      <w:pPr>
        <w:ind w:left="1140" w:right="220" w:hanging="644"/>
        <w:spacing w:after="0" w:line="282"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aggregate issue price in respect of each New Share and Further Share is not less than the nominal value of that New Share or Further Share;</w:t>
      </w:r>
    </w:p>
    <w:p>
      <w:pPr>
        <w:spacing w:after="0" w:line="67" w:lineRule="exact"/>
        <w:rPr>
          <w:rFonts w:ascii="Times New Roman" w:cs="Times New Roman" w:eastAsia="Times New Roman" w:hAnsi="Times New Roman"/>
          <w:sz w:val="18"/>
          <w:szCs w:val="18"/>
          <w:color w:val="auto"/>
        </w:rPr>
      </w:pPr>
    </w:p>
    <w:p>
      <w:pPr>
        <w:ind w:left="1140" w:hanging="644"/>
        <w:spacing w:after="0" w:line="256"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will be no fact or matter (such as bad faith, coercion, duress, undue influence or a mistake or misrepresentation before or at the time any agreement or instrument is entered into, a subsequent breach, release, waiver or variation of any right or provision, an entitlement to rectification or circumstances giving rise to an estoppel) which might affect the allotment and issue of any New Shares or Further Shares and no additional document between any relevant parties which would or might affect this opinion and which was not revealed to us by the documents examined or the searches and enquiries made by us or our agents in connection with the giving of this opinion;</w:t>
      </w:r>
    </w:p>
    <w:p>
      <w:pPr>
        <w:spacing w:after="0" w:line="92" w:lineRule="exact"/>
        <w:rPr>
          <w:rFonts w:ascii="Times New Roman" w:cs="Times New Roman" w:eastAsia="Times New Roman" w:hAnsi="Times New Roman"/>
          <w:sz w:val="18"/>
          <w:szCs w:val="18"/>
          <w:color w:val="auto"/>
        </w:rPr>
      </w:pPr>
    </w:p>
    <w:p>
      <w:pPr>
        <w:ind w:left="1140" w:right="140" w:hanging="644"/>
        <w:spacing w:after="0" w:line="282"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Company’s place of central management and control is not the UK, the Channel Islands or the Isle of Man for the purposes of the City Code on Takeovers and Mergers;</w:t>
      </w:r>
    </w:p>
    <w:p>
      <w:pPr>
        <w:spacing w:after="0" w:line="67" w:lineRule="exact"/>
        <w:rPr>
          <w:rFonts w:ascii="Times New Roman" w:cs="Times New Roman" w:eastAsia="Times New Roman" w:hAnsi="Times New Roman"/>
          <w:sz w:val="18"/>
          <w:szCs w:val="18"/>
          <w:color w:val="auto"/>
        </w:rPr>
      </w:pPr>
    </w:p>
    <w:p>
      <w:pPr>
        <w:ind w:left="1140" w:hanging="644"/>
        <w:spacing w:after="0" w:line="266"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subordinate legislation which purports to have been made under powers conferred by the European Communities Act 1972, the European Union (Withdrawal) Act 2018 or the European Union (Withdrawal Agreement) Act 2020 that is relevant to this opinion is valid in all relevant respects.</w:t>
      </w:r>
    </w:p>
    <w:p>
      <w:pPr>
        <w:spacing w:after="0" w:line="81" w:lineRule="exact"/>
        <w:rPr>
          <w:sz w:val="20"/>
          <w:szCs w:val="20"/>
          <w:color w:val="auto"/>
        </w:rPr>
      </w:pPr>
    </w:p>
    <w:p>
      <w:pPr>
        <w:ind w:left="500" w:right="520" w:hanging="539"/>
        <w:spacing w:after="0" w:line="282" w:lineRule="auto"/>
        <w:tabs>
          <w:tab w:leader="none" w:pos="4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In relation to paragraph 3.1(i), it should be noted that this information may not be true, accurate, complete or up-to-date. In particular, but without limitation:</w:t>
      </w:r>
    </w:p>
    <w:p>
      <w:pPr>
        <w:spacing w:after="0" w:line="67" w:lineRule="exact"/>
        <w:rPr>
          <w:sz w:val="20"/>
          <w:szCs w:val="20"/>
          <w:color w:val="auto"/>
        </w:rPr>
      </w:pPr>
    </w:p>
    <w:p>
      <w:pPr>
        <w:ind w:left="1140" w:right="540" w:hanging="644"/>
        <w:spacing w:after="0" w:line="282"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matters which should have been registered but which have not been registered or there may be a delay between the registration of those matters and the relevant entries appearing on the register of the relevant party;</w:t>
      </w:r>
    </w:p>
    <w:p>
      <w:pPr>
        <w:spacing w:after="0" w:line="67" w:lineRule="exact"/>
        <w:rPr>
          <w:rFonts w:ascii="Times New Roman" w:cs="Times New Roman" w:eastAsia="Times New Roman" w:hAnsi="Times New Roman"/>
          <w:sz w:val="18"/>
          <w:szCs w:val="18"/>
          <w:color w:val="auto"/>
        </w:rPr>
      </w:pPr>
    </w:p>
    <w:p>
      <w:pPr>
        <w:ind w:left="1140" w:right="40" w:hanging="644"/>
        <w:spacing w:after="0" w:line="258"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requirement to register with the Registrar of Companies notice of a petition for the winding-up of, or application for an administration order in respect of, a company. Such a notice or notice of a winding-up or administration order having been made, a resolution having been passed for the winding-up of a company or a receiver, manager, administrative receiver, administrator or liquidator having been appointed may not be filed with the Registrar of Companies immediately and there may be a delay in any notice appearing on the register of the relevant party;</w:t>
      </w:r>
    </w:p>
    <w:p>
      <w:pPr>
        <w:spacing w:after="0" w:line="88" w:lineRule="exact"/>
        <w:rPr>
          <w:rFonts w:ascii="Times New Roman" w:cs="Times New Roman" w:eastAsia="Times New Roman" w:hAnsi="Times New Roman"/>
          <w:sz w:val="18"/>
          <w:szCs w:val="18"/>
          <w:color w:val="auto"/>
        </w:rPr>
      </w:pPr>
    </w:p>
    <w:p>
      <w:pPr>
        <w:ind w:left="1140" w:right="420" w:hanging="644"/>
        <w:spacing w:after="0" w:line="281" w:lineRule="auto"/>
        <w:tabs>
          <w:tab w:leader="none" w:pos="11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the Central Registry Enquiry relate only to petitions for the compulsory winding up of, or applications for an administration order in respect of, the Company presented prior to the enquiry and entered on the records of the Central Index of Winding Up Petitions. The presentation of such a petition, or the making of such an application, may not have been notified to the Central Index or entered on its records immediately or, if presented to a County Court or Chancery District Registry, at all; and</w:t>
      </w:r>
    </w:p>
    <w:p>
      <w:pPr>
        <w:spacing w:after="0" w:line="69" w:lineRule="exact"/>
        <w:rPr>
          <w:rFonts w:ascii="Times New Roman" w:cs="Times New Roman" w:eastAsia="Times New Roman" w:hAnsi="Times New Roman"/>
          <w:sz w:val="17"/>
          <w:szCs w:val="17"/>
          <w:color w:val="auto"/>
        </w:rPr>
      </w:pPr>
    </w:p>
    <w:p>
      <w:pPr>
        <w:ind w:left="1140" w:hanging="64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further information might have become available on the relevant register after the Searches were made.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70" w:right="499" w:bottom="1440" w:gutter="0" w:footer="0" w:header="0"/>
        </w:sectPr>
      </w:pPr>
    </w:p>
    <w:bookmarkStart w:id="54" w:name="page55"/>
    <w:bookmarkEnd w:id="54"/>
    <w:p>
      <w:pPr>
        <w:ind w:left="544" w:hanging="544"/>
        <w:spacing w:after="0"/>
        <w:tabs>
          <w:tab w:leader="none" w:pos="5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Opinion</w:t>
      </w:r>
    </w:p>
    <w:p>
      <w:pPr>
        <w:spacing w:after="0" w:line="133" w:lineRule="exact"/>
        <w:rPr>
          <w:sz w:val="20"/>
          <w:szCs w:val="20"/>
          <w:color w:val="auto"/>
        </w:rPr>
      </w:pPr>
    </w:p>
    <w:p>
      <w:pPr>
        <w:ind w:left="544"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On the basis of the examination and enquiries referred to in paragraph 2 (</w:t>
      </w:r>
      <w:r>
        <w:rPr>
          <w:rFonts w:ascii="Times New Roman" w:cs="Times New Roman" w:eastAsia="Times New Roman" w:hAnsi="Times New Roman"/>
          <w:sz w:val="18"/>
          <w:szCs w:val="18"/>
          <w:i w:val="1"/>
          <w:iCs w:val="1"/>
          <w:color w:val="auto"/>
        </w:rPr>
        <w:t>Examination and enquiries</w:t>
      </w:r>
      <w:r>
        <w:rPr>
          <w:rFonts w:ascii="Times New Roman" w:cs="Times New Roman" w:eastAsia="Times New Roman" w:hAnsi="Times New Roman"/>
          <w:sz w:val="18"/>
          <w:szCs w:val="18"/>
          <w:color w:val="auto"/>
        </w:rPr>
        <w:t>) and the assumptions made in paragraph 3 (</w:t>
      </w: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we are of the opinion that the New Shares and the Further Shares will, when the names of the holders of such New Shares and Further Shares respectively are entered into the register of members of the Company and subject to the receipt by the Company of the aggregate issue price in respect of all the New Shares and the Further Shares respectively, be validly issued, fully paid and no further amount may be called thereon.</w:t>
      </w:r>
    </w:p>
    <w:p>
      <w:pPr>
        <w:spacing w:after="0" w:line="91" w:lineRule="exact"/>
        <w:rPr>
          <w:sz w:val="20"/>
          <w:szCs w:val="20"/>
          <w:color w:val="auto"/>
        </w:rPr>
      </w:pPr>
    </w:p>
    <w:p>
      <w:pPr>
        <w:ind w:left="544" w:right="2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This opinion is strictly limited to the matters expressly stated in this paragraph 4 and is not to be construed as extending by implication to any other matter.</w:t>
      </w:r>
    </w:p>
    <w:p>
      <w:pPr>
        <w:spacing w:after="0" w:line="306" w:lineRule="exact"/>
        <w:rPr>
          <w:sz w:val="20"/>
          <w:szCs w:val="20"/>
          <w:color w:val="auto"/>
        </w:rPr>
      </w:pPr>
    </w:p>
    <w:p>
      <w:pPr>
        <w:ind w:left="544" w:hanging="544"/>
        <w:spacing w:after="0"/>
        <w:tabs>
          <w:tab w:leader="none" w:pos="5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Law</w:t>
      </w:r>
    </w:p>
    <w:p>
      <w:pPr>
        <w:spacing w:after="0" w:line="135" w:lineRule="exact"/>
        <w:rPr>
          <w:sz w:val="20"/>
          <w:szCs w:val="20"/>
          <w:color w:val="auto"/>
        </w:rPr>
      </w:pPr>
    </w:p>
    <w:p>
      <w:pPr>
        <w:ind w:left="544" w:right="6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This opinion and any non-contractual obligations arising out of or in connection with this opinion shall be governed by, and construed in accordance with, English law.</w:t>
      </w:r>
    </w:p>
    <w:p>
      <w:pPr>
        <w:spacing w:after="0" w:line="63" w:lineRule="exact"/>
        <w:rPr>
          <w:sz w:val="20"/>
          <w:szCs w:val="20"/>
          <w:color w:val="auto"/>
        </w:rPr>
      </w:pPr>
    </w:p>
    <w:p>
      <w:pPr>
        <w:ind w:left="544" w:right="340" w:hanging="539"/>
        <w:spacing w:after="0" w:line="262" w:lineRule="auto"/>
        <w:tabs>
          <w:tab w:leader="none" w:pos="5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This opinion relates only to English law as applied by the English courts as at today’s date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By “English law” we mean (except to the extent we make specific reference to an English law “conflict of law” (private international law) rule or principle) English domestic law on the assumption that English domestic law applies to all relevant issues. In construing any European Union directive or regulation, we have read only the English version.</w:t>
      </w:r>
    </w:p>
    <w:p>
      <w:pPr>
        <w:spacing w:after="0" w:line="86"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Except to the extent, if any, specifically stated in it, this opinion takes no account of any proposed changes as at today’s date in Applicable Law.</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We do not undertake or accept any obligation to update this opinion to reflect subsequent changes in English law or factual matters.</w:t>
      </w:r>
    </w:p>
    <w:p>
      <w:pPr>
        <w:spacing w:after="0" w:line="131" w:lineRule="exact"/>
        <w:rPr>
          <w:sz w:val="20"/>
          <w:szCs w:val="20"/>
          <w:color w:val="auto"/>
        </w:rPr>
      </w:pPr>
    </w:p>
    <w:p>
      <w:pPr>
        <w:ind w:left="544" w:right="1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We express no opinion as to, and we have not investigated for the purposes of this opinion, the laws of any jurisdiction other than England. It is assumed that no foreign law which may apply to the matters contemplated by the Prospectus Supplement, the Offering, the Company, any document or any other matter contemplated by any document would or might affect this opinion.</w:t>
      </w:r>
    </w:p>
    <w:p>
      <w:pPr>
        <w:spacing w:after="0" w:line="176"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Prospectus Supplement. In giving such consent, we do not admit that we are in the category of persons whose consent is required under section 7 of the Securities Act or the Rules.</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Mayer Brown International LLP</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Mayer Brown International LLP</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66" w:right="47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173990</wp:posOffset>
            </wp:positionV>
            <wp:extent cx="1997075" cy="831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9707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 Announces Proposed Public Offering of American Depositary Shares</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London and Redwood City, Calif., February 9, 2021 </w:t>
      </w:r>
      <w:r>
        <w:rPr>
          <w:rFonts w:ascii="Times New Roman" w:cs="Times New Roman" w:eastAsia="Times New Roman" w:hAnsi="Times New Roman"/>
          <w:sz w:val="18"/>
          <w:szCs w:val="18"/>
          <w:color w:val="auto"/>
        </w:rPr>
        <w:t>–Mereo BioPharma Group plc (NASDAQ: MREO) (“Mereo” or the “Company”), a clinical-stage biopharmaceutical company focused on oncology and rare diseases, today announced that it intends to offer and sell American Depositary Shares (“ADSs”) in an underwritten public offering. The offering is subject to market conditions, and there can be no assurance as to whether or when the offering may be completed, or as to the actual size or terms of the offering. Mereo also expects to grant the underwriters a 30-day option to purchase up to an additional 15% of the ADSs offered in the public offering, on the same terms and conditions. All of the ADSs in the offering are to be sold by Mereo, with net proceeds to be used to fund ongoing clinical development of product candidates and for working capital and other general corporate purposes.</w:t>
      </w:r>
    </w:p>
    <w:p>
      <w:pPr>
        <w:spacing w:after="0" w:line="18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SVB Leerink is acting as sole book-running manager for the offering. BTIG and Needham &amp; Company are acting as the co-lead managers for the offering.</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 shelf registration statement on Form F-3 relating to the public offering of the ADSs described above was declared effective by the Securities and Exchange Commission (“SEC”) on October 21, 2020. The offering is being made only by means of a written prospectus and prospectus supplement that form a part of the registration statement. A preliminary prospectus supplement and accompanying prospectus relating to and describing the terms of the offering will be filed with the SEC and will be available on the SEC’s website at www.sec.gov. When available, copies of the preliminary prospectus supplement and accompanying prospectus relating to these securities may also be obtained by sending a request to: SVB Leerink LLC, Attention: Syndicate Department, One Federal Street, 37th Floor, Boston, MA, 02110, by telephone at 1-800-808-7525, ext. 6105, or by email at syndicate@svbleerink.com.</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any of these securities, nor will there be any sale of these securities in any state or other jurisdiction in which such offer, solicitation or sale is not permitted.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and commercialization of innovative therapeutics that aim to improve outcomes for oncology and rare diseases. The Company has developed a portfolio of six clinical stage product candidates. Mereo’s lead oncology product candidate, etigilimab (Anti-TIGIT) has recently advanced into an open label Phase 1b/2 basket study evaluating Anti-TIGIT in combination with an anti-PD-1 in a range of tumor types including three rare tumors and a number of gynecological carcinomas including cervical and endometrial carcinomas. The Company’s second oncology product, navicixizumab, for the treatment of late line ovarian cancer, has completed a Phase 1 study and has been partnered with OncXerna Therapeutics, Inc., formerly Oncologie, Inc. The Company has two rare disease product candidates: alvelestat for the treatment of severe Alpha-1 antitrypsin deficiency (AATD), which is being investigated in an ongoing Phase 2 proof-of-concept study in the U.S. and Europe, for which the Company expects to report top line data in the second half of 2021, and setrusumab for the treatment of osteogenesis imperfecta (OI). In September 2020, the FDA granted Rare Pediatric Disease designation to setrusumab for the treatment of OI. Following the completion of the Company’s Phase 2b ASTEROID study, the Company met with both the FDA and the European Medicines Agency (EMA) to discuss the principles of a design of a single Phase 2/3 registrational pediatric study in OI. In December 2020, the Company signed a license and collaboration agreement for setrusumab in OI with Ultragenyx Pharmaceutical Inc.</w:t>
      </w:r>
    </w:p>
    <w:p>
      <w:pPr>
        <w:sectPr>
          <w:pgSz w:w="11900" w:h="16838" w:orient="portrait"/>
          <w:cols w:equalWidth="0" w:num="1">
            <w:col w:w="11020"/>
          </w:cols>
          <w:pgMar w:left="440" w:top="117"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latest Annual Report on Form 20-F, Reports on Form 6-K and other documents filed from time to time by the Company with the SEC should be carefully considered.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Mereo</w:t>
            </w:r>
          </w:p>
        </w:tc>
        <w:tc>
          <w:tcPr>
            <w:tcW w:w="4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+44 (0)333 023 7300</w:t>
            </w:r>
          </w:p>
        </w:tc>
      </w:tr>
    </w:tbl>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Fox, Chief Financial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Burns McClellan (US Investor Relations Adviser to Mereo)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Roth</w:t>
      </w:r>
    </w:p>
    <w:p>
      <w:pPr>
        <w:spacing w:after="0" w:line="197" w:lineRule="exact"/>
        <w:rPr>
          <w:sz w:val="20"/>
          <w:szCs w:val="20"/>
          <w:color w:val="auto"/>
        </w:rPr>
      </w:pPr>
    </w:p>
    <w:p>
      <w:pPr>
        <w:spacing w:after="0"/>
        <w:tabs>
          <w:tab w:leader="none" w:pos="7140" w:val="left"/>
        </w:tabs>
        <w:rPr>
          <w:sz w:val="20"/>
          <w:szCs w:val="20"/>
          <w:color w:val="auto"/>
        </w:rPr>
      </w:pPr>
      <w:r>
        <w:rPr>
          <w:rFonts w:ascii="Times New Roman" w:cs="Times New Roman" w:eastAsia="Times New Roman" w:hAnsi="Times New Roman"/>
          <w:sz w:val="20"/>
          <w:szCs w:val="20"/>
          <w:b w:val="1"/>
          <w:bCs w:val="1"/>
          <w:color w:val="auto"/>
        </w:rPr>
        <w:t>Investors</w:t>
      </w:r>
      <w:r>
        <w:rPr>
          <w:sz w:val="20"/>
          <w:szCs w:val="20"/>
          <w:color w:val="auto"/>
        </w:rPr>
        <w:tab/>
      </w:r>
      <w:r>
        <w:rPr>
          <w:rFonts w:ascii="Times New Roman" w:cs="Times New Roman" w:eastAsia="Times New Roman" w:hAnsi="Times New Roman"/>
          <w:sz w:val="18"/>
          <w:szCs w:val="18"/>
          <w:u w:val="single" w:color="auto"/>
          <w:color w:val="auto"/>
        </w:rPr>
        <w:t>investors@mereobiopharma.com</w:t>
      </w:r>
    </w:p>
    <w:p>
      <w:pPr>
        <w:sectPr>
          <w:pgSz w:w="11900" w:h="16838" w:orient="portrait"/>
          <w:cols w:equalWidth="0" w:num="1">
            <w:col w:w="10980"/>
          </w:cols>
          <w:pgMar w:left="440" w:top="266" w:right="47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431290" cy="531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312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Mereo BioPharma Group plc Announces Pricing of Public Offering of American Depositary Shares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LONDON and REDWOOD CITY, Calif., Feb. 09, 2021 (GLOBE NEWSWIRE) -- Mereo BioPharma Group plc (NASDAQ: MREO) (“Mereo” or the “Company”), a clinical-stage biopharmaceutical company focused on oncology and rare diseases, today announced the pricing of an underwritten public offering of 34,500,000 American Depositary Shares (“ADSs”) at a public offering price of $2.90 per ADS. The gross proceeds from the offering, before deducting underwriting discounts and commissions and offering expenses, are expected to be $100.1 million. In addition, Mereo has granted the underwriters a 30-day option to purchase up to 5,175,000 additional ADSs at the public offering price, less underwriting discounts and commissions. Each ADS represents five ordinary shares of Mereo. All of the ADSs in the offering will be sold by Mereo. The offering is expected to close on or about February 12, 2021, subject to the satisfaction of customary closing conditions.</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SVB Leerink is acting as sole book-running manager for the offering. BTIG and Needham &amp; Company are acting as the co-lead managers for the offering.</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 shelf registration statement on Form F-3 relating to the public offering of the ADSs described above was declared effective by the Securities and Exchange Commission (“SEC”) on October 21, 2020. The offering is being made only by means of a written prospectus and prospectus supplement that form a part of the registration statement. A preliminary prospectus supplement and accompanying prospectus relating to and describing the terms of the offering will be filed with the SEC and will be available on the SEC’s website at www.sec.gov. When available, copies of the preliminary prospectus supplement and accompanying prospectus relating to these securities may also be obtained by sending a request to: SVB Leerink LLC, Attention: Syndicate Department, One Federal Street, 37th Floor, Boston, MA, 02110, by telephone at 1-800-808-7525, ext. 6105, or by email at syndicate@svbleerink.com.</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any of these securities, nor will there be any sale of these securities in any state or other jurisdiction in which such offer, solicitation or sale is not permitted.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and commercialization of innovative therapeutics that aim to improve outcomes for oncology and rare diseases. The Company has developed a portfolio of six clinical stage product candidates. Mereo’s lead oncology product candidate, etigilimab (Anti-TIGIT) has recently advanced into an open label Phase 1b/2 basket study evaluating Anti-TIGIT in combination with an anti-PD-1 in a range of tumor types including three rare tumors and a number of gynecological carcinomas including cervical and endometrial carcinomas. The Company’s second oncology product, navicixizumab, for the treatment of late line ovarian cancer, has completed a Phase 1 study and has been partnered with OncXerna Therapeutics, Inc., formerly Oncologie, Inc. The Company has two rare disease product candidates: alvelestat for the treatment of severe Alpha-1 antitrypsin deficiency (AATD), which is being investigated in an ongoing Phase 2 proof-of-concept study in the U.S. and Europe, for which the Company expects to report top line data in the second half of 2021, and setrusumab for the treatment of osteogenesis imperfecta (OI). In September 2020, the FDA granted Rare Pediatric Disease designation to setrusumab for the treatment of OI. Following the completion of the Company’s Phase 2b ASTEROID study, the Company met with both the FDA and the European Medicines Agency (EMA) to discuss the principles of a design of a single Phase 2/3 registrational pediatric study in OI. In December 2020, the Company signed a license and collaboration agreement for setrusumab in OI with Ultragenyx Pharmaceutical Inc.</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latest Annual Report on Form 20-F, Reports on Form 6-K and other documents filed from time to time by the Company with the SEC should be carefully considered.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ectPr>
          <w:pgSz w:w="11900" w:h="16838" w:orient="portrait"/>
          <w:cols w:equalWidth="0" w:num="1">
            <w:col w:w="11020"/>
          </w:cols>
          <w:pgMar w:left="440" w:top="117" w:right="4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2380" w:type="dxa"/>
            <w:vAlign w:val="bottom"/>
          </w:tcPr>
          <w:p>
            <w:pPr>
              <w:spacing w:after="0"/>
              <w:rPr>
                <w:sz w:val="20"/>
                <w:szCs w:val="20"/>
                <w:color w:val="auto"/>
              </w:rPr>
            </w:pPr>
          </w:p>
        </w:tc>
      </w:tr>
      <w:tr>
        <w:trPr>
          <w:trHeight w:val="414"/>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+44 (0)333 023 7300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w:t>
            </w:r>
          </w:p>
        </w:tc>
        <w:tc>
          <w:tcPr>
            <w:tcW w:w="238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38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 Chief</w:t>
            </w:r>
          </w:p>
        </w:tc>
        <w:tc>
          <w:tcPr>
            <w:tcW w:w="238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2380" w:type="dxa"/>
            <w:vAlign w:val="bottom"/>
          </w:tcPr>
          <w:p>
            <w:pPr>
              <w:spacing w:after="0"/>
              <w:rPr>
                <w:sz w:val="20"/>
                <w:szCs w:val="20"/>
                <w:color w:val="auto"/>
              </w:rPr>
            </w:pPr>
          </w:p>
        </w:tc>
      </w:tr>
      <w:tr>
        <w:trPr>
          <w:trHeight w:val="410"/>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(US Investor Relations</w:t>
            </w:r>
          </w:p>
        </w:tc>
        <w:tc>
          <w:tcPr>
            <w:tcW w:w="2380" w:type="dxa"/>
            <w:vAlign w:val="bottom"/>
          </w:tcPr>
          <w:p>
            <w:pPr>
              <w:spacing w:after="0"/>
              <w:rPr>
                <w:sz w:val="24"/>
                <w:szCs w:val="24"/>
                <w:color w:val="auto"/>
              </w:rPr>
            </w:pPr>
          </w:p>
        </w:tc>
      </w:tr>
      <w:tr>
        <w:trPr>
          <w:trHeight w:val="220"/>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Adviser to Mereo)</w:t>
            </w:r>
          </w:p>
        </w:tc>
        <w:tc>
          <w:tcPr>
            <w:tcW w:w="2380" w:type="dxa"/>
            <w:vAlign w:val="bottom"/>
          </w:tcPr>
          <w:p>
            <w:pPr>
              <w:spacing w:after="0"/>
              <w:rPr>
                <w:sz w:val="19"/>
                <w:szCs w:val="19"/>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Lee Roth</w:t>
            </w:r>
          </w:p>
        </w:tc>
        <w:tc>
          <w:tcPr>
            <w:tcW w:w="2380" w:type="dxa"/>
            <w:vAlign w:val="bottom"/>
          </w:tcPr>
          <w:p>
            <w:pPr>
              <w:spacing w:after="0"/>
              <w:rPr>
                <w:sz w:val="20"/>
                <w:szCs w:val="20"/>
                <w:color w:val="auto"/>
              </w:rPr>
            </w:pPr>
          </w:p>
        </w:tc>
      </w:tr>
      <w:tr>
        <w:trPr>
          <w:trHeight w:val="392"/>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investors@mereobiopharma.com</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lowerLetter"/>
      <w:start w:val="1"/>
    </w:lvl>
    <w:lvl w:ilvl="1">
      <w:lvlJc w:val="left"/>
      <w:lvlText w:val="(%2)"/>
      <w:numFmt w:val="lowerLetter"/>
      <w:start w:val="9"/>
    </w:lvl>
  </w:abstractNum>
  <w:abstractNum w:abstractNumId="1">
    <w:nsid w:val="8138641"/>
    <w:multiLevelType w:val="hybridMultilevel"/>
    <w:lvl w:ilvl="0">
      <w:lvlJc w:val="left"/>
      <w:lvlText w:val="(%1)"/>
      <w:numFmt w:val="lowerRoman"/>
      <w:start w:val="2"/>
    </w:lvl>
  </w:abstractNum>
  <w:abstractNum w:abstractNumId="2">
    <w:nsid w:val="1E7FF521"/>
    <w:multiLevelType w:val="hybridMultilevel"/>
    <w:lvl w:ilvl="0">
      <w:lvlJc w:val="left"/>
      <w:lvlText w:val="(%1)"/>
      <w:numFmt w:val="lowerRoman"/>
      <w:start w:val="4"/>
    </w:lvl>
  </w:abstractNum>
  <w:abstractNum w:abstractNumId="3">
    <w:nsid w:val="7C3DBD3D"/>
    <w:multiLevelType w:val="hybridMultilevel"/>
    <w:lvl w:ilvl="0">
      <w:lvlJc w:val="left"/>
      <w:lvlText w:val="(%1)"/>
      <w:numFmt w:val="lowerRoman"/>
      <w:start w:val="10"/>
    </w:lvl>
  </w:abstractNum>
  <w:abstractNum w:abstractNumId="4">
    <w:nsid w:val="737B8DDC"/>
    <w:multiLevelType w:val="hybridMultilevel"/>
    <w:lvl w:ilvl="0">
      <w:lvlJc w:val="left"/>
      <w:lvlText w:val="(%1)"/>
      <w:numFmt w:val="lowerRoman"/>
      <w:start w:val="16"/>
    </w:lvl>
    <w:lvl w:ilvl="1">
      <w:lvlJc w:val="left"/>
      <w:lvlText w:val="(%2)"/>
      <w:numFmt w:val="lowerLetter"/>
      <w:start w:val="1"/>
    </w:lvl>
  </w:abstractNum>
  <w:abstractNum w:abstractNumId="5">
    <w:nsid w:val="6CEAF087"/>
    <w:multiLevelType w:val="hybridMultilevel"/>
    <w:lvl w:ilvl="0">
      <w:lvlJc w:val="left"/>
      <w:lvlText w:val="(%1)"/>
      <w:numFmt w:val="lowerRoman"/>
      <w:start w:val="18"/>
    </w:lvl>
  </w:abstractNum>
  <w:abstractNum w:abstractNumId="6">
    <w:nsid w:val="22221A70"/>
    <w:multiLevelType w:val="hybridMultilevel"/>
    <w:lvl w:ilvl="0">
      <w:lvlJc w:val="left"/>
      <w:lvlText w:val="(%1)"/>
      <w:numFmt w:val="lowerRoman"/>
      <w:start w:val="23"/>
    </w:lvl>
  </w:abstractNum>
  <w:abstractNum w:abstractNumId="7">
    <w:nsid w:val="4516DDE9"/>
    <w:multiLevelType w:val="hybridMultilevel"/>
    <w:lvl w:ilvl="0">
      <w:lvlJc w:val="left"/>
      <w:lvlText w:val="(%1)"/>
      <w:numFmt w:val="lowerRoman"/>
      <w:start w:val="27"/>
    </w:lvl>
  </w:abstractNum>
  <w:abstractNum w:abstractNumId="8">
    <w:nsid w:val="3006C83E"/>
    <w:multiLevelType w:val="hybridMultilevel"/>
    <w:lvl w:ilvl="0">
      <w:lvlJc w:val="left"/>
      <w:lvlText w:val="%1"/>
      <w:numFmt w:val="lowerRoman"/>
      <w:start w:val="1"/>
    </w:lvl>
    <w:lvl w:ilvl="1">
      <w:lvlJc w:val="left"/>
      <w:lvlText w:val="(%2)"/>
      <w:numFmt w:val="lowerRoman"/>
      <w:start w:val="30"/>
    </w:lvl>
  </w:abstractNum>
  <w:abstractNum w:abstractNumId="9">
    <w:nsid w:val="614FD4A1"/>
    <w:multiLevelType w:val="hybridMultilevel"/>
    <w:lvl w:ilvl="0">
      <w:lvlJc w:val="left"/>
      <w:lvlText w:val="(%1)"/>
      <w:numFmt w:val="lowerRoman"/>
      <w:start w:val="1"/>
    </w:lvl>
    <w:lvl w:ilvl="1">
      <w:lvlJc w:val="left"/>
      <w:lvlText w:val="%2"/>
      <w:numFmt w:val="lowerRoman"/>
      <w:start w:val="1"/>
    </w:lvl>
  </w:abstractNum>
  <w:abstractNum w:abstractNumId="10">
    <w:nsid w:val="419AC241"/>
    <w:multiLevelType w:val="hybridMultilevel"/>
    <w:lvl w:ilvl="0">
      <w:lvlJc w:val="left"/>
      <w:lvlText w:val="(%1)"/>
      <w:numFmt w:val="upperLetter"/>
      <w:start w:val="1"/>
    </w:lvl>
    <w:lvl w:ilvl="1">
      <w:lvlJc w:val="left"/>
      <w:lvlText w:val="(%2)"/>
      <w:numFmt w:val="lowerRoman"/>
      <w:start w:val="33"/>
    </w:lvl>
  </w:abstractNum>
  <w:abstractNum w:abstractNumId="11">
    <w:nsid w:val="5577F8E1"/>
    <w:multiLevelType w:val="hybridMultilevel"/>
    <w:lvl w:ilvl="0">
      <w:lvlJc w:val="left"/>
      <w:lvlText w:val="(%1)"/>
      <w:numFmt w:val="lowerRoman"/>
      <w:start w:val="34"/>
    </w:lvl>
  </w:abstractNum>
  <w:abstractNum w:abstractNumId="12">
    <w:nsid w:val="440BADFC"/>
    <w:multiLevelType w:val="hybridMultilevel"/>
    <w:lvl w:ilvl="0">
      <w:lvlJc w:val="left"/>
      <w:lvlText w:val="%1"/>
      <w:numFmt w:val="upperLetter"/>
      <w:start w:val="1"/>
    </w:lvl>
    <w:lvl w:ilvl="1">
      <w:lvlJc w:val="left"/>
      <w:lvlText w:val="(%2)"/>
      <w:numFmt w:val="lowerRoman"/>
      <w:start w:val="36"/>
    </w:lvl>
  </w:abstractNum>
  <w:abstractNum w:abstractNumId="13">
    <w:nsid w:val="5072367"/>
    <w:multiLevelType w:val="hybridMultilevel"/>
    <w:lvl w:ilvl="0">
      <w:lvlJc w:val="left"/>
      <w:lvlText w:val="(%1)"/>
      <w:numFmt w:val="upperLetter"/>
      <w:start w:val="2"/>
    </w:lvl>
    <w:lvl w:ilvl="1">
      <w:lvlJc w:val="left"/>
      <w:lvlText w:val="%2"/>
      <w:numFmt w:val="lowerRoman"/>
      <w:start w:val="1"/>
    </w:lvl>
  </w:abstractNum>
  <w:abstractNum w:abstractNumId="14">
    <w:nsid w:val="3804823E"/>
    <w:multiLevelType w:val="hybridMultilevel"/>
    <w:lvl w:ilvl="0">
      <w:lvlJc w:val="left"/>
      <w:lvlText w:val="(%1)"/>
      <w:numFmt w:val="lowerRoman"/>
      <w:start w:val="38"/>
    </w:lvl>
  </w:abstractNum>
  <w:abstractNum w:abstractNumId="15">
    <w:nsid w:val="77465F01"/>
    <w:multiLevelType w:val="hybridMultilevel"/>
    <w:lvl w:ilvl="0">
      <w:lvlJc w:val="left"/>
      <w:lvlText w:val="(%1)"/>
      <w:numFmt w:val="lowerRoman"/>
      <w:start w:val="2"/>
    </w:lvl>
  </w:abstractNum>
  <w:abstractNum w:abstractNumId="16">
    <w:nsid w:val="7724C67E"/>
    <w:multiLevelType w:val="hybridMultilevel"/>
    <w:lvl w:ilvl="0">
      <w:lvlJc w:val="left"/>
      <w:lvlText w:val="(%1)"/>
      <w:numFmt w:val="lowerLetter"/>
      <w:start w:val="12"/>
    </w:lvl>
  </w:abstractNum>
  <w:abstractNum w:abstractNumId="17">
    <w:nsid w:val="5C482A97"/>
    <w:multiLevelType w:val="hybridMultilevel"/>
    <w:lvl w:ilvl="0">
      <w:lvlJc w:val="left"/>
      <w:lvlText w:val="(%1)"/>
      <w:numFmt w:val="lowerLetter"/>
      <w:start w:val="2"/>
    </w:lvl>
  </w:abstractNum>
  <w:abstractNum w:abstractNumId="18">
    <w:nsid w:val="2463B9EA"/>
    <w:multiLevelType w:val="hybridMultilevel"/>
    <w:lvl w:ilvl="0">
      <w:lvlJc w:val="left"/>
      <w:lvlText w:val="(%1)"/>
      <w:numFmt w:val="lowerLetter"/>
      <w:start w:val="1"/>
    </w:lvl>
  </w:abstractNum>
  <w:abstractNum w:abstractNumId="19">
    <w:nsid w:val="5E884ADC"/>
    <w:multiLevelType w:val="hybridMultilevel"/>
    <w:lvl w:ilvl="0">
      <w:lvlJc w:val="left"/>
      <w:lvlText w:val="(%1)"/>
      <w:numFmt w:val="lowerLetter"/>
      <w:start w:val="3"/>
    </w:lvl>
  </w:abstractNum>
  <w:abstractNum w:abstractNumId="20">
    <w:nsid w:val="51EAD36B"/>
    <w:multiLevelType w:val="hybridMultilevel"/>
    <w:lvl w:ilvl="0">
      <w:lvlJc w:val="left"/>
      <w:lvlText w:val="(%1)"/>
      <w:numFmt w:val="lowerLetter"/>
      <w:start w:val="4"/>
    </w:lvl>
  </w:abstractNum>
  <w:abstractNum w:abstractNumId="21">
    <w:nsid w:val="2D517796"/>
    <w:multiLevelType w:val="hybridMultilevel"/>
    <w:lvl w:ilvl="0">
      <w:lvlJc w:val="left"/>
      <w:lvlText w:val="(%1)"/>
      <w:numFmt w:val="lowerLetter"/>
      <w:start w:val="1"/>
    </w:lvl>
  </w:abstractNum>
  <w:abstractNum w:abstractNumId="22">
    <w:nsid w:val="580BD78F"/>
    <w:multiLevelType w:val="hybridMultilevel"/>
    <w:lvl w:ilvl="0">
      <w:lvlJc w:val="left"/>
      <w:lvlText w:val="(%1)"/>
      <w:numFmt w:val="lowerLetter"/>
      <w:start w:val="2"/>
    </w:lvl>
  </w:abstractNum>
  <w:abstractNum w:abstractNumId="23">
    <w:nsid w:val="153EA438"/>
    <w:multiLevelType w:val="hybridMultilevel"/>
    <w:lvl w:ilvl="0">
      <w:lvlJc w:val="left"/>
      <w:lvlText w:val="(%1)"/>
      <w:numFmt w:val="lowerLetter"/>
      <w:start w:val="3"/>
    </w:lvl>
  </w:abstractNum>
  <w:abstractNum w:abstractNumId="24">
    <w:nsid w:val="3855585C"/>
    <w:multiLevelType w:val="hybridMultilevel"/>
    <w:lvl w:ilvl="0">
      <w:lvlJc w:val="left"/>
      <w:lvlText w:val="(%1)"/>
      <w:numFmt w:val="lowerLetter"/>
      <w:start w:val="61"/>
    </w:lvl>
    <w:lvl w:ilvl="1">
      <w:lvlJc w:val="left"/>
      <w:lvlText w:val="(%2)"/>
      <w:numFmt w:val="lowerLetter"/>
      <w:start w:val="10"/>
    </w:lvl>
  </w:abstractNum>
  <w:abstractNum w:abstractNumId="25">
    <w:nsid w:val="70A64E2A"/>
    <w:multiLevelType w:val="hybridMultilevel"/>
    <w:lvl w:ilvl="0">
      <w:lvlJc w:val="left"/>
      <w:lvlText w:val="%1"/>
      <w:numFmt w:val="lowerLetter"/>
      <w:start w:val="1"/>
    </w:lvl>
    <w:lvl w:ilvl="1">
      <w:lvlJc w:val="left"/>
      <w:lvlText w:val="(%2)"/>
      <w:numFmt w:val="lowerLetter"/>
      <w:start w:val="13"/>
    </w:lvl>
  </w:abstractNum>
  <w:abstractNum w:abstractNumId="26">
    <w:nsid w:val="6A2342EC"/>
    <w:multiLevelType w:val="hybridMultilevel"/>
    <w:lvl w:ilvl="0">
      <w:lvlJc w:val="left"/>
      <w:lvlText w:val="(%1)"/>
      <w:numFmt w:val="lowerLetter"/>
      <w:start w:val="35"/>
    </w:lvl>
    <w:lvl w:ilvl="1">
      <w:lvlJc w:val="left"/>
      <w:lvlText w:val="(%2)"/>
      <w:numFmt w:val="lowerLetter"/>
      <w:start w:val="14"/>
    </w:lvl>
  </w:abstractNum>
  <w:abstractNum w:abstractNumId="27">
    <w:nsid w:val="2A487CB0"/>
    <w:multiLevelType w:val="hybridMultilevel"/>
    <w:lvl w:ilvl="0">
      <w:lvlJc w:val="left"/>
      <w:lvlText w:val="(%1)"/>
      <w:numFmt w:val="lowerLetter"/>
      <w:start w:val="1"/>
    </w:lvl>
  </w:abstractNum>
  <w:abstractNum w:abstractNumId="28">
    <w:nsid w:val="1D4ED43B"/>
    <w:multiLevelType w:val="hybridMultilevel"/>
    <w:lvl w:ilvl="0">
      <w:lvlJc w:val="left"/>
      <w:lvlText w:val="(%1)"/>
      <w:numFmt w:val="lowerLetter"/>
      <w:start w:val="2"/>
    </w:lvl>
  </w:abstractNum>
  <w:abstractNum w:abstractNumId="29">
    <w:nsid w:val="725A06FB"/>
    <w:multiLevelType w:val="hybridMultilevel"/>
    <w:lvl w:ilvl="0">
      <w:lvlJc w:val="left"/>
      <w:lvlText w:val="(%1)"/>
      <w:numFmt w:val="lowerLetter"/>
      <w:start w:val="1"/>
    </w:lvl>
  </w:abstractNum>
  <w:abstractNum w:abstractNumId="30">
    <w:nsid w:val="2CD89A32"/>
    <w:multiLevelType w:val="hybridMultilevel"/>
    <w:lvl w:ilvl="0">
      <w:lvlJc w:val="left"/>
      <w:lvlText w:val="(%1)"/>
      <w:numFmt w:val="lowerLetter"/>
      <w:start w:val="4"/>
    </w:lvl>
  </w:abstractNum>
  <w:abstractNum w:abstractNumId="31">
    <w:nsid w:val="57E4CCAF"/>
    <w:multiLevelType w:val="hybridMultilevel"/>
    <w:lvl w:ilvl="0">
      <w:lvlJc w:val="left"/>
      <w:lvlText w:val="(%1)"/>
      <w:numFmt w:val="lowerLetter"/>
      <w:start w:val="13"/>
    </w:lvl>
    <w:lvl w:ilvl="1">
      <w:lvlJc w:val="left"/>
      <w:lvlText w:val="(%2)"/>
      <w:numFmt w:val="lowerRoman"/>
      <w:start w:val="1"/>
    </w:lvl>
  </w:abstractNum>
  <w:abstractNum w:abstractNumId="32">
    <w:nsid w:val="7A6D8D3C"/>
    <w:multiLevelType w:val="hybridMultilevel"/>
    <w:lvl w:ilvl="0">
      <w:lvlJc w:val="left"/>
      <w:lvlText w:val="(%1)"/>
      <w:numFmt w:val="lowerLetter"/>
      <w:start w:val="8"/>
    </w:lvl>
    <w:lvl w:ilvl="1">
      <w:lvlJc w:val="left"/>
      <w:lvlText w:val="(%2)"/>
      <w:numFmt w:val="lowerRoman"/>
      <w:start w:val="6"/>
    </w:lvl>
  </w:abstractNum>
  <w:abstractNum w:abstractNumId="33">
    <w:nsid w:val="4B588F54"/>
    <w:multiLevelType w:val="hybridMultilevel"/>
    <w:lvl w:ilvl="0">
      <w:lvlJc w:val="left"/>
      <w:lvlText w:val="(%1)"/>
      <w:numFmt w:val="lowerLetter"/>
      <w:start w:val="15"/>
    </w:lvl>
  </w:abstractNum>
  <w:abstractNum w:abstractNumId="34">
    <w:nsid w:val="542289EC"/>
    <w:multiLevelType w:val="hybridMultilevel"/>
    <w:lvl w:ilvl="0">
      <w:lvlJc w:val="left"/>
      <w:lvlText w:val="(%1)"/>
      <w:numFmt w:val="lowerLetter"/>
      <w:start w:val="1"/>
    </w:lvl>
    <w:lvl w:ilvl="1">
      <w:lvlJc w:val="left"/>
      <w:lvlText w:val="(%2)"/>
      <w:numFmt w:val="lowerRoman"/>
      <w:start w:val="1"/>
    </w:lvl>
  </w:abstractNum>
  <w:abstractNum w:abstractNumId="35">
    <w:nsid w:val="6DE91B18"/>
    <w:multiLevelType w:val="hybridMultilevel"/>
    <w:lvl w:ilvl="0">
      <w:lvlJc w:val="left"/>
      <w:lvlText w:val="%1"/>
      <w:numFmt w:val="lowerRoman"/>
      <w:start w:val="1"/>
    </w:lvl>
    <w:lvl w:ilvl="1">
      <w:lvlJc w:val="left"/>
      <w:lvlText w:val="(%2)"/>
      <w:numFmt w:val="lowerRoman"/>
      <w:start w:val="4"/>
    </w:lvl>
  </w:abstractNum>
  <w:abstractNum w:abstractNumId="36">
    <w:nsid w:val="38437FDB"/>
    <w:multiLevelType w:val="hybridMultilevel"/>
    <w:lvl w:ilvl="0">
      <w:lvlJc w:val="left"/>
      <w:lvlText w:val="(%1)"/>
      <w:numFmt w:val="lowerRoman"/>
      <w:start w:val="2"/>
    </w:lvl>
    <w:lvl w:ilvl="1">
      <w:lvlJc w:val="left"/>
      <w:lvlText w:val="%2"/>
      <w:numFmt w:val="lowerRoman"/>
      <w:start w:val="1"/>
    </w:lvl>
  </w:abstractNum>
  <w:abstractNum w:abstractNumId="37">
    <w:nsid w:val="7644A45C"/>
    <w:multiLevelType w:val="hybridMultilevel"/>
    <w:lvl w:ilvl="0">
      <w:lvlJc w:val="left"/>
      <w:lvlText w:val="(%1)"/>
      <w:numFmt w:val="lowerLetter"/>
      <w:start w:val="2"/>
    </w:lvl>
  </w:abstractNum>
  <w:abstractNum w:abstractNumId="38">
    <w:nsid w:val="32FFF902"/>
    <w:multiLevelType w:val="hybridMultilevel"/>
    <w:lvl w:ilvl="0">
      <w:lvlJc w:val="left"/>
      <w:lvlText w:val="(%1)"/>
      <w:numFmt w:val="lowerLetter"/>
      <w:start w:val="4"/>
    </w:lvl>
  </w:abstractNum>
  <w:abstractNum w:abstractNumId="39">
    <w:nsid w:val="684A481A"/>
    <w:multiLevelType w:val="hybridMultilevel"/>
    <w:lvl w:ilvl="0">
      <w:lvlJc w:val="left"/>
      <w:lvlText w:val="%1"/>
      <w:numFmt w:val="lowerLetter"/>
      <w:start w:val="1"/>
    </w:lvl>
    <w:lvl w:ilvl="1">
      <w:lvlJc w:val="left"/>
      <w:lvlText w:val="(%2)"/>
      <w:numFmt w:val="lowerLetter"/>
      <w:start w:val="1"/>
    </w:lvl>
  </w:abstractNum>
  <w:abstractNum w:abstractNumId="40">
    <w:nsid w:val="579478FE"/>
    <w:multiLevelType w:val="hybridMultilevel"/>
    <w:lvl w:ilvl="0">
      <w:lvlJc w:val="left"/>
      <w:lvlText w:val="(%1)"/>
      <w:numFmt w:val="lowerLetter"/>
      <w:start w:val="9"/>
    </w:lvl>
    <w:lvl w:ilvl="1">
      <w:lvlJc w:val="left"/>
      <w:lvlText w:val="(%2)"/>
      <w:numFmt w:val="lowerLetter"/>
      <w:start w:val="2"/>
    </w:lvl>
  </w:abstractNum>
  <w:abstractNum w:abstractNumId="41">
    <w:nsid w:val="749ABB43"/>
    <w:multiLevelType w:val="hybridMultilevel"/>
    <w:lvl w:ilvl="0">
      <w:lvlJc w:val="left"/>
      <w:lvlText w:val="(%1)"/>
      <w:numFmt w:val="lowerRoman"/>
      <w:start w:val="1"/>
    </w:lvl>
  </w:abstractNum>
  <w:abstractNum w:abstractNumId="42">
    <w:nsid w:val="3DC240FB"/>
    <w:multiLevelType w:val="hybridMultilevel"/>
    <w:lvl w:ilvl="0">
      <w:lvlJc w:val="left"/>
      <w:lvlText w:val="(%1)"/>
      <w:numFmt w:val="lowerLetter"/>
      <w:start w:val="2"/>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lowerRoman"/>
      <w:start w:val="1"/>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lowerLetter"/>
      <w:start w:val="1"/>
    </w:lvl>
  </w:abstractNum>
  <w:abstractNum w:abstractNumId="48">
    <w:nsid w:val="520EEDD1"/>
    <w:multiLevelType w:val="hybridMultilevel"/>
    <w:lvl w:ilvl="0">
      <w:lvlJc w:val="left"/>
      <w:lvlText w:val="(%1)"/>
      <w:numFmt w:val="lowerLetter"/>
      <w:start w:val="2"/>
    </w:lvl>
    <w:lvl w:ilvl="1">
      <w:lvlJc w:val="left"/>
      <w:lvlText w:val="(%2)"/>
      <w:numFmt w:val="decimal"/>
      <w:start w:val="2"/>
    </w:lvl>
    <w:lvl w:ilvl="2">
      <w:lvlJc w:val="left"/>
      <w:lvlText w:val="(%3)"/>
      <w:numFmt w:val="lowerRoman"/>
      <w:start w:val="1"/>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lowerLetter"/>
      <w:start w:val="2"/>
    </w:lvl>
  </w:abstractNum>
  <w:abstractNum w:abstractNumId="51">
    <w:nsid w:val="23F9C13C"/>
    <w:multiLevelType w:val="hybridMultilevel"/>
    <w:lvl w:ilvl="0">
      <w:lvlJc w:val="left"/>
      <w:lvlText w:val="%1."/>
      <w:numFmt w:val="decimal"/>
      <w:start w:val="3"/>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lowerLetter"/>
      <w:start w:val="8"/>
    </w:lvl>
  </w:abstractNum>
  <w:abstractNum w:abstractNumId="54">
    <w:nsid w:val="39386575"/>
    <w:multiLevelType w:val="hybridMultilevel"/>
    <w:lvl w:ilvl="0">
      <w:lvlJc w:val="left"/>
      <w:lvlText w:val="(%1)"/>
      <w:numFmt w:val="lowerLetter"/>
      <w:start w:val="17"/>
    </w:lvl>
  </w:abstractNum>
  <w:abstractNum w:abstractNumId="55">
    <w:nsid w:val="1CF10FD8"/>
    <w:multiLevelType w:val="hybridMultilevel"/>
    <w:lvl w:ilvl="0">
      <w:lvlJc w:val="left"/>
      <w:lvlText w:val="(%1)"/>
      <w:numFmt w:val="lowerLetter"/>
      <w:start w:val="1"/>
    </w:lvl>
  </w:abstractNum>
  <w:abstractNum w:abstractNumId="56">
    <w:nsid w:val="180115BE"/>
    <w:multiLevelType w:val="hybridMultilevel"/>
    <w:lvl w:ilvl="0">
      <w:lvlJc w:val="left"/>
      <w:lvlText w:val="%1."/>
      <w:numFmt w:val="decimal"/>
      <w:start w:val="4"/>
    </w:lvl>
  </w:abstractNum>
  <w:abstractNum w:abstractNumId="57">
    <w:nsid w:val="235BA86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2021-02-10T16:24:24Z</dcterms:created>
  <dcterms:modified xsi:type="dcterms:W3CDTF">2021-02-10T16:24:24Z</dcterms:modified>
</cp:coreProperties>
</file>