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59178df3a.htm"/>
        <w:bookmarkStart w:id="1" w:name="ksd159178df3a"/>
        <w:bookmarkEnd w:id="0"/>
        <w:bookmarkEnd w:id="1"/>
        <w:r>
          <w:rPr>
            <w:rStyle w:val="InternetLink"/>
          </w:rPr>
          <w:t>Table of Contents</w:t>
        </w:r>
      </w:hyperlink>
    </w:p>
    <w:p>
      <w:pPr>
        <w:pStyle w:val="TextBody"/>
        <w:spacing w:before="0" w:after="0"/>
        <w:jc w:val="center"/>
        <w:rPr>
          <w:rFonts w:ascii="ARIAL" w:hAnsi="ARIAL"/>
          <w:b/>
          <w:sz w:val="20"/>
        </w:rPr>
      </w:pPr>
      <w:r>
        <w:rPr>
          <w:rFonts w:ascii="ARIAL" w:hAnsi="ARIAL"/>
          <w:b/>
          <w:sz w:val="20"/>
        </w:rPr>
        <w:t xml:space="preserve">As filed with the Securities and Exchange Commission on September 27, 2021 </w:t>
      </w:r>
    </w:p>
    <w:p>
      <w:pPr>
        <w:pStyle w:val="TextBody"/>
        <w:spacing w:before="0" w:after="0"/>
        <w:jc w:val="right"/>
        <w:rPr>
          <w:rFonts w:ascii="ARIAL" w:hAnsi="ARIAL"/>
          <w:b/>
          <w:sz w:val="20"/>
        </w:rPr>
      </w:pPr>
      <w:r>
        <w:rPr>
          <w:rFonts w:ascii="ARIAL" w:hAnsi="ARIAL"/>
          <w:b/>
          <w:sz w:val="20"/>
        </w:rPr>
        <w:t xml:space="preserve">Registration No. 333-258495 </w:t>
      </w:r>
    </w:p>
    <w:p>
      <w:pPr>
        <w:pStyle w:val="TextBody"/>
        <w:spacing w:before="0" w:after="0"/>
        <w:jc w:val="left"/>
        <w:rPr/>
      </w:pPr>
      <w:r>
        <w:rPr/>
        <w:t> </w:t>
      </w:r>
    </w:p>
    <w:p>
      <w:pPr>
        <w:pStyle w:val="TextBody"/>
        <w:pBdr>
          <w:bottom w:val="single" w:sz="8"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ARIAL" w:hAnsi="ARIAL"/>
          <w:b/>
          <w:sz w:val="32"/>
        </w:rPr>
      </w:pPr>
      <w:r>
        <w:rPr>
          <w:rFonts w:ascii="ARIAL" w:hAnsi="ARIAL"/>
          <w:b/>
          <w:sz w:val="32"/>
        </w:rPr>
        <w:t xml:space="preserve">SECURITIES AND EXCHANGE COMMISSION </w:t>
      </w:r>
    </w:p>
    <w:p>
      <w:pPr>
        <w:pStyle w:val="TextBody"/>
        <w:spacing w:before="0" w:after="0"/>
        <w:jc w:val="center"/>
        <w:rPr>
          <w:rFonts w:ascii="ARIAL" w:hAnsi="ARIAL"/>
          <w:b/>
          <w:sz w:val="24"/>
        </w:rPr>
      </w:pPr>
      <w:r>
        <w:rPr>
          <w:rFonts w:ascii="ARIAL" w:hAnsi="ARIAL"/>
          <w:b/>
          <w:sz w:val="24"/>
        </w:rPr>
        <w:t xml:space="preserve">Washington, D.C. 20549 </w:t>
      </w:r>
    </w:p>
    <w:p>
      <w:pPr>
        <w:pStyle w:val="TextBody"/>
        <w:spacing w:before="0" w:after="0"/>
        <w:jc w:val="left"/>
        <w:rPr/>
      </w:pPr>
      <w:r>
        <w:rPr/>
        <w:t> </w:t>
      </w:r>
    </w:p>
    <w:p>
      <w:pPr>
        <w:pStyle w:val="TextBody"/>
        <w:spacing w:before="0" w:after="0"/>
        <w:jc w:val="left"/>
        <w:rPr/>
      </w:pPr>
      <w:r>
        <w:rPr/>
        <w:t> </w:t>
      </w:r>
    </w:p>
    <w:p>
      <w:pPr>
        <w:pStyle w:val="TextBody"/>
        <w:pBdr>
          <w:bottom w:val="single" w:sz="2" w:space="1" w:color="000000"/>
        </w:pBdr>
        <w:spacing w:lineRule="atLeast" w:line="141" w:before="0" w:after="40"/>
        <w:jc w:val="center"/>
        <w:rPr/>
      </w:pPr>
      <w:r>
        <w:rPr/>
        <w:t> </w:t>
      </w:r>
    </w:p>
    <w:p>
      <w:pPr>
        <w:pStyle w:val="TextBody"/>
        <w:spacing w:before="40" w:after="0"/>
        <w:jc w:val="center"/>
        <w:rPr>
          <w:rFonts w:ascii="ARIAL" w:hAnsi="ARIAL"/>
          <w:b/>
          <w:sz w:val="32"/>
        </w:rPr>
      </w:pPr>
      <w:r>
        <w:rPr>
          <w:rFonts w:ascii="ARIAL" w:hAnsi="ARIAL"/>
          <w:b/>
          <w:sz w:val="32"/>
        </w:rPr>
        <w:t xml:space="preserve">AMENDMENT NO. 2 TO </w:t>
      </w:r>
    </w:p>
    <w:p>
      <w:pPr>
        <w:pStyle w:val="TextBody"/>
        <w:spacing w:before="0" w:after="0"/>
        <w:jc w:val="center"/>
        <w:rPr>
          <w:rFonts w:ascii="ARIAL" w:hAnsi="ARIAL"/>
          <w:b/>
          <w:sz w:val="32"/>
        </w:rPr>
      </w:pPr>
      <w:r>
        <w:rPr>
          <w:rFonts w:ascii="ARIAL" w:hAnsi="ARIAL"/>
          <w:b/>
          <w:sz w:val="32"/>
        </w:rPr>
        <w:t xml:space="preserve">FORM F-3 </w:t>
      </w:r>
    </w:p>
    <w:p>
      <w:pPr>
        <w:pStyle w:val="TextBody"/>
        <w:spacing w:before="0" w:after="0"/>
        <w:jc w:val="center"/>
        <w:rPr>
          <w:rFonts w:ascii="ARIAL" w:hAnsi="ARIAL"/>
          <w:b/>
          <w:sz w:val="32"/>
        </w:rPr>
      </w:pPr>
      <w:r>
        <w:rPr>
          <w:rFonts w:ascii="ARIAL" w:hAnsi="ARIAL"/>
          <w:b/>
          <w:sz w:val="32"/>
        </w:rPr>
        <w:t xml:space="preserve">REGISTRATION STATEMENT </w:t>
      </w:r>
    </w:p>
    <w:p>
      <w:pPr>
        <w:pStyle w:val="TextBody"/>
        <w:spacing w:before="0" w:after="0"/>
        <w:jc w:val="center"/>
        <w:rPr>
          <w:rFonts w:ascii="ARIAL" w:hAnsi="ARIAL"/>
          <w:i/>
          <w:sz w:val="24"/>
        </w:rPr>
      </w:pPr>
      <w:r>
        <w:rPr>
          <w:rFonts w:ascii="ARIAL" w:hAnsi="ARIAL"/>
          <w:i/>
          <w:sz w:val="24"/>
        </w:rPr>
        <w:t xml:space="preserve">UNDER </w:t>
      </w:r>
    </w:p>
    <w:p>
      <w:pPr>
        <w:pStyle w:val="TextBody"/>
        <w:spacing w:before="0" w:after="0"/>
        <w:jc w:val="center"/>
        <w:rPr>
          <w:rFonts w:ascii="ARIAL" w:hAnsi="ARIAL"/>
          <w:i/>
          <w:sz w:val="24"/>
        </w:rPr>
      </w:pPr>
      <w:r>
        <w:rPr>
          <w:rFonts w:ascii="ARIAL" w:hAnsi="ARIAL"/>
          <w:i/>
          <w:sz w:val="24"/>
        </w:rPr>
        <w:t xml:space="preserve">THE SECURITIES ACT OF 1933 </w:t>
      </w:r>
    </w:p>
    <w:p>
      <w:pPr>
        <w:pStyle w:val="TextBody"/>
        <w:spacing w:before="0" w:after="0"/>
        <w:jc w:val="left"/>
        <w:rPr/>
      </w:pPr>
      <w:r>
        <w:rPr/>
        <w:t> </w:t>
      </w:r>
    </w:p>
    <w:p>
      <w:pPr>
        <w:pStyle w:val="TextBody"/>
        <w:pBdr>
          <w:bottom w:val="single" w:sz="2" w:space="1" w:color="000000"/>
        </w:pBdr>
        <w:spacing w:lineRule="atLeast" w:line="141" w:before="0" w:after="40"/>
        <w:jc w:val="center"/>
        <w:rPr/>
      </w:pPr>
      <w:r>
        <w:rPr/>
        <w:t> </w:t>
      </w:r>
    </w:p>
    <w:p>
      <w:pPr>
        <w:pStyle w:val="TextBody"/>
        <w:spacing w:before="40" w:after="0"/>
        <w:jc w:val="center"/>
        <w:rPr>
          <w:rFonts w:ascii="ARIAL" w:hAnsi="ARIAL"/>
          <w:b/>
          <w:sz w:val="40"/>
        </w:rPr>
      </w:pPr>
      <w:r>
        <w:rPr>
          <w:rFonts w:ascii="ARIAL" w:hAnsi="ARIAL"/>
          <w:b/>
          <w:sz w:val="40"/>
        </w:rPr>
        <w:t xml:space="preserve">MEREO BIOPHARMA GROUP PLC </w:t>
      </w:r>
    </w:p>
    <w:p>
      <w:pPr>
        <w:pStyle w:val="TextBody"/>
        <w:spacing w:before="0" w:after="0"/>
        <w:jc w:val="center"/>
        <w:rPr>
          <w:rFonts w:ascii="ARIAL" w:hAnsi="ARIAL"/>
          <w:b/>
          <w:sz w:val="20"/>
        </w:rPr>
      </w:pPr>
      <w:r>
        <w:rPr>
          <w:rFonts w:ascii="ARIAL" w:hAnsi="ARIAL"/>
          <w:b/>
          <w:sz w:val="20"/>
        </w:rPr>
        <w:t xml:space="preserve">(Exact Name of Registrant as Specified in Its Charter) </w:t>
      </w:r>
    </w:p>
    <w:p>
      <w:pPr>
        <w:pStyle w:val="TextBody"/>
        <w:spacing w:before="0" w:after="0"/>
        <w:jc w:val="center"/>
        <w:rPr>
          <w:rFonts w:ascii="ARIAL" w:hAnsi="ARIAL"/>
          <w:b/>
          <w:sz w:val="20"/>
        </w:rPr>
      </w:pPr>
      <w:r>
        <w:rPr>
          <w:rFonts w:ascii="ARIAL" w:hAnsi="ARIAL"/>
          <w:b/>
          <w:sz w:val="20"/>
        </w:rPr>
        <w:t xml:space="preserve">Not Applicable </w:t>
      </w:r>
    </w:p>
    <w:p>
      <w:pPr>
        <w:pStyle w:val="TextBody"/>
        <w:spacing w:before="0" w:after="0"/>
        <w:jc w:val="center"/>
        <w:rPr>
          <w:rFonts w:ascii="ARIAL" w:hAnsi="ARIAL"/>
          <w:sz w:val="16"/>
        </w:rPr>
      </w:pPr>
      <w:r>
        <w:rPr>
          <w:rFonts w:ascii="ARIAL" w:hAnsi="ARIAL"/>
          <w:sz w:val="16"/>
        </w:rPr>
        <w:t xml:space="preserve">(Translation of Registrants Name into English)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England and Wales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Not Applicable</w:t>
            </w:r>
          </w:p>
        </w:tc>
      </w:tr>
      <w:tr>
        <w:trPr/>
        <w:tc>
          <w:tcPr>
            <w:tcW w:w="5154" w:type="dxa"/>
            <w:tcBorders/>
            <w:shd w:fill="auto" w:val="clear"/>
          </w:tcPr>
          <w:p>
            <w:pPr>
              <w:pStyle w:val="TableContents"/>
              <w:spacing w:before="0" w:after="283"/>
              <w:jc w:val="center"/>
              <w:rPr/>
            </w:pPr>
            <w:r>
              <w:rPr/>
              <w:t>(State or Other Jurisdiction of</w:t>
              <w:br/>
              <w:t>Incorporation or Organization)</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(I.R.S. Employer</w:t>
              <w:br/>
              <w:t>Identification Number)</w:t>
            </w:r>
          </w:p>
        </w:tc>
      </w:tr>
    </w:tbl>
    <w:p>
      <w:pPr>
        <w:pStyle w:val="TextBody"/>
        <w:spacing w:before="40" w:after="0"/>
        <w:jc w:val="center"/>
        <w:rPr>
          <w:rFonts w:ascii="ARIAL" w:hAnsi="ARIAL"/>
          <w:b/>
          <w:sz w:val="20"/>
        </w:rPr>
      </w:pPr>
      <w:r>
        <w:rPr>
          <w:rFonts w:ascii="ARIAL" w:hAnsi="ARIAL"/>
          <w:b/>
          <w:sz w:val="20"/>
        </w:rPr>
        <w:t xml:space="preserve">Fourth Floor </w:t>
      </w:r>
    </w:p>
    <w:p>
      <w:pPr>
        <w:pStyle w:val="TextBody"/>
        <w:spacing w:before="0" w:after="0"/>
        <w:jc w:val="center"/>
        <w:rPr>
          <w:rFonts w:ascii="ARIAL" w:hAnsi="ARIAL"/>
          <w:b/>
          <w:sz w:val="20"/>
        </w:rPr>
      </w:pPr>
      <w:r>
        <w:rPr>
          <w:rFonts w:ascii="ARIAL" w:hAnsi="ARIAL"/>
          <w:b/>
          <w:sz w:val="20"/>
        </w:rPr>
        <w:t xml:space="preserve">One Cavendish Place </w:t>
      </w:r>
    </w:p>
    <w:p>
      <w:pPr>
        <w:pStyle w:val="TextBody"/>
        <w:spacing w:before="0" w:after="0"/>
        <w:jc w:val="center"/>
        <w:rPr>
          <w:rFonts w:ascii="ARIAL" w:hAnsi="ARIAL"/>
          <w:b/>
          <w:sz w:val="20"/>
        </w:rPr>
      </w:pPr>
      <w:r>
        <w:rPr>
          <w:rFonts w:ascii="ARIAL" w:hAnsi="ARIAL"/>
          <w:b/>
          <w:sz w:val="20"/>
        </w:rPr>
        <w:t xml:space="preserve">London W1G 0QF UK </w:t>
      </w:r>
    </w:p>
    <w:p>
      <w:pPr>
        <w:pStyle w:val="TextBody"/>
        <w:spacing w:before="0" w:after="0"/>
        <w:jc w:val="center"/>
        <w:rPr>
          <w:rFonts w:ascii="ARIAL" w:hAnsi="ARIAL"/>
          <w:b/>
          <w:sz w:val="20"/>
        </w:rPr>
      </w:pPr>
      <w:r>
        <w:rPr>
          <w:rFonts w:ascii="ARIAL" w:hAnsi="ARIAL"/>
          <w:b/>
          <w:sz w:val="20"/>
        </w:rPr>
        <w:t xml:space="preserve">Telephone: +44 33 3023 7300 </w:t>
      </w:r>
    </w:p>
    <w:p>
      <w:pPr>
        <w:pStyle w:val="TextBody"/>
        <w:spacing w:before="0" w:after="0"/>
        <w:jc w:val="center"/>
        <w:rPr>
          <w:rFonts w:ascii="ARIAL" w:hAnsi="ARIAL"/>
          <w:sz w:val="16"/>
        </w:rPr>
      </w:pPr>
      <w:r>
        <w:rPr>
          <w:rFonts w:ascii="ARIAL" w:hAnsi="ARIAL"/>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2" w:space="1" w:color="000000"/>
        </w:pBdr>
        <w:spacing w:lineRule="atLeast" w:line="141" w:before="0" w:after="40"/>
        <w:jc w:val="center"/>
        <w:rPr/>
      </w:pPr>
      <w:r>
        <w:rPr/>
        <w:t> </w:t>
      </w:r>
    </w:p>
    <w:p>
      <w:pPr>
        <w:pStyle w:val="TextBody"/>
        <w:spacing w:before="40" w:after="0"/>
        <w:jc w:val="center"/>
        <w:rPr>
          <w:rFonts w:ascii="ARIAL" w:hAnsi="ARIAL"/>
          <w:b/>
          <w:sz w:val="20"/>
        </w:rPr>
      </w:pPr>
      <w:r>
        <w:rPr>
          <w:rFonts w:ascii="ARIAL" w:hAnsi="ARIAL"/>
          <w:b/>
          <w:sz w:val="20"/>
        </w:rPr>
        <w:t xml:space="preserve">Mereo US Holdings Inc. </w:t>
      </w:r>
    </w:p>
    <w:p>
      <w:pPr>
        <w:pStyle w:val="TextBody"/>
        <w:spacing w:before="0" w:after="0"/>
        <w:jc w:val="center"/>
        <w:rPr>
          <w:rFonts w:ascii="ARIAL" w:hAnsi="ARIAL"/>
          <w:b/>
          <w:sz w:val="20"/>
        </w:rPr>
      </w:pPr>
      <w:r>
        <w:rPr>
          <w:rFonts w:ascii="ARIAL" w:hAnsi="ARIAL"/>
          <w:b/>
          <w:sz w:val="20"/>
        </w:rPr>
        <w:t xml:space="preserve">251 Little Falls Drive </w:t>
      </w:r>
    </w:p>
    <w:p>
      <w:pPr>
        <w:pStyle w:val="TextBody"/>
        <w:spacing w:before="0" w:after="0"/>
        <w:jc w:val="center"/>
        <w:rPr>
          <w:rFonts w:ascii="ARIAL" w:hAnsi="ARIAL"/>
          <w:b/>
          <w:sz w:val="20"/>
        </w:rPr>
      </w:pPr>
      <w:r>
        <w:rPr>
          <w:rFonts w:ascii="ARIAL" w:hAnsi="ARIAL"/>
          <w:b/>
          <w:sz w:val="20"/>
        </w:rPr>
        <w:t xml:space="preserve">Wilmington, DE 19808 </w:t>
      </w:r>
    </w:p>
    <w:p>
      <w:pPr>
        <w:pStyle w:val="TextBody"/>
        <w:spacing w:before="0" w:after="0"/>
        <w:jc w:val="center"/>
        <w:rPr>
          <w:rFonts w:ascii="ARIAL" w:hAnsi="ARIAL"/>
          <w:b/>
          <w:sz w:val="20"/>
        </w:rPr>
      </w:pPr>
      <w:r>
        <w:rPr>
          <w:rFonts w:ascii="ARIAL" w:hAnsi="ARIAL"/>
          <w:b/>
          <w:sz w:val="20"/>
        </w:rPr>
        <w:t xml:space="preserve">Telephone: +1 302 636 5401 </w:t>
      </w:r>
    </w:p>
    <w:p>
      <w:pPr>
        <w:pStyle w:val="TextBody"/>
        <w:spacing w:before="0" w:after="0"/>
        <w:jc w:val="center"/>
        <w:rPr>
          <w:rFonts w:ascii="ARIAL" w:hAnsi="ARIAL"/>
          <w:sz w:val="16"/>
        </w:rPr>
      </w:pPr>
      <w:r>
        <w:rPr>
          <w:rFonts w:ascii="ARIAL" w:hAnsi="ARIAL"/>
          <w:b/>
          <w:sz w:val="16"/>
        </w:rPr>
        <w:t>(</w:t>
      </w:r>
      <w:r>
        <w:rPr>
          <w:rFonts w:ascii="ARIAL" w:hAnsi="ARIAL"/>
          <w:sz w:val="16"/>
        </w:rPr>
        <w:t xml:space="preserve">Name, Address, Including Zip Code, and Telephone Number, Including Area Code, of Agent for Service) </w:t>
      </w:r>
    </w:p>
    <w:p>
      <w:pPr>
        <w:pStyle w:val="TextBody"/>
        <w:spacing w:before="40" w:after="0"/>
        <w:jc w:val="center"/>
        <w:rPr>
          <w:rFonts w:ascii="ARIAL" w:hAnsi="ARIAL"/>
          <w:b/>
          <w:i/>
          <w:sz w:val="20"/>
        </w:rPr>
      </w:pPr>
      <w:r>
        <w:rPr>
          <w:rFonts w:ascii="ARIAL" w:hAnsi="ARIAL"/>
          <w:b/>
          <w:i/>
          <w:sz w:val="20"/>
        </w:rPr>
        <w:t xml:space="preserve">Copies to: </w:t>
      </w:r>
    </w:p>
    <w:p>
      <w:pPr>
        <w:pStyle w:val="TextBody"/>
        <w:spacing w:before="40" w:after="0"/>
        <w:jc w:val="center"/>
        <w:rPr>
          <w:rFonts w:ascii="ARIAL" w:hAnsi="ARIAL"/>
          <w:b/>
          <w:sz w:val="20"/>
        </w:rPr>
      </w:pPr>
      <w:r>
        <w:rPr>
          <w:rFonts w:ascii="ARIAL" w:hAnsi="ARIAL"/>
          <w:b/>
          <w:sz w:val="20"/>
        </w:rPr>
        <w:t xml:space="preserve">David S. Bakst </w:t>
      </w:r>
    </w:p>
    <w:p>
      <w:pPr>
        <w:pStyle w:val="TextBody"/>
        <w:spacing w:before="0" w:after="0"/>
        <w:jc w:val="center"/>
        <w:rPr>
          <w:rFonts w:ascii="ARIAL" w:hAnsi="ARIAL"/>
          <w:b/>
          <w:sz w:val="20"/>
        </w:rPr>
      </w:pPr>
      <w:r>
        <w:rPr>
          <w:rFonts w:ascii="ARIAL" w:hAnsi="ARIAL"/>
          <w:b/>
          <w:sz w:val="20"/>
        </w:rPr>
        <w:t xml:space="preserve">Mayer Brown LLP </w:t>
      </w:r>
    </w:p>
    <w:p>
      <w:pPr>
        <w:pStyle w:val="TextBody"/>
        <w:spacing w:before="0" w:after="0"/>
        <w:jc w:val="center"/>
        <w:rPr>
          <w:rFonts w:ascii="ARIAL" w:hAnsi="ARIAL"/>
          <w:b/>
          <w:sz w:val="20"/>
        </w:rPr>
      </w:pPr>
      <w:r>
        <w:rPr>
          <w:rFonts w:ascii="ARIAL" w:hAnsi="ARIAL"/>
          <w:b/>
          <w:sz w:val="20"/>
        </w:rPr>
        <w:t xml:space="preserve">1221 Avenue of the Americas </w:t>
      </w:r>
    </w:p>
    <w:p>
      <w:pPr>
        <w:pStyle w:val="TextBody"/>
        <w:spacing w:before="0" w:after="0"/>
        <w:jc w:val="center"/>
        <w:rPr>
          <w:rFonts w:ascii="ARIAL" w:hAnsi="ARIAL"/>
          <w:b/>
          <w:sz w:val="20"/>
        </w:rPr>
      </w:pPr>
      <w:r>
        <w:rPr>
          <w:rFonts w:ascii="ARIAL" w:hAnsi="ARIAL"/>
          <w:b/>
          <w:sz w:val="20"/>
        </w:rPr>
        <w:t xml:space="preserve">New York, New York 10020 </w:t>
      </w:r>
    </w:p>
    <w:p>
      <w:pPr>
        <w:pStyle w:val="TextBody"/>
        <w:spacing w:before="0" w:after="0"/>
        <w:jc w:val="center"/>
        <w:rPr>
          <w:rFonts w:ascii="ARIAL" w:hAnsi="ARIAL"/>
          <w:b/>
          <w:sz w:val="20"/>
        </w:rPr>
      </w:pPr>
      <w:r>
        <w:rPr>
          <w:rFonts w:ascii="ARIAL" w:hAnsi="ARIAL"/>
          <w:b/>
          <w:sz w:val="20"/>
        </w:rPr>
        <w:t xml:space="preserve">Telephone: +1 212 506 2500 </w:t>
      </w:r>
    </w:p>
    <w:p>
      <w:pPr>
        <w:pStyle w:val="TextBody"/>
        <w:spacing w:before="40" w:after="0"/>
        <w:jc w:val="center"/>
        <w:rPr>
          <w:rFonts w:ascii="ARIAL" w:hAnsi="ARIAL"/>
          <w:b/>
          <w:sz w:val="20"/>
        </w:rPr>
      </w:pPr>
      <w:r>
        <w:rPr>
          <w:rFonts w:ascii="ARIAL" w:hAnsi="ARIAL"/>
          <w:b/>
          <w:sz w:val="20"/>
        </w:rPr>
        <w:t xml:space="preserve">Approximate date of commencement of proposed sale to the public: </w:t>
      </w:r>
    </w:p>
    <w:p>
      <w:pPr>
        <w:pStyle w:val="TextBody"/>
        <w:spacing w:before="0" w:after="0"/>
        <w:jc w:val="center"/>
        <w:rPr>
          <w:rFonts w:ascii="ARIAL" w:hAnsi="ARIAL"/>
          <w:b/>
          <w:sz w:val="20"/>
        </w:rPr>
      </w:pPr>
      <w:r>
        <w:rPr>
          <w:rFonts w:ascii="ARIAL" w:hAnsi="ARIAL"/>
          <w:b/>
          <w:sz w:val="20"/>
        </w:rPr>
        <w:t xml:space="preserve">From time to time after the effective date of this Registration Statement. </w:t>
      </w:r>
    </w:p>
    <w:p>
      <w:pPr>
        <w:pStyle w:val="TextBody"/>
        <w:spacing w:before="40" w:after="0"/>
        <w:jc w:val="left"/>
        <w:rPr>
          <w:rFonts w:ascii="ARIAL" w:hAnsi="ARIAL"/>
          <w:sz w:val="20"/>
        </w:rPr>
      </w:pPr>
      <w:r>
        <w:rPr>
          <w:rFonts w:ascii="ARIAL" w:hAnsi="ARIAL"/>
          <w:sz w:val="20"/>
        </w:rPr>
        <w:t xml:space="preserve">If only securities being registered on this Form are being offered pursuant to dividend or interest reinvestment plans, please check the following box.    ☐ </w:t>
      </w:r>
    </w:p>
    <w:p>
      <w:pPr>
        <w:pStyle w:val="TextBody"/>
        <w:spacing w:before="40" w:after="0"/>
        <w:jc w:val="left"/>
        <w:rPr>
          <w:rFonts w:ascii="ARIAL" w:hAnsi="ARIAL"/>
          <w:sz w:val="20"/>
        </w:rPr>
      </w:pPr>
      <w:r>
        <w:rPr>
          <w:rFonts w:ascii="ARIAL" w:hAnsi="ARIAL"/>
          <w:sz w:val="20"/>
        </w:rPr>
        <w:t xml:space="preserve">If any of the securities being registered on this Form are to be offered on a delayed or continuous basis pursuant to Rule 415 under the Securities Act of 1933, check the following box.    ☒ </w:t>
      </w:r>
    </w:p>
    <w:p>
      <w:pPr>
        <w:pStyle w:val="TextBody"/>
        <w:spacing w:before="40" w:after="0"/>
        <w:jc w:val="left"/>
        <w:rPr>
          <w:rFonts w:ascii="ARIAL" w:hAnsi="ARIAL"/>
          <w:sz w:val="20"/>
        </w:rPr>
      </w:pPr>
      <w:r>
        <w:rPr>
          <w:rFonts w:ascii="ARIAL" w:hAnsi="ARIAL"/>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spacing w:before="40" w:after="0"/>
        <w:jc w:val="left"/>
        <w:rPr>
          <w:rFonts w:ascii="ARIAL" w:hAnsi="ARIAL"/>
          <w:sz w:val="20"/>
        </w:rPr>
      </w:pPr>
      <w:r>
        <w:rPr>
          <w:rFonts w:ascii="ARIAL" w:hAnsi="ARIAL"/>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40" w:after="0"/>
        <w:jc w:val="left"/>
        <w:rPr>
          <w:rFonts w:ascii="ARIAL" w:hAnsi="ARIAL"/>
          <w:sz w:val="20"/>
        </w:rPr>
      </w:pPr>
      <w:r>
        <w:rPr>
          <w:rFonts w:ascii="ARIAL" w:hAnsi="ARIAL"/>
          <w:sz w:val="20"/>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spacing w:before="40" w:after="0"/>
        <w:jc w:val="left"/>
        <w:rPr>
          <w:rFonts w:ascii="ARIAL" w:hAnsi="ARIAL"/>
          <w:sz w:val="20"/>
        </w:rPr>
      </w:pPr>
      <w:r>
        <w:rPr>
          <w:rFonts w:ascii="ARIAL" w:hAnsi="ARIAL"/>
          <w:sz w:val="20"/>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spacing w:before="40" w:after="0"/>
        <w:jc w:val="left"/>
        <w:rPr>
          <w:rFonts w:ascii="ARIAL" w:hAnsi="ARIAL"/>
          <w:sz w:val="20"/>
        </w:rPr>
      </w:pPr>
      <w:r>
        <w:rPr>
          <w:rFonts w:ascii="ARIAL" w:hAnsi="ARIAL"/>
          <w:sz w:val="20"/>
        </w:rPr>
        <w:t xml:space="preserve">Indicate by check mark whether the registrant is an emerging growth company as defined in Rule 405 of the Securities Act of 1933. Emerging growth company    ☒ </w:t>
      </w:r>
    </w:p>
    <w:p>
      <w:pPr>
        <w:pStyle w:val="TextBody"/>
        <w:spacing w:before="40" w:after="0"/>
        <w:jc w:val="left"/>
        <w:rPr>
          <w:rFonts w:ascii="ARIAL" w:hAnsi="ARIAL"/>
          <w:sz w:val="20"/>
        </w:rPr>
      </w:pPr>
      <w:r>
        <w:rPr>
          <w:rFonts w:ascii="ARIAL" w:hAnsi="ARIAL"/>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spacing w:before="40" w:after="0"/>
        <w:jc w:val="left"/>
        <w:rPr>
          <w:rFonts w:ascii="ARIAL" w:hAnsi="ARIAL"/>
          <w:sz w:val="20"/>
        </w:rPr>
      </w:pPr>
      <w:r>
        <w:rPr>
          <w:rFonts w:ascii="ARIAL" w:hAnsi="ARIAL"/>
          <w:sz w:val="20"/>
        </w:rPr>
        <w:t xml:space="preserve">The term new or revised financial accounting standard refers to any update issued by the Financial Accounting Standards Board to its Accounting Standards Codification after April 5,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r>
        <w:rPr>
          <w:rFonts w:ascii="ARIAL" w:hAnsi="ARIAL"/>
          <w:b/>
          <w:sz w:val="20"/>
        </w:rPr>
        <w:t xml:space="preserve">CALCULATION OF REGISTRATION FEE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239"/>
        <w:gridCol w:w="95"/>
        <w:gridCol w:w="1633"/>
        <w:gridCol w:w="95"/>
        <w:gridCol w:w="1468"/>
        <w:gridCol w:w="95"/>
        <w:gridCol w:w="1673"/>
        <w:gridCol w:w="95"/>
        <w:gridCol w:w="1812"/>
      </w:tblGrid>
      <w:tr>
        <w:trPr/>
        <w:tc>
          <w:tcPr>
            <w:tcW w:w="323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812"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vAlign w:val="bottom"/>
          </w:tcPr>
          <w:p>
            <w:pPr>
              <w:pStyle w:val="TableContents"/>
              <w:pBdr>
                <w:top w:val="double" w:sz="6" w:space="1" w:color="000000"/>
              </w:pBdr>
              <w:spacing w:before="0" w:after="0"/>
              <w:rPr/>
            </w:pPr>
            <w:r>
              <w:rPr/>
              <w:t> </w:t>
            </w:r>
          </w:p>
        </w:tc>
      </w:tr>
      <w:tr>
        <w:trPr/>
        <w:tc>
          <w:tcPr>
            <w:tcW w:w="3239" w:type="dxa"/>
            <w:tcBorders/>
            <w:shd w:fill="auto" w:val="clear"/>
            <w:vAlign w:val="bottom"/>
          </w:tcPr>
          <w:p>
            <w:pPr>
              <w:pStyle w:val="TableContents"/>
              <w:spacing w:before="0" w:after="283"/>
              <w:jc w:val="center"/>
              <w:rPr>
                <w:b/>
              </w:rPr>
            </w:pPr>
            <w:r>
              <w:rPr>
                <w:b/>
              </w:rPr>
              <w:t>Title of Each Class of Securities</w:t>
              <w:br/>
              <w:t>To Be Registered</w:t>
            </w:r>
          </w:p>
        </w:tc>
        <w:tc>
          <w:tcPr>
            <w:tcW w:w="95" w:type="dxa"/>
            <w:tcBorders>
              <w:left w:val="single" w:sz="2" w:space="0" w:color="000000"/>
            </w:tcBorders>
            <w:shd w:fill="auto" w:val="clear"/>
            <w:tcMar>
              <w:left w:w="28" w:type="dxa"/>
            </w:tcMar>
            <w:vAlign w:val="bottom"/>
          </w:tcPr>
          <w:p>
            <w:pPr>
              <w:pStyle w:val="TableContents"/>
              <w:spacing w:before="0" w:after="283"/>
              <w:rPr/>
            </w:pPr>
            <w:r>
              <w:rPr/>
              <w:t> </w:t>
            </w:r>
          </w:p>
        </w:tc>
        <w:tc>
          <w:tcPr>
            <w:tcW w:w="1633" w:type="dxa"/>
            <w:tcBorders/>
            <w:shd w:fill="auto" w:val="clear"/>
            <w:vAlign w:val="bottom"/>
          </w:tcPr>
          <w:p>
            <w:pPr>
              <w:pStyle w:val="TableContents"/>
              <w:spacing w:before="0" w:after="283"/>
              <w:jc w:val="center"/>
              <w:rPr>
                <w:b/>
              </w:rPr>
            </w:pPr>
            <w:r>
              <w:rPr>
                <w:b/>
              </w:rPr>
              <w:t>Amount</w:t>
              <w:br/>
              <w:t>To Be</w:t>
              <w:br/>
              <w:t>Registered</w:t>
            </w:r>
          </w:p>
        </w:tc>
        <w:tc>
          <w:tcPr>
            <w:tcW w:w="95" w:type="dxa"/>
            <w:tcBorders>
              <w:left w:val="single" w:sz="2" w:space="0" w:color="000000"/>
            </w:tcBorders>
            <w:shd w:fill="auto" w:val="clear"/>
            <w:tcMar>
              <w:left w:w="28" w:type="dxa"/>
            </w:tcMar>
            <w:vAlign w:val="bottom"/>
          </w:tcPr>
          <w:p>
            <w:pPr>
              <w:pStyle w:val="TableContents"/>
              <w:spacing w:before="0" w:after="283"/>
              <w:rPr/>
            </w:pPr>
            <w:r>
              <w:rPr/>
              <w:t> </w:t>
            </w:r>
          </w:p>
        </w:tc>
        <w:tc>
          <w:tcPr>
            <w:tcW w:w="1468" w:type="dxa"/>
            <w:tcBorders/>
            <w:shd w:fill="auto" w:val="clear"/>
            <w:vAlign w:val="bottom"/>
          </w:tcPr>
          <w:p>
            <w:pPr>
              <w:pStyle w:val="TableContents"/>
              <w:spacing w:before="0" w:after="283"/>
              <w:jc w:val="center"/>
              <w:rPr>
                <w:b/>
              </w:rPr>
            </w:pPr>
            <w:r>
              <w:rPr>
                <w:b/>
              </w:rPr>
              <w:t>Proposed</w:t>
              <w:br/>
              <w:t>Maximum</w:t>
              <w:br/>
              <w:t>Offering</w:t>
              <w:br/>
              <w:t>Price</w:t>
              <w:br/>
              <w:t>Per Share</w:t>
            </w:r>
          </w:p>
        </w:tc>
        <w:tc>
          <w:tcPr>
            <w:tcW w:w="95" w:type="dxa"/>
            <w:tcBorders>
              <w:left w:val="single" w:sz="2" w:space="0" w:color="000000"/>
            </w:tcBorders>
            <w:shd w:fill="auto" w:val="clear"/>
            <w:tcMar>
              <w:left w:w="28" w:type="dxa"/>
            </w:tcMar>
            <w:vAlign w:val="bottom"/>
          </w:tcPr>
          <w:p>
            <w:pPr>
              <w:pStyle w:val="TableContents"/>
              <w:spacing w:before="0" w:after="283"/>
              <w:rPr/>
            </w:pPr>
            <w:r>
              <w:rPr/>
              <w:t> </w:t>
            </w:r>
          </w:p>
        </w:tc>
        <w:tc>
          <w:tcPr>
            <w:tcW w:w="1673" w:type="dxa"/>
            <w:tcBorders/>
            <w:shd w:fill="auto" w:val="clear"/>
            <w:vAlign w:val="bottom"/>
          </w:tcPr>
          <w:p>
            <w:pPr>
              <w:pStyle w:val="TableContents"/>
              <w:spacing w:before="0" w:after="283"/>
              <w:jc w:val="center"/>
              <w:rPr>
                <w:b/>
              </w:rPr>
            </w:pPr>
            <w:r>
              <w:rPr>
                <w:b/>
              </w:rPr>
              <w:t>Proposed</w:t>
              <w:br/>
              <w:t>Maximum</w:t>
              <w:br/>
              <w:t>Aggregate</w:t>
              <w:br/>
              <w:t>Offering Price</w:t>
            </w:r>
          </w:p>
        </w:tc>
        <w:tc>
          <w:tcPr>
            <w:tcW w:w="95" w:type="dxa"/>
            <w:tcBorders>
              <w:left w:val="single" w:sz="2" w:space="0" w:color="000000"/>
            </w:tcBorders>
            <w:shd w:fill="auto" w:val="clear"/>
            <w:tcMar>
              <w:left w:w="28" w:type="dxa"/>
            </w:tcMar>
            <w:vAlign w:val="bottom"/>
          </w:tcPr>
          <w:p>
            <w:pPr>
              <w:pStyle w:val="TableContents"/>
              <w:spacing w:before="0" w:after="283"/>
              <w:rPr/>
            </w:pPr>
            <w:r>
              <w:rPr/>
              <w:t> </w:t>
            </w:r>
          </w:p>
        </w:tc>
        <w:tc>
          <w:tcPr>
            <w:tcW w:w="1812" w:type="dxa"/>
            <w:tcBorders/>
            <w:shd w:fill="auto" w:val="clear"/>
            <w:vAlign w:val="bottom"/>
          </w:tcPr>
          <w:p>
            <w:pPr>
              <w:pStyle w:val="TableContents"/>
              <w:spacing w:before="0" w:after="283"/>
              <w:jc w:val="center"/>
              <w:rPr>
                <w:b/>
              </w:rPr>
            </w:pPr>
            <w:r>
              <w:rPr>
                <w:b/>
              </w:rPr>
              <w:t>Amount of</w:t>
              <w:br/>
              <w:t>Registration Fee</w:t>
            </w:r>
          </w:p>
        </w:tc>
      </w:tr>
      <w:tr>
        <w:trPr/>
        <w:tc>
          <w:tcPr>
            <w:tcW w:w="3239" w:type="dxa"/>
            <w:tcBorders>
              <w:top w:val="single" w:sz="2" w:space="0" w:color="000000"/>
            </w:tcBorders>
            <w:shd w:fill="auto" w:val="clear"/>
            <w:tcMar>
              <w:top w:w="28" w:type="dxa"/>
            </w:tcMar>
          </w:tcPr>
          <w:p>
            <w:pPr>
              <w:pStyle w:val="TableContents"/>
              <w:spacing w:before="0" w:after="0"/>
              <w:rPr>
                <w:rFonts w:ascii="ARIAL" w:hAnsi="ARIAL"/>
                <w:sz w:val="20"/>
              </w:rPr>
            </w:pPr>
            <w:r>
              <w:rPr>
                <w:rFonts w:ascii="ARIAL" w:hAnsi="ARIAL"/>
                <w:sz w:val="20"/>
              </w:rPr>
              <w:t>Primary Offering</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33"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68"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3"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1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3239" w:type="dxa"/>
            <w:tcBorders>
              <w:top w:val="single" w:sz="2" w:space="0" w:color="000000"/>
            </w:tcBorders>
            <w:shd w:fill="auto" w:val="clear"/>
            <w:tcMar>
              <w:top w:w="28" w:type="dxa"/>
            </w:tcMar>
          </w:tcPr>
          <w:p>
            <w:pPr>
              <w:pStyle w:val="TableContents"/>
              <w:spacing w:before="0" w:after="0"/>
              <w:rPr>
                <w:rFonts w:ascii="ARIAL" w:hAnsi="ARIAL"/>
                <w:sz w:val="20"/>
              </w:rPr>
            </w:pPr>
            <w:r>
              <w:rPr>
                <w:rFonts w:ascii="ARIAL" w:hAnsi="ARIAL"/>
                <w:sz w:val="20"/>
              </w:rPr>
              <w:t>Ordinary Shares, nominal value £0.003, per ordinary share</w:t>
            </w:r>
            <w:r>
              <w:rPr>
                <w:rFonts w:ascii="ARIAL" w:hAnsi="ARIAL"/>
                <w:b/>
                <w:sz w:val="20"/>
              </w:rPr>
              <w:t>(1)</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33" w:type="dxa"/>
            <w:tcBorders>
              <w:top w:val="single" w:sz="2" w:space="0" w:color="000000"/>
            </w:tcBorders>
            <w:shd w:fill="auto" w:val="clear"/>
            <w:tcMar>
              <w:top w:w="28" w:type="dxa"/>
            </w:tcMar>
            <w:vAlign w:val="bottom"/>
          </w:tcPr>
          <w:p>
            <w:pPr>
              <w:pStyle w:val="TableContents"/>
              <w:spacing w:before="0" w:after="283"/>
              <w:jc w:val="center"/>
              <w:rPr/>
            </w:pPr>
            <w:r>
              <w:rPr/>
              <w:t></w:t>
            </w:r>
            <w:r>
              <w:rPr>
                <w:b/>
              </w:rPr>
              <w:t>(2)</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68" w:type="dxa"/>
            <w:tcBorders>
              <w:top w:val="single" w:sz="2" w:space="0" w:color="000000"/>
            </w:tcBorders>
            <w:shd w:fill="auto" w:val="clear"/>
            <w:tcMar>
              <w:top w:w="28" w:type="dxa"/>
            </w:tcMar>
            <w:vAlign w:val="bottom"/>
          </w:tcPr>
          <w:p>
            <w:pPr>
              <w:pStyle w:val="TableContents"/>
              <w:spacing w:before="0" w:after="283"/>
              <w:jc w:val="center"/>
              <w:rPr/>
            </w:pPr>
            <w:r>
              <w:rPr/>
              <w:t></w:t>
            </w:r>
            <w:r>
              <w:rPr>
                <w:b/>
              </w:rPr>
              <w:t>(3)</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3" w:type="dxa"/>
            <w:tcBorders>
              <w:top w:val="single" w:sz="2" w:space="0" w:color="000000"/>
            </w:tcBorders>
            <w:shd w:fill="auto" w:val="clear"/>
            <w:tcMar>
              <w:top w:w="28" w:type="dxa"/>
            </w:tcMar>
            <w:vAlign w:val="bottom"/>
          </w:tcPr>
          <w:p>
            <w:pPr>
              <w:pStyle w:val="TableContents"/>
              <w:spacing w:before="0" w:after="283"/>
              <w:jc w:val="center"/>
              <w:rPr/>
            </w:pPr>
            <w:r>
              <w:rPr/>
              <w:t>$250,000,000</w:t>
            </w:r>
            <w:r>
              <w:rPr>
                <w:b/>
              </w:rPr>
              <w:t>(4)</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12" w:type="dxa"/>
            <w:tcBorders>
              <w:top w:val="single" w:sz="2" w:space="0" w:color="000000"/>
            </w:tcBorders>
            <w:shd w:fill="auto" w:val="clear"/>
            <w:tcMar>
              <w:top w:w="28" w:type="dxa"/>
            </w:tcMar>
            <w:vAlign w:val="bottom"/>
          </w:tcPr>
          <w:p>
            <w:pPr>
              <w:pStyle w:val="TableContents"/>
              <w:spacing w:before="0" w:after="283"/>
              <w:jc w:val="center"/>
              <w:rPr/>
            </w:pPr>
            <w:r>
              <w:rPr/>
              <w:t>$27,275</w:t>
            </w:r>
            <w:r>
              <w:rPr>
                <w:b/>
              </w:rPr>
              <w:t>(5)</w:t>
            </w:r>
          </w:p>
        </w:tc>
      </w:tr>
      <w:tr>
        <w:trPr/>
        <w:tc>
          <w:tcPr>
            <w:tcW w:w="3239" w:type="dxa"/>
            <w:tcBorders>
              <w:top w:val="single" w:sz="2" w:space="0" w:color="000000"/>
            </w:tcBorders>
            <w:shd w:fill="auto" w:val="clear"/>
            <w:tcMar>
              <w:top w:w="28" w:type="dxa"/>
            </w:tcMar>
          </w:tcPr>
          <w:p>
            <w:pPr>
              <w:pStyle w:val="TableContents"/>
              <w:spacing w:before="0" w:after="0"/>
              <w:rPr>
                <w:rFonts w:ascii="ARIAL" w:hAnsi="ARIAL"/>
                <w:sz w:val="20"/>
              </w:rPr>
            </w:pPr>
            <w:r>
              <w:rPr>
                <w:rFonts w:ascii="ARIAL" w:hAnsi="ARIAL"/>
                <w:sz w:val="20"/>
              </w:rPr>
              <w:t>Secondary Offering</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33"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68"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3"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1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3239" w:type="dxa"/>
            <w:tcBorders>
              <w:top w:val="single" w:sz="2" w:space="0" w:color="000000"/>
            </w:tcBorders>
            <w:shd w:fill="auto" w:val="clear"/>
            <w:tcMar>
              <w:top w:w="28" w:type="dxa"/>
            </w:tcMar>
          </w:tcPr>
          <w:p>
            <w:pPr>
              <w:pStyle w:val="TableContents"/>
              <w:spacing w:before="0" w:after="0"/>
              <w:rPr>
                <w:rFonts w:ascii="ARIAL" w:hAnsi="ARIAL"/>
                <w:sz w:val="20"/>
              </w:rPr>
            </w:pPr>
            <w:r>
              <w:rPr>
                <w:rFonts w:ascii="ARIAL" w:hAnsi="ARIAL"/>
                <w:sz w:val="20"/>
              </w:rPr>
              <w:t>Ordinary Shares, nominal value £0.003, per ordinary share</w:t>
            </w:r>
            <w:r>
              <w:rPr>
                <w:rFonts w:ascii="ARIAL" w:hAnsi="ARIAL"/>
                <w:b/>
                <w:sz w:val="20"/>
              </w:rPr>
              <w:t>(1)</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33" w:type="dxa"/>
            <w:tcBorders>
              <w:top w:val="single" w:sz="2" w:space="0" w:color="000000"/>
            </w:tcBorders>
            <w:shd w:fill="auto" w:val="clear"/>
            <w:tcMar>
              <w:top w:w="28" w:type="dxa"/>
            </w:tcMar>
            <w:vAlign w:val="bottom"/>
          </w:tcPr>
          <w:p>
            <w:pPr>
              <w:pStyle w:val="TableContents"/>
              <w:spacing w:before="0" w:after="283"/>
              <w:jc w:val="center"/>
              <w:rPr/>
            </w:pPr>
            <w:r>
              <w:rPr/>
              <w:t>23,143,724</w:t>
            </w:r>
            <w:r>
              <w:rPr>
                <w:b/>
              </w:rPr>
              <w:t>(6)</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68" w:type="dxa"/>
            <w:tcBorders>
              <w:top w:val="single" w:sz="2" w:space="0" w:color="000000"/>
            </w:tcBorders>
            <w:shd w:fill="auto" w:val="clear"/>
            <w:tcMar>
              <w:top w:w="28" w:type="dxa"/>
            </w:tcMar>
            <w:vAlign w:val="bottom"/>
          </w:tcPr>
          <w:p>
            <w:pPr>
              <w:pStyle w:val="TableContents"/>
              <w:spacing w:before="0" w:after="283"/>
              <w:jc w:val="center"/>
              <w:rPr/>
            </w:pPr>
            <w:r>
              <w:rPr/>
              <w:t>0.524</w:t>
            </w:r>
            <w:r>
              <w:rPr>
                <w:b/>
              </w:rPr>
              <w:t>(7)</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3" w:type="dxa"/>
            <w:tcBorders>
              <w:top w:val="single" w:sz="2" w:space="0" w:color="000000"/>
            </w:tcBorders>
            <w:shd w:fill="auto" w:val="clear"/>
            <w:tcMar>
              <w:top w:w="28" w:type="dxa"/>
            </w:tcMar>
            <w:vAlign w:val="bottom"/>
          </w:tcPr>
          <w:p>
            <w:pPr>
              <w:pStyle w:val="TableContents"/>
              <w:spacing w:before="0" w:after="283"/>
              <w:jc w:val="center"/>
              <w:rPr/>
            </w:pPr>
            <w:r>
              <w:rPr/>
              <w:t>$12,127,311.4</w:t>
            </w:r>
            <w:r>
              <w:rPr>
                <w:b/>
              </w:rPr>
              <w:t>(7)</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12" w:type="dxa"/>
            <w:tcBorders>
              <w:top w:val="single" w:sz="2" w:space="0" w:color="000000"/>
            </w:tcBorders>
            <w:shd w:fill="auto" w:val="clear"/>
            <w:tcMar>
              <w:top w:w="28" w:type="dxa"/>
            </w:tcMar>
            <w:vAlign w:val="bottom"/>
          </w:tcPr>
          <w:p>
            <w:pPr>
              <w:pStyle w:val="TableContents"/>
              <w:spacing w:before="0" w:after="283"/>
              <w:jc w:val="center"/>
              <w:rPr/>
            </w:pPr>
            <w:r>
              <w:rPr/>
              <w:t>$1,323.09</w:t>
            </w:r>
            <w:r>
              <w:rPr>
                <w:b/>
              </w:rPr>
              <w:t>(8)</w:t>
            </w:r>
          </w:p>
        </w:tc>
      </w:tr>
      <w:tr>
        <w:trPr/>
        <w:tc>
          <w:tcPr>
            <w:tcW w:w="3239" w:type="dxa"/>
            <w:tcBorders>
              <w:top w:val="single" w:sz="2" w:space="0" w:color="000000"/>
            </w:tcBorders>
            <w:shd w:fill="auto" w:val="clear"/>
            <w:tcMar>
              <w:top w:w="28" w:type="dxa"/>
            </w:tcMar>
          </w:tcPr>
          <w:p>
            <w:pPr>
              <w:pStyle w:val="TableContents"/>
              <w:spacing w:before="0" w:after="0"/>
              <w:rPr>
                <w:rFonts w:ascii="ARIAL" w:hAnsi="ARIAL"/>
                <w:sz w:val="20"/>
              </w:rPr>
            </w:pPr>
            <w:r>
              <w:rPr>
                <w:rFonts w:ascii="ARIAL" w:hAnsi="ARIAL"/>
                <w:sz w:val="20"/>
              </w:rPr>
              <w:t>Total registration fee</w:t>
            </w:r>
            <w:r>
              <w:rPr>
                <w:rFonts w:ascii="ARIAL" w:hAnsi="ARIAL"/>
                <w:b/>
                <w:sz w:val="20"/>
              </w:rPr>
              <w:t>(9)</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33"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68"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73" w:type="dxa"/>
            <w:tcBorders>
              <w:top w:val="single" w:sz="2" w:space="0" w:color="000000"/>
            </w:tcBorders>
            <w:shd w:fill="auto" w:val="clear"/>
            <w:tcMar>
              <w:top w:w="28" w:type="dxa"/>
            </w:tcMar>
            <w:vAlign w:val="bottom"/>
          </w:tcPr>
          <w:p>
            <w:pPr>
              <w:pStyle w:val="TableContents"/>
              <w:spacing w:before="0" w:after="283"/>
              <w:rPr/>
            </w:pPr>
            <w:r>
              <w:rPr/>
              <w:t> </w:t>
            </w:r>
          </w:p>
        </w:tc>
        <w:tc>
          <w:tcPr>
            <w:tcW w:w="9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12" w:type="dxa"/>
            <w:tcBorders>
              <w:top w:val="single" w:sz="2" w:space="0" w:color="000000"/>
            </w:tcBorders>
            <w:shd w:fill="auto" w:val="clear"/>
            <w:tcMar>
              <w:top w:w="28" w:type="dxa"/>
            </w:tcMar>
            <w:vAlign w:val="bottom"/>
          </w:tcPr>
          <w:p>
            <w:pPr>
              <w:pStyle w:val="TableContents"/>
              <w:spacing w:before="0" w:after="283"/>
              <w:jc w:val="center"/>
              <w:rPr/>
            </w:pPr>
            <w:r>
              <w:rPr/>
              <w:t>$28,598.09</w:t>
            </w:r>
          </w:p>
        </w:tc>
      </w:tr>
      <w:tr>
        <w:trPr/>
        <w:tc>
          <w:tcPr>
            <w:tcW w:w="10205" w:type="dxa"/>
            <w:gridSpan w:val="9"/>
            <w:tcBorders/>
            <w:shd w:fill="auto" w:val="clear"/>
            <w:vAlign w:val="bottom"/>
          </w:tcPr>
          <w:p>
            <w:pPr>
              <w:pStyle w:val="TableContents"/>
              <w:pBdr>
                <w:top w:val="double" w:sz="6" w:space="1" w:color="000000"/>
              </w:pBdr>
              <w:spacing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All ordinary shares offered are in the form of American Depositary Shares (ADSs), with each ADS representing five (5) of our ordinary shares. ADSs issuable upon deposit of the ordinary shares registered hereby will have been registered under separate registration statements on Form F-6 (File No. 333-223890, File No. 333-249338 and File No. 333-258824).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An unspecified number of ordinary shares is being registered as may from time to time be offered at unspecified prices. Pursuant to Rule 416 under the Securities Act of 1933, as amended (the Securities Act), the ordinary shares being registered hereunder include such indeterminate number of ordinary shares as may be issuable with respect to the ordinary shares being registered hereunder as a result of share splits, share dividends or similar transactions.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With respect to the Primary Offering, the proposed maximum offering price per share for the registrants ordinary shares will be determined from time to time by the registrant in connection with the issuance by the registrant of the ordinary shares registered hereunder.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Estimated solely for the purpose of calculating the registration fee. The aggregate maximum offering price of the ordinary shares issued by the registrant pursuant to this registration statement will not exceed $250,000,000.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ARIAL" w:hAnsi="ARIAL"/>
                <w:sz w:val="20"/>
              </w:rPr>
            </w:pPr>
            <w:r>
              <w:rPr>
                <w:rFonts w:ascii="ARIAL" w:hAnsi="ARIAL"/>
                <w:sz w:val="20"/>
              </w:rPr>
              <w:t>Calculated pursuant to Rule 457(o) and Rule 457(p) under the Securities Act for the primary offering hereunder. The registrant filed a Registration Statement on Form F-3 (File No. 333-249341) on October 6, 2020 to register the offering of $200,000,000 of its ordinary shares in the form of ADSs and paid a filing fee of $21,820 following the effectiveness of which it sold $115,507,500 ordinary shares in the form of ADSs and $84,492,500 remain unsold which amount is being carried forward and used to offset the registration fees due for the primary offering hereunder. Accordingly, after application of $9,218 representing the remaining filing fee previously paid, as calculated pursuant to Rule 457(o) and Rule 457(p) under the Securities Act, the total additional registration fee being paid by the registrant for the primary offering is $18,057 calculated pursuant to Rule 457(p) under the Securities Act.</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The registrant is hereby registering for the offer and resale of up to an aggregate of 23,143,724 ordinary shares consisting of (i) 18,555,068 ordinary shares underlying convertible loan notes and warrants issuable to Novartis Pharma AG (Novartis) under the convertible loan and warrant instruments dated February 10, 2020, as amended; (ii) 2,487,816 ordinary shares underlying warrants issuable to Silicon Valley Bank and Kreos Capital V (UK) Limited as lenders under previous loan agreements with them dated August 7, 2017 and September 28, 2018, as adjusted on December 15, 2020 that have been fully repaid; and (iii) 2,100,840 ordinary shares issued to Cancer Focus Fund, LP in connection with our partnership agreement entered into April 30, 2021. No separate consideration will be received for ordinary shares that are issued upon conversion of convertible loan notes or upon exercise of the warrants described in this paragraph hereunder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Estimated solely for the purpose of calculating the registration fee pursuant to Rule 457(c) under the Securities Act, based on the average of the high and low prices of the registrants ADSs on the Nasdaq Global Market on July 30, 2021, of $2.680 and $2.565. With respect to the Secondary Offering, the proposed maximum offering price per ordinary share will be determined from time to time in connection with, and at the time of, sale by the holders of such securities named in the registration statement.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Calculated pursuant to Rule 457(c) under the Securities Act, based upon the average of the high and low prices of the registrants ADSs on the Nasdaq Global Market on July 30, 2021, of $2.680 and $2.565.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The total registration fee was previously paid in connection with the filing of this Registration Statement on Form F-3 on August 5, 2021 which included the application of registration fees from the Companys prior Registration Statement on Form F-3 (File No. 333-249341) filed on October 6, 2020 as described in footnote 5 above. </w:t>
            </w:r>
          </w:p>
        </w:tc>
      </w:tr>
    </w:tbl>
    <w:p>
      <w:pPr>
        <w:pStyle w:val="TextBody"/>
        <w:spacing w:before="0" w:after="0"/>
        <w:jc w:val="left"/>
        <w:rPr/>
      </w:pPr>
      <w:r>
        <w:rPr/>
        <w:t> </w:t>
      </w:r>
    </w:p>
    <w:p>
      <w:pPr>
        <w:pStyle w:val="TextBody"/>
        <w:pBdr>
          <w:bottom w:val="single" w:sz="2" w:space="1" w:color="000000"/>
        </w:pBdr>
        <w:spacing w:lineRule="atLeast" w:line="141" w:before="0" w:after="40"/>
        <w:jc w:val="center"/>
        <w:rPr/>
      </w:pPr>
      <w:r>
        <w:rPr/>
        <w:t> </w:t>
      </w:r>
    </w:p>
    <w:p>
      <w:pPr>
        <w:pStyle w:val="TextBody"/>
        <w:spacing w:before="40" w:after="0"/>
        <w:jc w:val="left"/>
        <w:rPr>
          <w:rFonts w:ascii="ARIAL" w:hAnsi="ARIAL"/>
          <w:b/>
          <w:sz w:val="20"/>
        </w:rPr>
      </w:pPr>
      <w:r>
        <w:rPr>
          <w:rFonts w:ascii="ARIAL" w:hAnsi="ARIAL"/>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8"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r>
        <w:rPr>
          <w:rFonts w:ascii="ARIAL" w:hAnsi="ARIAL"/>
          <w:b/>
          <w:sz w:val="20"/>
        </w:rPr>
        <w:t xml:space="preserve">EXPLANATORY NOTE </w:t>
      </w:r>
    </w:p>
    <w:p>
      <w:pPr>
        <w:pStyle w:val="TextBody"/>
        <w:spacing w:before="240" w:after="0"/>
        <w:jc w:val="left"/>
        <w:rPr>
          <w:rFonts w:ascii="ARIAL" w:hAnsi="ARIAL"/>
          <w:sz w:val="20"/>
        </w:rPr>
      </w:pPr>
      <w:r>
        <w:rPr>
          <w:rFonts w:ascii="ARIAL" w:hAnsi="ARIAL"/>
          <w:sz w:val="20"/>
        </w:rPr>
        <w:t xml:space="preserve">This registration statement contains two prospectuses: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 base prospectus which covers the offering, issuance and sale of up to $250,000,000 of our ADSs and the offering and sale by the Selling Shareholders of up to 23,143,724 of our ordinary shares in the form of ADSs, in each case from time to time in one or more offerings;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sales agreement prospectus supplement covering the offering, issuance and sale of up to $50,000,000 of our ADSs that may be issued and sold under the Open Market Sale AgreementSM dated August 5, 2021 between us and Jefferies LLC (the Sales Agreement). </w:t>
            </w:r>
          </w:p>
        </w:tc>
      </w:tr>
    </w:tbl>
    <w:p>
      <w:pPr>
        <w:pStyle w:val="TextBody"/>
        <w:spacing w:before="240" w:after="0"/>
        <w:jc w:val="left"/>
        <w:rPr>
          <w:rFonts w:ascii="ARIAL" w:hAnsi="ARIAL"/>
          <w:sz w:val="20"/>
        </w:rPr>
      </w:pPr>
      <w:r>
        <w:rPr>
          <w:rFonts w:ascii="ARIAL" w:hAnsi="ARIAL"/>
          <w:sz w:val="20"/>
        </w:rPr>
        <w:t xml:space="preserve">We terminated our previous sales agreement dated October 6, 2020 between us and SVB Leerink LLC under which we sold no securities. 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$50,000,000 of ADSs that may be offered, issued and sold under the Sales Agreement prospectus supplement are included in the $250,000,000 of securities that may be offered, issued and sold by the registrant under the base prospectus. Upon termination of the Sales Agreement, any portion of the $50,000,000 included in the Sales Agreement prospectus supplement that is not sold pursuant to the Sales Agreement will be available for sale in other offerings pursuant to the base prospectus. </w:t>
      </w:r>
    </w:p>
    <w:p>
      <w:pPr>
        <w:pStyle w:val="TextBody"/>
        <w:spacing w:before="240" w:after="0"/>
        <w:jc w:val="left"/>
        <w:rPr>
          <w:rFonts w:ascii="ARIAL" w:hAnsi="ARIAL"/>
          <w:sz w:val="20"/>
        </w:rPr>
      </w:pPr>
      <w:r>
        <w:rPr>
          <w:rFonts w:ascii="ARIAL" w:hAnsi="ARIAL"/>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CC062A"/>
          <w:sz w:val="20"/>
        </w:rPr>
      </w:pPr>
      <w:r>
        <w:rPr>
          <w:rFonts w:ascii="ARIAL" w:hAnsi="ARIAL"/>
          <w:color w:val="CC062A"/>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553"/>
        <w:gridCol w:w="1652"/>
      </w:tblGrid>
      <w:tr>
        <w:trPr/>
        <w:tc>
          <w:tcPr>
            <w:tcW w:w="8553" w:type="dxa"/>
            <w:tcBorders/>
            <w:shd w:fill="auto" w:val="clear"/>
          </w:tcPr>
          <w:p>
            <w:pPr>
              <w:pStyle w:val="TableContents"/>
              <w:spacing w:before="0" w:after="20"/>
              <w:rPr>
                <w:rFonts w:ascii="ARIAL" w:hAnsi="ARIAL"/>
                <w:b/>
                <w:sz w:val="20"/>
              </w:rPr>
            </w:pPr>
            <w:r>
              <w:rPr>
                <w:rFonts w:ascii="ARIAL" w:hAnsi="ARIAL"/>
                <w:b/>
                <w:sz w:val="20"/>
              </w:rPr>
              <w:t xml:space="preserve">PROSPECTUS (Subject to completion) </w:t>
            </w:r>
          </w:p>
        </w:tc>
        <w:tc>
          <w:tcPr>
            <w:tcW w:w="1652" w:type="dxa"/>
            <w:tcBorders/>
            <w:shd w:fill="auto" w:val="clear"/>
          </w:tcPr>
          <w:p>
            <w:pPr>
              <w:pStyle w:val="TableContents"/>
              <w:spacing w:before="0" w:after="20"/>
              <w:jc w:val="right"/>
              <w:rPr>
                <w:rFonts w:ascii="ARIAL" w:hAnsi="ARIAL"/>
                <w:b/>
                <w:color w:val="CC062A"/>
                <w:sz w:val="20"/>
              </w:rPr>
            </w:pPr>
            <w:r>
              <w:rPr>
                <w:rFonts w:ascii="ARIAL" w:hAnsi="ARIAL"/>
                <w:b/>
                <w:color w:val="CC062A"/>
                <w:sz w:val="20"/>
              </w:rPr>
              <w:t xml:space="preserve">Dated September 27, 2021 </w:t>
            </w:r>
          </w:p>
        </w:tc>
      </w:tr>
    </w:tbl>
    <w:p>
      <w:pPr>
        <w:pStyle w:val="TextBody"/>
        <w:spacing w:before="0" w:after="0"/>
        <w:jc w:val="left"/>
        <w:rPr/>
      </w:pPr>
      <w:r>
        <w:rPr/>
        <w:t> </w:t>
      </w:r>
    </w:p>
    <w:p>
      <w:pPr>
        <w:pStyle w:val="TextBody"/>
        <w:pBdr>
          <w:bottom w:val="single" w:sz="24" w:space="1" w:color="334998"/>
        </w:pBdr>
        <w:spacing w:lineRule="atLeast" w:line="141" w:before="0" w:after="40"/>
        <w:jc w:val="left"/>
        <w:rPr/>
      </w:pPr>
      <w:r>
        <w:rPr/>
        <w:t> </w:t>
      </w:r>
    </w:p>
    <w:p>
      <w:pPr>
        <w:pStyle w:val="TextBody"/>
        <w:spacing w:before="120" w:after="0"/>
        <w:jc w:val="center"/>
        <w:rPr>
          <w:rFonts w:ascii="ARIAL" w:hAnsi="ARIAL"/>
          <w:b/>
          <w:sz w:val="28"/>
        </w:rPr>
      </w:pPr>
      <w:r>
        <w:rPr>
          <w:rFonts w:ascii="ARIAL" w:hAnsi="ARIAL"/>
          <w:b/>
          <w:sz w:val="28"/>
        </w:rPr>
        <w:t xml:space="preserve">$250,000,000 </w:t>
      </w:r>
    </w:p>
    <w:p>
      <w:pPr>
        <w:pStyle w:val="TextBody"/>
        <w:spacing w:before="0" w:after="0"/>
        <w:jc w:val="left"/>
        <w:rPr/>
      </w:pPr>
      <w:r>
        <w:rPr/>
        <w:t> </w:t>
      </w:r>
    </w:p>
    <w:p>
      <w:pPr>
        <w:pStyle w:val="TextBody"/>
        <w:spacing w:before="0" w:after="0"/>
        <w:jc w:val="center"/>
        <w:rPr/>
      </w:pPr>
      <w:r>
        <w:rPr/>
        <w:drawing>
          <wp:inline distT="0" distB="0" distL="0" distR="0">
            <wp:extent cx="274955" cy="1003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955" cy="100330"/>
                    </a:xfrm>
                    <a:prstGeom prst="rect">
                      <a:avLst/>
                    </a:prstGeom>
                  </pic:spPr>
                </pic:pic>
              </a:graphicData>
            </a:graphic>
          </wp:inline>
        </w:drawing>
      </w:r>
      <w:r>
        <w:rPr/>
        <w:t xml:space="preserve"> </w:t>
      </w:r>
    </w:p>
    <w:p>
      <w:pPr>
        <w:pStyle w:val="TextBody"/>
        <w:spacing w:before="120" w:after="0"/>
        <w:jc w:val="center"/>
        <w:rPr>
          <w:rFonts w:ascii="ARIAL" w:hAnsi="ARIAL"/>
          <w:b/>
          <w:sz w:val="28"/>
        </w:rPr>
      </w:pPr>
      <w:r>
        <w:rPr>
          <w:rFonts w:ascii="ARIAL" w:hAnsi="ARIAL"/>
          <w:b/>
          <w:sz w:val="28"/>
        </w:rPr>
        <w:t xml:space="preserve">American Depositary Shares Representing Ordinary Shares </w:t>
      </w:r>
    </w:p>
    <w:p>
      <w:pPr>
        <w:pStyle w:val="TextBody"/>
        <w:spacing w:before="120" w:after="0"/>
        <w:jc w:val="center"/>
        <w:rPr>
          <w:rFonts w:ascii="ARIAL" w:hAnsi="ARIAL"/>
          <w:b/>
          <w:sz w:val="28"/>
        </w:rPr>
      </w:pPr>
      <w:r>
        <w:rPr>
          <w:rFonts w:ascii="ARIAL" w:hAnsi="ARIAL"/>
          <w:b/>
          <w:sz w:val="28"/>
        </w:rPr>
        <w:t xml:space="preserve">23,143,724 Ordinary Shares </w:t>
      </w:r>
    </w:p>
    <w:p>
      <w:pPr>
        <w:pStyle w:val="TextBody"/>
        <w:spacing w:before="0" w:after="0"/>
        <w:jc w:val="center"/>
        <w:rPr>
          <w:rFonts w:ascii="ARIAL" w:hAnsi="ARIAL"/>
          <w:b/>
          <w:sz w:val="28"/>
        </w:rPr>
      </w:pPr>
      <w:r>
        <w:rPr>
          <w:rFonts w:ascii="ARIAL" w:hAnsi="ARIAL"/>
          <w:b/>
          <w:sz w:val="28"/>
        </w:rPr>
        <w:t xml:space="preserve">Offered by the Selling Shareholders in the form of American Depositary Shares </w:t>
      </w:r>
    </w:p>
    <w:p>
      <w:pPr>
        <w:pStyle w:val="TextBody"/>
        <w:spacing w:before="120" w:after="0"/>
        <w:jc w:val="left"/>
        <w:rPr>
          <w:rFonts w:ascii="ARIAL" w:hAnsi="ARIAL"/>
          <w:sz w:val="20"/>
        </w:rPr>
      </w:pPr>
      <w:r>
        <w:rPr>
          <w:rFonts w:ascii="ARIAL" w:hAnsi="ARIAL"/>
          <w:sz w:val="20"/>
        </w:rPr>
        <w:t xml:space="preserve">We may offer, from time to time, the American Depositary Shares (ADSs) described in this prospectus, for an aggregate offering price of up to $250,000,000. In addition, the selling shareholders named in this prospectus (the Selling Shareholders) may offer and sell from time to time up to 23,143,724 ordinary shares consisting of (i) 18,555,068 ordinary shares underlying convertible loan notes and warrants issuable to Novartis Pharma AG (Novartis) under the convertible loan and warrant instruments dated February 10, 2020, as amended; (ii) 2,487,816 ordinary shares underlying warrants issuable to Silicon Valley Bank and Kreos Capital V (UK) Limited as lenders under previous loan agreements with them dated August 7, 2017 and September 28, 2018, as adjusted on December 15, 2020 that have been fully repaid; and (iii) 2,100,840 ordinary shares issued to Cancer Focus Fund, LP (Focus Fund) in connection with our partnership agreement entered into on April 30, 2021. We will not receive any of the proceeds from the sale of the ADSs by the Selling Shareholders. Each of the Selling Shareholders may offer and sell their ADSs in public or private transactions, or both. These sales may occur at fixed prices, at market prices prevailing at the time of sale, at prices related to prevailing market prices, or at negotiated prices. See Plan of Distribution for more information on how the Selling Shareholders may conduct sales of their ADSs. </w:t>
      </w:r>
    </w:p>
    <w:p>
      <w:pPr>
        <w:pStyle w:val="TextBody"/>
        <w:spacing w:before="120" w:after="0"/>
        <w:jc w:val="left"/>
        <w:rPr>
          <w:rFonts w:ascii="ARIAL" w:hAnsi="ARIAL"/>
          <w:sz w:val="20"/>
        </w:rPr>
      </w:pPr>
      <w:r>
        <w:rPr>
          <w:rFonts w:ascii="ARIAL" w:hAnsi="ARIAL"/>
          <w:sz w:val="20"/>
        </w:rPr>
        <w:t xml:space="preserve">We will provide you with the specific amount, price and terms of the applicable offered ADSs in one or more supplements to this prospectus. You should carefully read this prospectus and the applicable prospectus supplement, as well as the documents incorporated or deemed to be incorporated by reference in this prospectus, before you purchase any of the ADSs offered hereby. We may offer and sell the ADSs in the same offering or in separate offerings, to or through underwriters, dealers, and agents, or directly to purchasers. The names of any underwriters, dealers, or agents involved in the sale of our ADSs, their compensation and any options to purchase additional ADSs held by them will be described in the applicable prospectus supplement. See Plan of Distribution. </w:t>
      </w:r>
    </w:p>
    <w:p>
      <w:pPr>
        <w:pStyle w:val="TextBody"/>
        <w:spacing w:before="120" w:after="0"/>
        <w:jc w:val="left"/>
        <w:rPr>
          <w:rFonts w:ascii="ARIAL" w:hAnsi="ARIAL"/>
          <w:sz w:val="20"/>
        </w:rPr>
      </w:pPr>
      <w:r>
        <w:rPr>
          <w:rFonts w:ascii="ARIAL" w:hAnsi="ARIAL"/>
          <w:sz w:val="20"/>
        </w:rPr>
        <w:t xml:space="preserve">Our ADSs trade on the Nasdaq Global Market, or the Nasdaq, under the symbol MREO. On September 24, 2021, the last reported sale price of our ADSs on Nasdaq was $2.41 per ADS. We are both an emerging growth company and a foreign private issuer as defined under the Securities Act of 1933, as amended (the Securities Act), and, as such, are subject to reduced public company reporting requirements. See Prospectus SummaryImplications of Being an Emerging Growth Company and a Foreign Private Issuer for additional information. </w:t>
      </w:r>
    </w:p>
    <w:p>
      <w:pPr>
        <w:pStyle w:val="TextBody"/>
        <w:spacing w:before="120" w:after="0"/>
        <w:jc w:val="left"/>
        <w:rPr/>
      </w:pPr>
      <w:r>
        <w:rPr>
          <w:rFonts w:ascii="ARIAL" w:hAnsi="ARIAL"/>
          <w:b/>
          <w:sz w:val="18"/>
        </w:rPr>
        <w:t>Investing in our ADSs involve significant risks. See </w:t>
      </w:r>
      <w:hyperlink w:anchor="toc159178_3">
        <w:r>
          <w:rPr>
            <w:rStyle w:val="InternetLink"/>
            <w:rFonts w:ascii="ARIAL" w:hAnsi="ARIAL"/>
            <w:b/>
            <w:sz w:val="18"/>
            <w:u w:val="single"/>
          </w:rPr>
          <w:t xml:space="preserve">Risk Factors </w:t>
        </w:r>
      </w:hyperlink>
      <w:r>
        <w:rPr>
          <w:rFonts w:ascii="ARIAL" w:hAnsi="ARIAL"/>
          <w:b/>
          <w:sz w:val="18"/>
        </w:rPr>
        <w:t xml:space="preserve"> beginning on page 5 of this prospectus and the documents incorporated by reference into this prospectus concerning factors you should consider before investing in our ADSs. </w:t>
      </w:r>
    </w:p>
    <w:p>
      <w:pPr>
        <w:pStyle w:val="TextBody"/>
        <w:spacing w:before="120" w:after="0"/>
        <w:jc w:val="left"/>
        <w:rPr>
          <w:rFonts w:ascii="ARIAL" w:hAnsi="ARIAL"/>
          <w:sz w:val="20"/>
        </w:rPr>
      </w:pPr>
      <w:r>
        <w:rPr>
          <w:rFonts w:ascii="ARIAL" w:hAnsi="ARIAL"/>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spacing w:before="0" w:after="0"/>
        <w:jc w:val="left"/>
        <w:rPr/>
      </w:pPr>
      <w:r>
        <w:rPr/>
        <w:t> </w:t>
      </w:r>
    </w:p>
    <w:p>
      <w:pPr>
        <w:pStyle w:val="TextBody"/>
        <w:pBdr>
          <w:bottom w:val="single" w:sz="2" w:space="1" w:color="000000"/>
        </w:pBdr>
        <w:spacing w:lineRule="atLeast" w:line="141" w:before="0" w:after="40"/>
        <w:jc w:val="center"/>
        <w:rPr/>
      </w:pPr>
      <w:r>
        <w:rPr/>
        <w:t> </w:t>
      </w:r>
    </w:p>
    <w:p>
      <w:pPr>
        <w:pStyle w:val="TextBody"/>
        <w:spacing w:before="120" w:after="0"/>
        <w:jc w:val="center"/>
        <w:rPr>
          <w:rFonts w:ascii="ARIAL" w:hAnsi="ARIAL"/>
          <w:b/>
          <w:sz w:val="18"/>
        </w:rPr>
      </w:pPr>
      <w:r>
        <w:rPr>
          <w:rFonts w:ascii="ARIAL" w:hAnsi="ARIAL"/>
          <w:b/>
          <w:sz w:val="18"/>
        </w:rPr>
        <w:t xml:space="preserve">Prospectus dated                , 2021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95"/>
        <w:gridCol w:w="126"/>
        <w:gridCol w:w="60"/>
        <w:gridCol w:w="261"/>
        <w:gridCol w:w="63"/>
      </w:tblGrid>
      <w:tr>
        <w:trPr/>
        <w:tc>
          <w:tcPr>
            <w:tcW w:w="969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95" w:type="dxa"/>
            <w:tcBorders/>
            <w:shd w:fill="auto" w:val="clear"/>
          </w:tcPr>
          <w:p>
            <w:pPr>
              <w:pStyle w:val="TableContents"/>
              <w:spacing w:before="0" w:after="0"/>
              <w:rPr/>
            </w:pPr>
            <w:hyperlink w:anchor="toc159178_1">
              <w:r>
                <w:rPr>
                  <w:rStyle w:val="InternetLink"/>
                  <w:rFonts w:ascii="ARIAL" w:hAnsi="ARIAL"/>
                  <w:sz w:val="20"/>
                </w:rPr>
                <w:t>ABOUT THIS PROSPECTUS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2">
              <w:r>
                <w:rPr>
                  <w:rStyle w:val="InternetLink"/>
                  <w:rFonts w:ascii="ARIAL" w:hAnsi="ARIAL"/>
                  <w:sz w:val="20"/>
                </w:rPr>
                <w:t>PROSPECTUS SUMMARY</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3">
              <w:r>
                <w:rPr>
                  <w:rStyle w:val="InternetLink"/>
                  <w:rFonts w:ascii="ARIAL" w:hAnsi="ARIAL"/>
                  <w:sz w:val="20"/>
                </w:rPr>
                <w:t>RISK FACTORS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4">
              <w:r>
                <w:rPr>
                  <w:rStyle w:val="InternetLink"/>
                  <w:rFonts w:ascii="ARIAL" w:hAnsi="ARIAL"/>
                  <w:sz w:val="20"/>
                </w:rPr>
                <w:t>SPECIAL NOTE REGARDING FORWARD-LOOKING STATEMENTS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5">
              <w:r>
                <w:rPr>
                  <w:rStyle w:val="InternetLink"/>
                  <w:rFonts w:ascii="ARIAL" w:hAnsi="ARIAL"/>
                  <w:sz w:val="20"/>
                </w:rPr>
                <w:t>CAPITALIZATION</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6">
              <w:r>
                <w:rPr>
                  <w:rStyle w:val="InternetLink"/>
                  <w:rFonts w:ascii="ARIAL" w:hAnsi="ARIAL"/>
                  <w:sz w:val="20"/>
                </w:rPr>
                <w:t>USE OF PROCEEDS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7">
              <w:r>
                <w:rPr>
                  <w:rStyle w:val="InternetLink"/>
                  <w:rFonts w:ascii="ARIAL" w:hAnsi="ARIAL"/>
                  <w:sz w:val="20"/>
                </w:rPr>
                <w:t>DESCRIPTION OF SHARE CAPITAL</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8">
              <w:r>
                <w:rPr>
                  <w:rStyle w:val="InternetLink"/>
                  <w:rFonts w:ascii="ARIAL" w:hAnsi="ARIAL"/>
                  <w:sz w:val="20"/>
                </w:rPr>
                <w:t>DESCRIPTION OF AMERICAN DEPOSITARY SHARES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9">
              <w:r>
                <w:rPr>
                  <w:rStyle w:val="InternetLink"/>
                  <w:rFonts w:ascii="ARIAL" w:hAnsi="ARIAL"/>
                  <w:sz w:val="20"/>
                </w:rPr>
                <w:t>SELLING SHAREHOLDERS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41</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10">
              <w:r>
                <w:rPr>
                  <w:rStyle w:val="InternetLink"/>
                  <w:rFonts w:ascii="ARIAL" w:hAnsi="ARIAL"/>
                  <w:sz w:val="20"/>
                </w:rPr>
                <w:t>MATERIAL TAX CONSIDERATIONS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43</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11">
              <w:r>
                <w:rPr>
                  <w:rStyle w:val="InternetLink"/>
                  <w:rFonts w:ascii="ARIAL" w:hAnsi="ARIAL"/>
                  <w:sz w:val="20"/>
                </w:rPr>
                <w:t>PLAN OF DISTRIBUTION</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51</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12">
              <w:r>
                <w:rPr>
                  <w:rStyle w:val="InternetLink"/>
                  <w:rFonts w:ascii="ARIAL" w:hAnsi="ARIAL"/>
                  <w:sz w:val="20"/>
                </w:rPr>
                <w:t>EXPENSES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55</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13">
              <w:r>
                <w:rPr>
                  <w:rStyle w:val="InternetLink"/>
                  <w:rFonts w:ascii="ARIAL" w:hAnsi="ARIAL"/>
                  <w:sz w:val="20"/>
                </w:rPr>
                <w:t>LEGAL MATTERS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56</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14">
              <w:r>
                <w:rPr>
                  <w:rStyle w:val="InternetLink"/>
                  <w:rFonts w:ascii="ARIAL" w:hAnsi="ARIAL"/>
                  <w:sz w:val="20"/>
                </w:rPr>
                <w:t>EXPERTS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56</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15">
              <w:r>
                <w:rPr>
                  <w:rStyle w:val="InternetLink"/>
                  <w:rFonts w:ascii="ARIAL" w:hAnsi="ARIAL"/>
                  <w:sz w:val="20"/>
                </w:rPr>
                <w:t>SERVICE OF PROCESS AND ENFORCEMENT OF LIABILITIES</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57</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16">
              <w:r>
                <w:rPr>
                  <w:rStyle w:val="InternetLink"/>
                  <w:rFonts w:ascii="ARIAL" w:hAnsi="ARIAL"/>
                  <w:sz w:val="20"/>
                </w:rPr>
                <w:t>WHERE YOU CAN FIND MORE INFORMATION</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59</w:t>
            </w:r>
          </w:p>
        </w:tc>
        <w:tc>
          <w:tcPr>
            <w:tcW w:w="63" w:type="dxa"/>
            <w:tcBorders/>
            <w:shd w:fill="auto" w:val="clear"/>
            <w:vAlign w:val="bottom"/>
          </w:tcPr>
          <w:p>
            <w:pPr>
              <w:pStyle w:val="TableContents"/>
              <w:spacing w:before="0" w:after="283"/>
              <w:rPr/>
            </w:pPr>
            <w:r>
              <w:rPr/>
              <w:t> </w:t>
            </w:r>
          </w:p>
        </w:tc>
      </w:tr>
      <w:tr>
        <w:trPr/>
        <w:tc>
          <w:tcPr>
            <w:tcW w:w="9695" w:type="dxa"/>
            <w:tcBorders/>
            <w:shd w:fill="auto" w:val="clear"/>
          </w:tcPr>
          <w:p>
            <w:pPr>
              <w:pStyle w:val="TableContents"/>
              <w:spacing w:before="0" w:after="0"/>
              <w:rPr/>
            </w:pPr>
            <w:hyperlink w:anchor="toc159178_17">
              <w:r>
                <w:rPr>
                  <w:rStyle w:val="InternetLink"/>
                  <w:rFonts w:ascii="ARIAL" w:hAnsi="ARIAL"/>
                  <w:sz w:val="20"/>
                </w:rPr>
                <w:t>INCORPORATION BY REFERENCE</w:t>
              </w:r>
            </w:hyperlink>
          </w:p>
        </w:tc>
        <w:tc>
          <w:tcPr>
            <w:tcW w:w="1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60</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 w:space="1" w:color="000000"/>
        </w:pBdr>
        <w:spacing w:lineRule="atLeast" w:line="141" w:before="0" w:after="40"/>
        <w:jc w:val="center"/>
        <w:rPr/>
      </w:pPr>
      <w:r>
        <w:rPr/>
        <w:t>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20"/>
          <w:bdr w:val="single" w:sz="2" w:space="1" w:color="000000"/>
        </w:rPr>
      </w:pPr>
      <w:bookmarkStart w:id="3" w:name="toc159178_1"/>
      <w:bookmarkEnd w:id="3"/>
      <w:r>
        <w:rPr>
          <w:rFonts w:ascii="ARIAL" w:hAnsi="ARIAL"/>
          <w:b/>
          <w:sz w:val="20"/>
          <w:bdr w:val="single" w:sz="2" w:space="1" w:color="000000"/>
        </w:rPr>
        <w:t xml:space="preserve">ABOUT THIS PROSPECTUS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This prospectus is part of a shelf registration statement that we filed with the Securities and Exchange Commission, which we refer to as the SEC, utilizing a shelf registration process. Under this shelf registration process, we may, over time, offer and sell the ADSs described in this prospectus in one or more offerings, up to a total dollar amount of $250,000,000, and the Selling Shareholders may also offer and sell up to 23,143,724 ordinary shares in the form of 4,628,744 ADSs, as described in this prospectus. This prospectus provides you with a general description of the securities that may be offered. Each time we or any Selling Shareholder offers securities under this prospectus, we or the Selling Shareholder will provide a prospectus supplement or other offering materials that will contain specific information about the terms of that offering. We may also add, update or change information contained in this prospectus by means of a prospectus supplement or by incorporating by reference information that we file or furnish to the SEC. The registration statement that we filed with the SEC includes exhibits that provide more detail on the matters discussed in this prospectus.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and Incorporation by Reference, before purchasing any securities.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and the Selling Shareholders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 </w:t>
      </w:r>
    </w:p>
    <w:p>
      <w:pPr>
        <w:pStyle w:val="TextBody"/>
        <w:jc w:val="left"/>
        <w:rPr>
          <w:bdr w:val="single" w:sz="2" w:space="1" w:color="000000"/>
        </w:rPr>
      </w:pPr>
      <w:r>
        <w:rPr>
          <w:bdr w:val="single" w:sz="2" w:space="1" w:color="000000"/>
        </w:rPr>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20"/>
          <w:bdr w:val="single" w:sz="2" w:space="1" w:color="000000"/>
        </w:rPr>
      </w:pPr>
      <w:bookmarkStart w:id="4" w:name="toc159178_2"/>
      <w:bookmarkEnd w:id="4"/>
      <w:r>
        <w:rPr>
          <w:rFonts w:ascii="ARIAL" w:hAnsi="ARIAL"/>
          <w:b/>
          <w:sz w:val="20"/>
          <w:bdr w:val="single" w:sz="2" w:space="1" w:color="000000"/>
        </w:rPr>
        <w:t xml:space="preserve">PROSPECTUS SUMMARY </w:t>
      </w:r>
    </w:p>
    <w:p>
      <w:pPr>
        <w:pStyle w:val="TextBody"/>
        <w:spacing w:before="240" w:after="0"/>
        <w:jc w:val="left"/>
        <w:rPr>
          <w:rFonts w:ascii="ARIAL" w:hAnsi="ARIAL"/>
          <w:i/>
          <w:sz w:val="20"/>
          <w:bdr w:val="single" w:sz="2" w:space="1" w:color="000000"/>
        </w:rPr>
      </w:pPr>
      <w:r>
        <w:rPr>
          <w:rFonts w:ascii="ARIAL" w:hAnsi="ARIAL"/>
          <w:i/>
          <w:sz w:val="20"/>
          <w:bdr w:val="single" w:sz="2" w:space="1" w:color="000000"/>
        </w:rPr>
        <w:t xml:space="preserve">This summary highlights information contained elsewhere in this prospectus or incorporated by reference herein. This summary may not contain all the information that may be important to you, and we urge you to read this entire prospectus carefully, including the risks related to our business, our industry, investing in our ADSs, that we describe under Risk Factors and our consolidated financial statements, including the notes thereto, incorporated by reference in this prospectus, before deciding to invest in our ADSs. </w:t>
      </w:r>
    </w:p>
    <w:p>
      <w:pPr>
        <w:pStyle w:val="TextBody"/>
        <w:spacing w:before="240" w:after="0"/>
        <w:jc w:val="left"/>
        <w:rPr>
          <w:rFonts w:ascii="ARIAL" w:hAnsi="ARIAL"/>
          <w:b/>
          <w:sz w:val="20"/>
          <w:bdr w:val="single" w:sz="2" w:space="1" w:color="000000"/>
        </w:rPr>
      </w:pPr>
      <w:r>
        <w:rPr>
          <w:rFonts w:ascii="ARIAL" w:hAnsi="ARIAL"/>
          <w:b/>
          <w:sz w:val="20"/>
          <w:bdr w:val="single" w:sz="2" w:space="1" w:color="000000"/>
        </w:rPr>
        <w:t xml:space="preserve">Our Company </w:t>
      </w:r>
    </w:p>
    <w:p>
      <w:pPr>
        <w:pStyle w:val="TextBody"/>
        <w:spacing w:before="120" w:after="0"/>
        <w:jc w:val="left"/>
        <w:rPr>
          <w:rFonts w:ascii="ARIAL" w:hAnsi="ARIAL"/>
          <w:sz w:val="20"/>
          <w:bdr w:val="single" w:sz="2" w:space="1" w:color="000000"/>
        </w:rPr>
      </w:pPr>
      <w:r>
        <w:rPr>
          <w:rFonts w:ascii="ARIAL" w:hAnsi="ARIAL"/>
          <w:sz w:val="20"/>
          <w:bdr w:val="single" w:sz="2" w:space="1" w:color="000000"/>
        </w:rPr>
        <w:t xml:space="preserve">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recently initiated a Phase1b/2 basket study for etigilimab in combination with an anti-PD-1 in three rare tumors, including sarcoma, several gynecological carcinomas including cervical and endometrial carcinomas and tumors with high mutation burden. On April 30, 2021 we and Focus Fund, a unique venture capital fund established in collaboration with The University of Texas MD Anderson Cancer Center (MD Anderson) announced a partnership to evaluate Mereos etigilimab, in clear cell ovarian cancer, a rare cancer that accounts for approximately 510% of all ovarian carcinomas in North America. Our other rare disease product candidates are alvelestat, which is being investigated in an ongoing Phase 2 proof-of-concept study for the treatment of severe AATD, in an investigator-initiated study in hospitalized COVID-19 and in an investigator-initiated study in Bronchiolitis Obliterans Syndrome (BOS), and setrusumab for the treatment of OI. Following the announcement of the results for setrusumab in a Phase 2b study in adults with OI which demonstrated a dose dependent increase in bone mineral density and bone strength and alignment with the FDA and the EMA following scientific advice on the pivotal study design for children with OI, we announced a strategic partnership with Ultragenyx Pharmaceutical, Inc. (Ultragenyx) in December 2020 for the development of setrusumab in children and adults with OI. Ultragenyx have announced their intention to initiate a Phase 2/3 study in children with OI in the second half of 2021 following additional discussions with the regulators.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We plan to develop our product candidates for oncology and rare diseases through the next key clinical milestone and then partner where it makes sense to do so strategically but also in select cases to develop through regulatory approval and potentially commercialization.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Our second oncology product, navicixizumab for the treatment of late line ovarian cancer, has completed a Phase 1b study and has been partnered for further development with OncXerna Therapeutics, Inc. (OncXerna) on a global basis.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We plan to partner or sell our other two product candidates acumapimod for the treatment of AECOPD and leflutrozole for the treatment of infertility and HH in obese men, recognizing the need for greater resources to take these product candidates to market.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w:t>
      </w:r>
    </w:p>
    <w:p>
      <w:pPr>
        <w:pStyle w:val="TextBody"/>
        <w:jc w:val="left"/>
        <w:rPr>
          <w:bdr w:val="single" w:sz="2" w:space="1" w:color="000000"/>
        </w:rPr>
      </w:pPr>
      <w:r>
        <w:rPr>
          <w:bdr w:val="single" w:sz="2" w:space="1" w:color="000000"/>
        </w:rPr>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 </w:t>
      </w:r>
    </w:p>
    <w:p>
      <w:pPr>
        <w:pStyle w:val="TextBody"/>
        <w:spacing w:before="240" w:after="0"/>
        <w:jc w:val="left"/>
        <w:rPr>
          <w:rFonts w:ascii="ARIAL" w:hAnsi="ARIAL"/>
          <w:b/>
          <w:sz w:val="20"/>
          <w:bdr w:val="single" w:sz="2" w:space="1" w:color="000000"/>
        </w:rPr>
      </w:pPr>
      <w:r>
        <w:rPr>
          <w:rFonts w:ascii="ARIAL" w:hAnsi="ARIAL"/>
          <w:b/>
          <w:sz w:val="20"/>
          <w:bdr w:val="single" w:sz="2" w:space="1" w:color="000000"/>
        </w:rPr>
        <w:t xml:space="preserve">Implications of Being an Emerging Growth Company and a Foreign Private Issuer </w:t>
      </w:r>
    </w:p>
    <w:p>
      <w:pPr>
        <w:pStyle w:val="TextBody"/>
        <w:spacing w:before="240" w:after="0"/>
        <w:jc w:val="left"/>
        <w:rPr>
          <w:rFonts w:ascii="ARIAL" w:hAnsi="ARIAL"/>
          <w:b/>
          <w:sz w:val="20"/>
          <w:bdr w:val="single" w:sz="2" w:space="1" w:color="000000"/>
        </w:rPr>
      </w:pPr>
      <w:r>
        <w:rPr>
          <w:rFonts w:ascii="ARIAL" w:hAnsi="ARIAL"/>
          <w:b/>
          <w:sz w:val="20"/>
          <w:bdr w:val="single" w:sz="2" w:space="1" w:color="000000"/>
        </w:rPr>
        <w:t xml:space="preserve">Emerging Growth Company </w:t>
      </w:r>
    </w:p>
    <w:p>
      <w:pPr>
        <w:pStyle w:val="TextBody"/>
        <w:spacing w:before="120" w:after="0"/>
        <w:jc w:val="left"/>
        <w:rPr>
          <w:rFonts w:ascii="ARIAL" w:hAnsi="ARIAL"/>
          <w:sz w:val="20"/>
          <w:bdr w:val="single" w:sz="2" w:space="1" w:color="000000"/>
        </w:rPr>
      </w:pPr>
      <w:r>
        <w:rPr>
          <w:rFonts w:ascii="ARIAL" w:hAnsi="ARIAL"/>
          <w:sz w:val="20"/>
          <w:bdr w:val="single" w:sz="2" w:space="1" w:color="000000"/>
        </w:rPr>
        <w:t xml:space="preserve">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 </w:t>
      </w:r>
    </w:p>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not being required to comply with the auditor attestation requirements of Section 404 of the Sarbanes-Oxley Act of 2002;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not being required to submit certain executive compensation matters to shareholder advisory votes, such as say-on-pay, say-on-frequency, and say-on-golden parachutes; and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not being required to disclose certain executive compensation related items such as the correlation between executive compensation and performance and comparisons of the chief executive officers compensation to median employee compensation. 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ADSs held by non-affiliates exceeds $700 million as of the last business day of our most recently completed second fiscal quarter; or (iv) the date on which we have issued more than $1.0 billion in non-convertible debt securities during any three-year period. </w:t>
            </w:r>
          </w:p>
        </w:tc>
      </w:tr>
    </w:tbl>
    <w:p>
      <w:pPr>
        <w:pStyle w:val="TextBody"/>
        <w:jc w:val="left"/>
        <w:rPr>
          <w:bdr w:val="single" w:sz="2" w:space="1" w:color="000000"/>
        </w:rPr>
      </w:pPr>
      <w:r>
        <w:rPr>
          <w:bdr w:val="single" w:sz="2" w:space="1" w:color="000000"/>
        </w:rPr>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ARIAL" w:hAnsi="ARIAL"/>
          <w:b/>
          <w:sz w:val="20"/>
          <w:bdr w:val="single" w:sz="2" w:space="1" w:color="000000"/>
        </w:rPr>
      </w:pPr>
      <w:r>
        <w:rPr>
          <w:rFonts w:ascii="ARIAL" w:hAnsi="ARIAL"/>
          <w:b/>
          <w:sz w:val="20"/>
          <w:bdr w:val="single" w:sz="2" w:space="1" w:color="000000"/>
        </w:rPr>
        <w:t xml:space="preserve">Foreign Private Issuer </w:t>
      </w:r>
    </w:p>
    <w:p>
      <w:pPr>
        <w:pStyle w:val="TextBody"/>
        <w:spacing w:before="120" w:after="0"/>
        <w:jc w:val="left"/>
        <w:rPr>
          <w:rFonts w:ascii="ARIAL" w:hAnsi="ARIAL"/>
          <w:sz w:val="20"/>
          <w:bdr w:val="single" w:sz="2" w:space="1" w:color="000000"/>
        </w:rPr>
      </w:pPr>
      <w:r>
        <w:rPr>
          <w:rFonts w:ascii="ARIAL" w:hAnsi="ARIAL"/>
          <w:sz w:val="20"/>
          <w:bdr w:val="single" w:sz="2" w:space="1" w:color="000000"/>
        </w:rPr>
        <w:t xml:space="preserve">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 </w:t>
      </w:r>
    </w:p>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the rules under the Exchange Act requiring the filing with the SEC of quarterly reports on Form 10-Q containing unaudited financial and other specific information, or current reports on Form 8-K, upon the occurrence of specified significant events. </w:t>
            </w:r>
          </w:p>
        </w:tc>
      </w:tr>
    </w:tbl>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certain issuances of equity securities. </w:t>
      </w:r>
    </w:p>
    <w:p>
      <w:pPr>
        <w:pStyle w:val="TextBody"/>
        <w:spacing w:before="240" w:after="0"/>
        <w:jc w:val="left"/>
        <w:rPr>
          <w:rFonts w:ascii="ARIAL" w:hAnsi="ARIAL"/>
          <w:b/>
          <w:sz w:val="20"/>
          <w:bdr w:val="single" w:sz="2" w:space="1" w:color="000000"/>
        </w:rPr>
      </w:pPr>
      <w:r>
        <w:rPr>
          <w:rFonts w:ascii="ARIAL" w:hAnsi="ARIAL"/>
          <w:b/>
          <w:sz w:val="20"/>
          <w:bdr w:val="single" w:sz="2" w:space="1" w:color="000000"/>
        </w:rPr>
        <w:t xml:space="preserve">Corporate Information </w:t>
      </w:r>
    </w:p>
    <w:p>
      <w:pPr>
        <w:pStyle w:val="TextBody"/>
        <w:spacing w:before="120" w:after="0"/>
        <w:jc w:val="left"/>
        <w:rPr>
          <w:rFonts w:ascii="ARIAL" w:hAnsi="ARIAL"/>
          <w:sz w:val="20"/>
          <w:bdr w:val="single" w:sz="2" w:space="1" w:color="000000"/>
        </w:rPr>
      </w:pPr>
      <w:r>
        <w:rPr>
          <w:rFonts w:ascii="ARIAL" w:hAnsi="ARIAL"/>
          <w:sz w:val="20"/>
          <w:bdr w:val="single" w:sz="2" w:space="1" w:color="000000"/>
        </w:rPr>
        <w:t xml:space="preserve">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 </w:t>
      </w:r>
    </w:p>
    <w:p>
      <w:pPr>
        <w:pStyle w:val="TextBody"/>
        <w:jc w:val="left"/>
        <w:rPr>
          <w:bdr w:val="single" w:sz="2" w:space="1" w:color="000000"/>
        </w:rPr>
      </w:pPr>
      <w:r>
        <w:rPr>
          <w:bdr w:val="single" w:sz="2" w:space="1" w:color="000000"/>
        </w:rPr>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5" w:name="toc159178_3"/>
      <w:bookmarkEnd w:id="5"/>
      <w:r>
        <w:rPr>
          <w:rFonts w:ascii="ARIAL" w:hAnsi="ARIAL"/>
          <w:b/>
          <w:sz w:val="20"/>
        </w:rPr>
        <w:t xml:space="preserve">RISK FACTORS </w:t>
      </w:r>
    </w:p>
    <w:p>
      <w:pPr>
        <w:pStyle w:val="TextBody"/>
        <w:spacing w:before="240" w:after="0"/>
        <w:jc w:val="left"/>
        <w:rPr>
          <w:rFonts w:ascii="ARIAL" w:hAnsi="ARIAL"/>
          <w:sz w:val="20"/>
        </w:rPr>
      </w:pPr>
      <w:r>
        <w:rPr>
          <w:rFonts w:ascii="ARIAL" w:hAnsi="ARIAL"/>
          <w:sz w:val="20"/>
        </w:rPr>
        <w:t xml:space="preserve">Investing in our securities involves significant risks. Before making an investment decision, you should carefully consider the risks described below and under Risk Factors under Item 3.D.  Risk Factors in our most recent Annual Report on Form 20-F, and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w:t>
      </w:r>
    </w:p>
    <w:p>
      <w:pPr>
        <w:pStyle w:val="TextBody"/>
        <w:spacing w:before="240" w:after="0"/>
        <w:jc w:val="left"/>
        <w:rPr>
          <w:rFonts w:ascii="ARIAL" w:hAnsi="ARIAL"/>
          <w:b/>
          <w:i/>
          <w:sz w:val="20"/>
        </w:rPr>
      </w:pPr>
      <w:r>
        <w:rPr>
          <w:rFonts w:ascii="ARIAL" w:hAnsi="ARIAL"/>
          <w:b/>
          <w:i/>
          <w:sz w:val="20"/>
        </w:rPr>
        <w:t xml:space="preserve">The ongoing COVID-19 pandemic and uncertainty regarding the pace, extent and permanence of recovery may materially impact our business including planned clinical developments and our ongoing clinical studies. </w:t>
      </w:r>
    </w:p>
    <w:p>
      <w:pPr>
        <w:pStyle w:val="TextBody"/>
        <w:spacing w:before="120" w:after="0"/>
        <w:jc w:val="left"/>
        <w:rPr>
          <w:rFonts w:ascii="ARIAL" w:hAnsi="ARIAL"/>
          <w:sz w:val="20"/>
        </w:rPr>
      </w:pPr>
      <w:r>
        <w:rPr>
          <w:rFonts w:ascii="ARIAL" w:hAnsi="ARIAL"/>
          <w:sz w:val="20"/>
        </w:rPr>
        <w:t xml:space="preserve">COVID-19 continues to impact businesses, economies and health care systems around the world. Further, considerable uncertainty remains regarding the pace, extent and permanence of recovery due to uneven vaccine access and distribution among and within different countries, the emergence of new COVID-19 variants (e.g., Delta) and the willingness and ability of societies to return to pre-pandemic economic and social routines. </w:t>
      </w:r>
    </w:p>
    <w:p>
      <w:pPr>
        <w:pStyle w:val="TextBody"/>
        <w:spacing w:before="240" w:after="0"/>
        <w:jc w:val="left"/>
        <w:rPr>
          <w:rFonts w:ascii="ARIAL" w:hAnsi="ARIAL"/>
          <w:sz w:val="20"/>
        </w:rPr>
      </w:pPr>
      <w:r>
        <w:rPr>
          <w:rFonts w:ascii="ARIAL" w:hAnsi="ARIAL"/>
          <w:sz w:val="20"/>
        </w:rPr>
        <w:t xml:space="preserve">The majority of our work force has worked from home since the beginning of the COVID-19 pandemic due to government and local regulations. The official reopening of traditional workspaces and willingness of employees to return remain subject to continuous guidance and changes depending on the successful containment of COVID-19. Therefore, there will continue to be both direct and indirect impacts to businesses including disruptions to resources, inability of workers to carry out their jobs effectively, disruptions to manufacturing, supply chains, inability to travel and increased pressure on health systems required to treat COVID-19. </w:t>
      </w:r>
    </w:p>
    <w:p>
      <w:pPr>
        <w:pStyle w:val="TextBody"/>
        <w:spacing w:before="240" w:after="0"/>
        <w:jc w:val="left"/>
        <w:rPr>
          <w:rFonts w:ascii="ARIAL" w:hAnsi="ARIAL"/>
          <w:sz w:val="20"/>
        </w:rPr>
      </w:pPr>
      <w:r>
        <w:rPr>
          <w:rFonts w:ascii="ARIAL" w:hAnsi="ARIAL"/>
          <w:sz w:val="20"/>
        </w:rPr>
        <w:t xml:space="preserve">COVID-19 has created an unprecedented burden on health systems in impacted countries around the world. As a result, clinical centers have diverted resources away from the performance of clinical trials and because of that and the vulnerability of patients in the Companys Phase 2 alvelestat program for patients with severe AATD, the Companys clinical activities will face some delays. AATD patients, in particular, are at greater risk from COVID-19 given that the condition is a respiratory and lung condition, for this reason, our Phase 2 alvelestat trial has been delayed. The Company expects to report on this study in late 2021. We have initiated a Phase 1b/2 study with etigilimab in a range of tumor types and we may face delays in enrollment in this study. </w:t>
      </w:r>
    </w:p>
    <w:p>
      <w:pPr>
        <w:pStyle w:val="TextBody"/>
        <w:spacing w:before="240" w:after="0"/>
        <w:jc w:val="left"/>
        <w:rPr>
          <w:rFonts w:ascii="ARIAL" w:hAnsi="ARIAL"/>
          <w:sz w:val="20"/>
        </w:rPr>
      </w:pPr>
      <w:r>
        <w:rPr>
          <w:rFonts w:ascii="ARIAL" w:hAnsi="ARIAL"/>
          <w:sz w:val="20"/>
        </w:rPr>
        <w:t xml:space="preserve">As a result of the COVID-19 pandemic and the ability of the United States, United Kingdom and other jurisdictions in which we operate to fully recover, we may experience disruptions that would significantly impact our business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A delay or interruption in our ability to enroll and treat patients and to obtain data from ongoing clinical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delay in our timelines for the initiation of new clinical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delay in our ability to further recruit patients to our clinical trials and to screen patients for eligibility for our clinical trials;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Interruption to key clinical trial activities including monitoring of clinical sites, patient visits, inability to follow patients after they have received treatment and patient assessments and patients dropping out from trials early reduce the numbers impacting efficacy analysis;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A delay in availability of additional drug product for etigilimab, alvelestat and setrusumab due to lack of manufacturing capacity and/or raw materials at our third-party CMOs;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A delay in our ability to close and negotiate third-party partnerships or collaborations or to progress third-party collaborations already in place;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Limitations on employee resources as a result of increased sickness, requirement for employees to care for family members or requirement for employees to self-isolate themselves;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Interruptions and delays in our development programs as a result of the government required stay-at-home guidelines;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Delay in responses from regulatory authorities in relation to approvals, amendments or other regulatory engagements required for our ongoing development activities;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Supply chain interruptions;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Diversion of CMO activities and raw materials to COVID-19 products, including restrictions imposed by various governments, causing delays to clinical trial supplies. </w:t>
            </w:r>
          </w:p>
        </w:tc>
      </w:tr>
    </w:tbl>
    <w:p>
      <w:pPr>
        <w:pStyle w:val="TextBody"/>
        <w:spacing w:before="240" w:after="0"/>
        <w:jc w:val="left"/>
        <w:rPr>
          <w:rFonts w:ascii="ARIAL" w:hAnsi="ARIAL"/>
          <w:sz w:val="20"/>
        </w:rPr>
      </w:pPr>
      <w:r>
        <w:rPr>
          <w:rFonts w:ascii="ARIAL" w:hAnsi="ARIAL"/>
          <w:sz w:val="20"/>
        </w:rPr>
        <w:t xml:space="preserve">The COVID-19 pandemic continues to rapidly evolve and the extent to which it may impact our future business is highly uncertain and difficult to predict. In particular it is not currently known how long travel restrictions and social distancing/isolation requirements will continue to apply in the countries in which we operate and the impact on global health systems, financial markets or the economy as a whole is not yet known.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6" w:name="toc159178_4"/>
      <w:bookmarkEnd w:id="6"/>
      <w:r>
        <w:rPr>
          <w:rFonts w:ascii="ARIAL" w:hAnsi="ARIAL"/>
          <w:b/>
          <w:sz w:val="20"/>
        </w:rPr>
        <w:t xml:space="preserve">SPECIAL NOTE REGARDING FORWARD-LOOKING STATEMENTS </w:t>
      </w:r>
    </w:p>
    <w:p>
      <w:pPr>
        <w:pStyle w:val="TextBody"/>
        <w:spacing w:before="240" w:after="0"/>
        <w:jc w:val="left"/>
        <w:rPr>
          <w:rFonts w:ascii="ARIAL" w:hAnsi="ARIAL"/>
          <w:sz w:val="20"/>
        </w:rPr>
      </w:pPr>
      <w:r>
        <w:rPr>
          <w:rFonts w:ascii="ARIAL" w:hAnsi="ARIAL"/>
          <w:sz w:val="20"/>
        </w:rPr>
        <w:t xml:space="preserve">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 </w:t>
      </w:r>
    </w:p>
    <w:p>
      <w:pPr>
        <w:pStyle w:val="TextBody"/>
        <w:spacing w:before="240" w:after="0"/>
        <w:jc w:val="left"/>
        <w:rPr>
          <w:rFonts w:ascii="ARIAL" w:hAnsi="ARIAL"/>
          <w:sz w:val="20"/>
        </w:rPr>
      </w:pPr>
      <w:r>
        <w:rPr>
          <w:rFonts w:ascii="ARIAL" w:hAnsi="ARIAL"/>
          <w:sz w:val="20"/>
        </w:rPr>
        <w:t xml:space="preserve">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 </w:t>
      </w:r>
    </w:p>
    <w:p>
      <w:pPr>
        <w:pStyle w:val="TextBody"/>
        <w:spacing w:before="240" w:after="0"/>
        <w:jc w:val="left"/>
        <w:rPr>
          <w:rFonts w:ascii="ARIAL" w:hAnsi="ARIAL"/>
          <w:sz w:val="20"/>
        </w:rPr>
      </w:pPr>
      <w:r>
        <w:rPr>
          <w:rFonts w:ascii="ARIAL" w:hAnsi="ARIAL"/>
          <w:sz w:val="20"/>
        </w:rPr>
        <w:t xml:space="preserve">Forward-looking statements include, but are not limited to,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development of our product candidates, including statements regarding the expected initiation, timing, progress, and availability of data from our clinical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potential attributes and benefits of our product candidates and their competitive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our ability to partner or sell our two product candidates, acumapimod for the treatment of AECOPD and leflutrozole for the treatment of infertility and HH in obese men, on attractive terms or at 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our ability to successfully commercialize, or enter into strategic relationships with third parties to commercialize, our product candidates, if approved;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our estimates regarding expenses, future revenues, capital requirements, and our need for additional financing;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our being subject to ongoing regulatory obligations if our products secure regulatory approval;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our reliance on third parties to conduct our clinical trials and on third-party suppliers to supply or produce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patient market size of any diseases and market adoption of our products by physicians and patients;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our ability to obtain and maintain adequate intellectual property rights and adequately protect and enforce such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duration of our patent portfolio;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COVID-19 pandemic and the associated disruptions that could materially impact our business, including, delays to clinical trial supplies, planned clinical developments and our ongoing clinical studies;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our ability to retain key personnel and recruit additional qualified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our ability to manage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our ability to successfully integrate and realize the benefits of our past or future strategic acquisitions or investments;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other risk factors discussed under Risk Factors.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w:t>
      </w:r>
    </w:p>
    <w:p>
      <w:pPr>
        <w:pStyle w:val="TextBody"/>
        <w:spacing w:before="240" w:after="0"/>
        <w:jc w:val="left"/>
        <w:rPr>
          <w:rFonts w:ascii="ARIAL" w:hAnsi="ARIAL"/>
          <w:sz w:val="20"/>
        </w:rPr>
      </w:pPr>
      <w:r>
        <w:rPr>
          <w:rFonts w:ascii="ARIAL" w:hAnsi="ARIAL"/>
          <w:sz w:val="20"/>
        </w:rPr>
        <w:t xml:space="preserve">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7" w:name="toc159178_5"/>
      <w:bookmarkEnd w:id="7"/>
      <w:r>
        <w:rPr>
          <w:rFonts w:ascii="ARIAL" w:hAnsi="ARIAL"/>
          <w:b/>
          <w:sz w:val="20"/>
        </w:rPr>
        <w:t xml:space="preserve">CAPITALIZATION </w:t>
      </w:r>
    </w:p>
    <w:p>
      <w:pPr>
        <w:pStyle w:val="TextBody"/>
        <w:spacing w:before="240" w:after="0"/>
        <w:jc w:val="left"/>
        <w:rPr>
          <w:rFonts w:ascii="ARIAL" w:hAnsi="ARIAL"/>
          <w:sz w:val="20"/>
        </w:rPr>
      </w:pPr>
      <w:r>
        <w:rPr>
          <w:rFonts w:ascii="ARIAL" w:hAnsi="ARIAL"/>
          <w:sz w:val="20"/>
        </w:rPr>
        <w:t xml:space="preserve">The table below sets forth our cash and short-term deposits and capitalization as of December 31, 2020, the latest date for which we have audited financial statements and the information below available to us.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 </w:t>
      </w:r>
    </w:p>
    <w:p>
      <w:pPr>
        <w:pStyle w:val="TextBody"/>
        <w:spacing w:before="240" w:after="0"/>
        <w:jc w:val="left"/>
        <w:rPr>
          <w:rFonts w:ascii="ARIAL" w:hAnsi="ARIAL"/>
          <w:sz w:val="20"/>
        </w:rPr>
      </w:pPr>
      <w:r>
        <w:rPr>
          <w:rFonts w:ascii="ARIAL" w:hAnsi="ARIAL"/>
          <w:sz w:val="20"/>
        </w:rPr>
        <w:t xml:space="preserve">For the convenience of the reader, we have translated pound sterling amounts in the table below into U.S. dollars at an exchange rate of £0.731 to US$1.00, the exchange rate for pound sterling on December 31, 2020. These translations should not be considered representations that any such amounts have been, could have been or could be converted into U.S. dollars at that or any other exchange rate as of that or any other date. </w:t>
      </w:r>
    </w:p>
    <w:p>
      <w:pPr>
        <w:pStyle w:val="TextBody"/>
        <w:spacing w:before="0" w:after="0"/>
        <w:jc w:val="left"/>
        <w:rPr/>
      </w:pPr>
      <w:r>
        <w:rPr/>
        <w:t> </w:t>
      </w:r>
    </w:p>
    <w:tbl>
      <w:tblPr>
        <w:tblW w:w="4700" w:type="pct"/>
        <w:jc w:val="center"/>
        <w:tblInd w:w="0" w:type="dxa"/>
        <w:tblCellMar>
          <w:top w:w="0" w:type="dxa"/>
          <w:left w:w="0" w:type="dxa"/>
          <w:bottom w:w="0" w:type="dxa"/>
          <w:right w:w="0" w:type="dxa"/>
        </w:tblCellMar>
      </w:tblPr>
      <w:tblGrid>
        <w:gridCol w:w="6529"/>
        <w:gridCol w:w="261"/>
        <w:gridCol w:w="140"/>
        <w:gridCol w:w="918"/>
        <w:gridCol w:w="157"/>
        <w:gridCol w:w="369"/>
        <w:gridCol w:w="140"/>
        <w:gridCol w:w="918"/>
        <w:gridCol w:w="160"/>
      </w:tblGrid>
      <w:tr>
        <w:trPr/>
        <w:tc>
          <w:tcPr>
            <w:tcW w:w="652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29"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64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2020</w:t>
            </w:r>
          </w:p>
        </w:tc>
        <w:tc>
          <w:tcPr>
            <w:tcW w:w="160" w:type="dxa"/>
            <w:tcBorders/>
            <w:shd w:fill="auto" w:val="clear"/>
            <w:vAlign w:val="bottom"/>
          </w:tcPr>
          <w:p>
            <w:pPr>
              <w:pStyle w:val="TableContents"/>
              <w:spacing w:before="0" w:after="283"/>
              <w:rPr/>
            </w:pPr>
            <w:r>
              <w:rPr/>
              <w:t> </w:t>
            </w:r>
          </w:p>
        </w:tc>
      </w:tr>
      <w:tr>
        <w:trPr/>
        <w:tc>
          <w:tcPr>
            <w:tcW w:w="6529"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642" w:type="dxa"/>
            <w:gridSpan w:val="6"/>
            <w:tcBorders/>
            <w:shd w:fill="auto" w:val="clear"/>
            <w:vAlign w:val="bottom"/>
          </w:tcPr>
          <w:p>
            <w:pPr>
              <w:pStyle w:val="TableContents"/>
              <w:spacing w:before="0" w:after="283"/>
              <w:jc w:val="center"/>
              <w:rPr>
                <w:b/>
              </w:rPr>
            </w:pPr>
            <w:r>
              <w:rPr>
                <w:b/>
              </w:rPr>
              <w:t>(in thousands)</w:t>
            </w:r>
          </w:p>
        </w:tc>
        <w:tc>
          <w:tcPr>
            <w:tcW w:w="160" w:type="dxa"/>
            <w:tcBorders/>
            <w:shd w:fill="auto" w:val="clear"/>
            <w:vAlign w:val="bottom"/>
          </w:tcPr>
          <w:p>
            <w:pPr>
              <w:pStyle w:val="TableContents"/>
              <w:spacing w:before="0" w:after="283"/>
              <w:rPr/>
            </w:pPr>
            <w:r>
              <w:rPr/>
              <w:t> </w:t>
            </w:r>
          </w:p>
        </w:tc>
      </w:tr>
      <w:tr>
        <w:trPr/>
        <w:tc>
          <w:tcPr>
            <w:tcW w:w="6529" w:type="dxa"/>
            <w:tcBorders/>
            <w:shd w:fill="CCEEFF" w:val="clear"/>
          </w:tcPr>
          <w:p>
            <w:pPr>
              <w:pStyle w:val="TableContents"/>
              <w:spacing w:before="0" w:after="0"/>
              <w:rPr>
                <w:rFonts w:ascii="ARIAL" w:hAnsi="ARIAL"/>
                <w:sz w:val="20"/>
              </w:rPr>
            </w:pPr>
            <w:r>
              <w:rPr>
                <w:rFonts w:ascii="ARIAL" w:hAnsi="ARIAL"/>
                <w:sz w:val="20"/>
              </w:rPr>
              <w:t>Cash and short-term deposits</w:t>
            </w:r>
          </w:p>
        </w:tc>
        <w:tc>
          <w:tcPr>
            <w:tcW w:w="2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18" w:type="dxa"/>
            <w:tcBorders/>
            <w:shd w:fill="CCEEFF" w:val="clear"/>
            <w:vAlign w:val="bottom"/>
          </w:tcPr>
          <w:p>
            <w:pPr>
              <w:pStyle w:val="TableContents"/>
              <w:spacing w:before="0" w:after="283"/>
              <w:jc w:val="right"/>
              <w:rPr/>
            </w:pPr>
            <w:r>
              <w:rPr/>
              <w:t>23,469</w:t>
            </w:r>
          </w:p>
        </w:tc>
        <w:tc>
          <w:tcPr>
            <w:tcW w:w="15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18" w:type="dxa"/>
            <w:tcBorders/>
            <w:shd w:fill="CCEEFF" w:val="clear"/>
            <w:vAlign w:val="bottom"/>
          </w:tcPr>
          <w:p>
            <w:pPr>
              <w:pStyle w:val="TableContents"/>
              <w:spacing w:before="0" w:after="283"/>
              <w:jc w:val="right"/>
              <w:rPr/>
            </w:pPr>
            <w:r>
              <w:rPr/>
              <w:t>32,105</w:t>
            </w:r>
          </w:p>
        </w:tc>
        <w:tc>
          <w:tcPr>
            <w:tcW w:w="160" w:type="dxa"/>
            <w:tcBorders/>
            <w:shd w:fill="CCEEFF" w:val="clear"/>
            <w:vAlign w:val="bottom"/>
          </w:tcPr>
          <w:p>
            <w:pPr>
              <w:pStyle w:val="TableContents"/>
              <w:spacing w:before="0" w:after="283"/>
              <w:rPr/>
            </w:pPr>
            <w:r>
              <w:rPr/>
              <w:t> </w:t>
            </w:r>
          </w:p>
        </w:tc>
      </w:tr>
      <w:tr>
        <w:trPr/>
        <w:tc>
          <w:tcPr>
            <w:tcW w:w="6529"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18" w:type="dxa"/>
            <w:tcBorders/>
            <w:shd w:fill="auto" w:val="clear"/>
            <w:vAlign w:val="bottom"/>
          </w:tcPr>
          <w:p>
            <w:pPr>
              <w:pStyle w:val="TableContents"/>
              <w:pBdr>
                <w:top w:val="double" w:sz="6"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18"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529" w:type="dxa"/>
            <w:tcBorders/>
            <w:shd w:fill="auto" w:val="clear"/>
          </w:tcPr>
          <w:p>
            <w:pPr>
              <w:pStyle w:val="TableContents"/>
              <w:spacing w:before="0" w:after="0"/>
              <w:rPr>
                <w:rFonts w:ascii="ARIAL" w:hAnsi="ARIAL"/>
                <w:sz w:val="20"/>
              </w:rPr>
            </w:pPr>
            <w:r>
              <w:rPr>
                <w:rFonts w:ascii="ARIAL" w:hAnsi="ARIAL"/>
                <w:sz w:val="20"/>
              </w:rPr>
              <w:t>Total interest bearing loans and borrowings</w:t>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16,142</w:t>
            </w:r>
          </w:p>
        </w:tc>
        <w:tc>
          <w:tcPr>
            <w:tcW w:w="15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22,082</w:t>
            </w:r>
          </w:p>
        </w:tc>
        <w:tc>
          <w:tcPr>
            <w:tcW w:w="160" w:type="dxa"/>
            <w:tcBorders/>
            <w:shd w:fill="auto" w:val="clear"/>
            <w:vAlign w:val="bottom"/>
          </w:tcPr>
          <w:p>
            <w:pPr>
              <w:pStyle w:val="TableContents"/>
              <w:spacing w:before="0" w:after="283"/>
              <w:rPr/>
            </w:pPr>
            <w:r>
              <w:rPr/>
              <w:t> </w:t>
            </w:r>
          </w:p>
        </w:tc>
      </w:tr>
      <w:tr>
        <w:trPr/>
        <w:tc>
          <w:tcPr>
            <w:tcW w:w="6529" w:type="dxa"/>
            <w:tcBorders/>
            <w:shd w:fill="CCEEFF" w:val="clear"/>
          </w:tcPr>
          <w:p>
            <w:pPr>
              <w:pStyle w:val="TableContents"/>
              <w:spacing w:before="0" w:after="0"/>
              <w:rPr>
                <w:rFonts w:ascii="ARIAL" w:hAnsi="ARIAL"/>
                <w:sz w:val="20"/>
              </w:rPr>
            </w:pPr>
            <w:r>
              <w:rPr>
                <w:rFonts w:ascii="ARIAL" w:hAnsi="ARIAL"/>
                <w:sz w:val="20"/>
              </w:rPr>
              <w:t>Warrant liability</w:t>
            </w:r>
          </w:p>
        </w:tc>
        <w:tc>
          <w:tcPr>
            <w:tcW w:w="2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50,775</w:t>
            </w:r>
          </w:p>
        </w:tc>
        <w:tc>
          <w:tcPr>
            <w:tcW w:w="15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69,460</w:t>
            </w:r>
          </w:p>
        </w:tc>
        <w:tc>
          <w:tcPr>
            <w:tcW w:w="160" w:type="dxa"/>
            <w:tcBorders/>
            <w:shd w:fill="CCEEFF" w:val="clear"/>
            <w:vAlign w:val="bottom"/>
          </w:tcPr>
          <w:p>
            <w:pPr>
              <w:pStyle w:val="TableContents"/>
              <w:spacing w:before="0" w:after="283"/>
              <w:rPr/>
            </w:pPr>
            <w:r>
              <w:rPr/>
              <w:t> </w:t>
            </w:r>
          </w:p>
        </w:tc>
      </w:tr>
      <w:tr>
        <w:trPr/>
        <w:tc>
          <w:tcPr>
            <w:tcW w:w="6529"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8"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8"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529" w:type="dxa"/>
            <w:tcBorders/>
            <w:shd w:fill="auto" w:val="clear"/>
          </w:tcPr>
          <w:p>
            <w:pPr>
              <w:pStyle w:val="TableContents"/>
              <w:spacing w:before="0" w:after="0"/>
              <w:rPr>
                <w:rFonts w:ascii="ARIAL" w:hAnsi="ARIAL"/>
                <w:sz w:val="20"/>
              </w:rPr>
            </w:pPr>
            <w:r>
              <w:rPr>
                <w:rFonts w:ascii="ARIAL" w:hAnsi="ARIAL"/>
                <w:sz w:val="20"/>
              </w:rPr>
              <w:t>Equity:</w:t>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18"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1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6529" w:type="dxa"/>
            <w:tcBorders/>
            <w:shd w:fill="CCEEFF" w:val="clear"/>
          </w:tcPr>
          <w:p>
            <w:pPr>
              <w:pStyle w:val="TableContents"/>
              <w:spacing w:before="0" w:after="0"/>
              <w:rPr>
                <w:rFonts w:ascii="ARIAL" w:hAnsi="ARIAL"/>
                <w:sz w:val="20"/>
              </w:rPr>
            </w:pPr>
            <w:r>
              <w:rPr>
                <w:rFonts w:ascii="ARIAL" w:hAnsi="ARIAL"/>
                <w:sz w:val="20"/>
              </w:rPr>
              <w:t>Issued capital</w:t>
            </w:r>
          </w:p>
        </w:tc>
        <w:tc>
          <w:tcPr>
            <w:tcW w:w="2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1,017</w:t>
            </w:r>
          </w:p>
        </w:tc>
        <w:tc>
          <w:tcPr>
            <w:tcW w:w="15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1,391</w:t>
            </w:r>
          </w:p>
        </w:tc>
        <w:tc>
          <w:tcPr>
            <w:tcW w:w="160" w:type="dxa"/>
            <w:tcBorders/>
            <w:shd w:fill="CCEEFF" w:val="clear"/>
            <w:vAlign w:val="bottom"/>
          </w:tcPr>
          <w:p>
            <w:pPr>
              <w:pStyle w:val="TableContents"/>
              <w:spacing w:before="0" w:after="283"/>
              <w:rPr/>
            </w:pPr>
            <w:r>
              <w:rPr/>
              <w:t> </w:t>
            </w:r>
          </w:p>
        </w:tc>
      </w:tr>
      <w:tr>
        <w:trPr/>
        <w:tc>
          <w:tcPr>
            <w:tcW w:w="6529" w:type="dxa"/>
            <w:tcBorders/>
            <w:shd w:fill="auto" w:val="clear"/>
          </w:tcPr>
          <w:p>
            <w:pPr>
              <w:pStyle w:val="TableContents"/>
              <w:spacing w:before="0" w:after="0"/>
              <w:rPr>
                <w:rFonts w:ascii="ARIAL" w:hAnsi="ARIAL"/>
                <w:sz w:val="20"/>
              </w:rPr>
            </w:pPr>
            <w:r>
              <w:rPr>
                <w:rFonts w:ascii="ARIAL" w:hAnsi="ARIAL"/>
                <w:sz w:val="20"/>
              </w:rPr>
              <w:t>Employee Benefit Trust shares</w:t>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(1,305</w:t>
            </w:r>
          </w:p>
        </w:tc>
        <w:tc>
          <w:tcPr>
            <w:tcW w:w="15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(1,785</w:t>
            </w:r>
          </w:p>
        </w:tc>
        <w:tc>
          <w:tcPr>
            <w:tcW w:w="160" w:type="dxa"/>
            <w:tcBorders/>
            <w:shd w:fill="auto" w:val="clear"/>
            <w:vAlign w:val="bottom"/>
          </w:tcPr>
          <w:p>
            <w:pPr>
              <w:pStyle w:val="TableContents"/>
              <w:spacing w:before="0" w:after="283"/>
              <w:rPr/>
            </w:pPr>
            <w:r>
              <w:rPr/>
              <w:t>) </w:t>
            </w:r>
          </w:p>
        </w:tc>
      </w:tr>
      <w:tr>
        <w:trPr/>
        <w:tc>
          <w:tcPr>
            <w:tcW w:w="6529" w:type="dxa"/>
            <w:tcBorders/>
            <w:shd w:fill="CCEEFF" w:val="clear"/>
          </w:tcPr>
          <w:p>
            <w:pPr>
              <w:pStyle w:val="TableContents"/>
              <w:spacing w:before="0" w:after="0"/>
              <w:rPr>
                <w:rFonts w:ascii="ARIAL" w:hAnsi="ARIAL"/>
                <w:sz w:val="20"/>
              </w:rPr>
            </w:pPr>
            <w:r>
              <w:rPr>
                <w:rFonts w:ascii="ARIAL" w:hAnsi="ARIAL"/>
                <w:sz w:val="20"/>
              </w:rPr>
              <w:t>Share premium</w:t>
            </w:r>
          </w:p>
        </w:tc>
        <w:tc>
          <w:tcPr>
            <w:tcW w:w="2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161,785</w:t>
            </w:r>
          </w:p>
        </w:tc>
        <w:tc>
          <w:tcPr>
            <w:tcW w:w="15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221,320</w:t>
            </w:r>
          </w:p>
        </w:tc>
        <w:tc>
          <w:tcPr>
            <w:tcW w:w="160" w:type="dxa"/>
            <w:tcBorders/>
            <w:shd w:fill="CCEEFF" w:val="clear"/>
            <w:vAlign w:val="bottom"/>
          </w:tcPr>
          <w:p>
            <w:pPr>
              <w:pStyle w:val="TableContents"/>
              <w:spacing w:before="0" w:after="283"/>
              <w:rPr/>
            </w:pPr>
            <w:r>
              <w:rPr/>
              <w:t> </w:t>
            </w:r>
          </w:p>
        </w:tc>
      </w:tr>
      <w:tr>
        <w:trPr/>
        <w:tc>
          <w:tcPr>
            <w:tcW w:w="6529" w:type="dxa"/>
            <w:tcBorders/>
            <w:shd w:fill="auto" w:val="clear"/>
          </w:tcPr>
          <w:p>
            <w:pPr>
              <w:pStyle w:val="TableContents"/>
              <w:spacing w:before="0" w:after="0"/>
              <w:rPr>
                <w:rFonts w:ascii="ARIAL" w:hAnsi="ARIAL"/>
                <w:sz w:val="20"/>
              </w:rPr>
            </w:pPr>
            <w:r>
              <w:rPr>
                <w:rFonts w:ascii="ARIAL" w:hAnsi="ARIAL"/>
                <w:sz w:val="20"/>
              </w:rPr>
              <w:t>Other capital reserves</w:t>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128,374</w:t>
            </w:r>
          </w:p>
        </w:tc>
        <w:tc>
          <w:tcPr>
            <w:tcW w:w="15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175,614</w:t>
            </w:r>
          </w:p>
        </w:tc>
        <w:tc>
          <w:tcPr>
            <w:tcW w:w="160" w:type="dxa"/>
            <w:tcBorders/>
            <w:shd w:fill="auto" w:val="clear"/>
            <w:vAlign w:val="bottom"/>
          </w:tcPr>
          <w:p>
            <w:pPr>
              <w:pStyle w:val="TableContents"/>
              <w:spacing w:before="0" w:after="283"/>
              <w:rPr/>
            </w:pPr>
            <w:r>
              <w:rPr/>
              <w:t> </w:t>
            </w:r>
          </w:p>
        </w:tc>
      </w:tr>
      <w:tr>
        <w:trPr/>
        <w:tc>
          <w:tcPr>
            <w:tcW w:w="6529" w:type="dxa"/>
            <w:tcBorders/>
            <w:shd w:fill="CCEEFF" w:val="clear"/>
          </w:tcPr>
          <w:p>
            <w:pPr>
              <w:pStyle w:val="TableContents"/>
              <w:spacing w:before="0" w:after="0"/>
              <w:rPr>
                <w:rFonts w:ascii="ARIAL" w:hAnsi="ARIAL"/>
                <w:sz w:val="20"/>
              </w:rPr>
            </w:pPr>
            <w:r>
              <w:rPr>
                <w:rFonts w:ascii="ARIAL" w:hAnsi="ARIAL"/>
                <w:sz w:val="20"/>
              </w:rPr>
              <w:t>Accumulated loss</w:t>
            </w:r>
          </w:p>
        </w:tc>
        <w:tc>
          <w:tcPr>
            <w:tcW w:w="2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(309,693</w:t>
            </w:r>
          </w:p>
        </w:tc>
        <w:tc>
          <w:tcPr>
            <w:tcW w:w="15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(423,656</w:t>
            </w:r>
          </w:p>
        </w:tc>
        <w:tc>
          <w:tcPr>
            <w:tcW w:w="160" w:type="dxa"/>
            <w:tcBorders/>
            <w:shd w:fill="CCEEFF" w:val="clear"/>
            <w:vAlign w:val="bottom"/>
          </w:tcPr>
          <w:p>
            <w:pPr>
              <w:pStyle w:val="TableContents"/>
              <w:spacing w:before="0" w:after="283"/>
              <w:rPr/>
            </w:pPr>
            <w:r>
              <w:rPr/>
              <w:t>) </w:t>
            </w:r>
          </w:p>
        </w:tc>
      </w:tr>
      <w:tr>
        <w:trPr/>
        <w:tc>
          <w:tcPr>
            <w:tcW w:w="6529" w:type="dxa"/>
            <w:tcBorders/>
            <w:shd w:fill="auto" w:val="clear"/>
          </w:tcPr>
          <w:p>
            <w:pPr>
              <w:pStyle w:val="TableContents"/>
              <w:spacing w:before="0" w:after="0"/>
              <w:rPr>
                <w:rFonts w:ascii="ARIAL" w:hAnsi="ARIAL"/>
                <w:sz w:val="20"/>
              </w:rPr>
            </w:pPr>
            <w:r>
              <w:rPr>
                <w:rFonts w:ascii="ARIAL" w:hAnsi="ARIAL"/>
                <w:sz w:val="20"/>
              </w:rPr>
              <w:t>Other reserves</w:t>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5,001</w:t>
            </w:r>
          </w:p>
        </w:tc>
        <w:tc>
          <w:tcPr>
            <w:tcW w:w="15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6,841</w:t>
            </w:r>
          </w:p>
        </w:tc>
        <w:tc>
          <w:tcPr>
            <w:tcW w:w="160" w:type="dxa"/>
            <w:tcBorders/>
            <w:shd w:fill="auto" w:val="clear"/>
            <w:vAlign w:val="bottom"/>
          </w:tcPr>
          <w:p>
            <w:pPr>
              <w:pStyle w:val="TableContents"/>
              <w:spacing w:before="0" w:after="283"/>
              <w:rPr/>
            </w:pPr>
            <w:r>
              <w:rPr/>
              <w:t> </w:t>
            </w:r>
          </w:p>
        </w:tc>
      </w:tr>
      <w:tr>
        <w:trPr/>
        <w:tc>
          <w:tcPr>
            <w:tcW w:w="6529" w:type="dxa"/>
            <w:tcBorders/>
            <w:shd w:fill="CCEEFF" w:val="clear"/>
          </w:tcPr>
          <w:p>
            <w:pPr>
              <w:pStyle w:val="TableContents"/>
              <w:spacing w:before="0" w:after="0"/>
              <w:rPr>
                <w:rFonts w:ascii="ARIAL" w:hAnsi="ARIAL"/>
                <w:sz w:val="20"/>
              </w:rPr>
            </w:pPr>
            <w:r>
              <w:rPr>
                <w:rFonts w:ascii="ARIAL" w:hAnsi="ARIAL"/>
                <w:sz w:val="20"/>
              </w:rPr>
              <w:t>Translation reserve</w:t>
            </w:r>
          </w:p>
        </w:tc>
        <w:tc>
          <w:tcPr>
            <w:tcW w:w="2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(150</w:t>
            </w:r>
          </w:p>
        </w:tc>
        <w:tc>
          <w:tcPr>
            <w:tcW w:w="15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(205</w:t>
            </w:r>
          </w:p>
        </w:tc>
        <w:tc>
          <w:tcPr>
            <w:tcW w:w="160" w:type="dxa"/>
            <w:tcBorders/>
            <w:shd w:fill="CCEEFF" w:val="clear"/>
            <w:vAlign w:val="bottom"/>
          </w:tcPr>
          <w:p>
            <w:pPr>
              <w:pStyle w:val="TableContents"/>
              <w:spacing w:before="0" w:after="283"/>
              <w:rPr/>
            </w:pPr>
            <w:r>
              <w:rPr/>
              <w:t>) </w:t>
            </w:r>
          </w:p>
        </w:tc>
      </w:tr>
      <w:tr>
        <w:trPr/>
        <w:tc>
          <w:tcPr>
            <w:tcW w:w="6529"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8"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8"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529" w:type="dxa"/>
            <w:tcBorders/>
            <w:shd w:fill="auto" w:val="clear"/>
          </w:tcPr>
          <w:p>
            <w:pPr>
              <w:pStyle w:val="TableContents"/>
              <w:spacing w:before="0" w:after="0"/>
              <w:rPr>
                <w:rFonts w:ascii="ARIAL" w:hAnsi="ARIAL"/>
                <w:sz w:val="20"/>
              </w:rPr>
            </w:pPr>
            <w:r>
              <w:rPr>
                <w:rFonts w:ascii="ARIAL" w:hAnsi="ARIAL"/>
                <w:sz w:val="20"/>
              </w:rPr>
              <w:t>Total equity</w:t>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(14,971</w:t>
            </w:r>
          </w:p>
        </w:tc>
        <w:tc>
          <w:tcPr>
            <w:tcW w:w="15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(20,480</w:t>
            </w:r>
          </w:p>
        </w:tc>
        <w:tc>
          <w:tcPr>
            <w:tcW w:w="160" w:type="dxa"/>
            <w:tcBorders/>
            <w:shd w:fill="auto" w:val="clear"/>
            <w:vAlign w:val="bottom"/>
          </w:tcPr>
          <w:p>
            <w:pPr>
              <w:pStyle w:val="TableContents"/>
              <w:spacing w:before="0" w:after="283"/>
              <w:rPr/>
            </w:pPr>
            <w:r>
              <w:rPr/>
              <w:t>) </w:t>
            </w:r>
          </w:p>
        </w:tc>
      </w:tr>
      <w:tr>
        <w:trPr/>
        <w:tc>
          <w:tcPr>
            <w:tcW w:w="6529"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8"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8"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529" w:type="dxa"/>
            <w:tcBorders/>
            <w:shd w:fill="CCEEFF" w:val="clear"/>
          </w:tcPr>
          <w:p>
            <w:pPr>
              <w:pStyle w:val="TableContents"/>
              <w:spacing w:before="0" w:after="0"/>
              <w:rPr>
                <w:rFonts w:ascii="ARIAL" w:hAnsi="ARIAL"/>
                <w:sz w:val="20"/>
              </w:rPr>
            </w:pPr>
            <w:r>
              <w:rPr>
                <w:rFonts w:ascii="ARIAL" w:hAnsi="ARIAL"/>
                <w:sz w:val="20"/>
              </w:rPr>
              <w:t>Total Capitalization</w:t>
            </w:r>
          </w:p>
        </w:tc>
        <w:tc>
          <w:tcPr>
            <w:tcW w:w="2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18" w:type="dxa"/>
            <w:tcBorders/>
            <w:shd w:fill="CCEEFF" w:val="clear"/>
            <w:vAlign w:val="bottom"/>
          </w:tcPr>
          <w:p>
            <w:pPr>
              <w:pStyle w:val="TableContents"/>
              <w:spacing w:before="0" w:after="283"/>
              <w:jc w:val="right"/>
              <w:rPr/>
            </w:pPr>
            <w:r>
              <w:rPr/>
              <w:t>51,946</w:t>
            </w:r>
          </w:p>
        </w:tc>
        <w:tc>
          <w:tcPr>
            <w:tcW w:w="15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18" w:type="dxa"/>
            <w:tcBorders/>
            <w:shd w:fill="CCEEFF" w:val="clear"/>
            <w:vAlign w:val="bottom"/>
          </w:tcPr>
          <w:p>
            <w:pPr>
              <w:pStyle w:val="TableContents"/>
              <w:spacing w:before="0" w:after="283"/>
              <w:jc w:val="right"/>
              <w:rPr/>
            </w:pPr>
            <w:r>
              <w:rPr/>
              <w:t>71,062</w:t>
            </w:r>
          </w:p>
        </w:tc>
        <w:tc>
          <w:tcPr>
            <w:tcW w:w="160" w:type="dxa"/>
            <w:tcBorders/>
            <w:shd w:fill="CCEEFF" w:val="clear"/>
            <w:vAlign w:val="bottom"/>
          </w:tcPr>
          <w:p>
            <w:pPr>
              <w:pStyle w:val="TableContents"/>
              <w:spacing w:before="0" w:after="283"/>
              <w:rPr/>
            </w:pPr>
            <w:r>
              <w:rPr/>
              <w:t> </w:t>
            </w:r>
          </w:p>
        </w:tc>
      </w:tr>
      <w:tr>
        <w:trPr/>
        <w:tc>
          <w:tcPr>
            <w:tcW w:w="6529"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18" w:type="dxa"/>
            <w:tcBorders/>
            <w:shd w:fill="auto" w:val="clear"/>
            <w:vAlign w:val="bottom"/>
          </w:tcPr>
          <w:p>
            <w:pPr>
              <w:pStyle w:val="TableContents"/>
              <w:pBdr>
                <w:top w:val="double" w:sz="6"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18"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The number of ordinary shares indicated as issued and outstanding above is based on 338,953,141 ordinary shares outstanding as of December 31, 2020. As of June 30, 2021 we had 544,510,263 ordinary shares outstanding. As of December 31, 2020, our net tangible book value was negative £46.6 million.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8" w:name="toc159178_6"/>
      <w:bookmarkEnd w:id="8"/>
      <w:r>
        <w:rPr>
          <w:rFonts w:ascii="ARIAL" w:hAnsi="ARIAL"/>
          <w:b/>
          <w:sz w:val="20"/>
        </w:rPr>
        <w:t xml:space="preserve">USE OF PROCEEDS </w:t>
      </w:r>
    </w:p>
    <w:p>
      <w:pPr>
        <w:pStyle w:val="TextBody"/>
        <w:spacing w:before="240" w:after="0"/>
        <w:jc w:val="left"/>
        <w:rPr>
          <w:rFonts w:ascii="ARIAL" w:hAnsi="ARIAL"/>
          <w:sz w:val="20"/>
        </w:rPr>
      </w:pPr>
      <w:r>
        <w:rPr>
          <w:rFonts w:ascii="ARIAL" w:hAnsi="ARIAL"/>
          <w:sz w:val="20"/>
        </w:rPr>
        <w:t xml:space="preserve">We intend to use the net proceeds from the sale of the ADSs as set forth in the applicable prospectus supplement. We will not receive any of the proceeds from the sale of ADSs being offered by the Selling Shareholders. </w:t>
      </w:r>
    </w:p>
    <w:p>
      <w:pPr>
        <w:pStyle w:val="TextBody"/>
        <w:spacing w:before="240" w:after="0"/>
        <w:jc w:val="left"/>
        <w:rPr>
          <w:rFonts w:ascii="ARIAL" w:hAnsi="ARIAL"/>
          <w:sz w:val="20"/>
        </w:rPr>
      </w:pPr>
      <w:r>
        <w:rPr>
          <w:rFonts w:ascii="ARIAL" w:hAnsi="ARIAL"/>
          <w:sz w:val="20"/>
        </w:rPr>
        <w:t xml:space="preserve">The Selling Shareholders will pay any underwriting discounts and commissions and share transfer taxes incurred by the Selling Shareholders for brokerage or legal services or any other expenses incurred by the Selling Shareholders in disposing of ADSs. We will bear all other fees and expenses incurred in effecting the registration of the ADSs of the Selling Shareholders that are covered by this prospectus, including registration and filing fees, fees and expenses of our counsel and our independent registered public accountants.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9" w:name="toc159178_7"/>
      <w:bookmarkEnd w:id="9"/>
      <w:r>
        <w:rPr>
          <w:rFonts w:ascii="ARIAL" w:hAnsi="ARIAL"/>
          <w:b/>
          <w:sz w:val="20"/>
        </w:rPr>
        <w:t xml:space="preserve">DESCRIPTION OF SHARE CAPITAL </w:t>
      </w:r>
    </w:p>
    <w:p>
      <w:pPr>
        <w:pStyle w:val="TextBody"/>
        <w:spacing w:before="240" w:after="0"/>
        <w:jc w:val="left"/>
        <w:rPr>
          <w:rFonts w:ascii="ARIAL" w:hAnsi="ARIAL"/>
          <w:sz w:val="20"/>
        </w:rPr>
      </w:pPr>
      <w:r>
        <w:rPr>
          <w:rFonts w:ascii="ARIAL" w:hAnsi="ARIAL"/>
          <w:i/>
          <w:sz w:val="20"/>
        </w:rPr>
        <w:t>The following is a description of the ordinary shares, par value £0.003 per share, of Mereo BioPharma Group plc (the Company, we or us) which are represented by American Depositary Shares (ADSs) with each ADS representing five of our ordinary shares registered under Section</w:t>
      </w:r>
      <w:r>
        <w:rPr>
          <w:rFonts w:ascii="ARIAL" w:hAnsi="ARIAL"/>
          <w:sz w:val="20"/>
        </w:rPr>
        <w:t> </w:t>
      </w:r>
      <w:r>
        <w:rPr>
          <w:rFonts w:ascii="ARIAL" w:hAnsi="ARIAL"/>
          <w:i/>
          <w:sz w:val="20"/>
        </w:rPr>
        <w:t xml:space="preserve">12 of the Securities Exchange Act of 1934, as amended (the Exchange Act). This description also summarizes relevant provisions of English law. The following summary does not purport </w:t>
      </w:r>
      <w:r>
        <w:rPr>
          <w:rFonts w:ascii="ARIAL" w:hAnsi="ARIAL"/>
          <w:sz w:val="20"/>
        </w:rPr>
        <w:t xml:space="preserve">to </w:t>
      </w:r>
      <w:r>
        <w:rPr>
          <w:rFonts w:ascii="ARIAL" w:hAnsi="ARIAL"/>
          <w:i/>
          <w:sz w:val="20"/>
        </w:rPr>
        <w:t>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w:t>
      </w:r>
      <w:r>
        <w:rPr>
          <w:rFonts w:ascii="ARIAL" w:hAnsi="ARIAL"/>
          <w:sz w:val="20"/>
        </w:rPr>
        <w:t> </w:t>
      </w:r>
      <w:r>
        <w:rPr>
          <w:rFonts w:ascii="ARIAL" w:hAnsi="ARIAL"/>
          <w:i/>
          <w:sz w:val="20"/>
        </w:rPr>
        <w:t>31, 2020. We encourage you to read the articles and the applicable provisions of English law for additional information.</w:t>
      </w:r>
      <w:r>
        <w:rPr>
          <w:rFonts w:ascii="ARIAL" w:hAnsi="ARIAL"/>
          <w:sz w:val="20"/>
        </w:rPr>
        <w:t xml:space="preserve"> </w:t>
      </w:r>
    </w:p>
    <w:p>
      <w:pPr>
        <w:pStyle w:val="TextBody"/>
        <w:spacing w:before="240" w:after="0"/>
        <w:jc w:val="left"/>
        <w:rPr>
          <w:rFonts w:ascii="ARIAL" w:hAnsi="ARIAL"/>
          <w:b/>
          <w:sz w:val="20"/>
        </w:rPr>
      </w:pPr>
      <w:r>
        <w:rPr>
          <w:rFonts w:ascii="ARIAL" w:hAnsi="ARIAL"/>
          <w:b/>
          <w:sz w:val="20"/>
        </w:rPr>
        <w:t xml:space="preserve">General </w:t>
      </w:r>
    </w:p>
    <w:p>
      <w:pPr>
        <w:pStyle w:val="TextBody"/>
        <w:spacing w:before="120" w:after="0"/>
        <w:jc w:val="left"/>
        <w:rPr>
          <w:rFonts w:ascii="ARIAL" w:hAnsi="ARIAL"/>
          <w:sz w:val="20"/>
        </w:rPr>
      </w:pPr>
      <w:r>
        <w:rPr>
          <w:rFonts w:ascii="ARIAL" w:hAnsi="ARIAL"/>
          <w:sz w:val="20"/>
        </w:rPr>
        <w:t xml:space="preserve">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 </w:t>
      </w:r>
    </w:p>
    <w:p>
      <w:pPr>
        <w:pStyle w:val="TextBody"/>
        <w:spacing w:before="240" w:after="0"/>
        <w:jc w:val="left"/>
        <w:rPr>
          <w:rFonts w:ascii="ARIAL" w:hAnsi="ARIAL"/>
          <w:b/>
          <w:sz w:val="20"/>
        </w:rPr>
      </w:pPr>
      <w:r>
        <w:rPr>
          <w:rFonts w:ascii="ARIAL" w:hAnsi="ARIAL"/>
          <w:b/>
          <w:sz w:val="20"/>
        </w:rPr>
        <w:t xml:space="preserve">Share Capital </w:t>
      </w:r>
    </w:p>
    <w:p>
      <w:pPr>
        <w:pStyle w:val="TextBody"/>
        <w:spacing w:before="120" w:after="0"/>
        <w:jc w:val="left"/>
        <w:rPr>
          <w:rFonts w:ascii="ARIAL" w:hAnsi="ARIAL"/>
          <w:sz w:val="20"/>
        </w:rPr>
      </w:pPr>
      <w:r>
        <w:rPr>
          <w:rFonts w:ascii="ARIAL" w:hAnsi="ARIAL"/>
          <w:sz w:val="20"/>
        </w:rPr>
        <w:t xml:space="preserve">As of June 30, 2021, our issued share capital was £1,633,531, equivalent to 544,510,263 ordinary shares. The nominal value of our ordinary shares, including ordinary shares in the form of ADSs, is £0.003 per ordinary share. Each issued ordinary share is fully paid. </w:t>
      </w:r>
    </w:p>
    <w:p>
      <w:pPr>
        <w:pStyle w:val="TextBody"/>
        <w:spacing w:before="240" w:after="0"/>
        <w:jc w:val="left"/>
        <w:rPr>
          <w:rFonts w:ascii="ARIAL" w:hAnsi="ARIAL"/>
          <w:b/>
          <w:sz w:val="20"/>
        </w:rPr>
      </w:pPr>
      <w:r>
        <w:rPr>
          <w:rFonts w:ascii="ARIAL" w:hAnsi="ARIAL"/>
          <w:b/>
          <w:sz w:val="20"/>
        </w:rPr>
        <w:t xml:space="preserve">Registered Shares </w:t>
      </w:r>
    </w:p>
    <w:p>
      <w:pPr>
        <w:pStyle w:val="TextBody"/>
        <w:spacing w:before="120" w:after="0"/>
        <w:jc w:val="left"/>
        <w:rPr>
          <w:rFonts w:ascii="ARIAL" w:hAnsi="ARIAL"/>
          <w:sz w:val="20"/>
        </w:rPr>
      </w:pPr>
      <w:r>
        <w:rPr>
          <w:rFonts w:ascii="ARIAL" w:hAnsi="ARIAL"/>
          <w:sz w:val="20"/>
        </w:rPr>
        <w:t xml:space="preserve">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 </w:t>
      </w:r>
    </w:p>
    <w:p>
      <w:pPr>
        <w:pStyle w:val="TextBody"/>
        <w:spacing w:before="240" w:after="0"/>
        <w:jc w:val="left"/>
        <w:rPr>
          <w:rFonts w:ascii="ARIAL" w:hAnsi="ARIAL"/>
          <w:sz w:val="20"/>
        </w:rPr>
      </w:pPr>
      <w:r>
        <w:rPr>
          <w:rFonts w:ascii="ARIAL" w:hAnsi="ARIAL"/>
          <w:sz w:val="20"/>
        </w:rPr>
        <w:t xml:space="preserve">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 </w:t>
      </w:r>
    </w:p>
    <w:p>
      <w:pPr>
        <w:pStyle w:val="TextBody"/>
        <w:spacing w:before="240" w:after="0"/>
        <w:jc w:val="left"/>
        <w:rPr>
          <w:rFonts w:ascii="ARIAL" w:hAnsi="ARIAL"/>
          <w:sz w:val="20"/>
        </w:rPr>
      </w:pPr>
      <w:r>
        <w:rPr>
          <w:rFonts w:ascii="ARIAL" w:hAnsi="ARIAL"/>
          <w:sz w:val="20"/>
        </w:rPr>
        <w:t xml:space="preserve">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We, any of our shareholders or any other affected person may apply to the court for rectification of the share register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the name of any person, without sufficient cause, is entered in or omitted from our register of members;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default is made or unnecessary delay takes place in entering on the register the fact of any person having ceased to be a member or on which we have a lien, provided that such refusal does not prevent dealings in the shares taking place on an open and proper basis. </w:t>
            </w:r>
          </w:p>
        </w:tc>
      </w:tr>
    </w:tbl>
    <w:p>
      <w:pPr>
        <w:pStyle w:val="TextBody"/>
        <w:spacing w:before="240" w:after="0"/>
        <w:jc w:val="left"/>
        <w:rPr>
          <w:rFonts w:ascii="ARIAL" w:hAnsi="ARIAL"/>
          <w:b/>
          <w:sz w:val="20"/>
        </w:rPr>
      </w:pPr>
      <w:r>
        <w:rPr>
          <w:rFonts w:ascii="ARIAL" w:hAnsi="ARIAL"/>
          <w:b/>
          <w:sz w:val="20"/>
        </w:rPr>
        <w:t xml:space="preserve">Pre-emptive Rights </w:t>
      </w:r>
    </w:p>
    <w:p>
      <w:pPr>
        <w:pStyle w:val="TextBody"/>
        <w:spacing w:before="120" w:after="0"/>
        <w:jc w:val="left"/>
        <w:rPr>
          <w:rFonts w:ascii="ARIAL" w:hAnsi="ARIAL"/>
          <w:sz w:val="20"/>
        </w:rPr>
      </w:pPr>
      <w:r>
        <w:rPr>
          <w:rFonts w:ascii="ARIAL" w:hAnsi="ARIAL"/>
          <w:sz w:val="20"/>
        </w:rPr>
        <w:t xml:space="preserve">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w:t>
      </w:r>
    </w:p>
    <w:p>
      <w:pPr>
        <w:pStyle w:val="TextBody"/>
        <w:spacing w:before="240" w:after="0"/>
        <w:jc w:val="left"/>
        <w:rPr>
          <w:rFonts w:ascii="ARIAL" w:hAnsi="ARIAL"/>
          <w:sz w:val="20"/>
        </w:rPr>
      </w:pPr>
      <w:r>
        <w:rPr>
          <w:rFonts w:ascii="ARIAL" w:hAnsi="ARIAL"/>
          <w:sz w:val="20"/>
        </w:rPr>
        <w:t xml:space="preserve">On February 1, 2021 our shareholders authorized our Board to disapply pre-emptive rights for a period until June 30, 2023 in respect of the allotment of ordinary shares or the grant of rights to subscribe for or convert securities into ordinary shares up to a maximum aggregate nominal amount of £1,540,760.28. The nominal value of our ordinary shares is £0.003 per ordinary share. </w:t>
      </w:r>
    </w:p>
    <w:p>
      <w:pPr>
        <w:pStyle w:val="TextBody"/>
        <w:spacing w:before="240" w:after="0"/>
        <w:jc w:val="left"/>
        <w:rPr>
          <w:rFonts w:ascii="ARIAL" w:hAnsi="ARIAL"/>
          <w:sz w:val="20"/>
        </w:rPr>
      </w:pPr>
      <w:r>
        <w:rPr>
          <w:rFonts w:ascii="ARIAL" w:hAnsi="ARIAL"/>
          <w:sz w:val="20"/>
        </w:rPr>
        <w:t xml:space="preserve">As of June 30, 2021, non-preemptive authorization up to a maximum nominal amount of £1,200,655 remained available to the Company. </w:t>
      </w:r>
    </w:p>
    <w:p>
      <w:pPr>
        <w:pStyle w:val="TextBody"/>
        <w:spacing w:before="240" w:after="0"/>
        <w:jc w:val="left"/>
        <w:rPr>
          <w:rFonts w:ascii="ARIAL" w:hAnsi="ARIAL"/>
          <w:b/>
          <w:sz w:val="20"/>
        </w:rPr>
      </w:pPr>
      <w:r>
        <w:rPr>
          <w:rFonts w:ascii="ARIAL" w:hAnsi="ARIAL"/>
          <w:b/>
          <w:sz w:val="20"/>
        </w:rPr>
        <w:t xml:space="preserve">Articles of Association </w:t>
      </w:r>
    </w:p>
    <w:p>
      <w:pPr>
        <w:pStyle w:val="TextBody"/>
        <w:spacing w:before="120" w:after="0"/>
        <w:jc w:val="left"/>
        <w:rPr>
          <w:rFonts w:ascii="ARIAL" w:hAnsi="ARIAL"/>
          <w:sz w:val="20"/>
        </w:rPr>
      </w:pPr>
      <w:r>
        <w:rPr>
          <w:rFonts w:ascii="ARIAL" w:hAnsi="ARIAL"/>
          <w:sz w:val="20"/>
        </w:rPr>
        <w:t xml:space="preserve">The following is a description of our Articles as at the date hereof. </w:t>
      </w:r>
    </w:p>
    <w:p>
      <w:pPr>
        <w:pStyle w:val="TextBody"/>
        <w:spacing w:before="240" w:after="0"/>
        <w:jc w:val="left"/>
        <w:rPr>
          <w:rFonts w:ascii="ARIAL" w:hAnsi="ARIAL"/>
          <w:b/>
          <w:sz w:val="20"/>
        </w:rPr>
      </w:pPr>
      <w:r>
        <w:rPr>
          <w:rFonts w:ascii="ARIAL" w:hAnsi="ARIAL"/>
          <w:b/>
          <w:sz w:val="20"/>
        </w:rPr>
        <w:t xml:space="preserve">Shares and Rights Attaching to Them </w:t>
      </w:r>
    </w:p>
    <w:p>
      <w:pPr>
        <w:pStyle w:val="TextBody"/>
        <w:spacing w:before="240" w:after="0"/>
        <w:jc w:val="left"/>
        <w:rPr>
          <w:rFonts w:ascii="ARIAL" w:hAnsi="ARIAL"/>
          <w:i/>
          <w:sz w:val="20"/>
        </w:rPr>
      </w:pPr>
      <w:r>
        <w:rPr>
          <w:rFonts w:ascii="ARIAL" w:hAnsi="ARIAL"/>
          <w:i/>
          <w:sz w:val="20"/>
        </w:rPr>
        <w:t xml:space="preserve">Objects </w:t>
      </w:r>
    </w:p>
    <w:p>
      <w:pPr>
        <w:pStyle w:val="TextBody"/>
        <w:spacing w:before="120" w:after="0"/>
        <w:jc w:val="left"/>
        <w:rPr>
          <w:rFonts w:ascii="ARIAL" w:hAnsi="ARIAL"/>
          <w:sz w:val="20"/>
        </w:rPr>
      </w:pPr>
      <w:r>
        <w:rPr>
          <w:rFonts w:ascii="ARIAL" w:hAnsi="ARIAL"/>
          <w:sz w:val="20"/>
        </w:rPr>
        <w:t xml:space="preserve">The objects of our company are unrestricted. </w:t>
      </w:r>
    </w:p>
    <w:p>
      <w:pPr>
        <w:pStyle w:val="TextBody"/>
        <w:spacing w:before="240" w:after="0"/>
        <w:jc w:val="left"/>
        <w:rPr>
          <w:rFonts w:ascii="ARIAL" w:hAnsi="ARIAL"/>
          <w:i/>
          <w:sz w:val="20"/>
        </w:rPr>
      </w:pPr>
      <w:r>
        <w:rPr>
          <w:rFonts w:ascii="ARIAL" w:hAnsi="ARIAL"/>
          <w:i/>
          <w:sz w:val="20"/>
        </w:rPr>
        <w:t xml:space="preserve">Share Rights </w:t>
      </w:r>
    </w:p>
    <w:p>
      <w:pPr>
        <w:pStyle w:val="TextBody"/>
        <w:spacing w:before="120" w:after="0"/>
        <w:jc w:val="left"/>
        <w:rPr>
          <w:rFonts w:ascii="ARIAL" w:hAnsi="ARIAL"/>
          <w:sz w:val="20"/>
        </w:rPr>
      </w:pPr>
      <w:r>
        <w:rPr>
          <w:rFonts w:ascii="ARIAL" w:hAnsi="ARIAL"/>
          <w:sz w:val="20"/>
        </w:rPr>
        <w:t xml:space="preserve">Subject to any special rights attaching to shares already in issue, our shares may be issued with or have attached to them any rights or restrictions as we may resolve by ordinary resolution of the shareholders or, failing such determination, as the board may determine. </w:t>
      </w:r>
    </w:p>
    <w:p>
      <w:pPr>
        <w:pStyle w:val="TextBody"/>
        <w:spacing w:before="240" w:after="0"/>
        <w:jc w:val="left"/>
        <w:rPr>
          <w:rFonts w:ascii="ARIAL" w:hAnsi="ARIAL"/>
          <w:i/>
          <w:sz w:val="20"/>
        </w:rPr>
      </w:pPr>
      <w:r>
        <w:rPr>
          <w:rFonts w:ascii="ARIAL" w:hAnsi="ARIAL"/>
          <w:i/>
          <w:sz w:val="20"/>
        </w:rPr>
        <w:t xml:space="preserve">Voting Rights </w:t>
      </w:r>
    </w:p>
    <w:p>
      <w:pPr>
        <w:pStyle w:val="TextBody"/>
        <w:spacing w:before="120" w:after="0"/>
        <w:jc w:val="left"/>
        <w:rPr>
          <w:rFonts w:ascii="ARIAL" w:hAnsi="ARIAL"/>
          <w:sz w:val="20"/>
        </w:rPr>
      </w:pPr>
      <w:r>
        <w:rPr>
          <w:rFonts w:ascii="ARIAL" w:hAnsi="ARIAL"/>
          <w:sz w:val="20"/>
        </w:rPr>
        <w:t xml:space="preserve">Without prejudice to any special rights, privileges or restrictions as to voting rights attached to any shares forming part of our share capital from time to time, the voting rights attaching to shares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on a show of hands, every shareholder who (being an individual) is present in person and (being a corporation) is present by a duly authorized representative shall have one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 </w:t>
            </w:r>
          </w:p>
        </w:tc>
      </w:tr>
    </w:tbl>
    <w:p>
      <w:pPr>
        <w:pStyle w:val="TextBody"/>
        <w:spacing w:before="240" w:after="0"/>
        <w:jc w:val="left"/>
        <w:rPr>
          <w:rFonts w:ascii="ARIAL" w:hAnsi="ARIAL"/>
          <w:sz w:val="20"/>
        </w:rPr>
      </w:pPr>
      <w:r>
        <w:rPr>
          <w:rFonts w:ascii="ARIAL" w:hAnsi="ARIAL"/>
          <w:sz w:val="20"/>
        </w:rPr>
        <w:t xml:space="preserve">At any general meeting a resolution put to the vote of the meeting shall be decided on a show of hands unless a poll is demanded. Subject to the provisions of the U.K. Companies Act 2006, a poll may be demanded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chairman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two or more persons having the right to vote on the resolution;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person or persons representing not less than 10% of the total voting rights of all shareholders having the right to vote on the resolution. </w:t>
            </w:r>
          </w:p>
        </w:tc>
      </w:tr>
    </w:tbl>
    <w:p>
      <w:pPr>
        <w:pStyle w:val="TextBody"/>
        <w:spacing w:before="240" w:after="0"/>
        <w:jc w:val="left"/>
        <w:rPr>
          <w:rFonts w:ascii="ARIAL" w:hAnsi="ARIAL"/>
          <w:i/>
          <w:sz w:val="20"/>
        </w:rPr>
      </w:pPr>
      <w:r>
        <w:rPr>
          <w:rFonts w:ascii="ARIAL" w:hAnsi="ARIAL"/>
          <w:i/>
          <w:sz w:val="20"/>
        </w:rPr>
        <w:t xml:space="preserve">Restrictions on Voting </w:t>
      </w:r>
    </w:p>
    <w:p>
      <w:pPr>
        <w:pStyle w:val="TextBody"/>
        <w:spacing w:before="120" w:after="0"/>
        <w:jc w:val="left"/>
        <w:rPr>
          <w:rFonts w:ascii="ARIAL" w:hAnsi="ARIAL"/>
          <w:sz w:val="20"/>
        </w:rPr>
      </w:pPr>
      <w:r>
        <w:rPr>
          <w:rFonts w:ascii="ARIAL" w:hAnsi="ARIAL"/>
          <w:sz w:val="20"/>
        </w:rPr>
        <w:t xml:space="preserve">No shareholder shall (unless the Directors otherwise determine) be entitled to vote at any general meeting in respect of any share held by him or her unless all sums payable by him or her in respect of that share have been paid. </w:t>
      </w:r>
    </w:p>
    <w:p>
      <w:pPr>
        <w:pStyle w:val="TextBody"/>
        <w:spacing w:before="240" w:after="0"/>
        <w:jc w:val="left"/>
        <w:rPr>
          <w:rFonts w:ascii="ARIAL" w:hAnsi="ARIAL"/>
          <w:sz w:val="20"/>
        </w:rPr>
      </w:pPr>
      <w:r>
        <w:rPr>
          <w:rFonts w:ascii="ARIAL" w:hAnsi="ARIAL"/>
          <w:sz w:val="20"/>
        </w:rPr>
        <w:t xml:space="preserve">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 </w:t>
      </w:r>
    </w:p>
    <w:p>
      <w:pPr>
        <w:pStyle w:val="TextBody"/>
        <w:spacing w:before="240" w:after="0"/>
        <w:jc w:val="left"/>
        <w:rPr>
          <w:rFonts w:ascii="ARIAL" w:hAnsi="ARIAL"/>
          <w:i/>
          <w:sz w:val="20"/>
        </w:rPr>
      </w:pPr>
      <w:r>
        <w:rPr>
          <w:rFonts w:ascii="ARIAL" w:hAnsi="ARIAL"/>
          <w:i/>
          <w:sz w:val="20"/>
        </w:rPr>
        <w:t xml:space="preserve">Dividends </w:t>
      </w:r>
    </w:p>
    <w:p>
      <w:pPr>
        <w:pStyle w:val="TextBody"/>
        <w:spacing w:before="120" w:after="0"/>
        <w:jc w:val="left"/>
        <w:rPr>
          <w:rFonts w:ascii="ARIAL" w:hAnsi="ARIAL"/>
          <w:sz w:val="20"/>
        </w:rPr>
      </w:pPr>
      <w:r>
        <w:rPr>
          <w:rFonts w:ascii="ARIAL" w:hAnsi="ARIAL"/>
          <w:sz w:val="20"/>
        </w:rPr>
        <w:t xml:space="preserve">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 </w:t>
      </w:r>
    </w:p>
    <w:p>
      <w:pPr>
        <w:pStyle w:val="TextBody"/>
        <w:spacing w:before="240" w:after="0"/>
        <w:jc w:val="left"/>
        <w:rPr>
          <w:rFonts w:ascii="ARIAL" w:hAnsi="ARIAL"/>
          <w:sz w:val="20"/>
        </w:rPr>
      </w:pPr>
      <w:r>
        <w:rPr>
          <w:rFonts w:ascii="ARIAL" w:hAnsi="ARIAL"/>
          <w:sz w:val="20"/>
        </w:rPr>
        <w:t xml:space="preserve">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 </w:t>
      </w:r>
    </w:p>
    <w:p>
      <w:pPr>
        <w:pStyle w:val="TextBody"/>
        <w:spacing w:before="240" w:after="0"/>
        <w:jc w:val="left"/>
        <w:rPr>
          <w:rFonts w:ascii="ARIAL" w:hAnsi="ARIAL"/>
          <w:sz w:val="20"/>
        </w:rPr>
      </w:pPr>
      <w:r>
        <w:rPr>
          <w:rFonts w:ascii="ARIAL" w:hAnsi="ARIAL"/>
          <w:sz w:val="20"/>
        </w:rPr>
        <w:t xml:space="preserve">No dividend or other moneys payable by us on or in respect of any share shall bear interest against us unless otherwise provided by the rights attached to the share or the provisions of another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agreement between the shareholder and us. Any dividend unclaimed after a period of 12 years from the date such dividend became due for payment shall be forfeited and cease to remain owing. </w:t>
      </w:r>
    </w:p>
    <w:p>
      <w:pPr>
        <w:pStyle w:val="TextBody"/>
        <w:spacing w:before="240" w:after="0"/>
        <w:jc w:val="left"/>
        <w:rPr>
          <w:rFonts w:ascii="ARIAL" w:hAnsi="ARIAL"/>
          <w:sz w:val="20"/>
        </w:rPr>
      </w:pPr>
      <w:r>
        <w:rPr>
          <w:rFonts w:ascii="ARIAL" w:hAnsi="ARIAL"/>
          <w:sz w:val="20"/>
        </w:rPr>
        <w:t xml:space="preserve">Dividends may be declared or paid in any currency and the board may decide the rate of exchange for any currency conversions that may be required, and how any costs involved are to be met, in relation to the currency of any dividend. </w:t>
      </w:r>
    </w:p>
    <w:p>
      <w:pPr>
        <w:pStyle w:val="TextBody"/>
        <w:spacing w:before="240" w:after="0"/>
        <w:jc w:val="left"/>
        <w:rPr>
          <w:rFonts w:ascii="ARIAL" w:hAnsi="ARIAL"/>
          <w:sz w:val="20"/>
        </w:rPr>
      </w:pPr>
      <w:r>
        <w:rPr>
          <w:rFonts w:ascii="ARIAL" w:hAnsi="ARIAL"/>
          <w:sz w:val="20"/>
        </w:rPr>
        <w:t xml:space="preserve">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 </w:t>
      </w:r>
    </w:p>
    <w:p>
      <w:pPr>
        <w:pStyle w:val="TextBody"/>
        <w:spacing w:before="240" w:after="0"/>
        <w:jc w:val="left"/>
        <w:rPr>
          <w:rFonts w:ascii="ARIAL" w:hAnsi="ARIAL"/>
          <w:sz w:val="20"/>
        </w:rPr>
      </w:pPr>
      <w:r>
        <w:rPr>
          <w:rFonts w:ascii="ARIAL" w:hAnsi="ARIAL"/>
          <w:sz w:val="20"/>
        </w:rPr>
        <w:t xml:space="preserve">The directors may, if authorized by an ordinary resolution of shareholders, offer any holders of ordinary shares the right to elect to receive in lieu of a dividend, or part of a dividend, an allotment of ordinary shares credited as fully paid up. </w:t>
      </w:r>
    </w:p>
    <w:p>
      <w:pPr>
        <w:pStyle w:val="TextBody"/>
        <w:spacing w:before="240" w:after="0"/>
        <w:jc w:val="left"/>
        <w:rPr>
          <w:rFonts w:ascii="ARIAL" w:hAnsi="ARIAL"/>
          <w:i/>
          <w:sz w:val="20"/>
        </w:rPr>
      </w:pPr>
      <w:r>
        <w:rPr>
          <w:rFonts w:ascii="ARIAL" w:hAnsi="ARIAL"/>
          <w:i/>
          <w:sz w:val="20"/>
        </w:rPr>
        <w:t xml:space="preserve">Change of Control </w:t>
      </w:r>
    </w:p>
    <w:p>
      <w:pPr>
        <w:pStyle w:val="TextBody"/>
        <w:spacing w:before="120" w:after="0"/>
        <w:jc w:val="left"/>
        <w:rPr>
          <w:rFonts w:ascii="ARIAL" w:hAnsi="ARIAL"/>
          <w:sz w:val="20"/>
        </w:rPr>
      </w:pPr>
      <w:r>
        <w:rPr>
          <w:rFonts w:ascii="ARIAL" w:hAnsi="ARIAL"/>
          <w:sz w:val="20"/>
        </w:rPr>
        <w:t xml:space="preserve">There is no specific provision in our Articles that would have the effect of delaying, deferring, or preventing a change of control. </w:t>
      </w:r>
    </w:p>
    <w:p>
      <w:pPr>
        <w:pStyle w:val="TextBody"/>
        <w:spacing w:before="240" w:after="0"/>
        <w:jc w:val="left"/>
        <w:rPr>
          <w:rFonts w:ascii="ARIAL" w:hAnsi="ARIAL"/>
          <w:i/>
          <w:sz w:val="20"/>
        </w:rPr>
      </w:pPr>
      <w:r>
        <w:rPr>
          <w:rFonts w:ascii="ARIAL" w:hAnsi="ARIAL"/>
          <w:i/>
          <w:sz w:val="20"/>
        </w:rPr>
        <w:t xml:space="preserve">Distributions on Winding Up </w:t>
      </w:r>
    </w:p>
    <w:p>
      <w:pPr>
        <w:pStyle w:val="TextBody"/>
        <w:spacing w:before="120" w:after="0"/>
        <w:jc w:val="left"/>
        <w:rPr>
          <w:rFonts w:ascii="ARIAL" w:hAnsi="ARIAL"/>
          <w:sz w:val="20"/>
        </w:rPr>
      </w:pPr>
      <w:r>
        <w:rPr>
          <w:rFonts w:ascii="ARIAL" w:hAnsi="ARIAL"/>
          <w:sz w:val="20"/>
        </w:rPr>
        <w:t xml:space="preserve">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 </w:t>
      </w:r>
    </w:p>
    <w:p>
      <w:pPr>
        <w:pStyle w:val="TextBody"/>
        <w:spacing w:before="240" w:after="0"/>
        <w:jc w:val="left"/>
        <w:rPr>
          <w:rFonts w:ascii="ARIAL" w:hAnsi="ARIAL"/>
          <w:i/>
          <w:sz w:val="20"/>
        </w:rPr>
      </w:pPr>
      <w:r>
        <w:rPr>
          <w:rFonts w:ascii="ARIAL" w:hAnsi="ARIAL"/>
          <w:i/>
          <w:sz w:val="20"/>
        </w:rPr>
        <w:t xml:space="preserve">Variation of Rights </w:t>
      </w:r>
    </w:p>
    <w:p>
      <w:pPr>
        <w:pStyle w:val="TextBody"/>
        <w:spacing w:before="120" w:after="0"/>
        <w:jc w:val="left"/>
        <w:rPr>
          <w:rFonts w:ascii="ARIAL" w:hAnsi="ARIAL"/>
          <w:sz w:val="20"/>
        </w:rPr>
      </w:pPr>
      <w:r>
        <w:rPr>
          <w:rFonts w:ascii="ARIAL" w:hAnsi="ARIAL"/>
          <w:sz w:val="20"/>
        </w:rPr>
        <w:t xml:space="preserve">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 </w:t>
      </w:r>
    </w:p>
    <w:p>
      <w:pPr>
        <w:pStyle w:val="TextBody"/>
        <w:spacing w:before="240" w:after="0"/>
        <w:jc w:val="left"/>
        <w:rPr>
          <w:rFonts w:ascii="ARIAL" w:hAnsi="ARIAL"/>
          <w:i/>
          <w:sz w:val="20"/>
        </w:rPr>
      </w:pPr>
      <w:r>
        <w:rPr>
          <w:rFonts w:ascii="ARIAL" w:hAnsi="ARIAL"/>
          <w:i/>
          <w:sz w:val="20"/>
        </w:rPr>
        <w:t xml:space="preserve">Alteration to Share Capital </w:t>
      </w:r>
    </w:p>
    <w:p>
      <w:pPr>
        <w:pStyle w:val="TextBody"/>
        <w:spacing w:before="120" w:after="0"/>
        <w:jc w:val="left"/>
        <w:rPr>
          <w:rFonts w:ascii="ARIAL" w:hAnsi="ARIAL"/>
          <w:sz w:val="20"/>
        </w:rPr>
      </w:pPr>
      <w:r>
        <w:rPr>
          <w:rFonts w:ascii="ARIAL" w:hAnsi="ARIAL"/>
          <w:sz w:val="20"/>
        </w:rPr>
        <w:t xml:space="preserve">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i/>
          <w:sz w:val="20"/>
        </w:rPr>
      </w:pPr>
      <w:r>
        <w:rPr>
          <w:rFonts w:ascii="ARIAL" w:hAnsi="ARIAL"/>
          <w:i/>
          <w:sz w:val="20"/>
        </w:rPr>
        <w:t xml:space="preserve">Preemption Rights </w:t>
      </w:r>
    </w:p>
    <w:p>
      <w:pPr>
        <w:pStyle w:val="TextBody"/>
        <w:spacing w:before="120" w:after="0"/>
        <w:jc w:val="left"/>
        <w:rPr>
          <w:rFonts w:ascii="ARIAL" w:hAnsi="ARIAL"/>
          <w:sz w:val="20"/>
        </w:rPr>
      </w:pPr>
      <w:r>
        <w:rPr>
          <w:rFonts w:ascii="ARIAL" w:hAnsi="ARIAL"/>
          <w:sz w:val="20"/>
        </w:rPr>
        <w:t xml:space="preserve">In certain circumstances, our shareholders may have statutory preemption rights under the U.K. Companies Act 2006 in respect of the allotment of new shares as described in Pre-emptive Rights and Differences in Corporate LawPre-emptive Rights in this prospectus. </w:t>
      </w:r>
    </w:p>
    <w:p>
      <w:pPr>
        <w:pStyle w:val="TextBody"/>
        <w:spacing w:before="240" w:after="0"/>
        <w:jc w:val="left"/>
        <w:rPr>
          <w:rFonts w:ascii="ARIAL" w:hAnsi="ARIAL"/>
          <w:b/>
          <w:i/>
          <w:sz w:val="20"/>
        </w:rPr>
      </w:pPr>
      <w:r>
        <w:rPr>
          <w:rFonts w:ascii="ARIAL" w:hAnsi="ARIAL"/>
          <w:b/>
          <w:i/>
          <w:sz w:val="20"/>
        </w:rPr>
        <w:t xml:space="preserve">Transfer of Shares </w:t>
      </w:r>
    </w:p>
    <w:p>
      <w:pPr>
        <w:pStyle w:val="TextBody"/>
        <w:spacing w:before="120" w:after="0"/>
        <w:jc w:val="left"/>
        <w:rPr>
          <w:rFonts w:ascii="ARIAL" w:hAnsi="ARIAL"/>
          <w:sz w:val="20"/>
        </w:rPr>
      </w:pPr>
      <w:r>
        <w:rPr>
          <w:rFonts w:ascii="ARIAL" w:hAnsi="ARIAL"/>
          <w:sz w:val="20"/>
        </w:rPr>
        <w:t xml:space="preserve">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 </w:t>
      </w:r>
    </w:p>
    <w:p>
      <w:pPr>
        <w:pStyle w:val="TextBody"/>
        <w:spacing w:before="240" w:after="0"/>
        <w:jc w:val="left"/>
        <w:rPr>
          <w:rFonts w:ascii="ARIAL" w:hAnsi="ARIAL"/>
          <w:sz w:val="20"/>
        </w:rPr>
      </w:pPr>
      <w:r>
        <w:rPr>
          <w:rFonts w:ascii="ARIAL" w:hAnsi="ARIAL"/>
          <w:sz w:val="20"/>
        </w:rPr>
        <w:t xml:space="preserve">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 </w:t>
      </w:r>
    </w:p>
    <w:p>
      <w:pPr>
        <w:pStyle w:val="TextBody"/>
        <w:spacing w:before="240" w:after="0"/>
        <w:jc w:val="left"/>
        <w:rPr>
          <w:rFonts w:ascii="ARIAL" w:hAnsi="ARIAL"/>
          <w:sz w:val="20"/>
        </w:rPr>
      </w:pPr>
      <w:r>
        <w:rPr>
          <w:rFonts w:ascii="ARIAL" w:hAnsi="ARIAL"/>
          <w:sz w:val="20"/>
        </w:rPr>
        <w:t xml:space="preserve">The board may decline to register any transfer of any share: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which is not a fully paid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where the transfer is not lodged at our registered office or such other place as the directors have appointed;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where the transfer is in respect of more than one class of share;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where the number of joint holders to whom the share is to be transferred exceeds four. </w:t>
            </w:r>
          </w:p>
        </w:tc>
      </w:tr>
    </w:tbl>
    <w:p>
      <w:pPr>
        <w:pStyle w:val="TextBody"/>
        <w:spacing w:before="240" w:after="0"/>
        <w:jc w:val="left"/>
        <w:rPr>
          <w:rFonts w:ascii="ARIAL" w:hAnsi="ARIAL"/>
          <w:sz w:val="20"/>
        </w:rPr>
      </w:pPr>
      <w:r>
        <w:rPr>
          <w:rFonts w:ascii="ARIAL" w:hAnsi="ARIAL"/>
          <w:sz w:val="20"/>
        </w:rPr>
        <w:t xml:space="preserve">If the board declines to register a transfer, it must return to the transferee the instrument of transfer together with notice of the refusal, unless the board suspects that the proposed transfer may be fraudulent. </w:t>
      </w:r>
    </w:p>
    <w:p>
      <w:pPr>
        <w:pStyle w:val="TextBody"/>
        <w:spacing w:before="240" w:after="0"/>
        <w:jc w:val="left"/>
        <w:rPr>
          <w:rFonts w:ascii="ARIAL" w:hAnsi="ARIAL"/>
          <w:b/>
          <w:sz w:val="20"/>
        </w:rPr>
      </w:pPr>
      <w:r>
        <w:rPr>
          <w:rFonts w:ascii="ARIAL" w:hAnsi="ARIAL"/>
          <w:b/>
          <w:sz w:val="20"/>
        </w:rPr>
        <w:t xml:space="preserve">Shareholder Meetings </w:t>
      </w:r>
    </w:p>
    <w:p>
      <w:pPr>
        <w:pStyle w:val="TextBody"/>
        <w:spacing w:before="240" w:after="0"/>
        <w:jc w:val="left"/>
        <w:rPr>
          <w:rFonts w:ascii="ARIAL" w:hAnsi="ARIAL"/>
          <w:i/>
          <w:sz w:val="20"/>
        </w:rPr>
      </w:pPr>
      <w:r>
        <w:rPr>
          <w:rFonts w:ascii="ARIAL" w:hAnsi="ARIAL"/>
          <w:i/>
          <w:sz w:val="20"/>
        </w:rPr>
        <w:t xml:space="preserve">Annual General Meetings </w:t>
      </w:r>
    </w:p>
    <w:p>
      <w:pPr>
        <w:pStyle w:val="TextBody"/>
        <w:spacing w:before="120" w:after="0"/>
        <w:jc w:val="left"/>
        <w:rPr>
          <w:rFonts w:ascii="ARIAL" w:hAnsi="ARIAL"/>
          <w:sz w:val="20"/>
        </w:rPr>
      </w:pPr>
      <w:r>
        <w:rPr>
          <w:rFonts w:ascii="ARIAL" w:hAnsi="ARIAL"/>
          <w:sz w:val="20"/>
        </w:rPr>
        <w:t xml:space="preserve">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Differences in Corporate LawAnnual General Meeting and Differences in Corporate LawNotice of General Meetings in this prospectus. </w:t>
      </w:r>
    </w:p>
    <w:p>
      <w:pPr>
        <w:pStyle w:val="TextBody"/>
        <w:spacing w:before="240" w:after="0"/>
        <w:jc w:val="left"/>
        <w:rPr>
          <w:rFonts w:ascii="ARIAL" w:hAnsi="ARIAL"/>
          <w:i/>
          <w:sz w:val="20"/>
        </w:rPr>
      </w:pPr>
      <w:r>
        <w:rPr>
          <w:rFonts w:ascii="ARIAL" w:hAnsi="ARIAL"/>
          <w:i/>
          <w:sz w:val="20"/>
        </w:rPr>
        <w:t xml:space="preserve">Notice of General Meetings </w:t>
      </w:r>
    </w:p>
    <w:p>
      <w:pPr>
        <w:pStyle w:val="TextBody"/>
        <w:spacing w:before="120" w:after="0"/>
        <w:jc w:val="left"/>
        <w:rPr>
          <w:rFonts w:ascii="ARIAL" w:hAnsi="ARIAL"/>
          <w:sz w:val="20"/>
        </w:rPr>
      </w:pPr>
      <w:r>
        <w:rPr>
          <w:rFonts w:ascii="ARIAL" w:hAnsi="ARIAL"/>
          <w:sz w:val="20"/>
        </w:rPr>
        <w:t xml:space="preserve">The arrangements for the calling of general meetings are described in Differences in Corporate LawNotice of General Meetings in this prospectus. </w:t>
      </w:r>
    </w:p>
    <w:p>
      <w:pPr>
        <w:pStyle w:val="TextBody"/>
        <w:spacing w:before="240" w:after="0"/>
        <w:jc w:val="left"/>
        <w:rPr>
          <w:rFonts w:ascii="ARIAL" w:hAnsi="ARIAL"/>
          <w:i/>
          <w:sz w:val="20"/>
        </w:rPr>
      </w:pPr>
      <w:r>
        <w:rPr>
          <w:rFonts w:ascii="ARIAL" w:hAnsi="ARIAL"/>
          <w:i/>
          <w:sz w:val="20"/>
        </w:rPr>
        <w:t xml:space="preserve">Quorum of General Meetings </w:t>
      </w:r>
    </w:p>
    <w:p>
      <w:pPr>
        <w:pStyle w:val="TextBody"/>
        <w:spacing w:before="120" w:after="0"/>
        <w:jc w:val="left"/>
        <w:rPr>
          <w:rFonts w:ascii="ARIAL" w:hAnsi="ARIAL"/>
          <w:sz w:val="20"/>
        </w:rPr>
      </w:pPr>
      <w:r>
        <w:rPr>
          <w:rFonts w:ascii="ARIAL" w:hAnsi="ARIAL"/>
          <w:sz w:val="20"/>
        </w:rPr>
        <w:t xml:space="preserve">No business, other than the appointment of the chair of the meeting, shall be transacted at any general meeting unless a quorum is present. At least two shareholders present in person or by proxy and entitled to vote shall be a quorum for all purposes.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i/>
          <w:sz w:val="20"/>
        </w:rPr>
      </w:pPr>
      <w:r>
        <w:rPr>
          <w:rFonts w:ascii="ARIAL" w:hAnsi="ARIAL"/>
          <w:i/>
          <w:sz w:val="20"/>
        </w:rPr>
        <w:t xml:space="preserve">Class Meetings </w:t>
      </w:r>
    </w:p>
    <w:p>
      <w:pPr>
        <w:pStyle w:val="TextBody"/>
        <w:spacing w:before="120" w:after="0"/>
        <w:jc w:val="left"/>
        <w:rPr>
          <w:rFonts w:ascii="ARIAL" w:hAnsi="ARIAL"/>
          <w:sz w:val="20"/>
        </w:rPr>
      </w:pPr>
      <w:r>
        <w:rPr>
          <w:rFonts w:ascii="ARIAL" w:hAnsi="ARIAL"/>
          <w:sz w:val="20"/>
        </w:rPr>
        <w:t xml:space="preserve">The provisions in the Articles relating to general meetings apply to every separate general meeting of the holders of a class of shares. </w:t>
      </w:r>
    </w:p>
    <w:p>
      <w:pPr>
        <w:pStyle w:val="TextBody"/>
        <w:spacing w:before="240" w:after="0"/>
        <w:jc w:val="left"/>
        <w:rPr>
          <w:rFonts w:ascii="ARIAL" w:hAnsi="ARIAL"/>
          <w:b/>
          <w:sz w:val="20"/>
        </w:rPr>
      </w:pPr>
      <w:r>
        <w:rPr>
          <w:rFonts w:ascii="ARIAL" w:hAnsi="ARIAL"/>
          <w:b/>
          <w:sz w:val="20"/>
        </w:rPr>
        <w:t xml:space="preserve">Directors </w:t>
      </w:r>
    </w:p>
    <w:p>
      <w:pPr>
        <w:pStyle w:val="TextBody"/>
        <w:spacing w:before="240" w:after="0"/>
        <w:jc w:val="left"/>
        <w:rPr>
          <w:rFonts w:ascii="ARIAL" w:hAnsi="ARIAL"/>
          <w:i/>
          <w:sz w:val="20"/>
        </w:rPr>
      </w:pPr>
      <w:r>
        <w:rPr>
          <w:rFonts w:ascii="ARIAL" w:hAnsi="ARIAL"/>
          <w:i/>
          <w:sz w:val="20"/>
        </w:rPr>
        <w:t xml:space="preserve">Number of Directors </w:t>
      </w:r>
    </w:p>
    <w:p>
      <w:pPr>
        <w:pStyle w:val="TextBody"/>
        <w:spacing w:before="120" w:after="0"/>
        <w:jc w:val="left"/>
        <w:rPr>
          <w:rFonts w:ascii="ARIAL" w:hAnsi="ARIAL"/>
          <w:sz w:val="20"/>
        </w:rPr>
      </w:pPr>
      <w:r>
        <w:rPr>
          <w:rFonts w:ascii="ARIAL" w:hAnsi="ARIAL"/>
          <w:sz w:val="20"/>
        </w:rPr>
        <w:t xml:space="preserve">We may not have less than two directors on the Board and not more than nine. We may, by ordinary resolution of the shareholders, vary the minimum and maximum number of directors from time to time. </w:t>
      </w:r>
    </w:p>
    <w:p>
      <w:pPr>
        <w:pStyle w:val="TextBody"/>
        <w:spacing w:before="240" w:after="0"/>
        <w:jc w:val="left"/>
        <w:rPr>
          <w:rFonts w:ascii="ARIAL" w:hAnsi="ARIAL"/>
          <w:i/>
          <w:sz w:val="20"/>
        </w:rPr>
      </w:pPr>
      <w:r>
        <w:rPr>
          <w:rFonts w:ascii="ARIAL" w:hAnsi="ARIAL"/>
          <w:i/>
          <w:sz w:val="20"/>
        </w:rPr>
        <w:t xml:space="preserve">Appointment of Directors </w:t>
      </w:r>
    </w:p>
    <w:p>
      <w:pPr>
        <w:pStyle w:val="TextBody"/>
        <w:spacing w:before="120" w:after="0"/>
        <w:jc w:val="left"/>
        <w:rPr>
          <w:rFonts w:ascii="ARIAL" w:hAnsi="ARIAL"/>
          <w:sz w:val="20"/>
        </w:rPr>
      </w:pPr>
      <w:r>
        <w:rPr>
          <w:rFonts w:ascii="ARIAL" w:hAnsi="ARIAL"/>
          <w:sz w:val="20"/>
        </w:rPr>
        <w:t xml:space="preserve">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 </w:t>
      </w:r>
    </w:p>
    <w:p>
      <w:pPr>
        <w:pStyle w:val="TextBody"/>
        <w:spacing w:before="240" w:after="0"/>
        <w:jc w:val="left"/>
        <w:rPr>
          <w:rFonts w:ascii="ARIAL" w:hAnsi="ARIAL"/>
          <w:sz w:val="20"/>
        </w:rPr>
      </w:pPr>
      <w:r>
        <w:rPr>
          <w:rFonts w:ascii="ARIAL" w:hAnsi="ARIAL"/>
          <w:sz w:val="20"/>
        </w:rPr>
        <w:t xml:space="preserve">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 </w:t>
      </w:r>
    </w:p>
    <w:p>
      <w:pPr>
        <w:pStyle w:val="TextBody"/>
        <w:spacing w:before="240" w:after="0"/>
        <w:jc w:val="left"/>
        <w:rPr>
          <w:rFonts w:ascii="ARIAL" w:hAnsi="ARIAL"/>
          <w:sz w:val="20"/>
        </w:rPr>
      </w:pPr>
      <w:r>
        <w:rPr>
          <w:rFonts w:ascii="ARIAL" w:hAnsi="ARIAL"/>
          <w:sz w:val="20"/>
        </w:rPr>
        <w:t xml:space="preserve">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 </w:t>
      </w:r>
    </w:p>
    <w:p>
      <w:pPr>
        <w:pStyle w:val="TextBody"/>
        <w:spacing w:before="240" w:after="0"/>
        <w:jc w:val="left"/>
        <w:rPr>
          <w:rFonts w:ascii="ARIAL" w:hAnsi="ARIAL"/>
          <w:sz w:val="20"/>
        </w:rPr>
      </w:pPr>
      <w:r>
        <w:rPr>
          <w:rFonts w:ascii="ARIAL" w:hAnsi="ARIAL"/>
          <w:b/>
          <w:i/>
          <w:sz w:val="20"/>
        </w:rPr>
        <w:t xml:space="preserve">Other U.K. Law </w:t>
      </w:r>
      <w:r>
        <w:rPr>
          <w:rFonts w:ascii="ARIAL" w:hAnsi="ARIAL"/>
          <w:b/>
          <w:sz w:val="20"/>
        </w:rPr>
        <w:t xml:space="preserve">Considerations </w:t>
      </w:r>
    </w:p>
    <w:p>
      <w:pPr>
        <w:pStyle w:val="TextBody"/>
        <w:spacing w:before="240" w:after="0"/>
        <w:jc w:val="left"/>
        <w:rPr>
          <w:rFonts w:ascii="ARIAL" w:hAnsi="ARIAL"/>
          <w:i/>
          <w:sz w:val="20"/>
        </w:rPr>
      </w:pPr>
      <w:r>
        <w:rPr>
          <w:rFonts w:ascii="ARIAL" w:hAnsi="ARIAL"/>
          <w:i/>
          <w:sz w:val="20"/>
        </w:rPr>
        <w:t xml:space="preserve">Mandatory Purchases and Acquisitions </w:t>
      </w:r>
    </w:p>
    <w:p>
      <w:pPr>
        <w:pStyle w:val="TextBody"/>
        <w:spacing w:before="120" w:after="0"/>
        <w:jc w:val="left"/>
        <w:rPr>
          <w:rFonts w:ascii="ARIAL" w:hAnsi="ARIAL"/>
          <w:sz w:val="20"/>
        </w:rPr>
      </w:pPr>
      <w:r>
        <w:rPr>
          <w:rFonts w:ascii="ARIAL" w:hAnsi="ARIAL"/>
          <w:sz w:val="20"/>
        </w:rPr>
        <w:t xml:space="preserve">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i/>
          <w:sz w:val="20"/>
        </w:rPr>
      </w:pPr>
      <w:r>
        <w:rPr>
          <w:rFonts w:ascii="ARIAL" w:hAnsi="ARIAL"/>
          <w:i/>
          <w:sz w:val="20"/>
        </w:rPr>
        <w:t xml:space="preserve">Sell Out </w:t>
      </w:r>
    </w:p>
    <w:p>
      <w:pPr>
        <w:pStyle w:val="TextBody"/>
        <w:spacing w:before="120" w:after="0"/>
        <w:jc w:val="left"/>
        <w:rPr>
          <w:rFonts w:ascii="ARIAL" w:hAnsi="ARIAL"/>
          <w:sz w:val="20"/>
        </w:rPr>
      </w:pPr>
      <w:r>
        <w:rPr>
          <w:rFonts w:ascii="ARIAL" w:hAnsi="ARIAL"/>
          <w:sz w:val="20"/>
        </w:rPr>
        <w:t xml:space="preserve">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 </w:t>
      </w:r>
    </w:p>
    <w:p>
      <w:pPr>
        <w:pStyle w:val="TextBody"/>
        <w:spacing w:before="240" w:after="0"/>
        <w:jc w:val="left"/>
        <w:rPr>
          <w:rFonts w:ascii="ARIAL" w:hAnsi="ARIAL"/>
          <w:i/>
          <w:sz w:val="20"/>
        </w:rPr>
      </w:pPr>
      <w:r>
        <w:rPr>
          <w:rFonts w:ascii="ARIAL" w:hAnsi="ARIAL"/>
          <w:i/>
          <w:sz w:val="20"/>
        </w:rPr>
        <w:t xml:space="preserve">Disclosure of Interest in Shares </w:t>
      </w:r>
    </w:p>
    <w:p>
      <w:pPr>
        <w:pStyle w:val="TextBody"/>
        <w:spacing w:before="120" w:after="0"/>
        <w:jc w:val="left"/>
        <w:rPr>
          <w:rFonts w:ascii="ARIAL" w:hAnsi="ARIAL"/>
          <w:sz w:val="20"/>
        </w:rPr>
      </w:pPr>
      <w:r>
        <w:rPr>
          <w:rFonts w:ascii="ARIAL" w:hAnsi="ARIAL"/>
          <w:sz w:val="20"/>
        </w:rPr>
        <w:t xml:space="preserve">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 </w:t>
      </w:r>
    </w:p>
    <w:p>
      <w:pPr>
        <w:pStyle w:val="TextBody"/>
        <w:spacing w:before="240" w:after="0"/>
        <w:jc w:val="left"/>
        <w:rPr>
          <w:rFonts w:ascii="ARIAL" w:hAnsi="ARIAL"/>
          <w:sz w:val="20"/>
        </w:rPr>
      </w:pPr>
      <w:r>
        <w:rPr>
          <w:rFonts w:ascii="ARIAL" w:hAnsi="ARIAL"/>
          <w:sz w:val="20"/>
        </w:rPr>
        <w:t xml:space="preserve">Under our Articles, if a person defaults in supplying us with the required particulars in relation to the shares in question (default shares), within the prescribed period, the directors may by notice direct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in respect of the default shares, the relevant shareholder shall not be entitled to vote (either in person or by proxy) at any general meeting or to exercise any other right conferred by a shareholding in relation to general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 </w:t>
            </w:r>
          </w:p>
        </w:tc>
      </w:tr>
    </w:tbl>
    <w:p>
      <w:pPr>
        <w:pStyle w:val="TextBody"/>
        <w:spacing w:before="240" w:after="0"/>
        <w:jc w:val="left"/>
        <w:rPr>
          <w:rFonts w:ascii="ARIAL" w:hAnsi="ARIAL"/>
          <w:i/>
          <w:sz w:val="20"/>
        </w:rPr>
      </w:pPr>
      <w:r>
        <w:rPr>
          <w:rFonts w:ascii="ARIAL" w:hAnsi="ARIAL"/>
          <w:i/>
          <w:sz w:val="20"/>
        </w:rPr>
        <w:t xml:space="preserve">Purchase of Own Shares </w:t>
      </w:r>
    </w:p>
    <w:p>
      <w:pPr>
        <w:pStyle w:val="TextBody"/>
        <w:spacing w:before="120" w:after="0"/>
        <w:jc w:val="left"/>
        <w:rPr>
          <w:rFonts w:ascii="ARIAL" w:hAnsi="ARIAL"/>
          <w:sz w:val="20"/>
        </w:rPr>
      </w:pPr>
      <w:r>
        <w:rPr>
          <w:rFonts w:ascii="ARIAL" w:hAnsi="ARIAL"/>
          <w:sz w:val="20"/>
        </w:rPr>
        <w:t xml:space="preserve">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Subject to the above, we may purchase our own shares in the manner prescribed below. We may purchase on a recognized investment exchange our own fully paid shares pursuant to an ordinary resolution of shareholders. The resolution authorizing the purchase must: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specify the maximum number of shares authorized to be acquired;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determine the maximum and minimum prices that may be paid for the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specify a date, not being later than five years after the passing of the resolution, on which the authority to purchase is to expire. </w:t>
            </w:r>
          </w:p>
        </w:tc>
      </w:tr>
    </w:tbl>
    <w:p>
      <w:pPr>
        <w:pStyle w:val="TextBody"/>
        <w:spacing w:before="240" w:after="0"/>
        <w:jc w:val="left"/>
        <w:rPr>
          <w:rFonts w:ascii="ARIAL" w:hAnsi="ARIAL"/>
          <w:sz w:val="20"/>
        </w:rPr>
      </w:pPr>
      <w:r>
        <w:rPr>
          <w:rFonts w:ascii="ARIAL" w:hAnsi="ARIAL"/>
          <w:sz w:val="20"/>
        </w:rPr>
        <w:t xml:space="preserve">As an overseas exchange, Nasdaq is not a recognized investment exchange for these purposes. </w:t>
      </w:r>
    </w:p>
    <w:p>
      <w:pPr>
        <w:pStyle w:val="TextBody"/>
        <w:spacing w:before="240" w:after="0"/>
        <w:jc w:val="left"/>
        <w:rPr>
          <w:rFonts w:ascii="ARIAL" w:hAnsi="ARIAL"/>
          <w:sz w:val="20"/>
        </w:rPr>
      </w:pPr>
      <w:r>
        <w:rPr>
          <w:rFonts w:ascii="ARIAL" w:hAnsi="ARIAL"/>
          <w:sz w:val="20"/>
        </w:rPr>
        <w:t xml:space="preserve">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 </w:t>
      </w:r>
    </w:p>
    <w:p>
      <w:pPr>
        <w:pStyle w:val="TextBody"/>
        <w:spacing w:before="240" w:after="0"/>
        <w:jc w:val="left"/>
        <w:rPr>
          <w:rFonts w:ascii="ARIAL" w:hAnsi="ARIAL"/>
          <w:i/>
          <w:sz w:val="20"/>
        </w:rPr>
      </w:pPr>
      <w:r>
        <w:rPr>
          <w:rFonts w:ascii="ARIAL" w:hAnsi="ARIAL"/>
          <w:i/>
          <w:sz w:val="20"/>
        </w:rPr>
        <w:t xml:space="preserve">Distributions and Dividends </w:t>
      </w:r>
    </w:p>
    <w:p>
      <w:pPr>
        <w:pStyle w:val="TextBody"/>
        <w:spacing w:before="120" w:after="0"/>
        <w:jc w:val="left"/>
        <w:rPr>
          <w:rFonts w:ascii="ARIAL" w:hAnsi="ARIAL"/>
          <w:sz w:val="20"/>
        </w:rPr>
      </w:pPr>
      <w:r>
        <w:rPr>
          <w:rFonts w:ascii="ARIAL" w:hAnsi="ARIAL"/>
          <w:sz w:val="20"/>
        </w:rPr>
        <w:t xml:space="preserve">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 </w:t>
      </w:r>
    </w:p>
    <w:p>
      <w:pPr>
        <w:pStyle w:val="TextBody"/>
        <w:spacing w:before="240" w:after="0"/>
        <w:jc w:val="left"/>
        <w:rPr>
          <w:rFonts w:ascii="ARIAL" w:hAnsi="ARIAL"/>
          <w:sz w:val="20"/>
        </w:rPr>
      </w:pPr>
      <w:r>
        <w:rPr>
          <w:rFonts w:ascii="ARIAL" w:hAnsi="ARIAL"/>
          <w:sz w:val="20"/>
        </w:rPr>
        <w:t xml:space="preserve">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if, at the time that the distribution is made, the amount of its net assets (that is, the total excess of assets over liabilities) is not less than the total of its called up share capital and undistributable reserves;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if, and to the extent that, the distribution itself, at the time that it is made, does not reduce the amount of the net assets to less than that total. </w:t>
            </w:r>
          </w:p>
        </w:tc>
      </w:tr>
    </w:tbl>
    <w:p>
      <w:pPr>
        <w:pStyle w:val="TextBody"/>
        <w:spacing w:before="240" w:after="0"/>
        <w:jc w:val="left"/>
        <w:rPr>
          <w:rFonts w:ascii="ARIAL" w:hAnsi="ARIAL"/>
          <w:i/>
          <w:sz w:val="20"/>
        </w:rPr>
      </w:pPr>
      <w:r>
        <w:rPr>
          <w:rFonts w:ascii="ARIAL" w:hAnsi="ARIAL"/>
          <w:i/>
          <w:sz w:val="20"/>
        </w:rPr>
        <w:t xml:space="preserve">City Code on Takeovers and Mergers </w:t>
      </w:r>
    </w:p>
    <w:p>
      <w:pPr>
        <w:pStyle w:val="TextBody"/>
        <w:spacing w:before="120" w:after="0"/>
        <w:jc w:val="left"/>
        <w:rPr>
          <w:rFonts w:ascii="ARIAL" w:hAnsi="ARIAL"/>
          <w:sz w:val="20"/>
        </w:rPr>
      </w:pPr>
      <w:r>
        <w:rPr>
          <w:rFonts w:ascii="ARIAL" w:hAnsi="ARIAL"/>
          <w:sz w:val="20"/>
        </w:rPr>
        <w:t xml:space="preserve">Following the cancellation of admission of our ordinary shares to trading on the AIM market of London Stock Exchange plc on December 18, 2020, the U.K. Panel on Takeovers and Mergers (the Panel) confirmed to us that the U.K. City Code on Takeovers and Mergers (the City Code) will not apply to us, and we and our shareholders will therefore not have the benefit of the protections the City Code affords, including, but not limited to, the requirement that a person who acquires an interest in our ordinary shares carrying 30% or more of our voting rights must make a cash offer to all other shareholders at the highest price paid in the 12 months before the offer was announced. Notwithstanding the above, we may become subject to the City Code in the future if any changes to the Board composition result in the majority of the Directors being resident in the United Kingdom, Channel Islands or the Isle of Man.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i/>
          <w:sz w:val="20"/>
        </w:rPr>
      </w:pPr>
      <w:r>
        <w:rPr>
          <w:rFonts w:ascii="ARIAL" w:hAnsi="ARIAL"/>
          <w:i/>
          <w:sz w:val="20"/>
        </w:rPr>
        <w:t xml:space="preserve">Exchange Controls </w:t>
      </w:r>
    </w:p>
    <w:p>
      <w:pPr>
        <w:pStyle w:val="TextBody"/>
        <w:spacing w:before="120" w:after="0"/>
        <w:jc w:val="left"/>
        <w:rPr>
          <w:rFonts w:ascii="ARIAL" w:hAnsi="ARIAL"/>
          <w:sz w:val="20"/>
        </w:rPr>
      </w:pPr>
      <w:r>
        <w:rPr>
          <w:rFonts w:ascii="ARIAL" w:hAnsi="ARIAL"/>
          <w:sz w:val="20"/>
        </w:rPr>
        <w:t xml:space="preserve">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 </w:t>
      </w:r>
    </w:p>
    <w:p>
      <w:pPr>
        <w:pStyle w:val="TextBody"/>
        <w:spacing w:before="240" w:after="0"/>
        <w:jc w:val="left"/>
        <w:rPr>
          <w:rFonts w:ascii="ARIAL" w:hAnsi="ARIAL"/>
          <w:b/>
          <w:sz w:val="20"/>
        </w:rPr>
      </w:pPr>
      <w:r>
        <w:rPr>
          <w:rFonts w:ascii="ARIAL" w:hAnsi="ARIAL"/>
          <w:b/>
          <w:sz w:val="20"/>
        </w:rPr>
        <w:t xml:space="preserve">Differences in Corporate Law </w:t>
      </w:r>
    </w:p>
    <w:p>
      <w:pPr>
        <w:pStyle w:val="TextBody"/>
        <w:spacing w:before="120" w:after="0"/>
        <w:jc w:val="left"/>
        <w:rPr>
          <w:rFonts w:ascii="ARIAL" w:hAnsi="ARIAL"/>
          <w:i/>
          <w:sz w:val="20"/>
        </w:rPr>
      </w:pPr>
      <w:r>
        <w:rPr>
          <w:rFonts w:ascii="ARIAL" w:hAnsi="ARIAL"/>
          <w:i/>
          <w:sz w:val="20"/>
        </w:rPr>
        <w:t xml:space="preserve">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15"/>
        <w:gridCol w:w="311"/>
        <w:gridCol w:w="3309"/>
        <w:gridCol w:w="120"/>
        <w:gridCol w:w="3050"/>
      </w:tblGrid>
      <w:tr>
        <w:trPr/>
        <w:tc>
          <w:tcPr>
            <w:tcW w:w="341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33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r>
      <w:tr>
        <w:trPr/>
        <w:tc>
          <w:tcPr>
            <w:tcW w:w="3415"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309"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0" w:type="dxa"/>
            <w:tcBorders/>
            <w:shd w:fill="auto" w:val="clear"/>
            <w:vAlign w:val="bottom"/>
          </w:tcPr>
          <w:p>
            <w:pPr>
              <w:pStyle w:val="TableContents"/>
              <w:spacing w:before="0" w:after="283"/>
              <w:rPr/>
            </w:pPr>
            <w:r>
              <w:rPr/>
              <w:t>  </w:t>
            </w:r>
          </w:p>
        </w:tc>
        <w:tc>
          <w:tcPr>
            <w:tcW w:w="3050"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c>
          <w:tcPr>
            <w:tcW w:w="3415" w:type="dxa"/>
            <w:tcBorders/>
            <w:shd w:fill="auto" w:val="clear"/>
          </w:tcPr>
          <w:p>
            <w:pPr>
              <w:pStyle w:val="TableContents"/>
              <w:spacing w:before="0" w:after="0"/>
              <w:rPr>
                <w:rFonts w:ascii="ARIAL" w:hAnsi="ARIAL"/>
                <w:sz w:val="20"/>
              </w:rPr>
            </w:pPr>
            <w:r>
              <w:rPr>
                <w:rFonts w:ascii="ARIAL" w:hAnsi="ARIAL"/>
                <w:sz w:val="20"/>
              </w:rPr>
              <w:t>Number of Directors</w:t>
            </w:r>
          </w:p>
        </w:tc>
        <w:tc>
          <w:tcPr>
            <w:tcW w:w="311" w:type="dxa"/>
            <w:tcBorders/>
            <w:shd w:fill="auto" w:val="clear"/>
            <w:vAlign w:val="bottom"/>
          </w:tcPr>
          <w:p>
            <w:pPr>
              <w:pStyle w:val="TableContents"/>
              <w:spacing w:before="0" w:after="283"/>
              <w:rPr/>
            </w:pPr>
            <w:r>
              <w:rPr/>
              <w:t>  </w:t>
            </w:r>
          </w:p>
        </w:tc>
        <w:tc>
          <w:tcPr>
            <w:tcW w:w="3309" w:type="dxa"/>
            <w:tcBorders/>
            <w:shd w:fill="auto" w:val="clear"/>
            <w:vAlign w:val="bottom"/>
          </w:tcPr>
          <w:p>
            <w:pPr>
              <w:pStyle w:val="TableContents"/>
              <w:spacing w:before="0" w:after="283"/>
              <w:rPr/>
            </w:pPr>
            <w:r>
              <w:rPr/>
              <w:t>Under the U.K. Companies Act 2006, a public limited company must have at least two directors. Our Articles further provide that, unless otherwise determined by an ordinary resolution, the number of our directors shall be not less than two nor more than nine in number.</w:t>
            </w:r>
          </w:p>
        </w:tc>
        <w:tc>
          <w:tcPr>
            <w:tcW w:w="120" w:type="dxa"/>
            <w:tcBorders/>
            <w:shd w:fill="auto" w:val="clear"/>
            <w:vAlign w:val="bottom"/>
          </w:tcPr>
          <w:p>
            <w:pPr>
              <w:pStyle w:val="TableContents"/>
              <w:spacing w:before="0" w:after="283"/>
              <w:rPr/>
            </w:pPr>
            <w:r>
              <w:rPr/>
              <w:t>  </w:t>
            </w:r>
          </w:p>
        </w:tc>
        <w:tc>
          <w:tcPr>
            <w:tcW w:w="3050" w:type="dxa"/>
            <w:tcBorders/>
            <w:shd w:fill="auto" w:val="clear"/>
          </w:tcPr>
          <w:p>
            <w:pPr>
              <w:pStyle w:val="TableContents"/>
              <w:spacing w:before="0" w:after="283"/>
              <w:rPr/>
            </w:pPr>
            <w:r>
              <w:rPr/>
              <w:t>Under Delaware law, a corporation must have at least one director and the number of directors shall be fixed by or in the manner provided in the bylaws.</w:t>
            </w:r>
          </w:p>
        </w:tc>
      </w:tr>
      <w:tr>
        <w:trPr>
          <w:trHeight w:val="120" w:hRule="atLeast"/>
        </w:trPr>
        <w:tc>
          <w:tcPr>
            <w:tcW w:w="3415" w:type="dxa"/>
            <w:tcBorders/>
            <w:shd w:fill="auto" w:val="clear"/>
            <w:vAlign w:val="center"/>
          </w:tcPr>
          <w:p>
            <w:pPr>
              <w:pStyle w:val="TableContents"/>
              <w:spacing w:before="0" w:after="283"/>
              <w:rPr>
                <w:sz w:val="4"/>
                <w:szCs w:val="4"/>
              </w:rPr>
            </w:pPr>
            <w:r>
              <w:rPr>
                <w:sz w:val="4"/>
                <w:szCs w:val="4"/>
              </w:rPr>
            </w:r>
          </w:p>
        </w:tc>
        <w:tc>
          <w:tcPr>
            <w:tcW w:w="3620" w:type="dxa"/>
            <w:gridSpan w:val="2"/>
            <w:tcBorders/>
            <w:shd w:fill="auto" w:val="clear"/>
            <w:vAlign w:val="center"/>
          </w:tcPr>
          <w:p>
            <w:pPr>
              <w:pStyle w:val="TableContents"/>
              <w:spacing w:before="0" w:after="283"/>
              <w:rPr>
                <w:sz w:val="4"/>
                <w:szCs w:val="4"/>
              </w:rPr>
            </w:pPr>
            <w:r>
              <w:rPr>
                <w:sz w:val="4"/>
                <w:szCs w:val="4"/>
              </w:rPr>
            </w:r>
          </w:p>
        </w:tc>
        <w:tc>
          <w:tcPr>
            <w:tcW w:w="3170" w:type="dxa"/>
            <w:gridSpan w:val="2"/>
            <w:tcBorders/>
            <w:shd w:fill="auto" w:val="clear"/>
            <w:vAlign w:val="center"/>
          </w:tcPr>
          <w:p>
            <w:pPr>
              <w:pStyle w:val="TableContents"/>
              <w:spacing w:before="0" w:after="283"/>
              <w:rPr>
                <w:sz w:val="4"/>
                <w:szCs w:val="4"/>
              </w:rPr>
            </w:pPr>
            <w:r>
              <w:rPr>
                <w:sz w:val="4"/>
                <w:szCs w:val="4"/>
              </w:rPr>
            </w:r>
          </w:p>
        </w:tc>
      </w:tr>
      <w:tr>
        <w:trPr/>
        <w:tc>
          <w:tcPr>
            <w:tcW w:w="3415"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09" w:type="dxa"/>
            <w:tcBorders/>
            <w:shd w:fill="auto" w:val="clear"/>
            <w:vAlign w:val="bottom"/>
          </w:tcPr>
          <w:p>
            <w:pPr>
              <w:pStyle w:val="TableContents"/>
              <w:spacing w:before="0" w:after="283"/>
              <w:rPr/>
            </w:pPr>
            <w:r>
              <w:rPr/>
              <w:t>Our board of directors currently consists of nine members.</w:t>
            </w:r>
          </w:p>
        </w:tc>
        <w:tc>
          <w:tcPr>
            <w:tcW w:w="12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3415" w:type="dxa"/>
            <w:tcBorders/>
            <w:shd w:fill="auto" w:val="clear"/>
            <w:vAlign w:val="center"/>
          </w:tcPr>
          <w:p>
            <w:pPr>
              <w:pStyle w:val="TableContents"/>
              <w:spacing w:before="0" w:after="283"/>
              <w:rPr>
                <w:sz w:val="4"/>
                <w:szCs w:val="4"/>
              </w:rPr>
            </w:pPr>
            <w:r>
              <w:rPr>
                <w:sz w:val="4"/>
                <w:szCs w:val="4"/>
              </w:rPr>
            </w:r>
          </w:p>
        </w:tc>
        <w:tc>
          <w:tcPr>
            <w:tcW w:w="3620" w:type="dxa"/>
            <w:gridSpan w:val="2"/>
            <w:tcBorders/>
            <w:shd w:fill="auto" w:val="clear"/>
            <w:vAlign w:val="center"/>
          </w:tcPr>
          <w:p>
            <w:pPr>
              <w:pStyle w:val="TableContents"/>
              <w:spacing w:before="0" w:after="283"/>
              <w:rPr>
                <w:sz w:val="4"/>
                <w:szCs w:val="4"/>
              </w:rPr>
            </w:pPr>
            <w:r>
              <w:rPr>
                <w:sz w:val="4"/>
                <w:szCs w:val="4"/>
              </w:rPr>
            </w:r>
          </w:p>
        </w:tc>
        <w:tc>
          <w:tcPr>
            <w:tcW w:w="3170" w:type="dxa"/>
            <w:gridSpan w:val="2"/>
            <w:tcBorders/>
            <w:shd w:fill="auto" w:val="clear"/>
            <w:vAlign w:val="center"/>
          </w:tcPr>
          <w:p>
            <w:pPr>
              <w:pStyle w:val="TableContents"/>
              <w:spacing w:before="0" w:after="283"/>
              <w:rPr>
                <w:sz w:val="4"/>
                <w:szCs w:val="4"/>
              </w:rPr>
            </w:pPr>
            <w:r>
              <w:rPr>
                <w:sz w:val="4"/>
                <w:szCs w:val="4"/>
              </w:rPr>
            </w:r>
          </w:p>
        </w:tc>
      </w:tr>
      <w:tr>
        <w:trPr/>
        <w:tc>
          <w:tcPr>
            <w:tcW w:w="3415"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09" w:type="dxa"/>
            <w:tcBorders/>
            <w:shd w:fill="auto" w:val="clear"/>
            <w:vAlign w:val="bottom"/>
          </w:tcPr>
          <w:p>
            <w:pPr>
              <w:pStyle w:val="TableContents"/>
              <w:spacing w:before="0" w:after="283"/>
              <w:rPr/>
            </w:pPr>
            <w:r>
              <w:rPr/>
              <w:t>For as long as Novartis holds not less than one percent of our issued share capital, Novartis may appoint one observer who may attend, but not participate or vote in, any meeting of our board of directors.</w:t>
            </w:r>
          </w:p>
        </w:tc>
        <w:tc>
          <w:tcPr>
            <w:tcW w:w="12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3415" w:type="dxa"/>
            <w:tcBorders/>
            <w:shd w:fill="auto" w:val="clear"/>
            <w:vAlign w:val="center"/>
          </w:tcPr>
          <w:p>
            <w:pPr>
              <w:pStyle w:val="TableContents"/>
              <w:spacing w:before="0" w:after="283"/>
              <w:rPr>
                <w:sz w:val="4"/>
                <w:szCs w:val="4"/>
              </w:rPr>
            </w:pPr>
            <w:r>
              <w:rPr>
                <w:sz w:val="4"/>
                <w:szCs w:val="4"/>
              </w:rPr>
            </w:r>
          </w:p>
        </w:tc>
        <w:tc>
          <w:tcPr>
            <w:tcW w:w="3620" w:type="dxa"/>
            <w:gridSpan w:val="2"/>
            <w:tcBorders/>
            <w:shd w:fill="auto" w:val="clear"/>
            <w:vAlign w:val="center"/>
          </w:tcPr>
          <w:p>
            <w:pPr>
              <w:pStyle w:val="TableContents"/>
              <w:spacing w:before="0" w:after="283"/>
              <w:rPr>
                <w:sz w:val="4"/>
                <w:szCs w:val="4"/>
              </w:rPr>
            </w:pPr>
            <w:r>
              <w:rPr>
                <w:sz w:val="4"/>
                <w:szCs w:val="4"/>
              </w:rPr>
            </w:r>
          </w:p>
        </w:tc>
        <w:tc>
          <w:tcPr>
            <w:tcW w:w="3170" w:type="dxa"/>
            <w:gridSpan w:val="2"/>
            <w:tcBorders/>
            <w:shd w:fill="auto" w:val="clear"/>
            <w:vAlign w:val="center"/>
          </w:tcPr>
          <w:p>
            <w:pPr>
              <w:pStyle w:val="TableContents"/>
              <w:spacing w:before="0" w:after="283"/>
              <w:rPr>
                <w:sz w:val="4"/>
                <w:szCs w:val="4"/>
              </w:rPr>
            </w:pPr>
            <w:r>
              <w:rPr>
                <w:sz w:val="4"/>
                <w:szCs w:val="4"/>
              </w:rPr>
            </w:r>
          </w:p>
        </w:tc>
      </w:tr>
      <w:tr>
        <w:trPr/>
        <w:tc>
          <w:tcPr>
            <w:tcW w:w="3415" w:type="dxa"/>
            <w:tcBorders/>
            <w:shd w:fill="auto" w:val="clear"/>
          </w:tcPr>
          <w:p>
            <w:pPr>
              <w:pStyle w:val="TableContents"/>
              <w:spacing w:before="0" w:after="0"/>
              <w:rPr>
                <w:rFonts w:ascii="ARIAL" w:hAnsi="ARIAL"/>
                <w:sz w:val="20"/>
              </w:rPr>
            </w:pPr>
            <w:r>
              <w:rPr>
                <w:rFonts w:ascii="ARIAL" w:hAnsi="ARIAL"/>
                <w:sz w:val="20"/>
              </w:rPr>
              <w:t>Removal of Directors</w:t>
            </w:r>
          </w:p>
        </w:tc>
        <w:tc>
          <w:tcPr>
            <w:tcW w:w="311" w:type="dxa"/>
            <w:tcBorders/>
            <w:shd w:fill="auto" w:val="clear"/>
            <w:vAlign w:val="bottom"/>
          </w:tcPr>
          <w:p>
            <w:pPr>
              <w:pStyle w:val="TableContents"/>
              <w:spacing w:before="0" w:after="283"/>
              <w:rPr/>
            </w:pPr>
            <w:r>
              <w:rPr/>
              <w:t>  </w:t>
            </w:r>
          </w:p>
        </w:tc>
        <w:tc>
          <w:tcPr>
            <w:tcW w:w="3309" w:type="dxa"/>
            <w:tcBorders/>
            <w:shd w:fill="auto" w:val="clear"/>
            <w:vAlign w:val="bottom"/>
          </w:tcPr>
          <w:p>
            <w:pPr>
              <w:pStyle w:val="TableContents"/>
              <w:spacing w:before="0" w:after="283"/>
              <w:rPr/>
            </w:pPr>
            <w:r>
              <w:rPr/>
              <w:t>Under the U.K. Companies Act 2006, a company may remove a director without cause at a general meeting by way of an ordinary resolution of shareholders (which is passed by a simple majority of those voting in person or by proxy at a general meeting), irrespective of any provision of any agreement or service contract between the director and the company, provided</w:t>
            </w:r>
          </w:p>
        </w:tc>
        <w:tc>
          <w:tcPr>
            <w:tcW w:w="120" w:type="dxa"/>
            <w:tcBorders/>
            <w:shd w:fill="auto" w:val="clear"/>
            <w:vAlign w:val="bottom"/>
          </w:tcPr>
          <w:p>
            <w:pPr>
              <w:pStyle w:val="TableContents"/>
              <w:spacing w:before="0" w:after="283"/>
              <w:rPr/>
            </w:pPr>
            <w:r>
              <w:rPr/>
              <w:t>  </w:t>
            </w:r>
          </w:p>
        </w:tc>
        <w:tc>
          <w:tcPr>
            <w:tcW w:w="3050" w:type="dxa"/>
            <w:tcBorders/>
            <w:shd w:fill="auto" w:val="clear"/>
          </w:tcPr>
          <w:p>
            <w:pPr>
              <w:pStyle w:val="TableContents"/>
              <w:spacing w:before="0" w:after="283"/>
              <w:rPr/>
            </w:pPr>
            <w:r>
              <w:rPr/>
              <w:t>Under Delaware law, unless otherwise provided in the certificate of incorporation, any director or the entire board of directors may be removed, with or without cause, by the holders of a majority of the shares then entitled to vote at an election of directors, except (a) unless the certificate of incorporation provides otherwise, in the case of a corporation whose</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431"/>
        <w:gridCol w:w="309"/>
        <w:gridCol w:w="3321"/>
        <w:gridCol w:w="120"/>
        <w:gridCol w:w="3024"/>
      </w:tblGrid>
      <w:tr>
        <w:trPr/>
        <w:tc>
          <w:tcPr>
            <w:tcW w:w="3431"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33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24" w:type="dxa"/>
            <w:tcBorders/>
            <w:shd w:fill="auto" w:val="clear"/>
            <w:vAlign w:val="center"/>
          </w:tcPr>
          <w:p>
            <w:pPr>
              <w:pStyle w:val="TableContents"/>
              <w:spacing w:before="0" w:after="283"/>
              <w:rPr>
                <w:sz w:val="4"/>
                <w:szCs w:val="4"/>
              </w:rPr>
            </w:pPr>
            <w:r>
              <w:rPr>
                <w:sz w:val="4"/>
                <w:szCs w:val="4"/>
              </w:rPr>
            </w:r>
          </w:p>
        </w:tc>
      </w:tr>
      <w:tr>
        <w:trPr/>
        <w:tc>
          <w:tcPr>
            <w:tcW w:w="343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321"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0" w:type="dxa"/>
            <w:tcBorders/>
            <w:shd w:fill="auto" w:val="clear"/>
            <w:vAlign w:val="bottom"/>
          </w:tcPr>
          <w:p>
            <w:pPr>
              <w:pStyle w:val="TableContents"/>
              <w:spacing w:before="0" w:after="283"/>
              <w:rPr/>
            </w:pPr>
            <w:r>
              <w:rPr/>
              <w:t>  </w:t>
            </w:r>
          </w:p>
        </w:tc>
        <w:tc>
          <w:tcPr>
            <w:tcW w:w="3024"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c>
          <w:tcPr>
            <w:tcW w:w="3431"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3321" w:type="dxa"/>
            <w:tcBorders/>
            <w:shd w:fill="auto" w:val="clear"/>
            <w:vAlign w:val="bottom"/>
          </w:tcPr>
          <w:p>
            <w:pPr>
              <w:pStyle w:val="TableContents"/>
              <w:spacing w:before="0" w:after="0"/>
              <w:rPr>
                <w:rFonts w:ascii="ARIAL" w:hAnsi="ARIAL"/>
                <w:sz w:val="20"/>
              </w:rPr>
            </w:pPr>
            <w:r>
              <w:rPr>
                <w:rFonts w:ascii="ARIAL" w:hAnsi="ARIAL"/>
                <w:sz w:val="20"/>
              </w:rPr>
              <w:t>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w:t>
            </w:r>
          </w:p>
          <w:p>
            <w:pPr>
              <w:pStyle w:val="TableContents"/>
              <w:spacing w:before="0" w:after="0"/>
              <w:rPr/>
            </w:pPr>
            <w:r>
              <w:rPr/>
              <w:t> </w:t>
            </w:r>
          </w:p>
          <w:p>
            <w:pPr>
              <w:pStyle w:val="TableContents"/>
              <w:spacing w:before="0" w:after="20"/>
              <w:rPr>
                <w:rFonts w:ascii="ARIAL" w:hAnsi="ARIAL"/>
                <w:sz w:val="20"/>
              </w:rPr>
            </w:pPr>
            <w:r>
              <w:rPr>
                <w:rFonts w:ascii="ARIAL" w:hAnsi="ARIAL"/>
                <w:sz w:val="20"/>
              </w:rPr>
              <w:t>In addition to any power of removal under the U.K. Companies Act 2006, under our Articles, we may, by special resolution or ordinary resolution (of which special notice has been given in accordance with section 312 of the U.K. Companies Act 2006) remove any director from office (but without prejudice to any claim he or she may have for damages for breach of any agreement between us and the relevant director) and, by ordinary resolution, appoint another person to act as director in his or her place.</w:t>
            </w:r>
          </w:p>
        </w:tc>
        <w:tc>
          <w:tcPr>
            <w:tcW w:w="120"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rPr/>
            </w:pPr>
            <w:r>
              <w:rPr/>
              <w:t>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tc>
      </w:tr>
      <w:tr>
        <w:trPr>
          <w:trHeight w:val="120" w:hRule="atLeast"/>
        </w:trPr>
        <w:tc>
          <w:tcPr>
            <w:tcW w:w="3431" w:type="dxa"/>
            <w:tcBorders/>
            <w:shd w:fill="auto" w:val="clear"/>
            <w:vAlign w:val="center"/>
          </w:tcPr>
          <w:p>
            <w:pPr>
              <w:pStyle w:val="TableContents"/>
              <w:spacing w:before="0" w:after="283"/>
              <w:rPr>
                <w:sz w:val="4"/>
                <w:szCs w:val="4"/>
              </w:rPr>
            </w:pPr>
            <w:r>
              <w:rPr>
                <w:sz w:val="4"/>
                <w:szCs w:val="4"/>
              </w:rPr>
            </w:r>
          </w:p>
        </w:tc>
        <w:tc>
          <w:tcPr>
            <w:tcW w:w="3630" w:type="dxa"/>
            <w:gridSpan w:val="2"/>
            <w:tcBorders/>
            <w:shd w:fill="auto" w:val="clear"/>
            <w:vAlign w:val="center"/>
          </w:tcPr>
          <w:p>
            <w:pPr>
              <w:pStyle w:val="TableContents"/>
              <w:spacing w:before="0" w:after="283"/>
              <w:rPr>
                <w:sz w:val="4"/>
                <w:szCs w:val="4"/>
              </w:rPr>
            </w:pPr>
            <w:r>
              <w:rPr>
                <w:sz w:val="4"/>
                <w:szCs w:val="4"/>
              </w:rPr>
            </w:r>
          </w:p>
        </w:tc>
        <w:tc>
          <w:tcPr>
            <w:tcW w:w="3144" w:type="dxa"/>
            <w:gridSpan w:val="2"/>
            <w:tcBorders/>
            <w:shd w:fill="auto" w:val="clear"/>
            <w:vAlign w:val="center"/>
          </w:tcPr>
          <w:p>
            <w:pPr>
              <w:pStyle w:val="TableContents"/>
              <w:spacing w:before="0" w:after="283"/>
              <w:rPr>
                <w:sz w:val="4"/>
                <w:szCs w:val="4"/>
              </w:rPr>
            </w:pPr>
            <w:r>
              <w:rPr>
                <w:sz w:val="4"/>
                <w:szCs w:val="4"/>
              </w:rPr>
            </w:r>
          </w:p>
        </w:tc>
      </w:tr>
      <w:tr>
        <w:trPr/>
        <w:tc>
          <w:tcPr>
            <w:tcW w:w="3431" w:type="dxa"/>
            <w:tcBorders/>
            <w:shd w:fill="auto" w:val="clear"/>
          </w:tcPr>
          <w:p>
            <w:pPr>
              <w:pStyle w:val="TableContents"/>
              <w:spacing w:before="0" w:after="283"/>
              <w:rPr/>
            </w:pPr>
            <w:r>
              <w:rPr/>
              <w:t>Vacancies on the Board of Directors</w:t>
            </w:r>
          </w:p>
        </w:tc>
        <w:tc>
          <w:tcPr>
            <w:tcW w:w="309" w:type="dxa"/>
            <w:tcBorders/>
            <w:shd w:fill="auto" w:val="clear"/>
            <w:vAlign w:val="bottom"/>
          </w:tcPr>
          <w:p>
            <w:pPr>
              <w:pStyle w:val="TableContents"/>
              <w:spacing w:before="0" w:after="283"/>
              <w:rPr/>
            </w:pPr>
            <w:r>
              <w:rPr/>
              <w:t>  </w:t>
            </w:r>
          </w:p>
        </w:tc>
        <w:tc>
          <w:tcPr>
            <w:tcW w:w="3321" w:type="dxa"/>
            <w:tcBorders/>
            <w:shd w:fill="auto" w:val="clear"/>
          </w:tcPr>
          <w:p>
            <w:pPr>
              <w:pStyle w:val="TableContents"/>
              <w:spacing w:before="0" w:after="283"/>
              <w:rPr/>
            </w:pPr>
            <w:r>
              <w:rPr/>
              <w:t>Under our Articles, we may by ordinary resolution appoint a person who is willing to act to be a director, either to fill a vacancy or as an additional director and our board of directors may appoint a person who is willing to act to be a director, either to fill a vacancy or as an additional director, provided in each case that the appointment does not cause the number of directors to exceed the number fixed by or in accordance with our Articles as the maximum number of directors.</w:t>
            </w:r>
          </w:p>
        </w:tc>
        <w:tc>
          <w:tcPr>
            <w:tcW w:w="120"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rPr/>
            </w:pPr>
            <w:r>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tc>
      </w:tr>
      <w:tr>
        <w:trPr>
          <w:trHeight w:val="120" w:hRule="atLeast"/>
        </w:trPr>
        <w:tc>
          <w:tcPr>
            <w:tcW w:w="3431" w:type="dxa"/>
            <w:tcBorders/>
            <w:shd w:fill="auto" w:val="clear"/>
            <w:vAlign w:val="center"/>
          </w:tcPr>
          <w:p>
            <w:pPr>
              <w:pStyle w:val="TableContents"/>
              <w:spacing w:before="0" w:after="283"/>
              <w:rPr>
                <w:sz w:val="4"/>
                <w:szCs w:val="4"/>
              </w:rPr>
            </w:pPr>
            <w:r>
              <w:rPr>
                <w:sz w:val="4"/>
                <w:szCs w:val="4"/>
              </w:rPr>
            </w:r>
          </w:p>
        </w:tc>
        <w:tc>
          <w:tcPr>
            <w:tcW w:w="3630" w:type="dxa"/>
            <w:gridSpan w:val="2"/>
            <w:tcBorders/>
            <w:shd w:fill="auto" w:val="clear"/>
            <w:vAlign w:val="center"/>
          </w:tcPr>
          <w:p>
            <w:pPr>
              <w:pStyle w:val="TableContents"/>
              <w:spacing w:before="0" w:after="283"/>
              <w:rPr>
                <w:sz w:val="4"/>
                <w:szCs w:val="4"/>
              </w:rPr>
            </w:pPr>
            <w:r>
              <w:rPr>
                <w:sz w:val="4"/>
                <w:szCs w:val="4"/>
              </w:rPr>
            </w:r>
          </w:p>
        </w:tc>
        <w:tc>
          <w:tcPr>
            <w:tcW w:w="3144" w:type="dxa"/>
            <w:gridSpan w:val="2"/>
            <w:tcBorders/>
            <w:shd w:fill="auto" w:val="clear"/>
            <w:vAlign w:val="center"/>
          </w:tcPr>
          <w:p>
            <w:pPr>
              <w:pStyle w:val="TableContents"/>
              <w:spacing w:before="0" w:after="283"/>
              <w:rPr>
                <w:sz w:val="4"/>
                <w:szCs w:val="4"/>
              </w:rPr>
            </w:pPr>
            <w:r>
              <w:rPr>
                <w:sz w:val="4"/>
                <w:szCs w:val="4"/>
              </w:rPr>
            </w:r>
          </w:p>
        </w:tc>
      </w:tr>
      <w:tr>
        <w:trPr/>
        <w:tc>
          <w:tcPr>
            <w:tcW w:w="3431" w:type="dxa"/>
            <w:tcBorders/>
            <w:shd w:fill="auto" w:val="clear"/>
          </w:tcPr>
          <w:p>
            <w:pPr>
              <w:pStyle w:val="TableContents"/>
              <w:spacing w:before="0" w:after="0"/>
              <w:rPr>
                <w:rFonts w:ascii="ARIAL" w:hAnsi="ARIAL"/>
                <w:sz w:val="20"/>
              </w:rPr>
            </w:pPr>
            <w:r>
              <w:rPr>
                <w:rFonts w:ascii="ARIAL" w:hAnsi="ARIAL"/>
                <w:sz w:val="20"/>
              </w:rPr>
              <w:t>Annual General Meeting</w:t>
            </w:r>
          </w:p>
        </w:tc>
        <w:tc>
          <w:tcPr>
            <w:tcW w:w="309" w:type="dxa"/>
            <w:tcBorders/>
            <w:shd w:fill="auto" w:val="clear"/>
            <w:vAlign w:val="bottom"/>
          </w:tcPr>
          <w:p>
            <w:pPr>
              <w:pStyle w:val="TableContents"/>
              <w:spacing w:before="0" w:after="283"/>
              <w:rPr/>
            </w:pPr>
            <w:r>
              <w:rPr/>
              <w:t>  </w:t>
            </w:r>
          </w:p>
        </w:tc>
        <w:tc>
          <w:tcPr>
            <w:tcW w:w="3321" w:type="dxa"/>
            <w:tcBorders/>
            <w:shd w:fill="auto" w:val="clear"/>
          </w:tcPr>
          <w:p>
            <w:pPr>
              <w:pStyle w:val="TableContents"/>
              <w:spacing w:before="0" w:after="283"/>
              <w:rPr/>
            </w:pPr>
            <w:r>
              <w:rPr/>
              <w:t>Under the U.K. Companies Act 2006, a public limited company must hold an annual general meeting in each six-month</w:t>
            </w:r>
          </w:p>
        </w:tc>
        <w:tc>
          <w:tcPr>
            <w:tcW w:w="120"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rPr/>
            </w:pPr>
            <w:r>
              <w:rPr/>
              <w:t>Under Delaware law, the annual meeting of stockholders shall be held at such place, on such date and</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393"/>
        <w:gridCol w:w="311"/>
        <w:gridCol w:w="3343"/>
        <w:gridCol w:w="120"/>
        <w:gridCol w:w="3038"/>
      </w:tblGrid>
      <w:tr>
        <w:trPr/>
        <w:tc>
          <w:tcPr>
            <w:tcW w:w="339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33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38" w:type="dxa"/>
            <w:tcBorders/>
            <w:shd w:fill="auto" w:val="clear"/>
            <w:vAlign w:val="center"/>
          </w:tcPr>
          <w:p>
            <w:pPr>
              <w:pStyle w:val="TableContents"/>
              <w:spacing w:before="0" w:after="283"/>
              <w:rPr>
                <w:sz w:val="4"/>
                <w:szCs w:val="4"/>
              </w:rPr>
            </w:pPr>
            <w:r>
              <w:rPr>
                <w:sz w:val="4"/>
                <w:szCs w:val="4"/>
              </w:rPr>
            </w:r>
          </w:p>
        </w:tc>
      </w:tr>
      <w:tr>
        <w:trPr/>
        <w:tc>
          <w:tcPr>
            <w:tcW w:w="3393"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343"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0" w:type="dxa"/>
            <w:tcBorders/>
            <w:shd w:fill="auto" w:val="clear"/>
            <w:vAlign w:val="bottom"/>
          </w:tcPr>
          <w:p>
            <w:pPr>
              <w:pStyle w:val="TableContents"/>
              <w:spacing w:before="0" w:after="283"/>
              <w:rPr/>
            </w:pPr>
            <w:r>
              <w:rPr/>
              <w:t>  </w:t>
            </w:r>
          </w:p>
        </w:tc>
        <w:tc>
          <w:tcPr>
            <w:tcW w:w="3038"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c>
          <w:tcPr>
            <w:tcW w:w="3393"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43" w:type="dxa"/>
            <w:tcBorders/>
            <w:shd w:fill="auto" w:val="clear"/>
          </w:tcPr>
          <w:p>
            <w:pPr>
              <w:pStyle w:val="TableContents"/>
              <w:spacing w:before="0" w:after="283"/>
              <w:rPr/>
            </w:pPr>
            <w:r>
              <w:rPr/>
              <w:t>period following the companys annual accounting reference date.</w:t>
            </w:r>
          </w:p>
        </w:tc>
        <w:tc>
          <w:tcPr>
            <w:tcW w:w="120"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pPr>
            <w:r>
              <w:rPr/>
              <w:t>at such time as may be designated from time to time by the board of directors or as provided in the certificate of incorporation or by the bylaws.</w:t>
            </w:r>
          </w:p>
        </w:tc>
      </w:tr>
      <w:tr>
        <w:trPr>
          <w:trHeight w:val="120" w:hRule="atLeast"/>
        </w:trPr>
        <w:tc>
          <w:tcPr>
            <w:tcW w:w="3393" w:type="dxa"/>
            <w:tcBorders/>
            <w:shd w:fill="auto" w:val="clear"/>
            <w:vAlign w:val="center"/>
          </w:tcPr>
          <w:p>
            <w:pPr>
              <w:pStyle w:val="TableContents"/>
              <w:spacing w:before="0" w:after="283"/>
              <w:rPr>
                <w:sz w:val="4"/>
                <w:szCs w:val="4"/>
              </w:rPr>
            </w:pPr>
            <w:r>
              <w:rPr>
                <w:sz w:val="4"/>
                <w:szCs w:val="4"/>
              </w:rPr>
            </w:r>
          </w:p>
        </w:tc>
        <w:tc>
          <w:tcPr>
            <w:tcW w:w="3654" w:type="dxa"/>
            <w:gridSpan w:val="2"/>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r>
      <w:tr>
        <w:trPr/>
        <w:tc>
          <w:tcPr>
            <w:tcW w:w="3393" w:type="dxa"/>
            <w:tcBorders/>
            <w:shd w:fill="auto" w:val="clear"/>
          </w:tcPr>
          <w:p>
            <w:pPr>
              <w:pStyle w:val="TableContents"/>
              <w:spacing w:before="0" w:after="0"/>
              <w:rPr>
                <w:rFonts w:ascii="ARIAL" w:hAnsi="ARIAL"/>
                <w:sz w:val="20"/>
              </w:rPr>
            </w:pPr>
            <w:r>
              <w:rPr>
                <w:rFonts w:ascii="ARIAL" w:hAnsi="ARIAL"/>
                <w:sz w:val="20"/>
              </w:rPr>
              <w:t>General Meeting</w:t>
            </w:r>
          </w:p>
        </w:tc>
        <w:tc>
          <w:tcPr>
            <w:tcW w:w="311" w:type="dxa"/>
            <w:tcBorders/>
            <w:shd w:fill="auto" w:val="clear"/>
            <w:vAlign w:val="bottom"/>
          </w:tcPr>
          <w:p>
            <w:pPr>
              <w:pStyle w:val="TableContents"/>
              <w:spacing w:before="0" w:after="283"/>
              <w:rPr/>
            </w:pPr>
            <w:r>
              <w:rPr/>
              <w:t>  </w:t>
            </w:r>
          </w:p>
        </w:tc>
        <w:tc>
          <w:tcPr>
            <w:tcW w:w="3343" w:type="dxa"/>
            <w:tcBorders/>
            <w:shd w:fill="auto" w:val="clear"/>
          </w:tcPr>
          <w:p>
            <w:pPr>
              <w:pStyle w:val="TableContents"/>
              <w:spacing w:before="0" w:after="283"/>
              <w:rPr/>
            </w:pPr>
            <w:r>
              <w:rPr/>
              <w:t>Under the U.K. Companies Act 2006, a general meeting of the shareholders of a public limited company may be called by the directors.</w:t>
            </w:r>
          </w:p>
        </w:tc>
        <w:tc>
          <w:tcPr>
            <w:tcW w:w="120"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pPr>
            <w:r>
              <w:rPr/>
              <w:t>Under Delaware law, special meetings of the stockholders may be called by the board of directors or by such person or persons as may be authorized by the certificate of incorporation or by the bylaws.</w:t>
            </w:r>
          </w:p>
        </w:tc>
      </w:tr>
      <w:tr>
        <w:trPr>
          <w:trHeight w:val="120" w:hRule="atLeast"/>
        </w:trPr>
        <w:tc>
          <w:tcPr>
            <w:tcW w:w="3393" w:type="dxa"/>
            <w:tcBorders/>
            <w:shd w:fill="auto" w:val="clear"/>
            <w:vAlign w:val="center"/>
          </w:tcPr>
          <w:p>
            <w:pPr>
              <w:pStyle w:val="TableContents"/>
              <w:spacing w:before="0" w:after="283"/>
              <w:rPr>
                <w:sz w:val="4"/>
                <w:szCs w:val="4"/>
              </w:rPr>
            </w:pPr>
            <w:r>
              <w:rPr>
                <w:sz w:val="4"/>
                <w:szCs w:val="4"/>
              </w:rPr>
            </w:r>
          </w:p>
        </w:tc>
        <w:tc>
          <w:tcPr>
            <w:tcW w:w="3654" w:type="dxa"/>
            <w:gridSpan w:val="2"/>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r>
      <w:tr>
        <w:trPr/>
        <w:tc>
          <w:tcPr>
            <w:tcW w:w="3393"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43" w:type="dxa"/>
            <w:tcBorders/>
            <w:shd w:fill="auto" w:val="clear"/>
          </w:tcPr>
          <w:p>
            <w:pPr>
              <w:pStyle w:val="TableContents"/>
              <w:spacing w:before="0" w:after="283"/>
              <w:rPr/>
            </w:pPr>
            <w:r>
              <w:rPr/>
              <w:t>Subject to the notice requirements of the U.K. Companies Act 2006 outlined below and subject to our Articles, a general meeting of our shareholders may be called by our board of directors whenever and at such times and places as it shall determine.</w:t>
            </w:r>
          </w:p>
        </w:tc>
        <w:tc>
          <w:tcPr>
            <w:tcW w:w="120"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sz w:val="4"/>
                <w:szCs w:val="4"/>
              </w:rPr>
            </w:pPr>
            <w:r>
              <w:rPr>
                <w:sz w:val="4"/>
                <w:szCs w:val="4"/>
              </w:rPr>
            </w:r>
          </w:p>
        </w:tc>
      </w:tr>
      <w:tr>
        <w:trPr>
          <w:trHeight w:val="120" w:hRule="atLeast"/>
        </w:trPr>
        <w:tc>
          <w:tcPr>
            <w:tcW w:w="3393" w:type="dxa"/>
            <w:tcBorders/>
            <w:shd w:fill="auto" w:val="clear"/>
            <w:vAlign w:val="center"/>
          </w:tcPr>
          <w:p>
            <w:pPr>
              <w:pStyle w:val="TableContents"/>
              <w:spacing w:before="0" w:after="283"/>
              <w:rPr>
                <w:sz w:val="4"/>
                <w:szCs w:val="4"/>
              </w:rPr>
            </w:pPr>
            <w:r>
              <w:rPr>
                <w:sz w:val="4"/>
                <w:szCs w:val="4"/>
              </w:rPr>
            </w:r>
          </w:p>
        </w:tc>
        <w:tc>
          <w:tcPr>
            <w:tcW w:w="3654" w:type="dxa"/>
            <w:gridSpan w:val="2"/>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r>
      <w:tr>
        <w:trPr/>
        <w:tc>
          <w:tcPr>
            <w:tcW w:w="3393"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43" w:type="dxa"/>
            <w:tcBorders/>
            <w:shd w:fill="auto" w:val="clear"/>
          </w:tcPr>
          <w:p>
            <w:pPr>
              <w:pStyle w:val="TableContents"/>
              <w:spacing w:before="0" w:after="283"/>
              <w:rPr/>
            </w:pPr>
            <w:r>
              <w:rPr/>
              <w:t>A general meeting may also be convened by our board of directors on the requisition of not less than two of our shareholders who hold at least 5% of our voting share capital.</w:t>
            </w:r>
          </w:p>
        </w:tc>
        <w:tc>
          <w:tcPr>
            <w:tcW w:w="120"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sz w:val="4"/>
                <w:szCs w:val="4"/>
              </w:rPr>
            </w:pPr>
            <w:r>
              <w:rPr>
                <w:sz w:val="4"/>
                <w:szCs w:val="4"/>
              </w:rPr>
            </w:r>
          </w:p>
        </w:tc>
      </w:tr>
      <w:tr>
        <w:trPr>
          <w:trHeight w:val="120" w:hRule="atLeast"/>
        </w:trPr>
        <w:tc>
          <w:tcPr>
            <w:tcW w:w="3393" w:type="dxa"/>
            <w:tcBorders/>
            <w:shd w:fill="auto" w:val="clear"/>
            <w:vAlign w:val="center"/>
          </w:tcPr>
          <w:p>
            <w:pPr>
              <w:pStyle w:val="TableContents"/>
              <w:spacing w:before="0" w:after="283"/>
              <w:rPr>
                <w:sz w:val="4"/>
                <w:szCs w:val="4"/>
              </w:rPr>
            </w:pPr>
            <w:r>
              <w:rPr>
                <w:sz w:val="4"/>
                <w:szCs w:val="4"/>
              </w:rPr>
            </w:r>
          </w:p>
        </w:tc>
        <w:tc>
          <w:tcPr>
            <w:tcW w:w="3654" w:type="dxa"/>
            <w:gridSpan w:val="2"/>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r>
      <w:tr>
        <w:trPr/>
        <w:tc>
          <w:tcPr>
            <w:tcW w:w="3393"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43" w:type="dxa"/>
            <w:tcBorders/>
            <w:shd w:fill="auto" w:val="clear"/>
          </w:tcPr>
          <w:p>
            <w:pPr>
              <w:pStyle w:val="TableContents"/>
              <w:spacing w:before="0" w:after="283"/>
              <w:rPr/>
            </w:pPr>
            <w:r>
              <w:rPr/>
              <w:t>General meetings at which special resolutions are proposed and passed generally involve proposals to change the name of the company, permit the company to issue new shares for cash without the shareholders pre-emptive right, amend the companys articles of association, or carry out other matters where either the companys articles of association or the U.K. Companies Act 2006 prescribe that a special resolution is required.</w:t>
            </w:r>
          </w:p>
        </w:tc>
        <w:tc>
          <w:tcPr>
            <w:tcW w:w="120"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sz w:val="4"/>
                <w:szCs w:val="4"/>
              </w:rPr>
            </w:pPr>
            <w:r>
              <w:rPr>
                <w:sz w:val="4"/>
                <w:szCs w:val="4"/>
              </w:rPr>
            </w:r>
          </w:p>
        </w:tc>
      </w:tr>
      <w:tr>
        <w:trPr>
          <w:trHeight w:val="120" w:hRule="atLeast"/>
        </w:trPr>
        <w:tc>
          <w:tcPr>
            <w:tcW w:w="3393" w:type="dxa"/>
            <w:tcBorders/>
            <w:shd w:fill="auto" w:val="clear"/>
            <w:vAlign w:val="center"/>
          </w:tcPr>
          <w:p>
            <w:pPr>
              <w:pStyle w:val="TableContents"/>
              <w:spacing w:before="0" w:after="283"/>
              <w:rPr>
                <w:sz w:val="4"/>
                <w:szCs w:val="4"/>
              </w:rPr>
            </w:pPr>
            <w:r>
              <w:rPr>
                <w:sz w:val="4"/>
                <w:szCs w:val="4"/>
              </w:rPr>
            </w:r>
          </w:p>
        </w:tc>
        <w:tc>
          <w:tcPr>
            <w:tcW w:w="3654" w:type="dxa"/>
            <w:gridSpan w:val="2"/>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r>
      <w:tr>
        <w:trPr/>
        <w:tc>
          <w:tcPr>
            <w:tcW w:w="3393"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43" w:type="dxa"/>
            <w:tcBorders/>
            <w:shd w:fill="auto" w:val="clear"/>
          </w:tcPr>
          <w:p>
            <w:pPr>
              <w:pStyle w:val="TableContents"/>
              <w:spacing w:before="0" w:after="283"/>
              <w:rPr/>
            </w:pPr>
            <w:r>
              <w:rPr/>
              <w:t>Other proposals relating to the ordinary course of the companys business, such as the election of directors, would generally be the subject of an ordinary resolution and subject to our Articles.</w:t>
            </w:r>
          </w:p>
        </w:tc>
        <w:tc>
          <w:tcPr>
            <w:tcW w:w="120"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402"/>
        <w:gridCol w:w="309"/>
        <w:gridCol w:w="3342"/>
        <w:gridCol w:w="120"/>
        <w:gridCol w:w="3032"/>
      </w:tblGrid>
      <w:tr>
        <w:trPr/>
        <w:tc>
          <w:tcPr>
            <w:tcW w:w="340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33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r>
      <w:tr>
        <w:trPr/>
        <w:tc>
          <w:tcPr>
            <w:tcW w:w="340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342"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0" w:type="dxa"/>
            <w:tcBorders/>
            <w:shd w:fill="auto" w:val="clear"/>
            <w:vAlign w:val="bottom"/>
          </w:tcPr>
          <w:p>
            <w:pPr>
              <w:pStyle w:val="TableContents"/>
              <w:spacing w:before="0" w:after="283"/>
              <w:rPr/>
            </w:pPr>
            <w:r>
              <w:rPr/>
              <w:t>  </w:t>
            </w:r>
          </w:p>
        </w:tc>
        <w:tc>
          <w:tcPr>
            <w:tcW w:w="3032"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rHeight w:val="120" w:hRule="atLeast"/>
        </w:trPr>
        <w:tc>
          <w:tcPr>
            <w:tcW w:w="3402" w:type="dxa"/>
            <w:tcBorders/>
            <w:shd w:fill="auto" w:val="clear"/>
            <w:vAlign w:val="center"/>
          </w:tcPr>
          <w:p>
            <w:pPr>
              <w:pStyle w:val="TableContents"/>
              <w:spacing w:before="0" w:after="283"/>
              <w:rPr>
                <w:sz w:val="4"/>
                <w:szCs w:val="4"/>
              </w:rPr>
            </w:pPr>
            <w:r>
              <w:rPr>
                <w:sz w:val="4"/>
                <w:szCs w:val="4"/>
              </w:rPr>
            </w:r>
          </w:p>
        </w:tc>
        <w:tc>
          <w:tcPr>
            <w:tcW w:w="3651" w:type="dxa"/>
            <w:gridSpan w:val="2"/>
            <w:tcBorders/>
            <w:shd w:fill="auto" w:val="clear"/>
            <w:vAlign w:val="center"/>
          </w:tcPr>
          <w:p>
            <w:pPr>
              <w:pStyle w:val="TableContents"/>
              <w:spacing w:before="0" w:after="283"/>
              <w:rPr>
                <w:sz w:val="4"/>
                <w:szCs w:val="4"/>
              </w:rPr>
            </w:pPr>
            <w:r>
              <w:rPr>
                <w:sz w:val="4"/>
                <w:szCs w:val="4"/>
              </w:rPr>
            </w:r>
          </w:p>
        </w:tc>
        <w:tc>
          <w:tcPr>
            <w:tcW w:w="3152" w:type="dxa"/>
            <w:gridSpan w:val="2"/>
            <w:tcBorders/>
            <w:shd w:fill="auto" w:val="clear"/>
            <w:vAlign w:val="center"/>
          </w:tcPr>
          <w:p>
            <w:pPr>
              <w:pStyle w:val="TableContents"/>
              <w:spacing w:before="0" w:after="283"/>
              <w:rPr>
                <w:sz w:val="4"/>
                <w:szCs w:val="4"/>
              </w:rPr>
            </w:pPr>
            <w:r>
              <w:rPr>
                <w:sz w:val="4"/>
                <w:szCs w:val="4"/>
              </w:rPr>
            </w:r>
          </w:p>
        </w:tc>
      </w:tr>
      <w:tr>
        <w:trPr/>
        <w:tc>
          <w:tcPr>
            <w:tcW w:w="3402" w:type="dxa"/>
            <w:tcBorders/>
            <w:shd w:fill="auto" w:val="clear"/>
          </w:tcPr>
          <w:p>
            <w:pPr>
              <w:pStyle w:val="TableContents"/>
              <w:spacing w:before="0" w:after="0"/>
              <w:rPr>
                <w:rFonts w:ascii="ARIAL" w:hAnsi="ARIAL"/>
                <w:sz w:val="20"/>
              </w:rPr>
            </w:pPr>
            <w:r>
              <w:rPr>
                <w:rFonts w:ascii="ARIAL" w:hAnsi="ARIAL"/>
                <w:sz w:val="20"/>
              </w:rPr>
              <w:t>Notice of General Meetings</w:t>
            </w:r>
          </w:p>
        </w:tc>
        <w:tc>
          <w:tcPr>
            <w:tcW w:w="309"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Under the U.K. Companies Act 2006, at least 21 clear days notice must be given for an annual general meeting and any resolutions to be proposed at that meeting. At least 14 clear days notice is required for any other general meeting.</w:t>
            </w:r>
          </w:p>
        </w:tc>
        <w:tc>
          <w:tcPr>
            <w:tcW w:w="120" w:type="dxa"/>
            <w:tcBorders/>
            <w:shd w:fill="auto" w:val="clear"/>
            <w:vAlign w:val="bottom"/>
          </w:tcPr>
          <w:p>
            <w:pPr>
              <w:pStyle w:val="TableContents"/>
              <w:spacing w:before="0" w:after="283"/>
              <w:rPr/>
            </w:pPr>
            <w:r>
              <w:rPr/>
              <w:t>  </w:t>
            </w:r>
          </w:p>
        </w:tc>
        <w:tc>
          <w:tcPr>
            <w:tcW w:w="3032" w:type="dxa"/>
            <w:tcBorders/>
            <w:shd w:fill="auto" w:val="clear"/>
          </w:tcPr>
          <w:p>
            <w:pPr>
              <w:pStyle w:val="TableContents"/>
              <w:spacing w:before="0" w:after="283"/>
              <w:rPr/>
            </w:pPr>
            <w:r>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tc>
      </w:tr>
      <w:tr>
        <w:trPr>
          <w:trHeight w:val="120" w:hRule="atLeast"/>
        </w:trPr>
        <w:tc>
          <w:tcPr>
            <w:tcW w:w="3402" w:type="dxa"/>
            <w:tcBorders/>
            <w:shd w:fill="auto" w:val="clear"/>
            <w:vAlign w:val="center"/>
          </w:tcPr>
          <w:p>
            <w:pPr>
              <w:pStyle w:val="TableContents"/>
              <w:spacing w:before="0" w:after="283"/>
              <w:rPr>
                <w:sz w:val="4"/>
                <w:szCs w:val="4"/>
              </w:rPr>
            </w:pPr>
            <w:r>
              <w:rPr>
                <w:sz w:val="4"/>
                <w:szCs w:val="4"/>
              </w:rPr>
            </w:r>
          </w:p>
        </w:tc>
        <w:tc>
          <w:tcPr>
            <w:tcW w:w="3651" w:type="dxa"/>
            <w:gridSpan w:val="2"/>
            <w:tcBorders/>
            <w:shd w:fill="auto" w:val="clear"/>
            <w:vAlign w:val="center"/>
          </w:tcPr>
          <w:p>
            <w:pPr>
              <w:pStyle w:val="TableContents"/>
              <w:spacing w:before="0" w:after="283"/>
              <w:rPr>
                <w:sz w:val="4"/>
                <w:szCs w:val="4"/>
              </w:rPr>
            </w:pPr>
            <w:r>
              <w:rPr>
                <w:sz w:val="4"/>
                <w:szCs w:val="4"/>
              </w:rPr>
            </w:r>
          </w:p>
        </w:tc>
        <w:tc>
          <w:tcPr>
            <w:tcW w:w="3152" w:type="dxa"/>
            <w:gridSpan w:val="2"/>
            <w:tcBorders/>
            <w:shd w:fill="auto" w:val="clear"/>
            <w:vAlign w:val="center"/>
          </w:tcPr>
          <w:p>
            <w:pPr>
              <w:pStyle w:val="TableContents"/>
              <w:spacing w:before="0" w:after="283"/>
              <w:rPr>
                <w:sz w:val="4"/>
                <w:szCs w:val="4"/>
              </w:rPr>
            </w:pPr>
            <w:r>
              <w:rPr>
                <w:sz w:val="4"/>
                <w:szCs w:val="4"/>
              </w:rPr>
            </w:r>
          </w:p>
        </w:tc>
      </w:tr>
      <w:tr>
        <w:trPr/>
        <w:tc>
          <w:tcPr>
            <w:tcW w:w="3402"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In addition, certain matters, such as the removal of directors or auditors, require special notice, which is 28 clear days notice.</w:t>
            </w:r>
          </w:p>
        </w:tc>
        <w:tc>
          <w:tcPr>
            <w:tcW w:w="120" w:type="dxa"/>
            <w:tcBorders/>
            <w:shd w:fill="auto" w:val="clear"/>
            <w:vAlign w:val="bottom"/>
          </w:tcPr>
          <w:p>
            <w:pPr>
              <w:pStyle w:val="TableContents"/>
              <w:spacing w:before="0" w:after="283"/>
              <w:rPr/>
            </w:pPr>
            <w:r>
              <w:rPr/>
              <w:t>  </w:t>
            </w:r>
          </w:p>
        </w:tc>
        <w:tc>
          <w:tcPr>
            <w:tcW w:w="3032" w:type="dxa"/>
            <w:tcBorders/>
            <w:shd w:fill="auto" w:val="clear"/>
          </w:tcPr>
          <w:p>
            <w:pPr>
              <w:pStyle w:val="TableContents"/>
              <w:spacing w:before="0" w:after="283"/>
              <w:rPr>
                <w:sz w:val="4"/>
                <w:szCs w:val="4"/>
              </w:rPr>
            </w:pPr>
            <w:r>
              <w:rPr>
                <w:sz w:val="4"/>
                <w:szCs w:val="4"/>
              </w:rPr>
            </w:r>
          </w:p>
        </w:tc>
      </w:tr>
      <w:tr>
        <w:trPr>
          <w:trHeight w:val="120" w:hRule="atLeast"/>
        </w:trPr>
        <w:tc>
          <w:tcPr>
            <w:tcW w:w="3402" w:type="dxa"/>
            <w:tcBorders/>
            <w:shd w:fill="auto" w:val="clear"/>
            <w:vAlign w:val="center"/>
          </w:tcPr>
          <w:p>
            <w:pPr>
              <w:pStyle w:val="TableContents"/>
              <w:spacing w:before="0" w:after="283"/>
              <w:rPr>
                <w:sz w:val="4"/>
                <w:szCs w:val="4"/>
              </w:rPr>
            </w:pPr>
            <w:r>
              <w:rPr>
                <w:sz w:val="4"/>
                <w:szCs w:val="4"/>
              </w:rPr>
            </w:r>
          </w:p>
        </w:tc>
        <w:tc>
          <w:tcPr>
            <w:tcW w:w="3651" w:type="dxa"/>
            <w:gridSpan w:val="2"/>
            <w:tcBorders/>
            <w:shd w:fill="auto" w:val="clear"/>
            <w:vAlign w:val="center"/>
          </w:tcPr>
          <w:p>
            <w:pPr>
              <w:pStyle w:val="TableContents"/>
              <w:spacing w:before="0" w:after="283"/>
              <w:rPr>
                <w:sz w:val="4"/>
                <w:szCs w:val="4"/>
              </w:rPr>
            </w:pPr>
            <w:r>
              <w:rPr>
                <w:sz w:val="4"/>
                <w:szCs w:val="4"/>
              </w:rPr>
            </w:r>
          </w:p>
        </w:tc>
        <w:tc>
          <w:tcPr>
            <w:tcW w:w="3152" w:type="dxa"/>
            <w:gridSpan w:val="2"/>
            <w:tcBorders/>
            <w:shd w:fill="auto" w:val="clear"/>
            <w:vAlign w:val="center"/>
          </w:tcPr>
          <w:p>
            <w:pPr>
              <w:pStyle w:val="TableContents"/>
              <w:spacing w:before="0" w:after="283"/>
              <w:rPr>
                <w:sz w:val="4"/>
                <w:szCs w:val="4"/>
              </w:rPr>
            </w:pPr>
            <w:r>
              <w:rPr>
                <w:sz w:val="4"/>
                <w:szCs w:val="4"/>
              </w:rPr>
            </w:r>
          </w:p>
        </w:tc>
      </w:tr>
      <w:tr>
        <w:trPr/>
        <w:tc>
          <w:tcPr>
            <w:tcW w:w="3402" w:type="dxa"/>
            <w:tcBorders/>
            <w:shd w:fill="auto" w:val="clear"/>
          </w:tcPr>
          <w:p>
            <w:pPr>
              <w:pStyle w:val="TableContents"/>
              <w:spacing w:before="0" w:after="0"/>
              <w:rPr>
                <w:rFonts w:ascii="ARIAL" w:hAnsi="ARIAL"/>
                <w:sz w:val="20"/>
              </w:rPr>
            </w:pPr>
            <w:r>
              <w:rPr>
                <w:rFonts w:ascii="ARIAL" w:hAnsi="ARIAL"/>
                <w:sz w:val="20"/>
              </w:rPr>
              <w:t>Quorum</w:t>
            </w:r>
          </w:p>
        </w:tc>
        <w:tc>
          <w:tcPr>
            <w:tcW w:w="309"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Our Articles provide that no business shall be transacted at any general meeting unless a quorum is present. Two qualifying persons present at a meeting and entitled to vote on the business to be transacted shall be a quorum, unless (1) each is a qualifying person only because he or she is authorized under the U.K. Companies Act 2006 to act as a representative of a corporation in relation to the meeting, and they are representatives of the same corporation, or (2) each is a qualifying person only because he or she is appointed as proxy of a shareholder in relation to the meeting, and they are proxies of the same shareholder.</w:t>
            </w:r>
          </w:p>
        </w:tc>
        <w:tc>
          <w:tcPr>
            <w:tcW w:w="120" w:type="dxa"/>
            <w:tcBorders/>
            <w:shd w:fill="auto" w:val="clear"/>
            <w:vAlign w:val="bottom"/>
          </w:tcPr>
          <w:p>
            <w:pPr>
              <w:pStyle w:val="TableContents"/>
              <w:spacing w:before="0" w:after="283"/>
              <w:rPr/>
            </w:pPr>
            <w:r>
              <w:rPr/>
              <w:t>  </w:t>
            </w:r>
          </w:p>
        </w:tc>
        <w:tc>
          <w:tcPr>
            <w:tcW w:w="3032" w:type="dxa"/>
            <w:tcBorders/>
            <w:shd w:fill="auto" w:val="clear"/>
          </w:tcPr>
          <w:p>
            <w:pPr>
              <w:pStyle w:val="TableContents"/>
              <w:spacing w:before="0" w:after="283"/>
              <w:rPr/>
            </w:pPr>
            <w:r>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tc>
      </w:tr>
      <w:tr>
        <w:trPr>
          <w:trHeight w:val="120" w:hRule="atLeast"/>
        </w:trPr>
        <w:tc>
          <w:tcPr>
            <w:tcW w:w="3402" w:type="dxa"/>
            <w:tcBorders/>
            <w:shd w:fill="auto" w:val="clear"/>
            <w:vAlign w:val="center"/>
          </w:tcPr>
          <w:p>
            <w:pPr>
              <w:pStyle w:val="TableContents"/>
              <w:spacing w:before="0" w:after="283"/>
              <w:rPr>
                <w:sz w:val="4"/>
                <w:szCs w:val="4"/>
              </w:rPr>
            </w:pPr>
            <w:r>
              <w:rPr>
                <w:sz w:val="4"/>
                <w:szCs w:val="4"/>
              </w:rPr>
            </w:r>
          </w:p>
        </w:tc>
        <w:tc>
          <w:tcPr>
            <w:tcW w:w="3651" w:type="dxa"/>
            <w:gridSpan w:val="2"/>
            <w:tcBorders/>
            <w:shd w:fill="auto" w:val="clear"/>
            <w:vAlign w:val="center"/>
          </w:tcPr>
          <w:p>
            <w:pPr>
              <w:pStyle w:val="TableContents"/>
              <w:spacing w:before="0" w:after="283"/>
              <w:rPr>
                <w:sz w:val="4"/>
                <w:szCs w:val="4"/>
              </w:rPr>
            </w:pPr>
            <w:r>
              <w:rPr>
                <w:sz w:val="4"/>
                <w:szCs w:val="4"/>
              </w:rPr>
            </w:r>
          </w:p>
        </w:tc>
        <w:tc>
          <w:tcPr>
            <w:tcW w:w="3152" w:type="dxa"/>
            <w:gridSpan w:val="2"/>
            <w:tcBorders/>
            <w:shd w:fill="auto" w:val="clear"/>
            <w:vAlign w:val="center"/>
          </w:tcPr>
          <w:p>
            <w:pPr>
              <w:pStyle w:val="TableContents"/>
              <w:spacing w:before="0" w:after="283"/>
              <w:rPr>
                <w:sz w:val="4"/>
                <w:szCs w:val="4"/>
              </w:rPr>
            </w:pPr>
            <w:r>
              <w:rPr>
                <w:sz w:val="4"/>
                <w:szCs w:val="4"/>
              </w:rPr>
            </w:r>
          </w:p>
        </w:tc>
      </w:tr>
      <w:tr>
        <w:trPr/>
        <w:tc>
          <w:tcPr>
            <w:tcW w:w="3402"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A qualifying person means (1) a person who is one of our shareholders, (2) a person authorized under the U.K. Companies Act 2006 to act as a representative of the corporation in relation to the meeting, or (3) a person appointed as proxy of a shareholder in relation to the meeting.</w:t>
            </w:r>
          </w:p>
        </w:tc>
        <w:tc>
          <w:tcPr>
            <w:tcW w:w="120" w:type="dxa"/>
            <w:tcBorders/>
            <w:shd w:fill="auto" w:val="clear"/>
            <w:vAlign w:val="bottom"/>
          </w:tcPr>
          <w:p>
            <w:pPr>
              <w:pStyle w:val="TableContents"/>
              <w:spacing w:before="0" w:after="283"/>
              <w:rPr/>
            </w:pPr>
            <w:r>
              <w:rPr/>
              <w:t>  </w:t>
            </w:r>
          </w:p>
        </w:tc>
        <w:tc>
          <w:tcPr>
            <w:tcW w:w="3032"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439"/>
        <w:gridCol w:w="309"/>
        <w:gridCol w:w="3298"/>
        <w:gridCol w:w="121"/>
        <w:gridCol w:w="3038"/>
      </w:tblGrid>
      <w:tr>
        <w:trPr/>
        <w:tc>
          <w:tcPr>
            <w:tcW w:w="343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32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038" w:type="dxa"/>
            <w:tcBorders/>
            <w:shd w:fill="auto" w:val="clear"/>
            <w:vAlign w:val="center"/>
          </w:tcPr>
          <w:p>
            <w:pPr>
              <w:pStyle w:val="TableContents"/>
              <w:spacing w:before="0" w:after="283"/>
              <w:rPr>
                <w:sz w:val="4"/>
                <w:szCs w:val="4"/>
              </w:rPr>
            </w:pPr>
            <w:r>
              <w:rPr>
                <w:sz w:val="4"/>
                <w:szCs w:val="4"/>
              </w:rPr>
            </w:r>
          </w:p>
        </w:tc>
      </w:tr>
      <w:tr>
        <w:trPr/>
        <w:tc>
          <w:tcPr>
            <w:tcW w:w="343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298"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1" w:type="dxa"/>
            <w:tcBorders/>
            <w:shd w:fill="auto" w:val="clear"/>
            <w:vAlign w:val="bottom"/>
          </w:tcPr>
          <w:p>
            <w:pPr>
              <w:pStyle w:val="TableContents"/>
              <w:spacing w:before="0" w:after="283"/>
              <w:rPr/>
            </w:pPr>
            <w:r>
              <w:rPr/>
              <w:t>  </w:t>
            </w:r>
          </w:p>
        </w:tc>
        <w:tc>
          <w:tcPr>
            <w:tcW w:w="3038"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rHeight w:val="120" w:hRule="atLeast"/>
        </w:trPr>
        <w:tc>
          <w:tcPr>
            <w:tcW w:w="3439" w:type="dxa"/>
            <w:tcBorders/>
            <w:shd w:fill="auto" w:val="clear"/>
            <w:vAlign w:val="center"/>
          </w:tcPr>
          <w:p>
            <w:pPr>
              <w:pStyle w:val="TableContents"/>
              <w:spacing w:before="0" w:after="283"/>
              <w:rPr>
                <w:sz w:val="4"/>
                <w:szCs w:val="4"/>
              </w:rPr>
            </w:pPr>
            <w:r>
              <w:rPr>
                <w:sz w:val="4"/>
                <w:szCs w:val="4"/>
              </w:rPr>
            </w:r>
          </w:p>
        </w:tc>
        <w:tc>
          <w:tcPr>
            <w:tcW w:w="3607" w:type="dxa"/>
            <w:gridSpan w:val="2"/>
            <w:tcBorders/>
            <w:shd w:fill="auto" w:val="clear"/>
            <w:vAlign w:val="center"/>
          </w:tcPr>
          <w:p>
            <w:pPr>
              <w:pStyle w:val="TableContents"/>
              <w:spacing w:before="0" w:after="283"/>
              <w:rPr>
                <w:sz w:val="4"/>
                <w:szCs w:val="4"/>
              </w:rPr>
            </w:pPr>
            <w:r>
              <w:rPr>
                <w:sz w:val="4"/>
                <w:szCs w:val="4"/>
              </w:rPr>
            </w:r>
          </w:p>
        </w:tc>
        <w:tc>
          <w:tcPr>
            <w:tcW w:w="3159" w:type="dxa"/>
            <w:gridSpan w:val="2"/>
            <w:tcBorders/>
            <w:shd w:fill="auto" w:val="clear"/>
            <w:vAlign w:val="center"/>
          </w:tcPr>
          <w:p>
            <w:pPr>
              <w:pStyle w:val="TableContents"/>
              <w:spacing w:before="0" w:after="283"/>
              <w:rPr>
                <w:sz w:val="4"/>
                <w:szCs w:val="4"/>
              </w:rPr>
            </w:pPr>
            <w:r>
              <w:rPr>
                <w:sz w:val="4"/>
                <w:szCs w:val="4"/>
              </w:rPr>
            </w:r>
          </w:p>
        </w:tc>
      </w:tr>
      <w:tr>
        <w:trPr/>
        <w:tc>
          <w:tcPr>
            <w:tcW w:w="3439" w:type="dxa"/>
            <w:tcBorders/>
            <w:shd w:fill="auto" w:val="clear"/>
          </w:tcPr>
          <w:p>
            <w:pPr>
              <w:pStyle w:val="TableContents"/>
              <w:spacing w:before="0" w:after="0"/>
              <w:rPr>
                <w:rFonts w:ascii="ARIAL" w:hAnsi="ARIAL"/>
                <w:sz w:val="20"/>
              </w:rPr>
            </w:pPr>
            <w:r>
              <w:rPr>
                <w:rFonts w:ascii="ARIAL" w:hAnsi="ARIAL"/>
                <w:sz w:val="20"/>
              </w:rPr>
              <w:t>Proxy</w:t>
            </w:r>
          </w:p>
        </w:tc>
        <w:tc>
          <w:tcPr>
            <w:tcW w:w="309" w:type="dxa"/>
            <w:tcBorders/>
            <w:shd w:fill="auto" w:val="clear"/>
            <w:vAlign w:val="bottom"/>
          </w:tcPr>
          <w:p>
            <w:pPr>
              <w:pStyle w:val="TableContents"/>
              <w:spacing w:before="0" w:after="283"/>
              <w:rPr/>
            </w:pPr>
            <w:r>
              <w:rPr/>
              <w:t>  </w:t>
            </w:r>
          </w:p>
        </w:tc>
        <w:tc>
          <w:tcPr>
            <w:tcW w:w="3298" w:type="dxa"/>
            <w:tcBorders/>
            <w:shd w:fill="auto" w:val="clear"/>
          </w:tcPr>
          <w:p>
            <w:pPr>
              <w:pStyle w:val="TableContents"/>
              <w:spacing w:before="0" w:after="283"/>
              <w:rPr/>
            </w:pPr>
            <w:r>
              <w:rPr/>
              <w:t>Under the U.K. Companies Act 2006, at any meeting of shareholders, a shareholder may designate another person to attend, speak and vote at the meeting on their behalf by proxy.</w:t>
            </w:r>
          </w:p>
        </w:tc>
        <w:tc>
          <w:tcPr>
            <w:tcW w:w="121"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pPr>
            <w:r>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tc>
      </w:tr>
      <w:tr>
        <w:trPr>
          <w:trHeight w:val="120" w:hRule="atLeast"/>
        </w:trPr>
        <w:tc>
          <w:tcPr>
            <w:tcW w:w="3439" w:type="dxa"/>
            <w:tcBorders/>
            <w:shd w:fill="auto" w:val="clear"/>
            <w:vAlign w:val="center"/>
          </w:tcPr>
          <w:p>
            <w:pPr>
              <w:pStyle w:val="TableContents"/>
              <w:spacing w:before="0" w:after="283"/>
              <w:rPr>
                <w:sz w:val="4"/>
                <w:szCs w:val="4"/>
              </w:rPr>
            </w:pPr>
            <w:r>
              <w:rPr>
                <w:sz w:val="4"/>
                <w:szCs w:val="4"/>
              </w:rPr>
            </w:r>
          </w:p>
        </w:tc>
        <w:tc>
          <w:tcPr>
            <w:tcW w:w="3607" w:type="dxa"/>
            <w:gridSpan w:val="2"/>
            <w:tcBorders/>
            <w:shd w:fill="auto" w:val="clear"/>
            <w:vAlign w:val="center"/>
          </w:tcPr>
          <w:p>
            <w:pPr>
              <w:pStyle w:val="TableContents"/>
              <w:spacing w:before="0" w:after="283"/>
              <w:rPr>
                <w:sz w:val="4"/>
                <w:szCs w:val="4"/>
              </w:rPr>
            </w:pPr>
            <w:r>
              <w:rPr>
                <w:sz w:val="4"/>
                <w:szCs w:val="4"/>
              </w:rPr>
            </w:r>
          </w:p>
        </w:tc>
        <w:tc>
          <w:tcPr>
            <w:tcW w:w="3159" w:type="dxa"/>
            <w:gridSpan w:val="2"/>
            <w:tcBorders/>
            <w:shd w:fill="auto" w:val="clear"/>
            <w:vAlign w:val="center"/>
          </w:tcPr>
          <w:p>
            <w:pPr>
              <w:pStyle w:val="TableContents"/>
              <w:spacing w:before="0" w:after="283"/>
              <w:rPr>
                <w:sz w:val="4"/>
                <w:szCs w:val="4"/>
              </w:rPr>
            </w:pPr>
            <w:r>
              <w:rPr>
                <w:sz w:val="4"/>
                <w:szCs w:val="4"/>
              </w:rPr>
            </w:r>
          </w:p>
        </w:tc>
      </w:tr>
      <w:tr>
        <w:trPr/>
        <w:tc>
          <w:tcPr>
            <w:tcW w:w="3439" w:type="dxa"/>
            <w:tcBorders/>
            <w:shd w:fill="auto" w:val="clear"/>
          </w:tcPr>
          <w:p>
            <w:pPr>
              <w:pStyle w:val="TableContents"/>
              <w:spacing w:before="0" w:after="0"/>
              <w:rPr>
                <w:rFonts w:ascii="ARIAL" w:hAnsi="ARIAL"/>
                <w:sz w:val="20"/>
              </w:rPr>
            </w:pPr>
            <w:r>
              <w:rPr>
                <w:rFonts w:ascii="ARIAL" w:hAnsi="ARIAL"/>
                <w:sz w:val="20"/>
              </w:rPr>
              <w:t>Issue of New Shares</w:t>
            </w:r>
          </w:p>
        </w:tc>
        <w:tc>
          <w:tcPr>
            <w:tcW w:w="309" w:type="dxa"/>
            <w:tcBorders/>
            <w:shd w:fill="auto" w:val="clear"/>
            <w:vAlign w:val="bottom"/>
          </w:tcPr>
          <w:p>
            <w:pPr>
              <w:pStyle w:val="TableContents"/>
              <w:spacing w:before="0" w:after="283"/>
              <w:rPr/>
            </w:pPr>
            <w:r>
              <w:rPr/>
              <w:t>  </w:t>
            </w:r>
          </w:p>
        </w:tc>
        <w:tc>
          <w:tcPr>
            <w:tcW w:w="3298" w:type="dxa"/>
            <w:tcBorders/>
            <w:shd w:fill="auto" w:val="clear"/>
          </w:tcPr>
          <w:p>
            <w:pPr>
              <w:pStyle w:val="TableContents"/>
              <w:spacing w:before="0" w:after="283"/>
              <w:rPr/>
            </w:pPr>
            <w:r>
              <w:rPr/>
              <w:t>Under the U.K. Companies Act 2006, the directors of a company must not exercise any power to allot shares or grant rights to subscribe for, or to convert any security into, shares unless they are authorized to do so by the companys articles of association or by an ordinary resolution of the shareholders. Any authorization given must state the maximum amount of shares that may be allotted under it and specify the date on which it will expire, which must be not more than five years from the date the authorization was given. The authority can be renewed by a further resolution of the shareholders.</w:t>
            </w:r>
          </w:p>
        </w:tc>
        <w:tc>
          <w:tcPr>
            <w:tcW w:w="121"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pPr>
            <w:r>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tc>
      </w:tr>
      <w:tr>
        <w:trPr>
          <w:trHeight w:val="120" w:hRule="atLeast"/>
        </w:trPr>
        <w:tc>
          <w:tcPr>
            <w:tcW w:w="3439" w:type="dxa"/>
            <w:tcBorders/>
            <w:shd w:fill="auto" w:val="clear"/>
            <w:vAlign w:val="center"/>
          </w:tcPr>
          <w:p>
            <w:pPr>
              <w:pStyle w:val="TableContents"/>
              <w:spacing w:before="0" w:after="283"/>
              <w:rPr>
                <w:sz w:val="4"/>
                <w:szCs w:val="4"/>
              </w:rPr>
            </w:pPr>
            <w:r>
              <w:rPr>
                <w:sz w:val="4"/>
                <w:szCs w:val="4"/>
              </w:rPr>
            </w:r>
          </w:p>
        </w:tc>
        <w:tc>
          <w:tcPr>
            <w:tcW w:w="3607" w:type="dxa"/>
            <w:gridSpan w:val="2"/>
            <w:tcBorders/>
            <w:shd w:fill="auto" w:val="clear"/>
            <w:vAlign w:val="center"/>
          </w:tcPr>
          <w:p>
            <w:pPr>
              <w:pStyle w:val="TableContents"/>
              <w:spacing w:before="0" w:after="283"/>
              <w:rPr>
                <w:sz w:val="4"/>
                <w:szCs w:val="4"/>
              </w:rPr>
            </w:pPr>
            <w:r>
              <w:rPr>
                <w:sz w:val="4"/>
                <w:szCs w:val="4"/>
              </w:rPr>
            </w:r>
          </w:p>
        </w:tc>
        <w:tc>
          <w:tcPr>
            <w:tcW w:w="3159" w:type="dxa"/>
            <w:gridSpan w:val="2"/>
            <w:tcBorders/>
            <w:shd w:fill="auto" w:val="clear"/>
            <w:vAlign w:val="center"/>
          </w:tcPr>
          <w:p>
            <w:pPr>
              <w:pStyle w:val="TableContents"/>
              <w:spacing w:before="0" w:after="283"/>
              <w:rPr>
                <w:sz w:val="4"/>
                <w:szCs w:val="4"/>
              </w:rPr>
            </w:pPr>
            <w:r>
              <w:rPr>
                <w:sz w:val="4"/>
                <w:szCs w:val="4"/>
              </w:rPr>
            </w:r>
          </w:p>
        </w:tc>
      </w:tr>
      <w:tr>
        <w:trPr/>
        <w:tc>
          <w:tcPr>
            <w:tcW w:w="3439" w:type="dxa"/>
            <w:tcBorders/>
            <w:shd w:fill="auto" w:val="clear"/>
          </w:tcPr>
          <w:p>
            <w:pPr>
              <w:pStyle w:val="TableContents"/>
              <w:spacing w:before="0" w:after="0"/>
              <w:rPr>
                <w:rFonts w:ascii="ARIAL" w:hAnsi="ARIAL"/>
                <w:sz w:val="20"/>
              </w:rPr>
            </w:pPr>
            <w:r>
              <w:rPr>
                <w:rFonts w:ascii="ARIAL" w:hAnsi="ARIAL"/>
                <w:sz w:val="20"/>
              </w:rPr>
              <w:t>Pre-emptive Rights</w:t>
            </w:r>
          </w:p>
        </w:tc>
        <w:tc>
          <w:tcPr>
            <w:tcW w:w="309" w:type="dxa"/>
            <w:tcBorders/>
            <w:shd w:fill="auto" w:val="clear"/>
            <w:vAlign w:val="bottom"/>
          </w:tcPr>
          <w:p>
            <w:pPr>
              <w:pStyle w:val="TableContents"/>
              <w:spacing w:before="0" w:after="283"/>
              <w:rPr/>
            </w:pPr>
            <w:r>
              <w:rPr/>
              <w:t>  </w:t>
            </w:r>
          </w:p>
        </w:tc>
        <w:tc>
          <w:tcPr>
            <w:tcW w:w="3298" w:type="dxa"/>
            <w:tcBorders/>
            <w:shd w:fill="auto" w:val="clear"/>
          </w:tcPr>
          <w:p>
            <w:pPr>
              <w:pStyle w:val="TableContents"/>
              <w:spacing w:before="0" w:after="283"/>
              <w:rPr/>
            </w:pPr>
            <w:r>
              <w:rPr/>
              <w:t>Under the U.K. Companies Act 2006, equity securities, being (i) shares in the company other than shares that, with respect to dividends and capital, carry a right to participate only up to a specified amount in a distribution (ordinary shares) or (ii) rights to subscribe for, or to convert securities into, ordinary shares, proposed to be allotted for cash, must be offered first to the existing equity shareholders in the company in proportion to the respective nominal value of their holdings, unless an</w:t>
            </w:r>
          </w:p>
        </w:tc>
        <w:tc>
          <w:tcPr>
            <w:tcW w:w="121" w:type="dxa"/>
            <w:tcBorders/>
            <w:shd w:fill="auto" w:val="clear"/>
            <w:vAlign w:val="bottom"/>
          </w:tcPr>
          <w:p>
            <w:pPr>
              <w:pStyle w:val="TableContents"/>
              <w:spacing w:before="0" w:after="283"/>
              <w:rPr/>
            </w:pPr>
            <w:r>
              <w:rPr/>
              <w:t>  </w:t>
            </w:r>
          </w:p>
        </w:tc>
        <w:tc>
          <w:tcPr>
            <w:tcW w:w="3038" w:type="dxa"/>
            <w:tcBorders/>
            <w:shd w:fill="auto" w:val="clear"/>
          </w:tcPr>
          <w:p>
            <w:pPr>
              <w:pStyle w:val="TableContents"/>
              <w:spacing w:before="0" w:after="283"/>
              <w:rPr/>
            </w:pPr>
            <w:r>
              <w:rPr/>
              <w:t>Under Delaware law, shareholders have no pre-emptive rights to subscribe to additional issues of stock or to any security convertible into such stock unless, and except to the extent that, such rights are expressly provided for in the certificate of incorporation.</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415"/>
        <w:gridCol w:w="311"/>
        <w:gridCol w:w="3312"/>
        <w:gridCol w:w="120"/>
        <w:gridCol w:w="3047"/>
      </w:tblGrid>
      <w:tr>
        <w:trPr/>
        <w:tc>
          <w:tcPr>
            <w:tcW w:w="341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33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47" w:type="dxa"/>
            <w:tcBorders/>
            <w:shd w:fill="auto" w:val="clear"/>
            <w:vAlign w:val="center"/>
          </w:tcPr>
          <w:p>
            <w:pPr>
              <w:pStyle w:val="TableContents"/>
              <w:spacing w:before="0" w:after="283"/>
              <w:rPr>
                <w:sz w:val="4"/>
                <w:szCs w:val="4"/>
              </w:rPr>
            </w:pPr>
            <w:r>
              <w:rPr>
                <w:sz w:val="4"/>
                <w:szCs w:val="4"/>
              </w:rPr>
            </w:r>
          </w:p>
        </w:tc>
      </w:tr>
      <w:tr>
        <w:trPr/>
        <w:tc>
          <w:tcPr>
            <w:tcW w:w="3415"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312"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0" w:type="dxa"/>
            <w:tcBorders/>
            <w:shd w:fill="auto" w:val="clear"/>
            <w:vAlign w:val="bottom"/>
          </w:tcPr>
          <w:p>
            <w:pPr>
              <w:pStyle w:val="TableContents"/>
              <w:spacing w:before="0" w:after="283"/>
              <w:rPr/>
            </w:pPr>
            <w:r>
              <w:rPr/>
              <w:t>  </w:t>
            </w:r>
          </w:p>
        </w:tc>
        <w:tc>
          <w:tcPr>
            <w:tcW w:w="3047"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c>
          <w:tcPr>
            <w:tcW w:w="3415"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12" w:type="dxa"/>
            <w:tcBorders/>
            <w:shd w:fill="auto" w:val="clear"/>
          </w:tcPr>
          <w:p>
            <w:pPr>
              <w:pStyle w:val="TableContents"/>
              <w:spacing w:before="0" w:after="283"/>
              <w:rPr/>
            </w:pPr>
            <w:r>
              <w:rPr/>
              <w:t>exception applies or a special resolution to the contrary has been passed by shareholders in a general meeting or the articles of association provide otherwise, in each case in accordance with the provisions of the U.K. Companies Act 2006.</w:t>
            </w:r>
          </w:p>
        </w:tc>
        <w:tc>
          <w:tcPr>
            <w:tcW w:w="120" w:type="dxa"/>
            <w:tcBorders/>
            <w:shd w:fill="auto" w:val="clear"/>
            <w:vAlign w:val="bottom"/>
          </w:tcPr>
          <w:p>
            <w:pPr>
              <w:pStyle w:val="TableContents"/>
              <w:spacing w:before="0" w:after="283"/>
              <w:rPr/>
            </w:pPr>
            <w:r>
              <w:rPr/>
              <w:t>  </w:t>
            </w:r>
          </w:p>
        </w:tc>
        <w:tc>
          <w:tcPr>
            <w:tcW w:w="3047" w:type="dxa"/>
            <w:tcBorders/>
            <w:shd w:fill="auto" w:val="clear"/>
          </w:tcPr>
          <w:p>
            <w:pPr>
              <w:pStyle w:val="TableContents"/>
              <w:spacing w:before="0" w:after="283"/>
              <w:rPr>
                <w:sz w:val="4"/>
                <w:szCs w:val="4"/>
              </w:rPr>
            </w:pPr>
            <w:r>
              <w:rPr>
                <w:sz w:val="4"/>
                <w:szCs w:val="4"/>
              </w:rPr>
            </w:r>
          </w:p>
        </w:tc>
      </w:tr>
      <w:tr>
        <w:trPr>
          <w:trHeight w:val="120" w:hRule="atLeast"/>
        </w:trPr>
        <w:tc>
          <w:tcPr>
            <w:tcW w:w="3415" w:type="dxa"/>
            <w:tcBorders/>
            <w:shd w:fill="auto" w:val="clear"/>
            <w:vAlign w:val="center"/>
          </w:tcPr>
          <w:p>
            <w:pPr>
              <w:pStyle w:val="TableContents"/>
              <w:spacing w:before="0" w:after="283"/>
              <w:rPr>
                <w:sz w:val="4"/>
                <w:szCs w:val="4"/>
              </w:rPr>
            </w:pPr>
            <w:r>
              <w:rPr>
                <w:sz w:val="4"/>
                <w:szCs w:val="4"/>
              </w:rPr>
            </w:r>
          </w:p>
        </w:tc>
        <w:tc>
          <w:tcPr>
            <w:tcW w:w="3623" w:type="dxa"/>
            <w:gridSpan w:val="2"/>
            <w:tcBorders/>
            <w:shd w:fill="auto" w:val="clear"/>
            <w:vAlign w:val="center"/>
          </w:tcPr>
          <w:p>
            <w:pPr>
              <w:pStyle w:val="TableContents"/>
              <w:spacing w:before="0" w:after="283"/>
              <w:rPr>
                <w:sz w:val="4"/>
                <w:szCs w:val="4"/>
              </w:rPr>
            </w:pPr>
            <w:r>
              <w:rPr>
                <w:sz w:val="4"/>
                <w:szCs w:val="4"/>
              </w:rPr>
            </w:r>
          </w:p>
        </w:tc>
        <w:tc>
          <w:tcPr>
            <w:tcW w:w="3167" w:type="dxa"/>
            <w:gridSpan w:val="2"/>
            <w:tcBorders/>
            <w:shd w:fill="auto" w:val="clear"/>
            <w:vAlign w:val="center"/>
          </w:tcPr>
          <w:p>
            <w:pPr>
              <w:pStyle w:val="TableContents"/>
              <w:spacing w:before="0" w:after="283"/>
              <w:rPr>
                <w:sz w:val="4"/>
                <w:szCs w:val="4"/>
              </w:rPr>
            </w:pPr>
            <w:r>
              <w:rPr>
                <w:sz w:val="4"/>
                <w:szCs w:val="4"/>
              </w:rPr>
            </w:r>
          </w:p>
        </w:tc>
      </w:tr>
      <w:tr>
        <w:trPr/>
        <w:tc>
          <w:tcPr>
            <w:tcW w:w="3415" w:type="dxa"/>
            <w:tcBorders/>
            <w:shd w:fill="auto" w:val="clear"/>
          </w:tcPr>
          <w:p>
            <w:pPr>
              <w:pStyle w:val="TableContents"/>
              <w:spacing w:before="0" w:after="0"/>
              <w:rPr>
                <w:rFonts w:ascii="ARIAL" w:hAnsi="ARIAL"/>
                <w:sz w:val="20"/>
              </w:rPr>
            </w:pPr>
            <w:r>
              <w:rPr>
                <w:rFonts w:ascii="ARIAL" w:hAnsi="ARIAL"/>
                <w:sz w:val="20"/>
              </w:rPr>
              <w:t>Authority to Allot</w:t>
            </w:r>
          </w:p>
        </w:tc>
        <w:tc>
          <w:tcPr>
            <w:tcW w:w="311" w:type="dxa"/>
            <w:tcBorders/>
            <w:shd w:fill="auto" w:val="clear"/>
            <w:vAlign w:val="bottom"/>
          </w:tcPr>
          <w:p>
            <w:pPr>
              <w:pStyle w:val="TableContents"/>
              <w:spacing w:before="0" w:after="283"/>
              <w:rPr/>
            </w:pPr>
            <w:r>
              <w:rPr/>
              <w:t>  </w:t>
            </w:r>
          </w:p>
        </w:tc>
        <w:tc>
          <w:tcPr>
            <w:tcW w:w="3312" w:type="dxa"/>
            <w:tcBorders/>
            <w:shd w:fill="auto" w:val="clear"/>
          </w:tcPr>
          <w:p>
            <w:pPr>
              <w:pStyle w:val="TableContents"/>
              <w:spacing w:before="0" w:after="283"/>
              <w:rPr/>
            </w:pPr>
            <w:r>
              <w:rPr/>
              <w:t>Under the U.K. Companies Act 2006, the directors of a company must not allot shares or grant rights to subscribe for or to convert any security into shares unless those shares are allotted, or those rights to subscribe or convert any security into shares are granted (as applicable) pursuant to an employee share scheme, an ordinary resolution to the contrary has been passed by shareholders in a general meeting, or the articles of association provide otherwise, in each case, in accordance with the provisions of the U.K. Companies Act 2006.</w:t>
            </w:r>
          </w:p>
        </w:tc>
        <w:tc>
          <w:tcPr>
            <w:tcW w:w="120" w:type="dxa"/>
            <w:tcBorders/>
            <w:shd w:fill="auto" w:val="clear"/>
            <w:vAlign w:val="bottom"/>
          </w:tcPr>
          <w:p>
            <w:pPr>
              <w:pStyle w:val="TableContents"/>
              <w:spacing w:before="0" w:after="283"/>
              <w:rPr/>
            </w:pPr>
            <w:r>
              <w:rPr/>
              <w:t>  </w:t>
            </w:r>
          </w:p>
        </w:tc>
        <w:tc>
          <w:tcPr>
            <w:tcW w:w="3047" w:type="dxa"/>
            <w:tcBorders/>
            <w:shd w:fill="auto" w:val="clear"/>
          </w:tcPr>
          <w:p>
            <w:pPr>
              <w:pStyle w:val="TableContents"/>
              <w:spacing w:before="0" w:after="283"/>
              <w:rPr/>
            </w:pPr>
            <w:r>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tc>
      </w:tr>
      <w:tr>
        <w:trPr>
          <w:trHeight w:val="120" w:hRule="atLeast"/>
        </w:trPr>
        <w:tc>
          <w:tcPr>
            <w:tcW w:w="3415" w:type="dxa"/>
            <w:tcBorders/>
            <w:shd w:fill="auto" w:val="clear"/>
            <w:vAlign w:val="center"/>
          </w:tcPr>
          <w:p>
            <w:pPr>
              <w:pStyle w:val="TableContents"/>
              <w:spacing w:before="0" w:after="283"/>
              <w:rPr>
                <w:sz w:val="4"/>
                <w:szCs w:val="4"/>
              </w:rPr>
            </w:pPr>
            <w:r>
              <w:rPr>
                <w:sz w:val="4"/>
                <w:szCs w:val="4"/>
              </w:rPr>
            </w:r>
          </w:p>
        </w:tc>
        <w:tc>
          <w:tcPr>
            <w:tcW w:w="3623" w:type="dxa"/>
            <w:gridSpan w:val="2"/>
            <w:tcBorders/>
            <w:shd w:fill="auto" w:val="clear"/>
            <w:vAlign w:val="center"/>
          </w:tcPr>
          <w:p>
            <w:pPr>
              <w:pStyle w:val="TableContents"/>
              <w:spacing w:before="0" w:after="283"/>
              <w:rPr>
                <w:sz w:val="4"/>
                <w:szCs w:val="4"/>
              </w:rPr>
            </w:pPr>
            <w:r>
              <w:rPr>
                <w:sz w:val="4"/>
                <w:szCs w:val="4"/>
              </w:rPr>
            </w:r>
          </w:p>
        </w:tc>
        <w:tc>
          <w:tcPr>
            <w:tcW w:w="3167" w:type="dxa"/>
            <w:gridSpan w:val="2"/>
            <w:tcBorders/>
            <w:shd w:fill="auto" w:val="clear"/>
            <w:vAlign w:val="center"/>
          </w:tcPr>
          <w:p>
            <w:pPr>
              <w:pStyle w:val="TableContents"/>
              <w:spacing w:before="0" w:after="283"/>
              <w:rPr>
                <w:sz w:val="4"/>
                <w:szCs w:val="4"/>
              </w:rPr>
            </w:pPr>
            <w:r>
              <w:rPr>
                <w:sz w:val="4"/>
                <w:szCs w:val="4"/>
              </w:rPr>
            </w:r>
          </w:p>
        </w:tc>
      </w:tr>
      <w:tr>
        <w:trPr/>
        <w:tc>
          <w:tcPr>
            <w:tcW w:w="3415" w:type="dxa"/>
            <w:tcBorders/>
            <w:shd w:fill="auto" w:val="clear"/>
          </w:tcPr>
          <w:p>
            <w:pPr>
              <w:pStyle w:val="TableContents"/>
              <w:spacing w:before="0" w:after="0"/>
              <w:rPr>
                <w:rFonts w:ascii="ARIAL" w:hAnsi="ARIAL"/>
                <w:sz w:val="20"/>
              </w:rPr>
            </w:pPr>
            <w:r>
              <w:rPr>
                <w:rFonts w:ascii="ARIAL" w:hAnsi="ARIAL"/>
                <w:sz w:val="20"/>
              </w:rPr>
              <w:t>Liability of Directors and Officers</w:t>
            </w:r>
          </w:p>
        </w:tc>
        <w:tc>
          <w:tcPr>
            <w:tcW w:w="311" w:type="dxa"/>
            <w:tcBorders/>
            <w:shd w:fill="auto" w:val="clear"/>
            <w:vAlign w:val="bottom"/>
          </w:tcPr>
          <w:p>
            <w:pPr>
              <w:pStyle w:val="TableContents"/>
              <w:spacing w:before="0" w:after="283"/>
              <w:rPr/>
            </w:pPr>
            <w:r>
              <w:rPr/>
              <w:t>  </w:t>
            </w:r>
          </w:p>
        </w:tc>
        <w:tc>
          <w:tcPr>
            <w:tcW w:w="3312" w:type="dxa"/>
            <w:tcBorders/>
            <w:shd w:fill="auto" w:val="clear"/>
          </w:tcPr>
          <w:p>
            <w:pPr>
              <w:pStyle w:val="TableContents"/>
              <w:spacing w:before="0" w:after="283"/>
              <w:rPr/>
            </w:pPr>
            <w:r>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tc>
        <w:tc>
          <w:tcPr>
            <w:tcW w:w="120" w:type="dxa"/>
            <w:tcBorders/>
            <w:shd w:fill="auto" w:val="clear"/>
            <w:vAlign w:val="bottom"/>
          </w:tcPr>
          <w:p>
            <w:pPr>
              <w:pStyle w:val="TableContents"/>
              <w:spacing w:before="0" w:after="283"/>
              <w:rPr/>
            </w:pPr>
            <w:r>
              <w:rPr/>
              <w:t>  </w:t>
            </w:r>
          </w:p>
        </w:tc>
        <w:tc>
          <w:tcPr>
            <w:tcW w:w="3047" w:type="dxa"/>
            <w:tcBorders/>
            <w:shd w:fill="auto" w:val="clear"/>
          </w:tcPr>
          <w:p>
            <w:pPr>
              <w:pStyle w:val="TableContents"/>
              <w:spacing w:before="0" w:after="283"/>
              <w:rPr/>
            </w:pPr>
            <w:r>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tc>
      </w:tr>
      <w:tr>
        <w:trPr>
          <w:trHeight w:val="120" w:hRule="atLeast"/>
        </w:trPr>
        <w:tc>
          <w:tcPr>
            <w:tcW w:w="3415" w:type="dxa"/>
            <w:tcBorders/>
            <w:shd w:fill="auto" w:val="clear"/>
            <w:vAlign w:val="center"/>
          </w:tcPr>
          <w:p>
            <w:pPr>
              <w:pStyle w:val="TableContents"/>
              <w:spacing w:before="0" w:after="283"/>
              <w:rPr>
                <w:sz w:val="4"/>
                <w:szCs w:val="4"/>
              </w:rPr>
            </w:pPr>
            <w:r>
              <w:rPr>
                <w:sz w:val="4"/>
                <w:szCs w:val="4"/>
              </w:rPr>
            </w:r>
          </w:p>
        </w:tc>
        <w:tc>
          <w:tcPr>
            <w:tcW w:w="3623" w:type="dxa"/>
            <w:gridSpan w:val="2"/>
            <w:tcBorders/>
            <w:shd w:fill="auto" w:val="clear"/>
            <w:vAlign w:val="center"/>
          </w:tcPr>
          <w:p>
            <w:pPr>
              <w:pStyle w:val="TableContents"/>
              <w:spacing w:before="0" w:after="283"/>
              <w:rPr>
                <w:sz w:val="4"/>
                <w:szCs w:val="4"/>
              </w:rPr>
            </w:pPr>
            <w:r>
              <w:rPr>
                <w:sz w:val="4"/>
                <w:szCs w:val="4"/>
              </w:rPr>
            </w:r>
          </w:p>
        </w:tc>
        <w:tc>
          <w:tcPr>
            <w:tcW w:w="3167" w:type="dxa"/>
            <w:gridSpan w:val="2"/>
            <w:tcBorders/>
            <w:shd w:fill="auto" w:val="clear"/>
            <w:vAlign w:val="center"/>
          </w:tcPr>
          <w:p>
            <w:pPr>
              <w:pStyle w:val="TableContents"/>
              <w:spacing w:before="0" w:after="283"/>
              <w:rPr>
                <w:sz w:val="4"/>
                <w:szCs w:val="4"/>
              </w:rPr>
            </w:pPr>
            <w:r>
              <w:rPr>
                <w:sz w:val="4"/>
                <w:szCs w:val="4"/>
              </w:rPr>
            </w:r>
          </w:p>
        </w:tc>
      </w:tr>
      <w:tr>
        <w:trPr/>
        <w:tc>
          <w:tcPr>
            <w:tcW w:w="3415" w:type="dxa"/>
            <w:tcBorders/>
            <w:shd w:fill="auto" w:val="clea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3312" w:type="dxa"/>
            <w:tcBorders/>
            <w:shd w:fill="auto" w:val="clear"/>
          </w:tcPr>
          <w:p>
            <w:pPr>
              <w:pStyle w:val="TableContents"/>
              <w:spacing w:before="0" w:after="283"/>
              <w:rPr/>
            </w:pPr>
            <w:r>
              <w:rPr/>
              <w:t>Any provision by which we directly or indirectly provide an indemnity (to any extent) for a director of the company or of an associated company (i.e., a company that is a parent, subsidiary or sister company of</w:t>
            </w:r>
          </w:p>
        </w:tc>
        <w:tc>
          <w:tcPr>
            <w:tcW w:w="120" w:type="dxa"/>
            <w:tcBorders/>
            <w:shd w:fill="auto" w:val="clear"/>
            <w:vAlign w:val="bottom"/>
          </w:tcPr>
          <w:p>
            <w:pPr>
              <w:pStyle w:val="TableContents"/>
              <w:spacing w:before="0" w:after="283"/>
              <w:rPr/>
            </w:pPr>
            <w:r>
              <w:rPr/>
              <w:t>  </w:t>
            </w:r>
          </w:p>
        </w:tc>
        <w:tc>
          <w:tcPr>
            <w:tcW w:w="3047" w:type="dxa"/>
            <w:tcBorders/>
            <w:shd w:fill="auto" w:val="clear"/>
          </w:tcPr>
          <w:p>
            <w:pPr>
              <w:pStyle w:val="TableContents"/>
              <w:spacing w:before="0" w:after="0"/>
              <w:rPr/>
            </w:pPr>
            <w:r>
              <w:rPr/>
              <w:t>∎   </w:t>
            </w:r>
            <w:r>
              <w:rPr>
                <w:rFonts w:ascii="ARIAL" w:hAnsi="ARIAL"/>
                <w:sz w:val="20"/>
              </w:rPr>
              <w:t>any breach of the directors duty of loyalty to the corporation or its stockholders;</w:t>
            </w:r>
          </w:p>
          <w:p>
            <w:pPr>
              <w:pStyle w:val="TableContents"/>
              <w:spacing w:before="0" w:after="0"/>
              <w:rPr/>
            </w:pPr>
            <w:r>
              <w:rPr/>
              <w:t> </w:t>
            </w:r>
          </w:p>
          <w:p>
            <w:pPr>
              <w:pStyle w:val="TableContents"/>
              <w:spacing w:before="0" w:after="20"/>
              <w:rPr/>
            </w:pPr>
            <w:r>
              <w:rPr/>
              <w:t>∎   </w:t>
            </w:r>
            <w:r>
              <w:rPr>
                <w:rFonts w:ascii="ARIAL" w:hAnsi="ARIAL"/>
                <w:sz w:val="20"/>
              </w:rPr>
              <w:t>acts or omissions not in good faith or that involve intentional misconduct or</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318"/>
        <w:gridCol w:w="318"/>
        <w:gridCol w:w="3371"/>
        <w:gridCol w:w="123"/>
        <w:gridCol w:w="3075"/>
      </w:tblGrid>
      <w:tr>
        <w:trPr/>
        <w:tc>
          <w:tcPr>
            <w:tcW w:w="3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337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r>
      <w:tr>
        <w:trPr/>
        <w:tc>
          <w:tcPr>
            <w:tcW w:w="3318"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371"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3" w:type="dxa"/>
            <w:tcBorders/>
            <w:shd w:fill="auto" w:val="clear"/>
            <w:vAlign w:val="bottom"/>
          </w:tcPr>
          <w:p>
            <w:pPr>
              <w:pStyle w:val="TableContents"/>
              <w:spacing w:before="0" w:after="283"/>
              <w:rPr/>
            </w:pPr>
            <w:r>
              <w:rPr/>
              <w:t>  </w:t>
            </w:r>
          </w:p>
        </w:tc>
        <w:tc>
          <w:tcPr>
            <w:tcW w:w="3075"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c>
          <w:tcPr>
            <w:tcW w:w="3318" w:type="dxa"/>
            <w:tcBorders/>
            <w:shd w:fill="auto" w:val="clea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3371" w:type="dxa"/>
            <w:tcBorders/>
            <w:shd w:fill="auto" w:val="clear"/>
          </w:tcPr>
          <w:p>
            <w:pPr>
              <w:pStyle w:val="TableContents"/>
              <w:spacing w:before="0" w:after="283"/>
              <w:rPr/>
            </w:pPr>
            <w:r>
              <w:rPr/>
              <w:t>us) against any liability attaching to him or her in connection with any negligence, default, breach of duty or breach of trust in relation to the company of which he or she is a director is void except as permitted by the U.K. Companies Act 2006, which provides exceptions for us to:</w:t>
            </w:r>
          </w:p>
        </w:tc>
        <w:tc>
          <w:tcPr>
            <w:tcW w:w="123" w:type="dxa"/>
            <w:tcBorders/>
            <w:shd w:fill="auto" w:val="clear"/>
            <w:vAlign w:val="bottom"/>
          </w:tcPr>
          <w:p>
            <w:pPr>
              <w:pStyle w:val="TableContents"/>
              <w:spacing w:before="0" w:after="283"/>
              <w:rPr/>
            </w:pPr>
            <w:r>
              <w:rPr/>
              <w:t>  </w:t>
            </w:r>
          </w:p>
        </w:tc>
        <w:tc>
          <w:tcPr>
            <w:tcW w:w="3075" w:type="dxa"/>
            <w:tcBorders/>
            <w:shd w:fill="auto" w:val="clear"/>
          </w:tcPr>
          <w:p>
            <w:pPr>
              <w:pStyle w:val="TableContents"/>
              <w:spacing w:before="0" w:after="0"/>
              <w:rPr>
                <w:rFonts w:ascii="ARIAL" w:hAnsi="ARIAL"/>
                <w:sz w:val="20"/>
              </w:rPr>
            </w:pPr>
            <w:r>
              <w:rPr>
                <w:rFonts w:ascii="ARIAL" w:hAnsi="ARIAL"/>
                <w:sz w:val="20"/>
              </w:rPr>
              <w:t>a knowing violation of law;</w:t>
            </w:r>
          </w:p>
          <w:p>
            <w:pPr>
              <w:pStyle w:val="TableContents"/>
              <w:spacing w:before="0" w:after="0"/>
              <w:rPr/>
            </w:pPr>
            <w:r>
              <w:rPr/>
              <w:t> </w:t>
            </w:r>
          </w:p>
          <w:p>
            <w:pPr>
              <w:pStyle w:val="TableContents"/>
              <w:spacing w:before="0" w:after="0"/>
              <w:rPr/>
            </w:pPr>
            <w:r>
              <w:rPr/>
              <w:t>∎   </w:t>
            </w:r>
            <w:r>
              <w:rPr>
                <w:rFonts w:ascii="ARIAL" w:hAnsi="ARIAL"/>
                <w:sz w:val="20"/>
              </w:rPr>
              <w:t>intentional or negligent payment of unlawful dividends or stock purchases or redemptions; or</w:t>
            </w:r>
          </w:p>
          <w:p>
            <w:pPr>
              <w:pStyle w:val="TableContents"/>
              <w:spacing w:before="0" w:after="0"/>
              <w:rPr/>
            </w:pPr>
            <w:r>
              <w:rPr/>
              <w:t> </w:t>
            </w:r>
          </w:p>
          <w:p>
            <w:pPr>
              <w:pStyle w:val="TableContents"/>
              <w:spacing w:before="0" w:after="20"/>
              <w:rPr/>
            </w:pPr>
            <w:r>
              <w:rPr/>
              <w:t>∎   </w:t>
            </w:r>
            <w:r>
              <w:rPr>
                <w:rFonts w:ascii="ARIAL" w:hAnsi="ARIAL"/>
                <w:sz w:val="20"/>
              </w:rPr>
              <w:t>any transaction from which the director derives an improper personal benefit.</w:t>
            </w:r>
          </w:p>
        </w:tc>
      </w:tr>
      <w:tr>
        <w:trPr>
          <w:trHeight w:val="120" w:hRule="atLeast"/>
        </w:trPr>
        <w:tc>
          <w:tcPr>
            <w:tcW w:w="3318" w:type="dxa"/>
            <w:tcBorders/>
            <w:shd w:fill="auto" w:val="clear"/>
            <w:vAlign w:val="center"/>
          </w:tcPr>
          <w:p>
            <w:pPr>
              <w:pStyle w:val="TableContents"/>
              <w:spacing w:before="0" w:after="283"/>
              <w:rPr>
                <w:sz w:val="4"/>
                <w:szCs w:val="4"/>
              </w:rPr>
            </w:pPr>
            <w:r>
              <w:rPr>
                <w:sz w:val="4"/>
                <w:szCs w:val="4"/>
              </w:rPr>
            </w:r>
          </w:p>
        </w:tc>
        <w:tc>
          <w:tcPr>
            <w:tcW w:w="3689" w:type="dxa"/>
            <w:gridSpan w:val="2"/>
            <w:tcBorders/>
            <w:shd w:fill="auto" w:val="clear"/>
            <w:vAlign w:val="center"/>
          </w:tcPr>
          <w:p>
            <w:pPr>
              <w:pStyle w:val="TableContents"/>
              <w:spacing w:before="0" w:after="283"/>
              <w:rPr>
                <w:sz w:val="4"/>
                <w:szCs w:val="4"/>
              </w:rPr>
            </w:pPr>
            <w:r>
              <w:rPr>
                <w:sz w:val="4"/>
                <w:szCs w:val="4"/>
              </w:rPr>
            </w:r>
          </w:p>
        </w:tc>
        <w:tc>
          <w:tcPr>
            <w:tcW w:w="3198" w:type="dxa"/>
            <w:gridSpan w:val="2"/>
            <w:tcBorders/>
            <w:shd w:fill="auto" w:val="clear"/>
            <w:vAlign w:val="center"/>
          </w:tcPr>
          <w:p>
            <w:pPr>
              <w:pStyle w:val="TableContents"/>
              <w:spacing w:before="0" w:after="283"/>
              <w:rPr>
                <w:sz w:val="4"/>
                <w:szCs w:val="4"/>
              </w:rPr>
            </w:pPr>
            <w:r>
              <w:rPr>
                <w:sz w:val="4"/>
                <w:szCs w:val="4"/>
              </w:rPr>
            </w:r>
          </w:p>
        </w:tc>
      </w:tr>
      <w:tr>
        <w:trPr/>
        <w:tc>
          <w:tcPr>
            <w:tcW w:w="3318" w:type="dxa"/>
            <w:tcBorders/>
            <w:shd w:fill="auto" w:val="clea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3371" w:type="dxa"/>
            <w:tcBorders/>
            <w:shd w:fill="auto" w:val="clear"/>
          </w:tcPr>
          <w:p>
            <w:pPr>
              <w:pStyle w:val="TableContents"/>
              <w:spacing w:before="0" w:after="0"/>
              <w:rPr/>
            </w:pPr>
            <w:r>
              <w:rPr/>
              <w:t>∎   </w:t>
            </w:r>
            <w:r>
              <w:rPr>
                <w:rFonts w:ascii="ARIAL" w:hAnsi="ARIAL"/>
                <w:sz w:val="20"/>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tc>
        <w:tc>
          <w:tcPr>
            <w:tcW w:w="123" w:type="dxa"/>
            <w:tcBorders/>
            <w:shd w:fill="auto" w:val="clear"/>
            <w:vAlign w:val="bottom"/>
          </w:tcPr>
          <w:p>
            <w:pPr>
              <w:pStyle w:val="TableContents"/>
              <w:spacing w:before="0" w:after="283"/>
              <w:rPr/>
            </w:pPr>
            <w:r>
              <w:rPr/>
              <w:t>  </w:t>
            </w:r>
          </w:p>
        </w:tc>
        <w:tc>
          <w:tcPr>
            <w:tcW w:w="3075" w:type="dxa"/>
            <w:tcBorders/>
            <w:shd w:fill="auto" w:val="clear"/>
          </w:tcPr>
          <w:p>
            <w:pPr>
              <w:pStyle w:val="TableContents"/>
              <w:spacing w:before="0" w:after="283"/>
              <w:rPr>
                <w:sz w:val="4"/>
                <w:szCs w:val="4"/>
              </w:rPr>
            </w:pPr>
            <w:r>
              <w:rPr>
                <w:sz w:val="4"/>
                <w:szCs w:val="4"/>
              </w:rPr>
            </w:r>
          </w:p>
        </w:tc>
      </w:tr>
      <w:tr>
        <w:trPr>
          <w:trHeight w:val="30" w:hRule="atLeast"/>
        </w:trPr>
        <w:tc>
          <w:tcPr>
            <w:tcW w:w="3318" w:type="dxa"/>
            <w:tcBorders/>
            <w:shd w:fill="auto" w:val="clear"/>
            <w:vAlign w:val="center"/>
          </w:tcPr>
          <w:p>
            <w:pPr>
              <w:pStyle w:val="TableContents"/>
              <w:spacing w:before="0" w:after="283"/>
              <w:rPr>
                <w:sz w:val="4"/>
                <w:szCs w:val="4"/>
              </w:rPr>
            </w:pPr>
            <w:r>
              <w:rPr>
                <w:sz w:val="4"/>
                <w:szCs w:val="4"/>
              </w:rPr>
            </w:r>
          </w:p>
        </w:tc>
        <w:tc>
          <w:tcPr>
            <w:tcW w:w="3689" w:type="dxa"/>
            <w:gridSpan w:val="2"/>
            <w:tcBorders/>
            <w:shd w:fill="auto" w:val="clear"/>
            <w:vAlign w:val="center"/>
          </w:tcPr>
          <w:p>
            <w:pPr>
              <w:pStyle w:val="TableContents"/>
              <w:spacing w:before="0" w:after="283"/>
              <w:rPr>
                <w:sz w:val="4"/>
                <w:szCs w:val="4"/>
              </w:rPr>
            </w:pPr>
            <w:r>
              <w:rPr>
                <w:sz w:val="4"/>
                <w:szCs w:val="4"/>
              </w:rPr>
            </w:r>
          </w:p>
        </w:tc>
        <w:tc>
          <w:tcPr>
            <w:tcW w:w="3198" w:type="dxa"/>
            <w:gridSpan w:val="2"/>
            <w:tcBorders/>
            <w:shd w:fill="auto" w:val="clear"/>
            <w:vAlign w:val="center"/>
          </w:tcPr>
          <w:p>
            <w:pPr>
              <w:pStyle w:val="TableContents"/>
              <w:spacing w:before="0" w:after="283"/>
              <w:rPr>
                <w:sz w:val="4"/>
                <w:szCs w:val="4"/>
              </w:rPr>
            </w:pPr>
            <w:r>
              <w:rPr>
                <w:sz w:val="4"/>
                <w:szCs w:val="4"/>
              </w:rPr>
            </w:r>
          </w:p>
        </w:tc>
      </w:tr>
      <w:tr>
        <w:trPr/>
        <w:tc>
          <w:tcPr>
            <w:tcW w:w="3318" w:type="dxa"/>
            <w:tcBorders/>
            <w:shd w:fill="auto" w:val="clea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3371" w:type="dxa"/>
            <w:tcBorders/>
            <w:shd w:fill="auto" w:val="clear"/>
          </w:tcPr>
          <w:p>
            <w:pPr>
              <w:pStyle w:val="TableContents"/>
              <w:spacing w:before="0" w:after="0"/>
              <w:rPr/>
            </w:pPr>
            <w:r>
              <w:rPr/>
              <w:t>∎   </w:t>
            </w:r>
            <w:r>
              <w:rPr>
                <w:rFonts w:ascii="ARIAL" w:hAnsi="ARIAL"/>
                <w:sz w:val="20"/>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tc>
        <w:tc>
          <w:tcPr>
            <w:tcW w:w="123" w:type="dxa"/>
            <w:tcBorders/>
            <w:shd w:fill="auto" w:val="clear"/>
            <w:vAlign w:val="bottom"/>
          </w:tcPr>
          <w:p>
            <w:pPr>
              <w:pStyle w:val="TableContents"/>
              <w:spacing w:before="0" w:after="283"/>
              <w:rPr/>
            </w:pPr>
            <w:r>
              <w:rPr/>
              <w:t>  </w:t>
            </w:r>
          </w:p>
        </w:tc>
        <w:tc>
          <w:tcPr>
            <w:tcW w:w="3075" w:type="dxa"/>
            <w:tcBorders/>
            <w:shd w:fill="auto" w:val="clear"/>
          </w:tcPr>
          <w:p>
            <w:pPr>
              <w:pStyle w:val="TableContents"/>
              <w:spacing w:before="0" w:after="283"/>
              <w:rPr>
                <w:sz w:val="4"/>
                <w:szCs w:val="4"/>
              </w:rPr>
            </w:pPr>
            <w:r>
              <w:rPr>
                <w:sz w:val="4"/>
                <w:szCs w:val="4"/>
              </w:rPr>
            </w:r>
          </w:p>
        </w:tc>
      </w:tr>
      <w:tr>
        <w:trPr>
          <w:trHeight w:val="30" w:hRule="atLeast"/>
        </w:trPr>
        <w:tc>
          <w:tcPr>
            <w:tcW w:w="3318" w:type="dxa"/>
            <w:tcBorders/>
            <w:shd w:fill="auto" w:val="clear"/>
            <w:vAlign w:val="center"/>
          </w:tcPr>
          <w:p>
            <w:pPr>
              <w:pStyle w:val="TableContents"/>
              <w:spacing w:before="0" w:after="283"/>
              <w:rPr>
                <w:sz w:val="4"/>
                <w:szCs w:val="4"/>
              </w:rPr>
            </w:pPr>
            <w:r>
              <w:rPr>
                <w:sz w:val="4"/>
                <w:szCs w:val="4"/>
              </w:rPr>
            </w:r>
          </w:p>
        </w:tc>
        <w:tc>
          <w:tcPr>
            <w:tcW w:w="3689" w:type="dxa"/>
            <w:gridSpan w:val="2"/>
            <w:tcBorders/>
            <w:shd w:fill="auto" w:val="clear"/>
            <w:vAlign w:val="center"/>
          </w:tcPr>
          <w:p>
            <w:pPr>
              <w:pStyle w:val="TableContents"/>
              <w:spacing w:before="0" w:after="283"/>
              <w:rPr>
                <w:sz w:val="4"/>
                <w:szCs w:val="4"/>
              </w:rPr>
            </w:pPr>
            <w:r>
              <w:rPr>
                <w:sz w:val="4"/>
                <w:szCs w:val="4"/>
              </w:rPr>
            </w:r>
          </w:p>
        </w:tc>
        <w:tc>
          <w:tcPr>
            <w:tcW w:w="3198" w:type="dxa"/>
            <w:gridSpan w:val="2"/>
            <w:tcBorders/>
            <w:shd w:fill="auto" w:val="clear"/>
            <w:vAlign w:val="center"/>
          </w:tcPr>
          <w:p>
            <w:pPr>
              <w:pStyle w:val="TableContents"/>
              <w:spacing w:before="0" w:after="283"/>
              <w:rPr>
                <w:sz w:val="4"/>
                <w:szCs w:val="4"/>
              </w:rPr>
            </w:pPr>
            <w:r>
              <w:rPr>
                <w:sz w:val="4"/>
                <w:szCs w:val="4"/>
              </w:rPr>
            </w:r>
          </w:p>
        </w:tc>
      </w:tr>
      <w:tr>
        <w:trPr/>
        <w:tc>
          <w:tcPr>
            <w:tcW w:w="3318" w:type="dxa"/>
            <w:tcBorders/>
            <w:shd w:fill="auto" w:val="clea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3371" w:type="dxa"/>
            <w:tcBorders/>
            <w:shd w:fill="auto" w:val="clear"/>
          </w:tcPr>
          <w:p>
            <w:pPr>
              <w:pStyle w:val="TableContents"/>
              <w:spacing w:before="0" w:after="0"/>
              <w:rPr/>
            </w:pPr>
            <w:r>
              <w:rPr/>
              <w:t>∎   </w:t>
            </w:r>
            <w:r>
              <w:rPr>
                <w:rFonts w:ascii="ARIAL" w:hAnsi="ARIAL"/>
                <w:sz w:val="20"/>
              </w:rPr>
              <w:t>provide a qualifying pension scheme indemnity, which is an indemnity against liability incurred in connection</w:t>
            </w:r>
          </w:p>
        </w:tc>
        <w:tc>
          <w:tcPr>
            <w:tcW w:w="123" w:type="dxa"/>
            <w:tcBorders/>
            <w:shd w:fill="auto" w:val="clear"/>
            <w:vAlign w:val="bottom"/>
          </w:tcPr>
          <w:p>
            <w:pPr>
              <w:pStyle w:val="TableContents"/>
              <w:spacing w:before="0" w:after="283"/>
              <w:rPr/>
            </w:pPr>
            <w:r>
              <w:rPr/>
              <w:t>  </w:t>
            </w:r>
          </w:p>
        </w:tc>
        <w:tc>
          <w:tcPr>
            <w:tcW w:w="3075"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450"/>
        <w:gridCol w:w="307"/>
        <w:gridCol w:w="3306"/>
        <w:gridCol w:w="122"/>
        <w:gridCol w:w="3020"/>
      </w:tblGrid>
      <w:tr>
        <w:trPr/>
        <w:tc>
          <w:tcPr>
            <w:tcW w:w="345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330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3306"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2" w:type="dxa"/>
            <w:tcBorders/>
            <w:shd w:fill="auto" w:val="clear"/>
            <w:vAlign w:val="bottom"/>
          </w:tcPr>
          <w:p>
            <w:pPr>
              <w:pStyle w:val="TableContents"/>
              <w:spacing w:before="0" w:after="283"/>
              <w:rPr/>
            </w:pPr>
            <w:r>
              <w:rPr/>
              <w:t>  </w:t>
            </w:r>
          </w:p>
        </w:tc>
        <w:tc>
          <w:tcPr>
            <w:tcW w:w="3020"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rHeight w:val="30" w:hRule="atLeast"/>
        </w:trPr>
        <w:tc>
          <w:tcPr>
            <w:tcW w:w="3450" w:type="dxa"/>
            <w:tcBorders/>
            <w:shd w:fill="auto" w:val="clear"/>
            <w:vAlign w:val="center"/>
          </w:tcPr>
          <w:p>
            <w:pPr>
              <w:pStyle w:val="TableContents"/>
              <w:spacing w:before="0" w:after="283"/>
              <w:rPr>
                <w:sz w:val="4"/>
                <w:szCs w:val="4"/>
              </w:rPr>
            </w:pPr>
            <w:r>
              <w:rPr>
                <w:sz w:val="4"/>
                <w:szCs w:val="4"/>
              </w:rPr>
            </w:r>
          </w:p>
        </w:tc>
        <w:tc>
          <w:tcPr>
            <w:tcW w:w="3613" w:type="dxa"/>
            <w:gridSpan w:val="2"/>
            <w:tcBorders/>
            <w:shd w:fill="auto" w:val="clear"/>
            <w:vAlign w:val="center"/>
          </w:tcPr>
          <w:p>
            <w:pPr>
              <w:pStyle w:val="TableContents"/>
              <w:spacing w:before="0" w:after="283"/>
              <w:rPr>
                <w:sz w:val="4"/>
                <w:szCs w:val="4"/>
              </w:rPr>
            </w:pPr>
            <w:r>
              <w:rPr>
                <w:sz w:val="4"/>
                <w:szCs w:val="4"/>
              </w:rPr>
            </w:r>
          </w:p>
        </w:tc>
        <w:tc>
          <w:tcPr>
            <w:tcW w:w="3142" w:type="dxa"/>
            <w:gridSpan w:val="2"/>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3306" w:type="dxa"/>
            <w:tcBorders/>
            <w:shd w:fill="auto" w:val="clear"/>
          </w:tcPr>
          <w:p>
            <w:pPr>
              <w:pStyle w:val="TableContents"/>
              <w:spacing w:before="0" w:after="0"/>
              <w:rPr/>
            </w:pPr>
            <w:r>
              <w:rPr/>
              <w:t>∎   </w:t>
            </w:r>
            <w:r>
              <w:rPr>
                <w:rFonts w:ascii="ARIAL" w:hAnsi="ARIAL"/>
                <w:sz w:val="20"/>
              </w:rPr>
              <w:t>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tc>
        <w:tc>
          <w:tcPr>
            <w:tcW w:w="122" w:type="dxa"/>
            <w:tcBorders/>
            <w:shd w:fill="auto" w:val="clear"/>
            <w:vAlign w:val="bottom"/>
          </w:tcPr>
          <w:p>
            <w:pPr>
              <w:pStyle w:val="TableContents"/>
              <w:spacing w:before="0" w:after="283"/>
              <w:rPr/>
            </w:pPr>
            <w:r>
              <w:rPr/>
              <w:t>  </w:t>
            </w:r>
          </w:p>
        </w:tc>
        <w:tc>
          <w:tcPr>
            <w:tcW w:w="3020" w:type="dxa"/>
            <w:tcBorders/>
            <w:shd w:fill="auto" w:val="clear"/>
          </w:tcPr>
          <w:p>
            <w:pPr>
              <w:pStyle w:val="TableContents"/>
              <w:spacing w:before="0" w:after="283"/>
              <w:rPr>
                <w:sz w:val="4"/>
                <w:szCs w:val="4"/>
              </w:rPr>
            </w:pPr>
            <w:r>
              <w:rPr>
                <w:sz w:val="4"/>
                <w:szCs w:val="4"/>
              </w:rPr>
            </w:r>
          </w:p>
        </w:tc>
      </w:tr>
      <w:tr>
        <w:trPr>
          <w:trHeight w:val="120" w:hRule="atLeast"/>
        </w:trPr>
        <w:tc>
          <w:tcPr>
            <w:tcW w:w="3450" w:type="dxa"/>
            <w:tcBorders/>
            <w:shd w:fill="auto" w:val="clear"/>
            <w:vAlign w:val="center"/>
          </w:tcPr>
          <w:p>
            <w:pPr>
              <w:pStyle w:val="TableContents"/>
              <w:spacing w:before="0" w:after="283"/>
              <w:rPr>
                <w:sz w:val="4"/>
                <w:szCs w:val="4"/>
              </w:rPr>
            </w:pPr>
            <w:r>
              <w:rPr>
                <w:sz w:val="4"/>
                <w:szCs w:val="4"/>
              </w:rPr>
            </w:r>
          </w:p>
        </w:tc>
        <w:tc>
          <w:tcPr>
            <w:tcW w:w="3613" w:type="dxa"/>
            <w:gridSpan w:val="2"/>
            <w:tcBorders/>
            <w:shd w:fill="auto" w:val="clear"/>
            <w:vAlign w:val="center"/>
          </w:tcPr>
          <w:p>
            <w:pPr>
              <w:pStyle w:val="TableContents"/>
              <w:spacing w:before="0" w:after="283"/>
              <w:rPr>
                <w:sz w:val="4"/>
                <w:szCs w:val="4"/>
              </w:rPr>
            </w:pPr>
            <w:r>
              <w:rPr>
                <w:sz w:val="4"/>
                <w:szCs w:val="4"/>
              </w:rPr>
            </w:r>
          </w:p>
        </w:tc>
        <w:tc>
          <w:tcPr>
            <w:tcW w:w="3142" w:type="dxa"/>
            <w:gridSpan w:val="2"/>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3306" w:type="dxa"/>
            <w:tcBorders/>
            <w:shd w:fill="auto" w:val="clear"/>
          </w:tcPr>
          <w:p>
            <w:pPr>
              <w:pStyle w:val="TableContents"/>
              <w:spacing w:before="0" w:after="283"/>
              <w:rPr/>
            </w:pPr>
            <w:r>
              <w:rPr/>
              <w:t>Our Articles provide that it may indemnify each of our directors against:</w:t>
            </w:r>
          </w:p>
        </w:tc>
        <w:tc>
          <w:tcPr>
            <w:tcW w:w="122" w:type="dxa"/>
            <w:tcBorders/>
            <w:shd w:fill="auto" w:val="clear"/>
            <w:vAlign w:val="bottom"/>
          </w:tcPr>
          <w:p>
            <w:pPr>
              <w:pStyle w:val="TableContents"/>
              <w:spacing w:before="0" w:after="283"/>
              <w:rPr/>
            </w:pPr>
            <w:r>
              <w:rPr/>
              <w:t>  </w:t>
            </w:r>
          </w:p>
        </w:tc>
        <w:tc>
          <w:tcPr>
            <w:tcW w:w="3020" w:type="dxa"/>
            <w:tcBorders/>
            <w:shd w:fill="auto" w:val="clear"/>
          </w:tcPr>
          <w:p>
            <w:pPr>
              <w:pStyle w:val="TableContents"/>
              <w:spacing w:before="0" w:after="283"/>
              <w:rPr>
                <w:sz w:val="4"/>
                <w:szCs w:val="4"/>
              </w:rPr>
            </w:pPr>
            <w:r>
              <w:rPr>
                <w:sz w:val="4"/>
                <w:szCs w:val="4"/>
              </w:rPr>
            </w:r>
          </w:p>
        </w:tc>
      </w:tr>
      <w:tr>
        <w:trPr>
          <w:trHeight w:val="120" w:hRule="atLeast"/>
        </w:trPr>
        <w:tc>
          <w:tcPr>
            <w:tcW w:w="3450" w:type="dxa"/>
            <w:tcBorders/>
            <w:shd w:fill="auto" w:val="clear"/>
            <w:vAlign w:val="center"/>
          </w:tcPr>
          <w:p>
            <w:pPr>
              <w:pStyle w:val="TableContents"/>
              <w:spacing w:before="0" w:after="283"/>
              <w:rPr>
                <w:sz w:val="4"/>
                <w:szCs w:val="4"/>
              </w:rPr>
            </w:pPr>
            <w:r>
              <w:rPr>
                <w:sz w:val="4"/>
                <w:szCs w:val="4"/>
              </w:rPr>
            </w:r>
          </w:p>
        </w:tc>
        <w:tc>
          <w:tcPr>
            <w:tcW w:w="3613" w:type="dxa"/>
            <w:gridSpan w:val="2"/>
            <w:tcBorders/>
            <w:shd w:fill="auto" w:val="clear"/>
            <w:vAlign w:val="center"/>
          </w:tcPr>
          <w:p>
            <w:pPr>
              <w:pStyle w:val="TableContents"/>
              <w:spacing w:before="0" w:after="283"/>
              <w:rPr>
                <w:sz w:val="4"/>
                <w:szCs w:val="4"/>
              </w:rPr>
            </w:pPr>
            <w:r>
              <w:rPr>
                <w:sz w:val="4"/>
                <w:szCs w:val="4"/>
              </w:rPr>
            </w:r>
          </w:p>
        </w:tc>
        <w:tc>
          <w:tcPr>
            <w:tcW w:w="3142" w:type="dxa"/>
            <w:gridSpan w:val="2"/>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3306" w:type="dxa"/>
            <w:tcBorders/>
            <w:shd w:fill="auto" w:val="clear"/>
          </w:tcPr>
          <w:p>
            <w:pPr>
              <w:pStyle w:val="TableContents"/>
              <w:spacing w:before="0" w:after="283"/>
              <w:rPr/>
            </w:pPr>
            <w:r>
              <w:rPr/>
              <w:t>The U.K. Companies Act 2006 also provides that we may lend each of our directors funds to meet expenditure incurred by him or her in defending any criminal or civil proceedings in connection with any alleged negligence, default, breach of duty or breach of trust by him or her in relation to us or an associated company, or in connection with an application for certain specified relief, subject to the requirement that the loan must be on terms that it is to be repaid if the defense or the application for relief is unsuccessful.</w:t>
            </w:r>
          </w:p>
        </w:tc>
        <w:tc>
          <w:tcPr>
            <w:tcW w:w="122" w:type="dxa"/>
            <w:tcBorders/>
            <w:shd w:fill="auto" w:val="clear"/>
            <w:vAlign w:val="bottom"/>
          </w:tcPr>
          <w:p>
            <w:pPr>
              <w:pStyle w:val="TableContents"/>
              <w:spacing w:before="0" w:after="283"/>
              <w:rPr/>
            </w:pPr>
            <w:r>
              <w:rPr/>
              <w:t>  </w:t>
            </w:r>
          </w:p>
        </w:tc>
        <w:tc>
          <w:tcPr>
            <w:tcW w:w="3020" w:type="dxa"/>
            <w:tcBorders/>
            <w:shd w:fill="auto" w:val="clear"/>
          </w:tcPr>
          <w:p>
            <w:pPr>
              <w:pStyle w:val="TableContents"/>
              <w:spacing w:before="0" w:after="283"/>
              <w:rPr>
                <w:sz w:val="4"/>
                <w:szCs w:val="4"/>
              </w:rPr>
            </w:pPr>
            <w:r>
              <w:rPr>
                <w:sz w:val="4"/>
                <w:szCs w:val="4"/>
              </w:rPr>
            </w:r>
          </w:p>
        </w:tc>
      </w:tr>
      <w:tr>
        <w:trPr>
          <w:trHeight w:val="120" w:hRule="atLeast"/>
        </w:trPr>
        <w:tc>
          <w:tcPr>
            <w:tcW w:w="3450" w:type="dxa"/>
            <w:tcBorders/>
            <w:shd w:fill="auto" w:val="clear"/>
            <w:vAlign w:val="center"/>
          </w:tcPr>
          <w:p>
            <w:pPr>
              <w:pStyle w:val="TableContents"/>
              <w:spacing w:before="0" w:after="283"/>
              <w:rPr>
                <w:sz w:val="4"/>
                <w:szCs w:val="4"/>
              </w:rPr>
            </w:pPr>
            <w:r>
              <w:rPr>
                <w:sz w:val="4"/>
                <w:szCs w:val="4"/>
              </w:rPr>
            </w:r>
          </w:p>
        </w:tc>
        <w:tc>
          <w:tcPr>
            <w:tcW w:w="3613" w:type="dxa"/>
            <w:gridSpan w:val="2"/>
            <w:tcBorders/>
            <w:shd w:fill="auto" w:val="clear"/>
            <w:vAlign w:val="center"/>
          </w:tcPr>
          <w:p>
            <w:pPr>
              <w:pStyle w:val="TableContents"/>
              <w:spacing w:before="0" w:after="283"/>
              <w:rPr>
                <w:sz w:val="4"/>
                <w:szCs w:val="4"/>
              </w:rPr>
            </w:pPr>
            <w:r>
              <w:rPr>
                <w:sz w:val="4"/>
                <w:szCs w:val="4"/>
              </w:rPr>
            </w:r>
          </w:p>
        </w:tc>
        <w:tc>
          <w:tcPr>
            <w:tcW w:w="3142" w:type="dxa"/>
            <w:gridSpan w:val="2"/>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0"/>
              <w:rPr>
                <w:rFonts w:ascii="ARIAL" w:hAnsi="ARIAL"/>
                <w:sz w:val="20"/>
              </w:rPr>
            </w:pPr>
            <w:r>
              <w:rPr>
                <w:rFonts w:ascii="ARIAL" w:hAnsi="ARIAL"/>
                <w:sz w:val="20"/>
              </w:rPr>
              <w:t>Voting Rights</w:t>
            </w:r>
          </w:p>
        </w:tc>
        <w:tc>
          <w:tcPr>
            <w:tcW w:w="307" w:type="dxa"/>
            <w:tcBorders/>
            <w:shd w:fill="auto" w:val="clear"/>
            <w:vAlign w:val="bottom"/>
          </w:tcPr>
          <w:p>
            <w:pPr>
              <w:pStyle w:val="TableContents"/>
              <w:spacing w:before="0" w:after="283"/>
              <w:rPr/>
            </w:pPr>
            <w:r>
              <w:rPr/>
              <w:t>  </w:t>
            </w:r>
          </w:p>
        </w:tc>
        <w:tc>
          <w:tcPr>
            <w:tcW w:w="3306" w:type="dxa"/>
            <w:tcBorders/>
            <w:shd w:fill="auto" w:val="clear"/>
          </w:tcPr>
          <w:p>
            <w:pPr>
              <w:pStyle w:val="TableContents"/>
              <w:spacing w:before="0" w:after="283"/>
              <w:rPr/>
            </w:pPr>
            <w:r>
              <w:rPr/>
              <w:t>For a description of the voting rights contained in our Articles see Description of the Share Capital and Articles of AssociationArticles of AssociationShares and Rights Attaching to ThemVoting Rights in this prospectus.</w:t>
            </w:r>
          </w:p>
        </w:tc>
        <w:tc>
          <w:tcPr>
            <w:tcW w:w="122" w:type="dxa"/>
            <w:tcBorders/>
            <w:shd w:fill="auto" w:val="clear"/>
            <w:vAlign w:val="bottom"/>
          </w:tcPr>
          <w:p>
            <w:pPr>
              <w:pStyle w:val="TableContents"/>
              <w:spacing w:before="0" w:after="283"/>
              <w:rPr/>
            </w:pPr>
            <w:r>
              <w:rPr/>
              <w:t>  </w:t>
            </w:r>
          </w:p>
        </w:tc>
        <w:tc>
          <w:tcPr>
            <w:tcW w:w="3020" w:type="dxa"/>
            <w:tcBorders/>
            <w:shd w:fill="auto" w:val="clear"/>
          </w:tcPr>
          <w:p>
            <w:pPr>
              <w:pStyle w:val="TableContents"/>
              <w:spacing w:before="0" w:after="283"/>
              <w:rPr/>
            </w:pPr>
            <w:r>
              <w:rPr/>
              <w:t>Delaware law provides that, unless otherwise provided in the certificate of incorporation, each stockholder is entitled to one vote for each share of capital stock held by such stockholder.</w:t>
            </w:r>
          </w:p>
        </w:tc>
      </w:tr>
      <w:tr>
        <w:trPr>
          <w:trHeight w:val="120" w:hRule="atLeast"/>
        </w:trPr>
        <w:tc>
          <w:tcPr>
            <w:tcW w:w="3450" w:type="dxa"/>
            <w:tcBorders/>
            <w:shd w:fill="auto" w:val="clear"/>
            <w:vAlign w:val="center"/>
          </w:tcPr>
          <w:p>
            <w:pPr>
              <w:pStyle w:val="TableContents"/>
              <w:spacing w:before="0" w:after="283"/>
              <w:rPr>
                <w:sz w:val="4"/>
                <w:szCs w:val="4"/>
              </w:rPr>
            </w:pPr>
            <w:r>
              <w:rPr>
                <w:sz w:val="4"/>
                <w:szCs w:val="4"/>
              </w:rPr>
            </w:r>
          </w:p>
        </w:tc>
        <w:tc>
          <w:tcPr>
            <w:tcW w:w="3613" w:type="dxa"/>
            <w:gridSpan w:val="2"/>
            <w:tcBorders/>
            <w:shd w:fill="auto" w:val="clear"/>
            <w:vAlign w:val="center"/>
          </w:tcPr>
          <w:p>
            <w:pPr>
              <w:pStyle w:val="TableContents"/>
              <w:spacing w:before="0" w:after="283"/>
              <w:rPr>
                <w:sz w:val="4"/>
                <w:szCs w:val="4"/>
              </w:rPr>
            </w:pPr>
            <w:r>
              <w:rPr>
                <w:sz w:val="4"/>
                <w:szCs w:val="4"/>
              </w:rPr>
            </w:r>
          </w:p>
        </w:tc>
        <w:tc>
          <w:tcPr>
            <w:tcW w:w="3142" w:type="dxa"/>
            <w:gridSpan w:val="2"/>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pPr>
            <w:r>
              <w:rPr/>
              <w:t>Shareholder Vote on Certain Transactions</w:t>
            </w:r>
          </w:p>
        </w:tc>
        <w:tc>
          <w:tcPr>
            <w:tcW w:w="307" w:type="dxa"/>
            <w:tcBorders/>
            <w:shd w:fill="auto" w:val="clear"/>
            <w:vAlign w:val="bottom"/>
          </w:tcPr>
          <w:p>
            <w:pPr>
              <w:pStyle w:val="TableContents"/>
              <w:spacing w:before="0" w:after="283"/>
              <w:rPr/>
            </w:pPr>
            <w:r>
              <w:rPr/>
              <w:t>  </w:t>
            </w:r>
          </w:p>
        </w:tc>
        <w:tc>
          <w:tcPr>
            <w:tcW w:w="3306" w:type="dxa"/>
            <w:tcBorders/>
            <w:shd w:fill="auto" w:val="clear"/>
          </w:tcPr>
          <w:p>
            <w:pPr>
              <w:pStyle w:val="TableContents"/>
              <w:spacing w:before="0" w:after="283"/>
              <w:rPr/>
            </w:pPr>
            <w:r>
              <w:rPr/>
              <w:t>The U.K. Companies Act 2006 provides for schemes of arrangement, which are arrangements or compromises</w:t>
            </w:r>
          </w:p>
        </w:tc>
        <w:tc>
          <w:tcPr>
            <w:tcW w:w="122" w:type="dxa"/>
            <w:tcBorders/>
            <w:shd w:fill="auto" w:val="clear"/>
            <w:vAlign w:val="bottom"/>
          </w:tcPr>
          <w:p>
            <w:pPr>
              <w:pStyle w:val="TableContents"/>
              <w:spacing w:before="0" w:after="283"/>
              <w:rPr/>
            </w:pPr>
            <w:r>
              <w:rPr/>
              <w:t>  </w:t>
            </w:r>
          </w:p>
        </w:tc>
        <w:tc>
          <w:tcPr>
            <w:tcW w:w="3020" w:type="dxa"/>
            <w:tcBorders/>
            <w:shd w:fill="auto" w:val="clear"/>
          </w:tcPr>
          <w:p>
            <w:pPr>
              <w:pStyle w:val="TableContents"/>
              <w:spacing w:before="0" w:after="283"/>
              <w:rPr/>
            </w:pPr>
            <w:r>
              <w:rPr/>
              <w:t>Generally, under Delaware law, unless the certificate of incorporation provides for the vote of a larger portion of the</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384"/>
        <w:gridCol w:w="309"/>
        <w:gridCol w:w="3341"/>
        <w:gridCol w:w="121"/>
        <w:gridCol w:w="3050"/>
      </w:tblGrid>
      <w:tr>
        <w:trPr/>
        <w:tc>
          <w:tcPr>
            <w:tcW w:w="338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334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r>
      <w:tr>
        <w:trPr/>
        <w:tc>
          <w:tcPr>
            <w:tcW w:w="338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341"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1" w:type="dxa"/>
            <w:tcBorders/>
            <w:shd w:fill="auto" w:val="clear"/>
            <w:vAlign w:val="bottom"/>
          </w:tcPr>
          <w:p>
            <w:pPr>
              <w:pStyle w:val="TableContents"/>
              <w:spacing w:before="0" w:after="283"/>
              <w:rPr/>
            </w:pPr>
            <w:r>
              <w:rPr/>
              <w:t>  </w:t>
            </w:r>
          </w:p>
        </w:tc>
        <w:tc>
          <w:tcPr>
            <w:tcW w:w="3050"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c>
          <w:tcPr>
            <w:tcW w:w="3384"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0"/>
              <w:rPr>
                <w:rFonts w:ascii="ARIAL" w:hAnsi="ARIAL"/>
                <w:sz w:val="20"/>
              </w:rPr>
            </w:pPr>
            <w:r>
              <w:rPr>
                <w:rFonts w:ascii="ARIAL" w:hAnsi="ARIAL"/>
                <w:sz w:val="20"/>
              </w:rPr>
              <w:t>between a company and any class of shareholders or creditors and used in certain types of reconstructions, amalgamations, capital reorganizations or takeovers. These arrangements require:</w:t>
            </w:r>
          </w:p>
          <w:p>
            <w:pPr>
              <w:pStyle w:val="TableContents"/>
              <w:spacing w:before="0" w:after="0"/>
              <w:rPr/>
            </w:pPr>
            <w:r>
              <w:rPr/>
              <w:t> </w:t>
            </w:r>
          </w:p>
          <w:p>
            <w:pPr>
              <w:pStyle w:val="TableContents"/>
              <w:spacing w:before="0" w:after="20"/>
              <w:rPr>
                <w:rFonts w:ascii="ARIAL" w:hAnsi="ARIAL"/>
                <w:sz w:val="20"/>
              </w:rPr>
            </w:pPr>
            <w:r>
              <w:rPr>
                <w:rFonts w:ascii="ARIAL" w:hAnsi="ARIAL"/>
                <w:sz w:val="20"/>
              </w:rPr>
              <w:t>(1) the approval, at a shareholders or creditors meeting convened by order of a court of England and Wales, of a majority in number representing not less than 75% in value of the creditors or class of creditors or members or class of members (as the case may be) present and voting, either in person or by proxy; and (2) the approval of a court of England and Wales.</w:t>
            </w:r>
          </w:p>
        </w:tc>
        <w:tc>
          <w:tcPr>
            <w:tcW w:w="121" w:type="dxa"/>
            <w:tcBorders/>
            <w:shd w:fill="auto" w:val="clear"/>
            <w:vAlign w:val="bottom"/>
          </w:tcPr>
          <w:p>
            <w:pPr>
              <w:pStyle w:val="TableContents"/>
              <w:spacing w:before="0" w:after="283"/>
              <w:rPr/>
            </w:pPr>
            <w:r>
              <w:rPr/>
              <w:t>  </w:t>
            </w:r>
          </w:p>
        </w:tc>
        <w:tc>
          <w:tcPr>
            <w:tcW w:w="3050" w:type="dxa"/>
            <w:tcBorders/>
            <w:shd w:fill="auto" w:val="clear"/>
          </w:tcPr>
          <w:p>
            <w:pPr>
              <w:pStyle w:val="TableContents"/>
              <w:spacing w:before="0" w:after="0"/>
              <w:rPr>
                <w:rFonts w:ascii="ARIAL" w:hAnsi="ARIAL"/>
                <w:sz w:val="20"/>
              </w:rPr>
            </w:pPr>
            <w:r>
              <w:rPr>
                <w:rFonts w:ascii="ARIAL" w:hAnsi="ARIAL"/>
                <w:sz w:val="20"/>
              </w:rPr>
              <w:t>stock, closing of a merger, consolidation, sale, lease or exchange of all or substantially all of a corporations assets or dissolution requires:</w:t>
            </w:r>
          </w:p>
          <w:p>
            <w:pPr>
              <w:pStyle w:val="TableContents"/>
              <w:spacing w:before="0" w:after="0"/>
              <w:rPr/>
            </w:pPr>
            <w:r>
              <w:rPr/>
              <w:t> </w:t>
            </w:r>
          </w:p>
          <w:p>
            <w:pPr>
              <w:pStyle w:val="TableContents"/>
              <w:spacing w:before="0" w:after="0"/>
              <w:rPr/>
            </w:pPr>
            <w:r>
              <w:rPr/>
              <w:t>∎   </w:t>
            </w:r>
            <w:r>
              <w:rPr>
                <w:rFonts w:ascii="ARIAL" w:hAnsi="ARIAL"/>
                <w:sz w:val="20"/>
              </w:rPr>
              <w:t>the approval of the board of directors; and</w:t>
            </w:r>
          </w:p>
          <w:p>
            <w:pPr>
              <w:pStyle w:val="TableContents"/>
              <w:spacing w:before="0" w:after="0"/>
              <w:rPr/>
            </w:pPr>
            <w:r>
              <w:rPr/>
              <w:t> </w:t>
            </w:r>
          </w:p>
          <w:p>
            <w:pPr>
              <w:pStyle w:val="TableContents"/>
              <w:spacing w:before="0" w:after="20"/>
              <w:rPr/>
            </w:pPr>
            <w:r>
              <w:rPr/>
              <w:t>∎   </w:t>
            </w:r>
            <w:r>
              <w:rPr>
                <w:rFonts w:ascii="ARIAL" w:hAnsi="ARIAL"/>
                <w:sz w:val="20"/>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tc>
      </w:tr>
      <w:tr>
        <w:trPr>
          <w:trHeight w:val="120" w:hRule="atLeast"/>
        </w:trPr>
        <w:tc>
          <w:tcPr>
            <w:tcW w:w="3384" w:type="dxa"/>
            <w:tcBorders/>
            <w:shd w:fill="auto" w:val="clear"/>
            <w:vAlign w:val="center"/>
          </w:tcPr>
          <w:p>
            <w:pPr>
              <w:pStyle w:val="TableContents"/>
              <w:spacing w:before="0" w:after="283"/>
              <w:rPr>
                <w:sz w:val="4"/>
                <w:szCs w:val="4"/>
              </w:rPr>
            </w:pPr>
            <w:r>
              <w:rPr>
                <w:sz w:val="4"/>
                <w:szCs w:val="4"/>
              </w:rPr>
            </w:r>
          </w:p>
        </w:tc>
        <w:tc>
          <w:tcPr>
            <w:tcW w:w="3650" w:type="dxa"/>
            <w:gridSpan w:val="2"/>
            <w:tcBorders/>
            <w:shd w:fill="auto" w:val="clear"/>
            <w:vAlign w:val="center"/>
          </w:tcPr>
          <w:p>
            <w:pPr>
              <w:pStyle w:val="TableContents"/>
              <w:spacing w:before="0" w:after="283"/>
              <w:rPr>
                <w:sz w:val="4"/>
                <w:szCs w:val="4"/>
              </w:rPr>
            </w:pPr>
            <w:r>
              <w:rPr>
                <w:sz w:val="4"/>
                <w:szCs w:val="4"/>
              </w:rPr>
            </w:r>
          </w:p>
        </w:tc>
        <w:tc>
          <w:tcPr>
            <w:tcW w:w="3171" w:type="dxa"/>
            <w:gridSpan w:val="2"/>
            <w:tcBorders/>
            <w:shd w:fill="auto" w:val="clear"/>
            <w:vAlign w:val="center"/>
          </w:tcPr>
          <w:p>
            <w:pPr>
              <w:pStyle w:val="TableContents"/>
              <w:spacing w:before="0" w:after="283"/>
              <w:rPr>
                <w:sz w:val="4"/>
                <w:szCs w:val="4"/>
              </w:rPr>
            </w:pPr>
            <w:r>
              <w:rPr>
                <w:sz w:val="4"/>
                <w:szCs w:val="4"/>
              </w:rPr>
            </w:r>
          </w:p>
        </w:tc>
      </w:tr>
      <w:tr>
        <w:trPr/>
        <w:tc>
          <w:tcPr>
            <w:tcW w:w="3384" w:type="dxa"/>
            <w:tcBorders/>
            <w:shd w:fill="auto" w:val="clear"/>
          </w:tcPr>
          <w:p>
            <w:pPr>
              <w:pStyle w:val="TableContents"/>
              <w:spacing w:before="0" w:after="0"/>
              <w:rPr>
                <w:rFonts w:ascii="ARIAL" w:hAnsi="ARIAL"/>
                <w:sz w:val="20"/>
              </w:rPr>
            </w:pPr>
            <w:r>
              <w:rPr>
                <w:rFonts w:ascii="ARIAL" w:hAnsi="ARIAL"/>
                <w:sz w:val="20"/>
              </w:rPr>
              <w:t>Standard of Conduct for Directors</w:t>
            </w:r>
          </w:p>
        </w:tc>
        <w:tc>
          <w:tcPr>
            <w:tcW w:w="309"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0"/>
              <w:rPr/>
            </w:pPr>
            <w:r>
              <w:rPr/>
              <w:t>∎   </w:t>
            </w:r>
            <w:r>
              <w:rPr>
                <w:rFonts w:ascii="ARIAL" w:hAnsi="ARIAL"/>
                <w:sz w:val="20"/>
              </w:rPr>
              <w:t>Under English law, a director owes various statutory and fiduciary duties to the company, including:</w:t>
            </w:r>
          </w:p>
          <w:p>
            <w:pPr>
              <w:pStyle w:val="TableContents"/>
              <w:spacing w:before="0" w:after="0"/>
              <w:rPr/>
            </w:pPr>
            <w:r>
              <w:rPr/>
              <w:t> </w:t>
            </w:r>
          </w:p>
          <w:p>
            <w:pPr>
              <w:pStyle w:val="TableContents"/>
              <w:spacing w:before="0" w:after="0"/>
              <w:rPr/>
            </w:pPr>
            <w:r>
              <w:rPr/>
              <w:t>∎   </w:t>
            </w:r>
            <w:r>
              <w:rPr>
                <w:rFonts w:ascii="ARIAL" w:hAnsi="ARIAL"/>
                <w:sz w:val="20"/>
              </w:rPr>
              <w:t>to act in the way he or she considers, in good faith, would be most likely to promote the success of the company for the benefit of its members as a whole;</w:t>
            </w:r>
          </w:p>
          <w:p>
            <w:pPr>
              <w:pStyle w:val="TableContents"/>
              <w:spacing w:before="0" w:after="0"/>
              <w:rPr/>
            </w:pPr>
            <w:r>
              <w:rPr/>
              <w:t> </w:t>
            </w:r>
          </w:p>
          <w:p>
            <w:pPr>
              <w:pStyle w:val="TableContents"/>
              <w:spacing w:before="0" w:after="0"/>
              <w:rPr/>
            </w:pPr>
            <w:r>
              <w:rPr/>
              <w:t>∎   </w:t>
            </w:r>
            <w:r>
              <w:rPr>
                <w:rFonts w:ascii="ARIAL" w:hAnsi="ARIAL"/>
                <w:sz w:val="20"/>
              </w:rPr>
              <w:t>to avoid a situation in which he or she has, or can have, a direct or indirect interest that conflicts, or possibly conflicts, with the interests of the company;</w:t>
            </w:r>
          </w:p>
          <w:p>
            <w:pPr>
              <w:pStyle w:val="TableContents"/>
              <w:spacing w:before="0" w:after="0"/>
              <w:rPr/>
            </w:pPr>
            <w:r>
              <w:rPr/>
              <w:t> </w:t>
            </w:r>
          </w:p>
          <w:p>
            <w:pPr>
              <w:pStyle w:val="TableContents"/>
              <w:spacing w:before="0" w:after="0"/>
              <w:rPr/>
            </w:pPr>
            <w:r>
              <w:rPr/>
              <w:t>∎   </w:t>
            </w:r>
            <w:r>
              <w:rPr>
                <w:rFonts w:ascii="ARIAL" w:hAnsi="ARIAL"/>
                <w:sz w:val="20"/>
              </w:rPr>
              <w:t>to act in accordance with the companys constitution and only exercise his or her powers for the purposes for which they are conferred;</w:t>
            </w:r>
          </w:p>
          <w:p>
            <w:pPr>
              <w:pStyle w:val="TableContents"/>
              <w:spacing w:before="0" w:after="0"/>
              <w:rPr/>
            </w:pPr>
            <w:r>
              <w:rPr/>
              <w:t> </w:t>
            </w:r>
          </w:p>
          <w:p>
            <w:pPr>
              <w:pStyle w:val="TableContents"/>
              <w:spacing w:before="0" w:after="0"/>
              <w:rPr/>
            </w:pPr>
            <w:r>
              <w:rPr/>
              <w:t>∎   </w:t>
            </w:r>
            <w:r>
              <w:rPr>
                <w:rFonts w:ascii="ARIAL" w:hAnsi="ARIAL"/>
                <w:sz w:val="20"/>
              </w:rPr>
              <w:t>to exercise independent judgment;</w:t>
            </w:r>
          </w:p>
          <w:p>
            <w:pPr>
              <w:pStyle w:val="TableContents"/>
              <w:spacing w:before="0" w:after="0"/>
              <w:rPr/>
            </w:pPr>
            <w:r>
              <w:rPr/>
              <w:t> </w:t>
            </w:r>
          </w:p>
          <w:p>
            <w:pPr>
              <w:pStyle w:val="TableContents"/>
              <w:spacing w:before="0" w:after="0"/>
              <w:rPr/>
            </w:pPr>
            <w:r>
              <w:rPr/>
              <w:t>∎   </w:t>
            </w:r>
            <w:r>
              <w:rPr>
                <w:rFonts w:ascii="ARIAL" w:hAnsi="ARIAL"/>
                <w:sz w:val="20"/>
              </w:rPr>
              <w:t>to exercise reasonable care, skill, and diligence;</w:t>
            </w:r>
          </w:p>
          <w:p>
            <w:pPr>
              <w:pStyle w:val="TableContents"/>
              <w:spacing w:before="0" w:after="0"/>
              <w:rPr/>
            </w:pPr>
            <w:r>
              <w:rPr/>
              <w:t> </w:t>
            </w:r>
          </w:p>
          <w:p>
            <w:pPr>
              <w:pStyle w:val="TableContents"/>
              <w:spacing w:before="0" w:after="20"/>
              <w:rPr/>
            </w:pPr>
            <w:r>
              <w:rPr/>
              <w:t>∎   </w:t>
            </w:r>
            <w:r>
              <w:rPr>
                <w:rFonts w:ascii="ARIAL" w:hAnsi="ARIAL"/>
                <w:sz w:val="20"/>
              </w:rPr>
              <w:t>not to accept benefits from a third party conferred by reason of his or</w:t>
            </w:r>
          </w:p>
        </w:tc>
        <w:tc>
          <w:tcPr>
            <w:tcW w:w="121" w:type="dxa"/>
            <w:tcBorders/>
            <w:shd w:fill="auto" w:val="clear"/>
            <w:vAlign w:val="bottom"/>
          </w:tcPr>
          <w:p>
            <w:pPr>
              <w:pStyle w:val="TableContents"/>
              <w:spacing w:before="0" w:after="283"/>
              <w:rPr/>
            </w:pPr>
            <w:r>
              <w:rPr/>
              <w:t>  </w:t>
            </w:r>
          </w:p>
        </w:tc>
        <w:tc>
          <w:tcPr>
            <w:tcW w:w="3050" w:type="dxa"/>
            <w:tcBorders/>
            <w:shd w:fill="auto" w:val="clear"/>
          </w:tcPr>
          <w:p>
            <w:pPr>
              <w:pStyle w:val="TableContents"/>
              <w:spacing w:before="0" w:after="0"/>
              <w:rPr>
                <w:rFonts w:ascii="ARIAL" w:hAnsi="ARIAL"/>
                <w:sz w:val="20"/>
              </w:rPr>
            </w:pPr>
            <w:r>
              <w:rPr>
                <w:rFonts w:ascii="ARIAL" w:hAnsi="ARIAL"/>
                <w:sz w:val="20"/>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pStyle w:val="TableContents"/>
              <w:spacing w:before="0" w:after="0"/>
              <w:rPr/>
            </w:pPr>
            <w:r>
              <w:rPr/>
              <w:t> </w:t>
            </w:r>
          </w:p>
          <w:p>
            <w:pPr>
              <w:pStyle w:val="TableContents"/>
              <w:spacing w:before="0" w:after="20"/>
              <w:rPr>
                <w:rFonts w:ascii="ARIAL" w:hAnsi="ARIAL"/>
                <w:sz w:val="20"/>
              </w:rPr>
            </w:pPr>
            <w:r>
              <w:rPr>
                <w:rFonts w:ascii="ARIAL" w:hAnsi="ARIAL"/>
                <w:sz w:val="20"/>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410"/>
        <w:gridCol w:w="306"/>
        <w:gridCol w:w="3350"/>
        <w:gridCol w:w="120"/>
        <w:gridCol w:w="3019"/>
      </w:tblGrid>
      <w:tr>
        <w:trPr/>
        <w:tc>
          <w:tcPr>
            <w:tcW w:w="341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19"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3350"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0" w:type="dxa"/>
            <w:tcBorders/>
            <w:shd w:fill="auto" w:val="clear"/>
            <w:vAlign w:val="bottom"/>
          </w:tcPr>
          <w:p>
            <w:pPr>
              <w:pStyle w:val="TableContents"/>
              <w:spacing w:before="0" w:after="283"/>
              <w:rPr/>
            </w:pPr>
            <w:r>
              <w:rPr/>
              <w:t>  </w:t>
            </w:r>
          </w:p>
        </w:tc>
        <w:tc>
          <w:tcPr>
            <w:tcW w:w="3019"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c>
          <w:tcPr>
            <w:tcW w:w="3410" w:type="dxa"/>
            <w:tcBorders/>
            <w:shd w:fill="auto" w:val="clea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pPr>
            <w:r>
              <w:rPr/>
              <w:t>  </w:t>
            </w:r>
          </w:p>
        </w:tc>
        <w:tc>
          <w:tcPr>
            <w:tcW w:w="3350" w:type="dxa"/>
            <w:tcBorders/>
            <w:shd w:fill="auto" w:val="clear"/>
          </w:tcPr>
          <w:p>
            <w:pPr>
              <w:pStyle w:val="TableContents"/>
              <w:spacing w:before="0" w:after="0"/>
              <w:rPr/>
            </w:pPr>
            <w:r>
              <w:rPr/>
              <w:t> </w:t>
            </w:r>
          </w:p>
          <w:p>
            <w:pPr>
              <w:pStyle w:val="TableContents"/>
              <w:spacing w:before="0" w:after="0"/>
              <w:rPr/>
            </w:pPr>
            <w:r>
              <w:rPr/>
              <w:t>∎   </w:t>
            </w:r>
            <w:r>
              <w:rPr>
                <w:rFonts w:ascii="ARIAL" w:hAnsi="ARIAL"/>
                <w:sz w:val="20"/>
              </w:rPr>
              <w:t>her being a director or doing, or not doing, anything as a director; and</w:t>
            </w:r>
          </w:p>
          <w:p>
            <w:pPr>
              <w:pStyle w:val="TableContents"/>
              <w:spacing w:before="0" w:after="0"/>
              <w:rPr/>
            </w:pPr>
            <w:r>
              <w:rPr/>
              <w:t> </w:t>
            </w:r>
          </w:p>
          <w:p>
            <w:pPr>
              <w:pStyle w:val="TableContents"/>
              <w:spacing w:before="0" w:after="20"/>
              <w:rPr/>
            </w:pPr>
            <w:r>
              <w:rPr/>
              <w:t>∎   </w:t>
            </w:r>
            <w:r>
              <w:rPr>
                <w:rFonts w:ascii="ARIAL" w:hAnsi="ARIAL"/>
                <w:sz w:val="20"/>
              </w:rPr>
              <w:t>a duty to declare any interest that he or she has, whether directly or indirectly, in a proposed or existing transaction or arrangement with the company.</w:t>
            </w:r>
          </w:p>
        </w:tc>
        <w:tc>
          <w:tcPr>
            <w:tcW w:w="120" w:type="dxa"/>
            <w:tcBorders/>
            <w:shd w:fill="auto" w:val="clear"/>
            <w:vAlign w:val="bottom"/>
          </w:tcPr>
          <w:p>
            <w:pPr>
              <w:pStyle w:val="TableContents"/>
              <w:spacing w:before="0" w:after="283"/>
              <w:rPr/>
            </w:pPr>
            <w:r>
              <w:rPr/>
              <w:t>  </w:t>
            </w:r>
          </w:p>
        </w:tc>
        <w:tc>
          <w:tcPr>
            <w:tcW w:w="3019" w:type="dxa"/>
            <w:tcBorders/>
            <w:shd w:fill="auto" w:val="clear"/>
          </w:tcPr>
          <w:p>
            <w:pPr>
              <w:pStyle w:val="TableContents"/>
              <w:spacing w:before="0" w:after="0"/>
              <w:rPr>
                <w:rFonts w:ascii="ARIAL" w:hAnsi="ARIAL"/>
                <w:sz w:val="20"/>
              </w:rPr>
            </w:pPr>
            <w:r>
              <w:rPr>
                <w:rFonts w:ascii="ARIAL" w:hAnsi="ARIAL"/>
                <w:sz w:val="20"/>
              </w:rPr>
              <w:t>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pStyle w:val="TableContents"/>
              <w:spacing w:before="0" w:after="0"/>
              <w:rPr/>
            </w:pPr>
            <w:r>
              <w:rPr/>
              <w:t> </w:t>
            </w:r>
          </w:p>
          <w:p>
            <w:pPr>
              <w:pStyle w:val="TableContents"/>
              <w:spacing w:before="0" w:after="20"/>
              <w:rPr>
                <w:rFonts w:ascii="ARIAL" w:hAnsi="ARIAL"/>
                <w:sz w:val="20"/>
              </w:rPr>
            </w:pPr>
            <w:r>
              <w:rPr>
                <w:rFonts w:ascii="ARIAL" w:hAnsi="ARIAL"/>
                <w:sz w:val="20"/>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tc>
      </w:tr>
      <w:tr>
        <w:trPr>
          <w:trHeight w:val="120" w:hRule="atLeast"/>
        </w:trPr>
        <w:tc>
          <w:tcPr>
            <w:tcW w:w="3410" w:type="dxa"/>
            <w:tcBorders/>
            <w:shd w:fill="auto" w:val="clear"/>
            <w:vAlign w:val="center"/>
          </w:tcPr>
          <w:p>
            <w:pPr>
              <w:pStyle w:val="TableContents"/>
              <w:spacing w:before="0" w:after="283"/>
              <w:rPr>
                <w:sz w:val="4"/>
                <w:szCs w:val="4"/>
              </w:rPr>
            </w:pPr>
            <w:r>
              <w:rPr>
                <w:sz w:val="4"/>
                <w:szCs w:val="4"/>
              </w:rPr>
            </w:r>
          </w:p>
        </w:tc>
        <w:tc>
          <w:tcPr>
            <w:tcW w:w="3656" w:type="dxa"/>
            <w:gridSpan w:val="2"/>
            <w:tcBorders/>
            <w:shd w:fill="auto" w:val="clear"/>
            <w:vAlign w:val="center"/>
          </w:tcPr>
          <w:p>
            <w:pPr>
              <w:pStyle w:val="TableContents"/>
              <w:spacing w:before="0" w:after="283"/>
              <w:rPr>
                <w:sz w:val="4"/>
                <w:szCs w:val="4"/>
              </w:rPr>
            </w:pPr>
            <w:r>
              <w:rPr>
                <w:sz w:val="4"/>
                <w:szCs w:val="4"/>
              </w:rPr>
            </w:r>
          </w:p>
        </w:tc>
        <w:tc>
          <w:tcPr>
            <w:tcW w:w="3139" w:type="dxa"/>
            <w:gridSpan w:val="2"/>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tcPr>
          <w:p>
            <w:pPr>
              <w:pStyle w:val="TableContents"/>
              <w:spacing w:before="0" w:after="0"/>
              <w:rPr>
                <w:rFonts w:ascii="ARIAL" w:hAnsi="ARIAL"/>
                <w:sz w:val="20"/>
              </w:rPr>
            </w:pPr>
            <w:r>
              <w:rPr>
                <w:rFonts w:ascii="ARIAL" w:hAnsi="ARIAL"/>
                <w:sz w:val="20"/>
              </w:rPr>
              <w:t>Shareholder Suits</w:t>
            </w:r>
          </w:p>
        </w:tc>
        <w:tc>
          <w:tcPr>
            <w:tcW w:w="306" w:type="dxa"/>
            <w:tcBorders/>
            <w:shd w:fill="auto" w:val="clear"/>
            <w:vAlign w:val="bottom"/>
          </w:tcPr>
          <w:p>
            <w:pPr>
              <w:pStyle w:val="TableContents"/>
              <w:spacing w:before="0" w:after="283"/>
              <w:rPr/>
            </w:pPr>
            <w:r>
              <w:rPr/>
              <w:t>  </w:t>
            </w:r>
          </w:p>
        </w:tc>
        <w:tc>
          <w:tcPr>
            <w:tcW w:w="3350" w:type="dxa"/>
            <w:tcBorders/>
            <w:shd w:fill="auto" w:val="clear"/>
          </w:tcPr>
          <w:p>
            <w:pPr>
              <w:pStyle w:val="TableContents"/>
              <w:spacing w:before="0" w:after="283"/>
              <w:rPr/>
            </w:pPr>
            <w:r>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w:t>
            </w:r>
          </w:p>
        </w:tc>
        <w:tc>
          <w:tcPr>
            <w:tcW w:w="120" w:type="dxa"/>
            <w:tcBorders/>
            <w:shd w:fill="auto" w:val="clear"/>
            <w:vAlign w:val="bottom"/>
          </w:tcPr>
          <w:p>
            <w:pPr>
              <w:pStyle w:val="TableContents"/>
              <w:spacing w:before="0" w:after="283"/>
              <w:rPr/>
            </w:pPr>
            <w:r>
              <w:rPr/>
              <w:t>  </w:t>
            </w:r>
          </w:p>
        </w:tc>
        <w:tc>
          <w:tcPr>
            <w:tcW w:w="3019" w:type="dxa"/>
            <w:tcBorders/>
            <w:shd w:fill="auto" w:val="clear"/>
          </w:tcPr>
          <w:p>
            <w:pPr>
              <w:pStyle w:val="TableContents"/>
              <w:spacing w:before="0" w:after="0"/>
              <w:rPr>
                <w:rFonts w:ascii="ARIAL" w:hAnsi="ARIAL"/>
                <w:sz w:val="20"/>
              </w:rPr>
            </w:pPr>
            <w:r>
              <w:rPr>
                <w:rFonts w:ascii="ARIAL" w:hAnsi="ARIAL"/>
                <w:sz w:val="20"/>
              </w:rPr>
              <w:t>Under Delaware law, a stockholder may initiate a derivative action to enforce a right of a corporation if the corporation fails to enforce the right itself. The complaint must:</w:t>
            </w:r>
          </w:p>
          <w:p>
            <w:pPr>
              <w:pStyle w:val="TableContents"/>
              <w:spacing w:before="0" w:after="0"/>
              <w:rPr/>
            </w:pPr>
            <w:r>
              <w:rPr/>
              <w:t> </w:t>
            </w:r>
          </w:p>
          <w:p>
            <w:pPr>
              <w:pStyle w:val="TableContents"/>
              <w:spacing w:before="0" w:after="20"/>
              <w:rPr/>
            </w:pPr>
            <w:r>
              <w:rPr/>
              <w:t>∎   </w:t>
            </w:r>
            <w:r>
              <w:rPr>
                <w:rFonts w:ascii="ARIAL" w:hAnsi="ARIAL"/>
                <w:sz w:val="20"/>
              </w:rPr>
              <w:t>state that the plaintiff was a stockholder at the time of the transaction of which the plaintiff complains or that the plaintiffs shares thereafter devolved on the plaintiff by operation of law; and</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333"/>
        <w:gridCol w:w="316"/>
        <w:gridCol w:w="3363"/>
        <w:gridCol w:w="120"/>
        <w:gridCol w:w="3073"/>
      </w:tblGrid>
      <w:tr>
        <w:trPr/>
        <w:tc>
          <w:tcPr>
            <w:tcW w:w="33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336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73" w:type="dxa"/>
            <w:tcBorders/>
            <w:shd w:fill="auto" w:val="clear"/>
            <w:vAlign w:val="center"/>
          </w:tcPr>
          <w:p>
            <w:pPr>
              <w:pStyle w:val="TableContents"/>
              <w:spacing w:before="0" w:after="283"/>
              <w:rPr>
                <w:sz w:val="4"/>
                <w:szCs w:val="4"/>
              </w:rPr>
            </w:pPr>
            <w:r>
              <w:rPr>
                <w:sz w:val="4"/>
                <w:szCs w:val="4"/>
              </w:rPr>
            </w:r>
          </w:p>
        </w:tc>
      </w:tr>
      <w:tr>
        <w:trPr/>
        <w:tc>
          <w:tcPr>
            <w:tcW w:w="3333"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3363"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England and Wales</w:t>
            </w:r>
          </w:p>
        </w:tc>
        <w:tc>
          <w:tcPr>
            <w:tcW w:w="120" w:type="dxa"/>
            <w:tcBorders/>
            <w:shd w:fill="auto" w:val="clear"/>
            <w:vAlign w:val="bottom"/>
          </w:tcPr>
          <w:p>
            <w:pPr>
              <w:pStyle w:val="TableContents"/>
              <w:spacing w:before="0" w:after="283"/>
              <w:rPr/>
            </w:pPr>
            <w:r>
              <w:rPr/>
              <w:t>  </w:t>
            </w:r>
          </w:p>
        </w:tc>
        <w:tc>
          <w:tcPr>
            <w:tcW w:w="3073"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Delaware</w:t>
            </w:r>
          </w:p>
        </w:tc>
      </w:tr>
      <w:tr>
        <w:trPr/>
        <w:tc>
          <w:tcPr>
            <w:tcW w:w="3333" w:type="dxa"/>
            <w:tcBorders/>
            <w:shd w:fill="auto" w:val="clea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3363" w:type="dxa"/>
            <w:tcBorders/>
            <w:shd w:fill="auto" w:val="clear"/>
          </w:tcPr>
          <w:p>
            <w:pPr>
              <w:pStyle w:val="TableContents"/>
              <w:spacing w:before="0" w:after="0"/>
              <w:rPr>
                <w:rFonts w:ascii="ARIAL" w:hAnsi="ARIAL"/>
                <w:sz w:val="20"/>
              </w:rPr>
            </w:pPr>
            <w:r>
              <w:rPr>
                <w:rFonts w:ascii="ARIAL" w:hAnsi="ARIAL"/>
                <w:sz w:val="20"/>
              </w:rPr>
              <w:t>arising from a directors negligence, default, breach of duty or breach of trust and (2) a shareholder may bring a claim for a court order on the ground that the companys affairs have been or are being conducted in a manner that is unfairly prejudicial</w:t>
            </w:r>
          </w:p>
          <w:p>
            <w:pPr>
              <w:pStyle w:val="TableContents"/>
              <w:spacing w:before="0" w:after="0"/>
              <w:rPr>
                <w:rFonts w:ascii="ARIAL" w:hAnsi="ARIAL"/>
                <w:sz w:val="20"/>
              </w:rPr>
            </w:pPr>
            <w:r>
              <w:rPr>
                <w:rFonts w:ascii="ARIAL" w:hAnsi="ARIAL"/>
                <w:sz w:val="20"/>
              </w:rPr>
              <w:t>to the interests of its shareholders generally or of some of its shareholders, or that an actual or proposed act or omission of the company is or would be so prejudicial.</w:t>
            </w:r>
          </w:p>
          <w:p>
            <w:pPr>
              <w:pStyle w:val="TableContents"/>
              <w:spacing w:before="0" w:after="0"/>
              <w:rPr/>
            </w:pPr>
            <w:r>
              <w:rPr/>
              <w:t> </w:t>
            </w:r>
          </w:p>
          <w:p>
            <w:pPr>
              <w:pStyle w:val="TableContents"/>
              <w:spacing w:before="0" w:after="20"/>
              <w:rPr>
                <w:rFonts w:ascii="ARIAL" w:hAnsi="ARIAL"/>
                <w:sz w:val="20"/>
              </w:rPr>
            </w:pPr>
            <w:r>
              <w:rPr>
                <w:rFonts w:ascii="ARIAL" w:hAnsi="ARIAL"/>
                <w:sz w:val="20"/>
              </w:rPr>
              <w:t>The U.K. Limitation Act 1980 imposes a limitation period, with certain exceptions, in respect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tc>
        <w:tc>
          <w:tcPr>
            <w:tcW w:w="120" w:type="dxa"/>
            <w:tcBorders/>
            <w:shd w:fill="auto" w:val="clear"/>
            <w:vAlign w:val="bottom"/>
          </w:tcPr>
          <w:p>
            <w:pPr>
              <w:pStyle w:val="TableContents"/>
              <w:spacing w:before="0" w:after="283"/>
              <w:rPr/>
            </w:pPr>
            <w:r>
              <w:rPr/>
              <w:t>  </w:t>
            </w:r>
          </w:p>
        </w:tc>
        <w:tc>
          <w:tcPr>
            <w:tcW w:w="3073" w:type="dxa"/>
            <w:tcBorders/>
            <w:shd w:fill="auto" w:val="clear"/>
          </w:tcPr>
          <w:p>
            <w:pPr>
              <w:pStyle w:val="TableContents"/>
              <w:spacing w:before="0" w:after="0"/>
              <w:rPr/>
            </w:pPr>
            <w:r>
              <w:rPr/>
              <w:t> </w:t>
            </w:r>
          </w:p>
          <w:p>
            <w:pPr>
              <w:pStyle w:val="TableContents"/>
              <w:spacing w:before="0" w:after="0"/>
              <w:rPr/>
            </w:pPr>
            <w:r>
              <w:rPr/>
              <w:t>∎   </w:t>
            </w:r>
            <w:r>
              <w:rPr>
                <w:rFonts w:ascii="ARIAL" w:hAnsi="ARIAL"/>
                <w:sz w:val="20"/>
              </w:rPr>
              <w:t>allege with particularity the efforts made by the plaintiff to obtain the action the plaintiff desires from the directors and the reasons for the plaintiffs failure to obtain the action; or</w:t>
            </w:r>
          </w:p>
          <w:p>
            <w:pPr>
              <w:pStyle w:val="TableContents"/>
              <w:spacing w:before="0" w:after="0"/>
              <w:rPr/>
            </w:pPr>
            <w:r>
              <w:rPr/>
              <w:t> </w:t>
            </w:r>
          </w:p>
          <w:p>
            <w:pPr>
              <w:pStyle w:val="TableContents"/>
              <w:spacing w:before="0" w:after="0"/>
              <w:rPr/>
            </w:pPr>
            <w:r>
              <w:rPr/>
              <w:t>∎   </w:t>
            </w:r>
            <w:r>
              <w:rPr>
                <w:rFonts w:ascii="ARIAL" w:hAnsi="ARIAL"/>
                <w:sz w:val="20"/>
              </w:rPr>
              <w:t>state the reasons for not making the effort.</w:t>
            </w:r>
          </w:p>
          <w:p>
            <w:pPr>
              <w:pStyle w:val="TableContents"/>
              <w:spacing w:before="0" w:after="0"/>
              <w:rPr/>
            </w:pPr>
            <w:r>
              <w:rPr/>
              <w:t> </w:t>
            </w:r>
          </w:p>
          <w:p>
            <w:pPr>
              <w:pStyle w:val="TableContents"/>
              <w:spacing w:before="0" w:after="20"/>
              <w:rPr>
                <w:rFonts w:ascii="ARIAL" w:hAnsi="ARIAL"/>
                <w:sz w:val="20"/>
              </w:rPr>
            </w:pPr>
            <w:r>
              <w:rPr>
                <w:rFonts w:ascii="ARIAL" w:hAnsi="ARIAL"/>
                <w:sz w:val="20"/>
              </w:rPr>
              <w:t>Additionally, the plaintiff must remain a stockholder through the duration of the derivative suit. The action will not be dismissed or compromised without the approval of the Delaware Court of Chancery.</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0" w:name="toc159178_8"/>
      <w:bookmarkEnd w:id="10"/>
      <w:r>
        <w:rPr>
          <w:rFonts w:ascii="ARIAL" w:hAnsi="ARIAL"/>
          <w:b/>
          <w:sz w:val="20"/>
        </w:rPr>
        <w:t xml:space="preserve">DESCRIPTION OF AMERICAN DEPOSITARY SHARES </w:t>
      </w:r>
    </w:p>
    <w:p>
      <w:pPr>
        <w:pStyle w:val="TextBody"/>
        <w:spacing w:before="240" w:after="0"/>
        <w:jc w:val="left"/>
        <w:rPr>
          <w:rFonts w:ascii="ARIAL" w:hAnsi="ARIAL"/>
          <w:b/>
          <w:sz w:val="20"/>
        </w:rPr>
      </w:pPr>
      <w:r>
        <w:rPr>
          <w:rFonts w:ascii="ARIAL" w:hAnsi="ARIAL"/>
          <w:b/>
          <w:sz w:val="20"/>
        </w:rPr>
        <w:t xml:space="preserve">American Depositary Shares </w:t>
      </w:r>
    </w:p>
    <w:p>
      <w:pPr>
        <w:pStyle w:val="TextBody"/>
        <w:spacing w:before="120" w:after="0"/>
        <w:jc w:val="left"/>
        <w:rPr>
          <w:rFonts w:ascii="ARIAL" w:hAnsi="ARIAL"/>
          <w:sz w:val="20"/>
        </w:rPr>
      </w:pPr>
      <w:r>
        <w:rPr>
          <w:rFonts w:ascii="ARIAL" w:hAnsi="ARIAL"/>
          <w:sz w:val="20"/>
        </w:rPr>
        <w:t xml:space="preserve">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 </w:t>
      </w:r>
    </w:p>
    <w:p>
      <w:pPr>
        <w:pStyle w:val="TextBody"/>
        <w:spacing w:before="240" w:after="0"/>
        <w:jc w:val="left"/>
        <w:rPr>
          <w:rFonts w:ascii="ARIAL" w:hAnsi="ARIAL"/>
          <w:sz w:val="20"/>
        </w:rPr>
      </w:pPr>
      <w:r>
        <w:rPr>
          <w:rFonts w:ascii="ARIAL" w:hAnsi="ARIAL"/>
          <w:sz w:val="20"/>
        </w:rPr>
        <w:t xml:space="preserve">We have appointed Citibank as depositary pursuant to a deposit agreement. A copy of the form of the deposit agreement will be on file with the SEC under cover of a registration statement on Form F-6 to be filed on the date of prospectus or as soon as practicable thereafter. A copy of the deposit agreement is available from the SECs website (www.sec.gov). Please refer to registration number 333-223890 or 333-249338 when retrieving such copy. Holder means the person or persons in whose name an ADS is registered on the register maintained by the depository for such purpose. </w:t>
      </w:r>
    </w:p>
    <w:p>
      <w:pPr>
        <w:pStyle w:val="TextBody"/>
        <w:spacing w:before="240" w:after="0"/>
        <w:jc w:val="left"/>
        <w:rPr>
          <w:rFonts w:ascii="ARIAL" w:hAnsi="ARIAL"/>
          <w:sz w:val="20"/>
        </w:rPr>
      </w:pPr>
      <w:r>
        <w:rPr>
          <w:rFonts w:ascii="ARIAL" w:hAnsi="ARIAL"/>
          <w:sz w:val="20"/>
        </w:rPr>
        <w:t xml:space="preserve">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 </w:t>
      </w:r>
    </w:p>
    <w:p>
      <w:pPr>
        <w:pStyle w:val="TextBody"/>
        <w:spacing w:before="240" w:after="0"/>
        <w:jc w:val="left"/>
        <w:rPr>
          <w:rFonts w:ascii="ARIAL" w:hAnsi="ARIAL"/>
          <w:sz w:val="20"/>
        </w:rPr>
      </w:pPr>
      <w:r>
        <w:rPr>
          <w:rFonts w:ascii="ARIAL" w:hAnsi="ARIAL"/>
          <w:sz w:val="20"/>
        </w:rPr>
        <w:t xml:space="preserve">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spacing w:before="240" w:after="0"/>
        <w:jc w:val="left"/>
        <w:rPr>
          <w:rFonts w:ascii="ARIAL" w:hAnsi="ARIAL"/>
          <w:sz w:val="20"/>
        </w:rPr>
      </w:pPr>
      <w:r>
        <w:rPr>
          <w:rFonts w:ascii="ARIAL" w:hAnsi="ARIAL"/>
          <w:sz w:val="20"/>
        </w:rPr>
        <w:t xml:space="preserve">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 </w:t>
      </w:r>
    </w:p>
    <w:p>
      <w:pPr>
        <w:pStyle w:val="TextBody"/>
        <w:spacing w:before="240" w:after="0"/>
        <w:jc w:val="left"/>
        <w:rPr>
          <w:rFonts w:ascii="ARIAL" w:hAnsi="ARIAL"/>
          <w:sz w:val="20"/>
        </w:rPr>
      </w:pPr>
      <w:r>
        <w:rPr>
          <w:rFonts w:ascii="ARIAL" w:hAnsi="ARIAL"/>
          <w:sz w:val="20"/>
        </w:rPr>
        <w:t xml:space="preserve">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spacing w:before="240" w:after="0"/>
        <w:jc w:val="left"/>
        <w:rPr>
          <w:rFonts w:ascii="ARIAL" w:hAnsi="ARIAL"/>
          <w:sz w:val="20"/>
        </w:rPr>
      </w:pPr>
      <w:r>
        <w:rPr>
          <w:rFonts w:ascii="ARIAL" w:hAnsi="ARIAL"/>
          <w:sz w:val="20"/>
        </w:rPr>
        <w:t xml:space="preserve">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t>
      </w:r>
    </w:p>
    <w:p>
      <w:pPr>
        <w:pStyle w:val="TextBody"/>
        <w:spacing w:before="240" w:after="0"/>
        <w:jc w:val="left"/>
        <w:rPr>
          <w:rFonts w:ascii="ARIAL" w:hAnsi="ARIAL"/>
          <w:sz w:val="20"/>
        </w:rPr>
      </w:pPr>
      <w:r>
        <w:rPr>
          <w:rFonts w:ascii="ARIAL" w:hAnsi="ARIAL"/>
          <w:sz w:val="20"/>
        </w:rPr>
        <w:t xml:space="preserve">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 </w:t>
      </w:r>
    </w:p>
    <w:p>
      <w:pPr>
        <w:pStyle w:val="TextBody"/>
        <w:spacing w:before="240" w:after="0"/>
        <w:jc w:val="left"/>
        <w:rPr>
          <w:rFonts w:ascii="ARIAL" w:hAnsi="ARIAL"/>
          <w:b/>
          <w:sz w:val="20"/>
        </w:rPr>
      </w:pPr>
      <w:r>
        <w:rPr>
          <w:rFonts w:ascii="ARIAL" w:hAnsi="ARIAL"/>
          <w:b/>
          <w:sz w:val="20"/>
        </w:rPr>
        <w:t xml:space="preserve">Dividends and Other Distributions </w:t>
      </w:r>
    </w:p>
    <w:p>
      <w:pPr>
        <w:pStyle w:val="TextBody"/>
        <w:spacing w:before="120" w:after="0"/>
        <w:jc w:val="left"/>
        <w:rPr>
          <w:rFonts w:ascii="ARIAL" w:hAnsi="ARIAL"/>
          <w:sz w:val="20"/>
        </w:rPr>
      </w:pPr>
      <w:r>
        <w:rPr>
          <w:rFonts w:ascii="ARIAL" w:hAnsi="ARIAL"/>
          <w:sz w:val="20"/>
        </w:rPr>
        <w:t xml:space="preserve">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 </w:t>
      </w:r>
    </w:p>
    <w:p>
      <w:pPr>
        <w:pStyle w:val="TextBody"/>
        <w:spacing w:before="240" w:after="0"/>
        <w:jc w:val="left"/>
        <w:rPr>
          <w:rFonts w:ascii="ARIAL" w:hAnsi="ARIAL"/>
          <w:b/>
          <w:i/>
          <w:sz w:val="20"/>
        </w:rPr>
      </w:pPr>
      <w:r>
        <w:rPr>
          <w:rFonts w:ascii="ARIAL" w:hAnsi="ARIAL"/>
          <w:b/>
          <w:i/>
          <w:sz w:val="20"/>
        </w:rPr>
        <w:t xml:space="preserve">Distributions of Cash </w:t>
      </w:r>
    </w:p>
    <w:p>
      <w:pPr>
        <w:pStyle w:val="TextBody"/>
        <w:spacing w:before="120" w:after="0"/>
        <w:jc w:val="left"/>
        <w:rPr>
          <w:rFonts w:ascii="ARIAL" w:hAnsi="ARIAL"/>
          <w:sz w:val="20"/>
        </w:rPr>
      </w:pPr>
      <w:r>
        <w:rPr>
          <w:rFonts w:ascii="ARIAL" w:hAnsi="ARIAL"/>
          <w:sz w:val="20"/>
        </w:rPr>
        <w:t xml:space="preserve">Whenever we make a cash distribution for the securities on deposit with the custodian, we will deposit the funds with the custodian. Upon receipt of confirmation of the deposit of the requisite funds,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depositary will arrange for the funds received in a currency other than U.S. dollars to be converted into U.S. dollars and for the distribution of the U.S. dollars to the holders, subject to the laws and regulations of England and Wales. </w:t>
      </w:r>
    </w:p>
    <w:p>
      <w:pPr>
        <w:pStyle w:val="TextBody"/>
        <w:spacing w:before="240" w:after="0"/>
        <w:jc w:val="left"/>
        <w:rPr>
          <w:rFonts w:ascii="ARIAL" w:hAnsi="ARIAL"/>
          <w:sz w:val="20"/>
        </w:rPr>
      </w:pPr>
      <w:r>
        <w:rPr>
          <w:rFonts w:ascii="ARIAL" w:hAnsi="ARIAL"/>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spacing w:before="240" w:after="0"/>
        <w:jc w:val="left"/>
        <w:rPr>
          <w:rFonts w:ascii="ARIAL" w:hAnsi="ARIAL"/>
          <w:sz w:val="20"/>
        </w:rPr>
      </w:pPr>
      <w:r>
        <w:rPr>
          <w:rFonts w:ascii="ARIAL" w:hAnsi="ARIAL"/>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spacing w:before="240" w:after="0"/>
        <w:jc w:val="left"/>
        <w:rPr>
          <w:rFonts w:ascii="ARIAL" w:hAnsi="ARIAL"/>
          <w:b/>
          <w:i/>
          <w:sz w:val="20"/>
        </w:rPr>
      </w:pPr>
      <w:r>
        <w:rPr>
          <w:rFonts w:ascii="ARIAL" w:hAnsi="ARIAL"/>
          <w:b/>
          <w:i/>
          <w:sz w:val="20"/>
        </w:rPr>
        <w:t xml:space="preserve">Distributions of Shares </w:t>
      </w:r>
    </w:p>
    <w:p>
      <w:pPr>
        <w:pStyle w:val="TextBody"/>
        <w:spacing w:before="120" w:after="0"/>
        <w:jc w:val="left"/>
        <w:rPr>
          <w:rFonts w:ascii="ARIAL" w:hAnsi="ARIAL"/>
          <w:sz w:val="20"/>
        </w:rPr>
      </w:pPr>
      <w:r>
        <w:rPr>
          <w:rFonts w:ascii="ARIAL" w:hAnsi="ARIAL"/>
          <w:sz w:val="20"/>
        </w:rPr>
        <w:t xml:space="preserve">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 </w:t>
      </w:r>
    </w:p>
    <w:p>
      <w:pPr>
        <w:pStyle w:val="TextBody"/>
        <w:spacing w:before="240" w:after="0"/>
        <w:jc w:val="left"/>
        <w:rPr>
          <w:rFonts w:ascii="ARIAL" w:hAnsi="ARIAL"/>
          <w:sz w:val="20"/>
        </w:rPr>
      </w:pPr>
      <w:r>
        <w:rPr>
          <w:rFonts w:ascii="ARIAL" w:hAnsi="ARIAL"/>
          <w:sz w:val="20"/>
        </w:rPr>
        <w:t xml:space="preserve">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 </w:t>
      </w:r>
    </w:p>
    <w:p>
      <w:pPr>
        <w:pStyle w:val="TextBody"/>
        <w:spacing w:before="240" w:after="0"/>
        <w:jc w:val="left"/>
        <w:rPr>
          <w:rFonts w:ascii="ARIAL" w:hAnsi="ARIAL"/>
          <w:sz w:val="20"/>
        </w:rPr>
      </w:pPr>
      <w:r>
        <w:rPr>
          <w:rFonts w:ascii="ARIAL" w:hAnsi="ARIAL"/>
          <w:sz w:val="20"/>
        </w:rPr>
        <w:t xml:space="preserve">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 </w:t>
      </w:r>
    </w:p>
    <w:p>
      <w:pPr>
        <w:pStyle w:val="TextBody"/>
        <w:spacing w:before="240" w:after="0"/>
        <w:jc w:val="left"/>
        <w:rPr>
          <w:rFonts w:ascii="ARIAL" w:hAnsi="ARIAL"/>
          <w:b/>
          <w:i/>
          <w:sz w:val="20"/>
        </w:rPr>
      </w:pPr>
      <w:r>
        <w:rPr>
          <w:rFonts w:ascii="ARIAL" w:hAnsi="ARIAL"/>
          <w:b/>
          <w:i/>
          <w:sz w:val="20"/>
        </w:rPr>
        <w:t xml:space="preserve">Distributions of Rights </w:t>
      </w:r>
    </w:p>
    <w:p>
      <w:pPr>
        <w:pStyle w:val="TextBody"/>
        <w:spacing w:before="120" w:after="0"/>
        <w:jc w:val="left"/>
        <w:rPr>
          <w:rFonts w:ascii="ARIAL" w:hAnsi="ARIAL"/>
          <w:sz w:val="20"/>
        </w:rPr>
      </w:pPr>
      <w:r>
        <w:rPr>
          <w:rFonts w:ascii="ARIAL" w:hAnsi="ARIAL"/>
          <w:sz w:val="20"/>
        </w:rPr>
        <w:t xml:space="preserve">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 </w:t>
      </w:r>
    </w:p>
    <w:p>
      <w:pPr>
        <w:pStyle w:val="TextBody"/>
        <w:spacing w:before="240" w:after="0"/>
        <w:jc w:val="left"/>
        <w:rPr>
          <w:rFonts w:ascii="ARIAL" w:hAnsi="ARIAL"/>
          <w:sz w:val="20"/>
        </w:rPr>
      </w:pPr>
      <w:r>
        <w:rPr>
          <w:rFonts w:ascii="ARIAL" w:hAnsi="ARIAL"/>
          <w:sz w:val="20"/>
        </w:rPr>
        <w:t xml:space="preserve">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depositary will </w:t>
      </w:r>
      <w:r>
        <w:rPr>
          <w:rFonts w:ascii="ARIAL" w:hAnsi="ARIAL"/>
          <w:i/>
          <w:sz w:val="20"/>
        </w:rPr>
        <w:t>not</w:t>
      </w:r>
      <w:r>
        <w:rPr>
          <w:rFonts w:ascii="ARIAL" w:hAnsi="ARIAL"/>
          <w:sz w:val="20"/>
        </w:rPr>
        <w:t xml:space="preserve"> distribute the rights to a Holder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we do not timely request that the rights be distributed to such Holder or we request that the rights not be distributed to such Holder;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we fail to deliver satisfactory documents to the depositary;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it is not reasonably practicable to distribute the rights. 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 </w:t>
            </w:r>
          </w:p>
        </w:tc>
      </w:tr>
    </w:tbl>
    <w:p>
      <w:pPr>
        <w:pStyle w:val="TextBody"/>
        <w:spacing w:before="240" w:after="0"/>
        <w:jc w:val="left"/>
        <w:rPr>
          <w:rFonts w:ascii="ARIAL" w:hAnsi="ARIAL"/>
          <w:b/>
          <w:i/>
          <w:sz w:val="20"/>
        </w:rPr>
      </w:pPr>
      <w:r>
        <w:rPr>
          <w:rFonts w:ascii="ARIAL" w:hAnsi="ARIAL"/>
          <w:b/>
          <w:i/>
          <w:sz w:val="20"/>
        </w:rPr>
        <w:t xml:space="preserve">Elective Distributions </w:t>
      </w:r>
    </w:p>
    <w:p>
      <w:pPr>
        <w:pStyle w:val="TextBody"/>
        <w:spacing w:before="120" w:after="0"/>
        <w:jc w:val="left"/>
        <w:rPr>
          <w:rFonts w:ascii="ARIAL" w:hAnsi="ARIAL"/>
          <w:sz w:val="20"/>
        </w:rPr>
      </w:pPr>
      <w:r>
        <w:rPr>
          <w:rFonts w:ascii="ARIAL" w:hAnsi="ARIAL"/>
          <w:sz w:val="20"/>
        </w:rPr>
        <w:t xml:space="preserve">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 </w:t>
      </w:r>
    </w:p>
    <w:p>
      <w:pPr>
        <w:pStyle w:val="TextBody"/>
        <w:spacing w:before="240" w:after="0"/>
        <w:jc w:val="left"/>
        <w:rPr>
          <w:rFonts w:ascii="ARIAL" w:hAnsi="ARIAL"/>
          <w:sz w:val="20"/>
        </w:rPr>
      </w:pPr>
      <w:r>
        <w:rPr>
          <w:rFonts w:ascii="ARIAL" w:hAnsi="ARIAL"/>
          <w:sz w:val="20"/>
        </w:rPr>
        <w:t xml:space="preserve">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 </w:t>
      </w:r>
    </w:p>
    <w:p>
      <w:pPr>
        <w:pStyle w:val="TextBody"/>
        <w:spacing w:before="240" w:after="0"/>
        <w:jc w:val="left"/>
        <w:rPr>
          <w:rFonts w:ascii="ARIAL" w:hAnsi="ARIAL"/>
          <w:sz w:val="20"/>
        </w:rPr>
      </w:pPr>
      <w:r>
        <w:rPr>
          <w:rFonts w:ascii="ARIAL" w:hAnsi="ARIAL"/>
          <w:sz w:val="20"/>
        </w:rPr>
        <w:t xml:space="preserve">If the election is not made available to a Holder, such Holder will receive either cash or additional ADSs, depending on what a shareholder in England and Wales would receive upon failing to make an election, as more fully described in the deposit agreement. </w:t>
      </w:r>
    </w:p>
    <w:p>
      <w:pPr>
        <w:pStyle w:val="TextBody"/>
        <w:spacing w:before="240" w:after="0"/>
        <w:jc w:val="left"/>
        <w:rPr>
          <w:rFonts w:ascii="ARIAL" w:hAnsi="ARIAL"/>
          <w:b/>
          <w:i/>
          <w:sz w:val="20"/>
        </w:rPr>
      </w:pPr>
      <w:r>
        <w:rPr>
          <w:rFonts w:ascii="ARIAL" w:hAnsi="ARIAL"/>
          <w:b/>
          <w:i/>
          <w:sz w:val="20"/>
        </w:rPr>
        <w:t xml:space="preserve">Other Distributions </w:t>
      </w:r>
    </w:p>
    <w:p>
      <w:pPr>
        <w:pStyle w:val="TextBody"/>
        <w:spacing w:before="120" w:after="0"/>
        <w:jc w:val="left"/>
        <w:rPr>
          <w:rFonts w:ascii="ARIAL" w:hAnsi="ARIAL"/>
          <w:sz w:val="20"/>
        </w:rPr>
      </w:pPr>
      <w:r>
        <w:rPr>
          <w:rFonts w:ascii="ARIAL" w:hAnsi="ARIAL"/>
          <w:sz w:val="20"/>
        </w:rPr>
        <w:t xml:space="preserve">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 </w:t>
      </w:r>
    </w:p>
    <w:p>
      <w:pPr>
        <w:pStyle w:val="TextBody"/>
        <w:spacing w:before="240" w:after="0"/>
        <w:jc w:val="left"/>
        <w:rPr>
          <w:rFonts w:ascii="ARIAL" w:hAnsi="ARIAL"/>
          <w:sz w:val="20"/>
        </w:rPr>
      </w:pPr>
      <w:r>
        <w:rPr>
          <w:rFonts w:ascii="ARIAL" w:hAnsi="ARIAL"/>
          <w:sz w:val="20"/>
        </w:rPr>
        <w:t xml:space="preserve">If it is reasonably practicable to distribute such property to a Holder and if we provide to the depositary all of the documentation contemplated in the deposit agreement, the depositary will distribute the property to the holders in a manner it deems practicable. </w:t>
      </w:r>
    </w:p>
    <w:p>
      <w:pPr>
        <w:pStyle w:val="TextBody"/>
        <w:spacing w:before="240" w:after="0"/>
        <w:jc w:val="left"/>
        <w:rPr>
          <w:rFonts w:ascii="ARIAL" w:hAnsi="ARIAL"/>
          <w:sz w:val="20"/>
        </w:rPr>
      </w:pPr>
      <w:r>
        <w:rPr>
          <w:rFonts w:ascii="ARIAL" w:hAnsi="ARIAL"/>
          <w:sz w:val="20"/>
        </w:rPr>
        <w:t xml:space="preserve">The distribution will be made net of fees, expenses, taxes, and governmental charges payable by holders under the terms of the deposit agreement. In order to pay such taxes and governmental charges, the depositary may sell all or a portion of the property received. </w:t>
      </w:r>
    </w:p>
    <w:p>
      <w:pPr>
        <w:pStyle w:val="TextBody"/>
        <w:spacing w:before="240" w:after="0"/>
        <w:jc w:val="left"/>
        <w:rPr>
          <w:rFonts w:ascii="ARIAL" w:hAnsi="ARIAL"/>
          <w:sz w:val="20"/>
        </w:rPr>
      </w:pPr>
      <w:r>
        <w:rPr>
          <w:rFonts w:ascii="ARIAL" w:hAnsi="ARIAL"/>
          <w:sz w:val="20"/>
        </w:rPr>
        <w:t xml:space="preserve">The depositary will not distribute the property to a Holder and will sell the property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we do not request that the property be distributed to such Holder or if we request that the property not be distributed to such Holder;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we do not deliver satisfactory documents to the depositary;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depositary determines that all or a portion of the distribution to such Holder is not reasonably practicable.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proceeds of such a sale will be distributed to holders as in the case of a cash distribution. </w:t>
            </w:r>
          </w:p>
        </w:tc>
      </w:tr>
    </w:tbl>
    <w:p>
      <w:pPr>
        <w:pStyle w:val="TextBody"/>
        <w:spacing w:before="240" w:after="0"/>
        <w:jc w:val="left"/>
        <w:rPr>
          <w:rFonts w:ascii="ARIAL" w:hAnsi="ARIAL"/>
          <w:b/>
          <w:i/>
          <w:sz w:val="20"/>
        </w:rPr>
      </w:pPr>
      <w:r>
        <w:rPr>
          <w:rFonts w:ascii="ARIAL" w:hAnsi="ARIAL"/>
          <w:b/>
          <w:i/>
          <w:sz w:val="20"/>
        </w:rPr>
        <w:t xml:space="preserve">Redemption </w:t>
      </w:r>
    </w:p>
    <w:p>
      <w:pPr>
        <w:pStyle w:val="TextBody"/>
        <w:spacing w:before="120" w:after="0"/>
        <w:jc w:val="left"/>
        <w:rPr>
          <w:rFonts w:ascii="ARIAL" w:hAnsi="ARIAL"/>
          <w:sz w:val="20"/>
        </w:rPr>
      </w:pPr>
      <w:r>
        <w:rPr>
          <w:rFonts w:ascii="ARIAL" w:hAnsi="ARIAL"/>
          <w:sz w:val="20"/>
        </w:rPr>
        <w:t xml:space="preserve">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hAnsi="ARIAL"/>
          <w:i/>
          <w:sz w:val="20"/>
        </w:rPr>
        <w:t xml:space="preserve">pro rata </w:t>
      </w:r>
      <w:r>
        <w:rPr>
          <w:rFonts w:ascii="ARIAL" w:hAnsi="ARIAL"/>
          <w:sz w:val="20"/>
        </w:rPr>
        <w:t xml:space="preserve">basis, as the depositary may determine. </w:t>
      </w:r>
    </w:p>
    <w:p>
      <w:pPr>
        <w:pStyle w:val="TextBody"/>
        <w:spacing w:before="240" w:after="0"/>
        <w:jc w:val="left"/>
        <w:rPr>
          <w:rFonts w:ascii="ARIAL" w:hAnsi="ARIAL"/>
          <w:b/>
          <w:sz w:val="20"/>
        </w:rPr>
      </w:pPr>
      <w:r>
        <w:rPr>
          <w:rFonts w:ascii="ARIAL" w:hAnsi="ARIAL"/>
          <w:b/>
          <w:sz w:val="20"/>
        </w:rPr>
        <w:t xml:space="preserve">Changes Affecting Ordinary Shares </w:t>
      </w:r>
    </w:p>
    <w:p>
      <w:pPr>
        <w:pStyle w:val="TextBody"/>
        <w:spacing w:before="120" w:after="0"/>
        <w:jc w:val="left"/>
        <w:rPr>
          <w:rFonts w:ascii="ARIAL" w:hAnsi="ARIAL"/>
          <w:sz w:val="20"/>
        </w:rPr>
      </w:pPr>
      <w:r>
        <w:rPr>
          <w:rFonts w:ascii="ARIAL" w:hAnsi="ARIAL"/>
          <w:sz w:val="20"/>
        </w:rPr>
        <w:t xml:space="preserve">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 </w:t>
      </w:r>
    </w:p>
    <w:p>
      <w:pPr>
        <w:pStyle w:val="TextBody"/>
        <w:spacing w:before="240" w:after="0"/>
        <w:jc w:val="left"/>
        <w:rPr>
          <w:rFonts w:ascii="ARIAL" w:hAnsi="ARIAL"/>
          <w:sz w:val="20"/>
        </w:rPr>
      </w:pPr>
      <w:r>
        <w:rPr>
          <w:rFonts w:ascii="ARIAL" w:hAnsi="ARIAL"/>
          <w:sz w:val="20"/>
        </w:rPr>
        <w:t xml:space="preserve">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 </w:t>
      </w:r>
    </w:p>
    <w:p>
      <w:pPr>
        <w:pStyle w:val="TextBody"/>
        <w:spacing w:before="240" w:after="0"/>
        <w:jc w:val="left"/>
        <w:rPr>
          <w:rFonts w:ascii="ARIAL" w:hAnsi="ARIAL"/>
          <w:b/>
          <w:sz w:val="20"/>
        </w:rPr>
      </w:pPr>
      <w:r>
        <w:rPr>
          <w:rFonts w:ascii="ARIAL" w:hAnsi="ARIAL"/>
          <w:b/>
          <w:sz w:val="20"/>
        </w:rPr>
        <w:t xml:space="preserve">Issuance of ADSs upon Deposit of Ordinary Shares </w:t>
      </w:r>
    </w:p>
    <w:p>
      <w:pPr>
        <w:pStyle w:val="TextBody"/>
        <w:spacing w:before="120" w:after="0"/>
        <w:jc w:val="left"/>
        <w:rPr>
          <w:rFonts w:ascii="ARIAL" w:hAnsi="ARIAL"/>
          <w:sz w:val="20"/>
        </w:rPr>
      </w:pPr>
      <w:r>
        <w:rPr>
          <w:rFonts w:ascii="ARIAL" w:hAnsi="ARIAL"/>
          <w:sz w:val="20"/>
        </w:rPr>
        <w:t xml:space="preserve">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 </w:t>
      </w:r>
    </w:p>
    <w:p>
      <w:pPr>
        <w:pStyle w:val="TextBody"/>
        <w:spacing w:before="240" w:after="0"/>
        <w:jc w:val="left"/>
        <w:rPr>
          <w:rFonts w:ascii="ARIAL" w:hAnsi="ARIAL"/>
          <w:sz w:val="20"/>
        </w:rPr>
      </w:pPr>
      <w:r>
        <w:rPr>
          <w:rFonts w:ascii="ARIAL" w:hAnsi="ARIAL"/>
          <w:sz w:val="20"/>
        </w:rPr>
        <w:t xml:space="preserve">The issuance of ADSs may be delayed until the depositary or the custodian receives confirmation that all required approvals have been given and that the ordinary shares have been duly transferred to the custodian. The depositary will only issue ADSs in whole numbers. </w:t>
      </w:r>
    </w:p>
    <w:p>
      <w:pPr>
        <w:pStyle w:val="TextBody"/>
        <w:spacing w:before="240" w:after="0"/>
        <w:jc w:val="left"/>
        <w:rPr>
          <w:rFonts w:ascii="ARIAL" w:hAnsi="ARIAL"/>
          <w:sz w:val="20"/>
        </w:rPr>
      </w:pPr>
      <w:r>
        <w:rPr>
          <w:rFonts w:ascii="ARIAL" w:hAnsi="ARIAL"/>
          <w:sz w:val="20"/>
        </w:rPr>
        <w:t xml:space="preserve">When a Holder makes a deposit of ordinary shares, such Holder will be responsible for transferring good and valid title to the depositary. As such, a Holder will be deemed to represent and warrant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the ordinary shares are duly authorized, validly allotted and issued, fully paid, not subject to any call for the payment of further capital, and legally obtained;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all pre-emptive (and similar) rights, if any, with respect to such ordinary shares have been validly waived, disapplied or exercised;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such Holder is duly authorized to deposit the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the ordinary shares presented for deposit are free and clear of any lien, encumbrance, security interest, charge, mortgage, or adverse claim, and are not, and the ADSs issuable upon such deposit will not be, Restricted Securities (as defined in the deposit agreement);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the ordinary shares presented for deposit have not been stripped of any rights or entitlements. </w:t>
            </w:r>
          </w:p>
        </w:tc>
      </w:tr>
    </w:tbl>
    <w:p>
      <w:pPr>
        <w:pStyle w:val="TextBody"/>
        <w:spacing w:before="240" w:after="0"/>
        <w:jc w:val="left"/>
        <w:rPr>
          <w:rFonts w:ascii="ARIAL" w:hAnsi="ARIAL"/>
          <w:sz w:val="20"/>
        </w:rPr>
      </w:pPr>
      <w:r>
        <w:rPr>
          <w:rFonts w:ascii="ARIAL" w:hAnsi="ARIAL"/>
          <w:sz w:val="20"/>
        </w:rPr>
        <w:t xml:space="preserve">If any of the representations or warranties is incorrect in any way, we and the depositary may, at such Holders cost and expense, take any and all actions necessary to correct the consequences of the misrepresentation.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Transfer, Combination and Split Up of ADRs </w:t>
      </w:r>
    </w:p>
    <w:p>
      <w:pPr>
        <w:pStyle w:val="TextBody"/>
        <w:spacing w:before="120" w:after="0"/>
        <w:jc w:val="left"/>
        <w:rPr>
          <w:rFonts w:ascii="ARIAL" w:hAnsi="ARIAL"/>
          <w:sz w:val="20"/>
        </w:rPr>
      </w:pPr>
      <w:r>
        <w:rPr>
          <w:rFonts w:ascii="ARIAL" w:hAnsi="ARIAL"/>
          <w:sz w:val="20"/>
        </w:rPr>
        <w:t xml:space="preserve">ADR holders will be entitled to transfer, combine, or split up such Holders ADRs and the ADSs evidenced thereby. For transfers of ADRs, a Holder will have to surrender the ADRs to be transferred to the depositary and also must: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ensure that the surrendered ADR is properly endorsed or otherwise in proper form for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provide such proof of identity and genuineness of signatures as the depositary deems appropriate;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provide any transfer stamps required by the State of New York or the United States;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pay all applicable fees, charges, expenses, taxes, and other government charges payable by ADR holders pursuant to the terms of the deposit agreement, upon the transfer of ADRs. </w:t>
            </w:r>
          </w:p>
        </w:tc>
      </w:tr>
    </w:tbl>
    <w:p>
      <w:pPr>
        <w:pStyle w:val="TextBody"/>
        <w:spacing w:before="240" w:after="0"/>
        <w:jc w:val="left"/>
        <w:rPr>
          <w:rFonts w:ascii="ARIAL" w:hAnsi="ARIAL"/>
          <w:sz w:val="20"/>
        </w:rPr>
      </w:pPr>
      <w:r>
        <w:rPr>
          <w:rFonts w:ascii="ARIAL" w:hAnsi="ARIAL"/>
          <w:sz w:val="20"/>
        </w:rPr>
        <w:t xml:space="preserve">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 </w:t>
      </w:r>
    </w:p>
    <w:p>
      <w:pPr>
        <w:pStyle w:val="TextBody"/>
        <w:spacing w:before="240" w:after="0"/>
        <w:jc w:val="left"/>
        <w:rPr>
          <w:rFonts w:ascii="ARIAL" w:hAnsi="ARIAL"/>
          <w:b/>
          <w:sz w:val="20"/>
        </w:rPr>
      </w:pPr>
      <w:r>
        <w:rPr>
          <w:rFonts w:ascii="ARIAL" w:hAnsi="ARIAL"/>
          <w:b/>
          <w:sz w:val="20"/>
        </w:rPr>
        <w:t xml:space="preserve">Withdrawal of Ordinary Shares Upon Cancellation of ADSs </w:t>
      </w:r>
    </w:p>
    <w:p>
      <w:pPr>
        <w:pStyle w:val="TextBody"/>
        <w:spacing w:before="120" w:after="0"/>
        <w:jc w:val="left"/>
        <w:rPr>
          <w:rFonts w:ascii="ARIAL" w:hAnsi="ARIAL"/>
          <w:sz w:val="20"/>
        </w:rPr>
      </w:pPr>
      <w:r>
        <w:rPr>
          <w:rFonts w:ascii="ARIAL" w:hAnsi="ARIAL"/>
          <w:sz w:val="20"/>
        </w:rPr>
        <w:t xml:space="preserve">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 </w:t>
      </w:r>
    </w:p>
    <w:p>
      <w:pPr>
        <w:pStyle w:val="TextBody"/>
        <w:spacing w:before="240" w:after="0"/>
        <w:jc w:val="left"/>
        <w:rPr>
          <w:rFonts w:ascii="ARIAL" w:hAnsi="ARIAL"/>
          <w:sz w:val="20"/>
        </w:rPr>
      </w:pPr>
      <w:r>
        <w:rPr>
          <w:rFonts w:ascii="ARIAL" w:hAnsi="ARIAL"/>
          <w:sz w:val="20"/>
        </w:rPr>
        <w:t xml:space="preserve">A Holder assumes the risk for delivery of all funds and securities upon withdrawal. Once canceled, the ADSs will not have any rights under the deposit agreement. </w:t>
      </w:r>
    </w:p>
    <w:p>
      <w:pPr>
        <w:pStyle w:val="TextBody"/>
        <w:spacing w:before="240" w:after="0"/>
        <w:jc w:val="left"/>
        <w:rPr>
          <w:rFonts w:ascii="ARIAL" w:hAnsi="ARIAL"/>
          <w:sz w:val="20"/>
        </w:rPr>
      </w:pPr>
      <w:r>
        <w:rPr>
          <w:rFonts w:ascii="ARIAL" w:hAnsi="ARIAL"/>
          <w:sz w:val="20"/>
        </w:rPr>
        <w:t xml:space="preserve">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spacing w:before="240" w:after="0"/>
        <w:jc w:val="left"/>
        <w:rPr>
          <w:rFonts w:ascii="ARIAL" w:hAnsi="ARIAL"/>
          <w:sz w:val="20"/>
        </w:rPr>
      </w:pPr>
      <w:r>
        <w:rPr>
          <w:rFonts w:ascii="ARIAL" w:hAnsi="ARIAL"/>
          <w:sz w:val="20"/>
        </w:rPr>
        <w:t xml:space="preserve">Holders will have the right to withdraw the securities represented by their ADSs at any time except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Temporary delays that may arise because (i) the transfer books for the ordinary shares or ADSs are closed, or (ii) ordinary shares are immobilized on account of a shareholders meeting or a payment of dividends.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Obligations to pay fees, taxes and similar charges.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Restrictions imposed because of laws or regulations applicable to ADSs or the withdrawal of securities on deposit. </w:t>
            </w:r>
          </w:p>
        </w:tc>
      </w:tr>
    </w:tbl>
    <w:p>
      <w:pPr>
        <w:pStyle w:val="TextBody"/>
        <w:spacing w:before="240" w:after="0"/>
        <w:jc w:val="left"/>
        <w:rPr>
          <w:rFonts w:ascii="ARIAL" w:hAnsi="ARIAL"/>
          <w:sz w:val="20"/>
        </w:rPr>
      </w:pPr>
      <w:r>
        <w:rPr>
          <w:rFonts w:ascii="ARIAL" w:hAnsi="ARIAL"/>
          <w:sz w:val="20"/>
        </w:rPr>
        <w:t xml:space="preserve">The deposit agreement may not be modified to impair a Holders right to withdraw the securities represented by such Holders ADSs except to comply with mandatory provisions of law.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Voting Rights </w:t>
      </w:r>
    </w:p>
    <w:p>
      <w:pPr>
        <w:pStyle w:val="TextBody"/>
        <w:spacing w:before="120" w:after="0"/>
        <w:jc w:val="left"/>
        <w:rPr>
          <w:rFonts w:ascii="ARIAL" w:hAnsi="ARIAL"/>
          <w:sz w:val="20"/>
        </w:rPr>
      </w:pPr>
      <w:r>
        <w:rPr>
          <w:rFonts w:ascii="ARIAL" w:hAnsi="ARIAL"/>
          <w:sz w:val="20"/>
        </w:rPr>
        <w:t xml:space="preserve">Holders generally have the right under the deposit agreement to instruct the depositary to exercise the voting rights for the ordinary shares represented by your ADSs. The voting rights of Holders of ordinary shares are described in Description of Share CapitalArticles of Association in this prospectus. </w:t>
      </w:r>
    </w:p>
    <w:p>
      <w:pPr>
        <w:pStyle w:val="TextBody"/>
        <w:spacing w:before="240" w:after="0"/>
        <w:jc w:val="left"/>
        <w:rPr>
          <w:rFonts w:ascii="ARIAL" w:hAnsi="ARIAL"/>
          <w:sz w:val="20"/>
        </w:rPr>
      </w:pPr>
      <w:r>
        <w:rPr>
          <w:rFonts w:ascii="ARIAL" w:hAnsi="ARIAL"/>
          <w:sz w:val="20"/>
        </w:rPr>
        <w:t xml:space="preserve">At our request, the depositary will distribute to Holders any notice of shareholders meeting received from us together with information explaining how to instruct the depositary to exercise the voting rights of the securities represented by ADSs. </w:t>
      </w:r>
    </w:p>
    <w:p>
      <w:pPr>
        <w:pStyle w:val="TextBody"/>
        <w:spacing w:before="240" w:after="0"/>
        <w:jc w:val="left"/>
        <w:rPr>
          <w:rFonts w:ascii="ARIAL" w:hAnsi="ARIAL"/>
          <w:sz w:val="20"/>
        </w:rPr>
      </w:pPr>
      <w:r>
        <w:rPr>
          <w:rFonts w:ascii="ARIAL" w:hAnsi="ARIAL"/>
          <w:sz w:val="20"/>
        </w:rPr>
        <w:t xml:space="preserve">If the depositary timely receives voting instructions from a Holder of ADSs, it will endeavor to vote the securities (in person or by proxy) represented by the Holders ADSs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i/>
                <w:sz w:val="20"/>
              </w:rPr>
              <w:t>In the event of voting by show of hands</w:t>
            </w:r>
            <w:r>
              <w:rPr>
                <w:rFonts w:ascii="ARIAL" w:hAnsi="ARIAL"/>
                <w:sz w:val="20"/>
              </w:rPr>
              <w:t xml:space="preserve">, the depositary will vote (or cause the custodian to vote) all ordinary held on deposit at that time in accordance with the voting instructions received from a majority of Holders of ADSs who provide timely voting instructions.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i/>
                <w:sz w:val="20"/>
              </w:rPr>
              <w:t>In the event of voting by poll</w:t>
            </w:r>
            <w:r>
              <w:rPr>
                <w:rFonts w:ascii="ARIAL" w:hAnsi="ARIAL"/>
                <w:sz w:val="20"/>
              </w:rPr>
              <w:t xml:space="preserve">, the depositary will vote (or cause the custodian to vote) the ordinary shares held on deposit in 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 </w:t>
            </w:r>
          </w:p>
        </w:tc>
      </w:tr>
    </w:tbl>
    <w:p>
      <w:pPr>
        <w:pStyle w:val="TextBody"/>
        <w:spacing w:before="240" w:after="0"/>
        <w:jc w:val="left"/>
        <w:rPr>
          <w:rFonts w:ascii="ARIAL" w:hAnsi="ARIAL"/>
          <w:sz w:val="20"/>
        </w:rPr>
      </w:pPr>
      <w:r>
        <w:rPr>
          <w:rFonts w:ascii="ARIAL" w:hAnsi="ARIAL"/>
          <w:sz w:val="20"/>
        </w:rPr>
        <w:t xml:space="preserve">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 </w:t>
      </w:r>
    </w:p>
    <w:p>
      <w:pPr>
        <w:pStyle w:val="TextBody"/>
        <w:spacing w:before="240" w:after="0"/>
        <w:jc w:val="left"/>
        <w:rPr>
          <w:rFonts w:ascii="ARIAL" w:hAnsi="ARIAL"/>
          <w:b/>
          <w:sz w:val="20"/>
          <w:u w:val="single"/>
        </w:rPr>
      </w:pPr>
      <w:r>
        <w:rPr>
          <w:rFonts w:ascii="ARIAL" w:hAnsi="ARIAL"/>
          <w:b/>
          <w:sz w:val="20"/>
          <w:u w:val="single"/>
        </w:rPr>
        <w:t xml:space="preserve">Fees and Charges </w:t>
      </w:r>
    </w:p>
    <w:p>
      <w:pPr>
        <w:pStyle w:val="TextBody"/>
        <w:spacing w:before="120" w:after="0"/>
        <w:jc w:val="left"/>
        <w:rPr>
          <w:rFonts w:ascii="ARIAL" w:hAnsi="ARIAL"/>
          <w:sz w:val="20"/>
        </w:rPr>
      </w:pPr>
      <w:r>
        <w:rPr>
          <w:rFonts w:ascii="ARIAL" w:hAnsi="ARIAL"/>
          <w:sz w:val="20"/>
        </w:rPr>
        <w:t xml:space="preserve">ADS Holders will be required to pay the following fees under the terms of the deposit agreement: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4"/>
        <w:gridCol w:w="4796"/>
      </w:tblGrid>
      <w:tr>
        <w:trPr/>
        <w:tc>
          <w:tcPr>
            <w:tcW w:w="520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6"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pBdr>
                <w:bottom w:val="single" w:sz="8" w:space="1" w:color="000000"/>
              </w:pBdr>
              <w:spacing w:before="0" w:after="0"/>
              <w:rPr>
                <w:rFonts w:ascii="ARIAL" w:hAnsi="ARIAL"/>
                <w:b/>
                <w:sz w:val="16"/>
              </w:rPr>
            </w:pPr>
            <w:r>
              <w:rPr>
                <w:rFonts w:ascii="ARIAL" w:hAnsi="ARIAL"/>
                <w:b/>
                <w:sz w:val="16"/>
              </w:rPr>
              <w:t>Service</w:t>
            </w:r>
          </w:p>
        </w:tc>
        <w:tc>
          <w:tcPr>
            <w:tcW w:w="204" w:type="dxa"/>
            <w:tcBorders/>
            <w:shd w:fill="auto" w:val="clear"/>
            <w:vAlign w:val="bottom"/>
          </w:tcPr>
          <w:p>
            <w:pPr>
              <w:pStyle w:val="TableContents"/>
              <w:spacing w:before="0" w:after="283"/>
              <w:rPr/>
            </w:pPr>
            <w:r>
              <w:rPr/>
              <w:t>  </w:t>
            </w:r>
          </w:p>
        </w:tc>
        <w:tc>
          <w:tcPr>
            <w:tcW w:w="4796"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Fees</w:t>
            </w:r>
          </w:p>
        </w:tc>
      </w:tr>
      <w:tr>
        <w:trPr/>
        <w:tc>
          <w:tcPr>
            <w:tcW w:w="5205" w:type="dxa"/>
            <w:tcBorders/>
            <w:shd w:fill="auto" w:val="clear"/>
          </w:tcPr>
          <w:p>
            <w:pPr>
              <w:pStyle w:val="TableContents"/>
              <w:spacing w:before="0" w:after="283"/>
              <w:rPr/>
            </w:pPr>
            <w:r>
              <w:rPr/>
              <w:t>Issuance of ADSs (e.g., an issuance of ADS upon a deposit of ordinary shares, upon a change in the ADS(s)-to-ordinary share ratio, or for any other reason), excluding ADS issuances as a result of distributions of ordinary shares)</w:t>
            </w:r>
          </w:p>
        </w:tc>
        <w:tc>
          <w:tcPr>
            <w:tcW w:w="204" w:type="dxa"/>
            <w:tcBorders/>
            <w:shd w:fill="auto" w:val="clear"/>
            <w:vAlign w:val="bottom"/>
          </w:tcPr>
          <w:p>
            <w:pPr>
              <w:pStyle w:val="TableContents"/>
              <w:spacing w:before="0" w:after="283"/>
              <w:rPr/>
            </w:pPr>
            <w:r>
              <w:rPr/>
              <w:t>  </w:t>
            </w:r>
          </w:p>
        </w:tc>
        <w:tc>
          <w:tcPr>
            <w:tcW w:w="4796" w:type="dxa"/>
            <w:tcBorders/>
            <w:shd w:fill="auto" w:val="clear"/>
          </w:tcPr>
          <w:p>
            <w:pPr>
              <w:pStyle w:val="TableContents"/>
              <w:spacing w:before="0" w:after="283"/>
              <w:rPr/>
            </w:pPr>
            <w:r>
              <w:rPr/>
              <w:t>Up to U.S. 5¢ per ADS issued</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Cancellation of ADSs (e.g., a cancellation of ADSs for delivery of deposited property, upon a change in the ADS(s)-to-ordinary share ratio, or for any other reason)</w:t>
            </w:r>
          </w:p>
        </w:tc>
        <w:tc>
          <w:tcPr>
            <w:tcW w:w="204" w:type="dxa"/>
            <w:tcBorders/>
            <w:shd w:fill="auto" w:val="clear"/>
            <w:vAlign w:val="bottom"/>
          </w:tcPr>
          <w:p>
            <w:pPr>
              <w:pStyle w:val="TableContents"/>
              <w:spacing w:before="0" w:after="283"/>
              <w:rPr/>
            </w:pPr>
            <w:r>
              <w:rPr/>
              <w:t>  </w:t>
            </w:r>
          </w:p>
        </w:tc>
        <w:tc>
          <w:tcPr>
            <w:tcW w:w="4796" w:type="dxa"/>
            <w:tcBorders/>
            <w:shd w:fill="auto" w:val="clear"/>
          </w:tcPr>
          <w:p>
            <w:pPr>
              <w:pStyle w:val="TableContents"/>
              <w:spacing w:before="0" w:after="283"/>
              <w:rPr/>
            </w:pPr>
            <w:r>
              <w:rPr/>
              <w:t>Up to U.S. 5¢ per ADS cancelled</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Distribution of cash dividends or other cash distributions (e.g., upon a sale of rights and other entitlements)</w:t>
            </w:r>
          </w:p>
        </w:tc>
        <w:tc>
          <w:tcPr>
            <w:tcW w:w="204" w:type="dxa"/>
            <w:tcBorders/>
            <w:shd w:fill="auto" w:val="clear"/>
            <w:vAlign w:val="bottom"/>
          </w:tcPr>
          <w:p>
            <w:pPr>
              <w:pStyle w:val="TableContents"/>
              <w:spacing w:before="0" w:after="283"/>
              <w:rPr/>
            </w:pPr>
            <w:r>
              <w:rPr/>
              <w:t>  </w:t>
            </w:r>
          </w:p>
        </w:tc>
        <w:tc>
          <w:tcPr>
            <w:tcW w:w="4796" w:type="dxa"/>
            <w:tcBorders/>
            <w:shd w:fill="auto" w:val="clear"/>
          </w:tcPr>
          <w:p>
            <w:pPr>
              <w:pStyle w:val="TableContents"/>
              <w:spacing w:before="0" w:after="283"/>
              <w:rPr/>
            </w:pPr>
            <w:r>
              <w:rPr/>
              <w:t>Up to U.S. 5¢ per ADS held</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Distribution of ADSs pursuant to (i) stock dividends or other free stock distributions, or (ii) exercise of rights to purchase additional ADSs</w:t>
            </w:r>
          </w:p>
        </w:tc>
        <w:tc>
          <w:tcPr>
            <w:tcW w:w="204" w:type="dxa"/>
            <w:tcBorders/>
            <w:shd w:fill="auto" w:val="clear"/>
            <w:vAlign w:val="bottom"/>
          </w:tcPr>
          <w:p>
            <w:pPr>
              <w:pStyle w:val="TableContents"/>
              <w:spacing w:before="0" w:after="283"/>
              <w:rPr/>
            </w:pPr>
            <w:r>
              <w:rPr/>
              <w:t>  </w:t>
            </w:r>
          </w:p>
        </w:tc>
        <w:tc>
          <w:tcPr>
            <w:tcW w:w="4796" w:type="dxa"/>
            <w:tcBorders/>
            <w:shd w:fill="auto" w:val="clear"/>
          </w:tcPr>
          <w:p>
            <w:pPr>
              <w:pStyle w:val="TableContents"/>
              <w:spacing w:before="0" w:after="283"/>
              <w:rPr/>
            </w:pPr>
            <w:r>
              <w:rPr/>
              <w:t>Up to U.S. 5¢ per ADS held</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205"/>
        <w:gridCol w:w="202"/>
        <w:gridCol w:w="4798"/>
      </w:tblGrid>
      <w:tr>
        <w:trPr/>
        <w:tc>
          <w:tcPr>
            <w:tcW w:w="520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pBdr>
                <w:bottom w:val="single" w:sz="8" w:space="1" w:color="000000"/>
              </w:pBdr>
              <w:spacing w:before="0" w:after="0"/>
              <w:rPr>
                <w:rFonts w:ascii="ARIAL" w:hAnsi="ARIAL"/>
                <w:b/>
                <w:sz w:val="16"/>
              </w:rPr>
            </w:pPr>
            <w:r>
              <w:rPr>
                <w:rFonts w:ascii="ARIAL" w:hAnsi="ARIAL"/>
                <w:b/>
                <w:sz w:val="16"/>
              </w:rPr>
              <w:t>Service</w:t>
            </w:r>
          </w:p>
        </w:tc>
        <w:tc>
          <w:tcPr>
            <w:tcW w:w="202" w:type="dxa"/>
            <w:tcBorders/>
            <w:shd w:fill="auto" w:val="clear"/>
            <w:vAlign w:val="bottom"/>
          </w:tcPr>
          <w:p>
            <w:pPr>
              <w:pStyle w:val="TableContents"/>
              <w:spacing w:before="0" w:after="283"/>
              <w:rPr/>
            </w:pPr>
            <w:r>
              <w:rPr/>
              <w:t>  </w:t>
            </w:r>
          </w:p>
        </w:tc>
        <w:tc>
          <w:tcPr>
            <w:tcW w:w="4798"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6"/>
              </w:rPr>
            </w:pPr>
            <w:r>
              <w:rPr>
                <w:rFonts w:ascii="ARIAL" w:hAnsi="ARIAL"/>
                <w:b/>
                <w:sz w:val="16"/>
              </w:rPr>
              <w:t>Fees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Distribution of securities other than ADSs or rights to purchase additional ADSs (e.g., upon a spin-off)</w:t>
            </w:r>
          </w:p>
        </w:tc>
        <w:tc>
          <w:tcPr>
            <w:tcW w:w="2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Up to U.S. 5¢ per ADS held</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ADS Services</w:t>
            </w:r>
          </w:p>
        </w:tc>
        <w:tc>
          <w:tcPr>
            <w:tcW w:w="2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Up to U.S. 5¢ per ADS held on the applicable record date(s) established by the depositary bank</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Registration of ADS transfers (e.g., upon a registration of the transfer of registered ownership of ADSs, upon a transfer of ADSs into DTC and vice versa, or for any other reason)</w:t>
            </w:r>
          </w:p>
        </w:tc>
        <w:tc>
          <w:tcPr>
            <w:tcW w:w="2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Up to U.S. 5¢ per ADS (or fraction thereof) transferred</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Conversion of ADSs of one series for ADSs of another series (e.g., upon conversion of Partial Entitlement ADSs for Full Entitlement ADSs, or upon conversion of Restricted ADSs (each as defined in the Deposit Agreement) into freely transferable ADSs, and vice versa).</w:t>
            </w:r>
          </w:p>
        </w:tc>
        <w:tc>
          <w:tcPr>
            <w:tcW w:w="2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Up to U.S. 5¢ per ADS (or fraction thereof) converted</w:t>
            </w:r>
          </w:p>
        </w:tc>
      </w:tr>
    </w:tbl>
    <w:p>
      <w:pPr>
        <w:pStyle w:val="TextBody"/>
        <w:spacing w:before="240" w:after="0"/>
        <w:jc w:val="left"/>
        <w:rPr>
          <w:rFonts w:ascii="ARIAL" w:hAnsi="ARIAL"/>
          <w:sz w:val="20"/>
        </w:rPr>
      </w:pPr>
      <w:r>
        <w:rPr>
          <w:rFonts w:ascii="ARIAL" w:hAnsi="ARIAL"/>
          <w:sz w:val="20"/>
        </w:rPr>
        <w:t xml:space="preserve">ADS Holders will also be responsible to pay certain charges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taxes (including applicable interest and penalties) and other governmental charges;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certain cable, telex, and facsimile transmission and delivery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expenses and charges incurred by the depositary in the conversion of foreign currency;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the fees and expenses incurred by the depositary in connection with compliance with exchange control regulations and other regulatory requirements applicable to ordinary shares, ADSs, and ADRs;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the fees, charges, costs and expenses incurred by the depositary, the custodian, or any nominee in connection with the ADR program. </w:t>
            </w:r>
          </w:p>
        </w:tc>
      </w:tr>
    </w:tbl>
    <w:p>
      <w:pPr>
        <w:pStyle w:val="TextBody"/>
        <w:spacing w:before="240" w:after="0"/>
        <w:jc w:val="left"/>
        <w:rPr>
          <w:rFonts w:ascii="ARIAL" w:hAnsi="ARIAL"/>
          <w:sz w:val="20"/>
        </w:rPr>
      </w:pPr>
      <w:r>
        <w:rPr>
          <w:rFonts w:ascii="ARIAL" w:hAnsi="ARIAL"/>
          <w:sz w:val="20"/>
        </w:rPr>
        <w:t xml:space="preserve">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spacing w:before="240" w:after="0"/>
        <w:jc w:val="left"/>
        <w:rPr>
          <w:rFonts w:ascii="ARIAL" w:hAnsi="ARIAL"/>
          <w:sz w:val="20"/>
        </w:rPr>
      </w:pPr>
      <w:r>
        <w:rPr>
          <w:rFonts w:ascii="ARIAL" w:hAnsi="ARIAL"/>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 </w:t>
      </w:r>
    </w:p>
    <w:p>
      <w:pPr>
        <w:pStyle w:val="TextBody"/>
        <w:spacing w:before="240" w:after="0"/>
        <w:jc w:val="left"/>
        <w:rPr>
          <w:rFonts w:ascii="ARIAL" w:hAnsi="ARIAL"/>
          <w:b/>
          <w:sz w:val="20"/>
        </w:rPr>
      </w:pPr>
      <w:r>
        <w:rPr>
          <w:rFonts w:ascii="ARIAL" w:hAnsi="ARIAL"/>
          <w:b/>
          <w:sz w:val="20"/>
        </w:rPr>
        <w:t xml:space="preserve">Amendments </w:t>
      </w:r>
    </w:p>
    <w:p>
      <w:pPr>
        <w:pStyle w:val="TextBody"/>
        <w:spacing w:before="120" w:after="0"/>
        <w:jc w:val="left"/>
        <w:rPr>
          <w:rFonts w:ascii="ARIAL" w:hAnsi="ARIAL"/>
          <w:sz w:val="20"/>
        </w:rPr>
      </w:pPr>
      <w:r>
        <w:rPr>
          <w:rFonts w:ascii="ARIAL" w:hAnsi="ARIAL"/>
          <w:sz w:val="20"/>
        </w:rPr>
        <w:t xml:space="preserve">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 </w:t>
      </w:r>
    </w:p>
    <w:p>
      <w:pPr>
        <w:pStyle w:val="TextBody"/>
        <w:spacing w:before="240" w:after="0"/>
        <w:jc w:val="left"/>
        <w:rPr>
          <w:rFonts w:ascii="ARIAL" w:hAnsi="ARIAL"/>
          <w:sz w:val="20"/>
        </w:rPr>
      </w:pPr>
      <w:r>
        <w:rPr>
          <w:rFonts w:ascii="ARIAL" w:hAnsi="ARIAL"/>
          <w:sz w:val="20"/>
        </w:rPr>
        <w:t xml:space="preserve">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 </w:t>
      </w:r>
    </w:p>
    <w:p>
      <w:pPr>
        <w:pStyle w:val="TextBody"/>
        <w:spacing w:before="240" w:after="0"/>
        <w:jc w:val="left"/>
        <w:rPr>
          <w:rFonts w:ascii="ARIAL" w:hAnsi="ARIAL"/>
          <w:b/>
          <w:sz w:val="20"/>
        </w:rPr>
      </w:pPr>
      <w:r>
        <w:rPr>
          <w:rFonts w:ascii="ARIAL" w:hAnsi="ARIAL"/>
          <w:b/>
          <w:sz w:val="20"/>
        </w:rPr>
        <w:t xml:space="preserve">Termination </w:t>
      </w:r>
    </w:p>
    <w:p>
      <w:pPr>
        <w:pStyle w:val="TextBody"/>
        <w:spacing w:before="120" w:after="0"/>
        <w:jc w:val="left"/>
        <w:rPr>
          <w:rFonts w:ascii="ARIAL" w:hAnsi="ARIAL"/>
          <w:sz w:val="20"/>
        </w:rPr>
      </w:pPr>
      <w:r>
        <w:rPr>
          <w:rFonts w:ascii="ARIAL" w:hAnsi="ARIAL"/>
          <w:sz w:val="20"/>
        </w:rPr>
        <w:t xml:space="preserve">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 </w:t>
      </w:r>
    </w:p>
    <w:p>
      <w:pPr>
        <w:pStyle w:val="TextBody"/>
        <w:spacing w:before="240" w:after="0"/>
        <w:jc w:val="left"/>
        <w:rPr>
          <w:rFonts w:ascii="ARIAL" w:hAnsi="ARIAL"/>
          <w:sz w:val="20"/>
        </w:rPr>
      </w:pPr>
      <w:r>
        <w:rPr>
          <w:rFonts w:ascii="ARIAL" w:hAnsi="ARIAL"/>
          <w:sz w:val="20"/>
        </w:rPr>
        <w:t xml:space="preserve">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 </w:t>
      </w:r>
    </w:p>
    <w:p>
      <w:pPr>
        <w:pStyle w:val="TextBody"/>
        <w:spacing w:before="240" w:after="0"/>
        <w:jc w:val="left"/>
        <w:rPr>
          <w:rFonts w:ascii="ARIAL" w:hAnsi="ARIAL"/>
          <w:sz w:val="20"/>
        </w:rPr>
      </w:pPr>
      <w:r>
        <w:rPr>
          <w:rFonts w:ascii="ARIAL" w:hAnsi="ARIAL"/>
          <w:sz w:val="20"/>
        </w:rPr>
        <w:t xml:space="preserve">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Books of Depositary </w:t>
      </w:r>
    </w:p>
    <w:p>
      <w:pPr>
        <w:pStyle w:val="TextBody"/>
        <w:spacing w:before="120" w:after="0"/>
        <w:jc w:val="left"/>
        <w:rPr>
          <w:rFonts w:ascii="ARIAL" w:hAnsi="ARIAL"/>
          <w:sz w:val="20"/>
        </w:rPr>
      </w:pPr>
      <w:r>
        <w:rPr>
          <w:rFonts w:ascii="ARIAL" w:hAnsi="ARIAL"/>
          <w:sz w:val="20"/>
        </w:rPr>
        <w:t xml:space="preserve">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 </w:t>
      </w:r>
    </w:p>
    <w:p>
      <w:pPr>
        <w:pStyle w:val="TextBody"/>
        <w:spacing w:before="240" w:after="0"/>
        <w:jc w:val="left"/>
        <w:rPr>
          <w:rFonts w:ascii="ARIAL" w:hAnsi="ARIAL"/>
          <w:sz w:val="20"/>
        </w:rPr>
      </w:pPr>
      <w:r>
        <w:rPr>
          <w:rFonts w:ascii="ARIAL" w:hAnsi="ARIAL"/>
          <w:sz w:val="20"/>
        </w:rPr>
        <w:t xml:space="preserve">The depositary will maintain in New York facilities to record and process the issuance, cancellation, combination, split-up, and transfer of ADSs. These facilities may be closed from time to time, to the extent not prohibited by law. </w:t>
      </w:r>
    </w:p>
    <w:p>
      <w:pPr>
        <w:pStyle w:val="TextBody"/>
        <w:spacing w:before="240" w:after="0"/>
        <w:jc w:val="left"/>
        <w:rPr>
          <w:rFonts w:ascii="ARIAL" w:hAnsi="ARIAL"/>
          <w:b/>
          <w:sz w:val="20"/>
        </w:rPr>
      </w:pPr>
      <w:r>
        <w:rPr>
          <w:rFonts w:ascii="ARIAL" w:hAnsi="ARIAL"/>
          <w:b/>
          <w:sz w:val="20"/>
        </w:rPr>
        <w:t xml:space="preserve">Limitations on Obligations and Liabilities </w:t>
      </w:r>
    </w:p>
    <w:p>
      <w:pPr>
        <w:pStyle w:val="TextBody"/>
        <w:spacing w:before="120" w:after="0"/>
        <w:jc w:val="left"/>
        <w:rPr>
          <w:rFonts w:ascii="ARIAL" w:hAnsi="ARIAL"/>
          <w:sz w:val="20"/>
        </w:rPr>
      </w:pPr>
      <w:r>
        <w:rPr>
          <w:rFonts w:ascii="ARIAL" w:hAnsi="ARIAL"/>
          <w:sz w:val="20"/>
        </w:rPr>
        <w:t xml:space="preserve">The deposit agreement limits our obligations and the depositarys obligations to Holders. Please note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We and the depositary are obligated only to take the actions specifically stated in the deposit agreement without negligence or bad faith.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We and the depositary will not be obligated to perform any act that is inconsistent with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We and the depositary disclaim any liability by reason of any exercise of, or failure to exercise, any discretion provided for in the deposit agreement or in our Articles or in any provisions of or governing the securities on deposit.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We and the depositary also disclaim liability for the inability by a holder to benefit from any distribution, offering, right or other benefit that is made available to holders of ordinary shares but is not, under the terms of the deposit agreement, made available to 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We and the depositary may rely without any liability upon any written notice, request or other document believed to be genuine and to have been signed or presented by the proper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We and the depositary also disclaim liability for any consequential or punitive damages for any breach of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No disclaimer of any Securities Act liability is intended by any provision of the deposit agreement.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Nothing in the deposit agreement gives rise to a partnership or joint venture, or establishes a fiduciary relationship, among Mereo, the depositary and ADS 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 </w:t>
            </w:r>
          </w:p>
        </w:tc>
      </w:tr>
    </w:tbl>
    <w:p>
      <w:pPr>
        <w:pStyle w:val="TextBody"/>
        <w:spacing w:before="240" w:after="0"/>
        <w:jc w:val="left"/>
        <w:rPr>
          <w:rFonts w:ascii="ARIAL" w:hAnsi="ARIAL"/>
          <w:b/>
          <w:sz w:val="20"/>
        </w:rPr>
      </w:pPr>
      <w:r>
        <w:rPr>
          <w:rFonts w:ascii="ARIAL" w:hAnsi="ARIAL"/>
          <w:b/>
          <w:sz w:val="20"/>
        </w:rPr>
        <w:t xml:space="preserve">Taxes </w:t>
      </w:r>
    </w:p>
    <w:p>
      <w:pPr>
        <w:pStyle w:val="TextBody"/>
        <w:spacing w:before="120" w:after="0"/>
        <w:jc w:val="left"/>
        <w:rPr>
          <w:rFonts w:ascii="ARIAL" w:hAnsi="ARIAL"/>
          <w:sz w:val="20"/>
        </w:rPr>
      </w:pPr>
      <w:r>
        <w:rPr>
          <w:rFonts w:ascii="ARIAL" w:hAnsi="ARIAL"/>
          <w:sz w:val="20"/>
        </w:rPr>
        <w:t xml:space="preserve">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 </w:t>
      </w:r>
    </w:p>
    <w:p>
      <w:pPr>
        <w:pStyle w:val="TextBody"/>
        <w:spacing w:before="240" w:after="0"/>
        <w:jc w:val="left"/>
        <w:rPr>
          <w:rFonts w:ascii="ARIAL" w:hAnsi="ARIAL"/>
          <w:sz w:val="20"/>
        </w:rPr>
      </w:pPr>
      <w:r>
        <w:rPr>
          <w:rFonts w:ascii="ARIAL" w:hAnsi="ARIAL"/>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 </w:t>
      </w:r>
    </w:p>
    <w:p>
      <w:pPr>
        <w:pStyle w:val="TextBody"/>
        <w:spacing w:before="240" w:after="0"/>
        <w:jc w:val="left"/>
        <w:rPr>
          <w:rFonts w:ascii="ARIAL" w:hAnsi="ARIAL"/>
          <w:b/>
          <w:sz w:val="20"/>
        </w:rPr>
      </w:pPr>
      <w:r>
        <w:rPr>
          <w:rFonts w:ascii="ARIAL" w:hAnsi="ARIAL"/>
          <w:b/>
          <w:sz w:val="20"/>
        </w:rPr>
        <w:t xml:space="preserve">Foreign Currency Conversion </w:t>
      </w:r>
    </w:p>
    <w:p>
      <w:pPr>
        <w:pStyle w:val="TextBody"/>
        <w:spacing w:before="120" w:after="0"/>
        <w:jc w:val="left"/>
        <w:rPr>
          <w:rFonts w:ascii="ARIAL" w:hAnsi="ARIAL"/>
          <w:sz w:val="20"/>
        </w:rPr>
      </w:pPr>
      <w:r>
        <w:rPr>
          <w:rFonts w:ascii="ARIAL" w:hAnsi="ARIAL"/>
          <w:sz w:val="20"/>
        </w:rPr>
        <w:t xml:space="preserve">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 </w:t>
      </w:r>
    </w:p>
    <w:p>
      <w:pPr>
        <w:pStyle w:val="TextBody"/>
        <w:spacing w:before="240" w:after="0"/>
        <w:jc w:val="left"/>
        <w:rPr>
          <w:rFonts w:ascii="ARIAL" w:hAnsi="ARIAL"/>
          <w:sz w:val="20"/>
        </w:rPr>
      </w:pPr>
      <w:r>
        <w:rPr>
          <w:rFonts w:ascii="ARIAL" w:hAnsi="ARIAL"/>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Convert the foreign currency to the extent practical and lawful and distribute the U.S. dollars to the holders for whom the conversion and distribution is lawful and practical.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Distribute the foreign currency to holders for whom the distribution is lawful and practical.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Hold the foreign currency (without liability for interest) for the applicable holders. </w:t>
            </w:r>
          </w:p>
        </w:tc>
      </w:tr>
    </w:tbl>
    <w:p>
      <w:pPr>
        <w:pStyle w:val="TextBody"/>
        <w:spacing w:before="240" w:after="0"/>
        <w:jc w:val="left"/>
        <w:rPr>
          <w:rFonts w:ascii="ARIAL" w:hAnsi="ARIAL"/>
          <w:b/>
          <w:sz w:val="20"/>
        </w:rPr>
      </w:pPr>
      <w:r>
        <w:rPr>
          <w:rFonts w:ascii="ARIAL" w:hAnsi="ARIAL"/>
          <w:b/>
          <w:sz w:val="20"/>
        </w:rPr>
        <w:t xml:space="preserve">Governing Law/Waiver of Jury Trial </w:t>
      </w:r>
    </w:p>
    <w:p>
      <w:pPr>
        <w:pStyle w:val="TextBody"/>
        <w:spacing w:before="120" w:after="0"/>
        <w:jc w:val="left"/>
        <w:rPr>
          <w:rFonts w:ascii="ARIAL" w:hAnsi="ARIAL"/>
          <w:sz w:val="20"/>
        </w:rPr>
      </w:pPr>
      <w:r>
        <w:rPr>
          <w:rFonts w:ascii="ARIAL" w:hAnsi="ARIAL"/>
          <w:sz w:val="20"/>
        </w:rPr>
        <w:t xml:space="preserve">The deposit agreement and the ADRs will be interpreted in accordance with the laws of the State of New York. The rights of holders of ordinary shares (including ordinary shares represented by ADSs) is governed by the laws of England and Wales. </w:t>
      </w:r>
    </w:p>
    <w:p>
      <w:pPr>
        <w:pStyle w:val="TextBody"/>
        <w:spacing w:before="240" w:after="0"/>
        <w:jc w:val="left"/>
        <w:rPr>
          <w:rFonts w:ascii="ARIAL" w:hAnsi="ARIAL"/>
          <w:sz w:val="20"/>
        </w:rPr>
      </w:pPr>
      <w:r>
        <w:rPr>
          <w:rFonts w:ascii="ARIAL" w:hAnsi="ARIAL"/>
          <w:sz w:val="20"/>
        </w:rPr>
        <w:t xml:space="preserve">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1" w:name="toc159178_9"/>
      <w:bookmarkEnd w:id="11"/>
      <w:r>
        <w:rPr>
          <w:rFonts w:ascii="ARIAL" w:hAnsi="ARIAL"/>
          <w:b/>
          <w:sz w:val="20"/>
        </w:rPr>
        <w:t xml:space="preserve">SELLING SHAREHOLDERS </w:t>
      </w:r>
    </w:p>
    <w:p>
      <w:pPr>
        <w:pStyle w:val="TextBody"/>
        <w:spacing w:before="240" w:after="0"/>
        <w:jc w:val="left"/>
        <w:rPr>
          <w:rFonts w:ascii="ARIAL" w:hAnsi="ARIAL"/>
          <w:sz w:val="20"/>
        </w:rPr>
      </w:pPr>
      <w:r>
        <w:rPr>
          <w:rFonts w:ascii="ARIAL" w:hAnsi="ARIAL"/>
          <w:sz w:val="20"/>
        </w:rPr>
        <w:t xml:space="preserve">This prospectus also relates to the offer and resale of up to an aggregate of 23,143,724 ordinary shares consisting of (i) 18,555,068 ordinary shares underlying convertible loan notes and warrants issuable to Novartis under the convertible loan and warrant instruments dated February 10, 2020, as amended (the Novartis Agreements); (ii) 2,487,816 ordinary shares underlying warrants issuable to Silicon Valley Bank and Kreos Capital V (UK) Limited as lenders under previous loan agreements with them dated August 7, 2017 and September 28, 2018, as adjusted on December 15, 2020 that have been fully repaid; and (iii) 2,100,840 ordinary shares issued to Focus Fund in connection with our partnership agreement entered into April 30, 2021. Prior to the cancellation of admission of our ordinary shares to trading on the AIM market of London Stock Exchange plc, these shareholders were, with the exception of Focus Fund, able to sell their shares on the AIM market of London Stock Exchange plc and did not require the ability to resell their ADSs on Nasdaq. </w:t>
      </w:r>
    </w:p>
    <w:p>
      <w:pPr>
        <w:pStyle w:val="TextBody"/>
        <w:spacing w:before="240" w:after="0"/>
        <w:jc w:val="left"/>
        <w:rPr>
          <w:rFonts w:ascii="ARIAL" w:hAnsi="ARIAL"/>
          <w:b/>
          <w:sz w:val="20"/>
        </w:rPr>
      </w:pPr>
      <w:r>
        <w:rPr>
          <w:rFonts w:ascii="ARIAL" w:hAnsi="ARIAL"/>
          <w:b/>
          <w:sz w:val="20"/>
        </w:rPr>
        <w:t xml:space="preserve">The Novartis Agreements </w:t>
      </w:r>
    </w:p>
    <w:p>
      <w:pPr>
        <w:pStyle w:val="TextBody"/>
        <w:spacing w:before="120" w:after="0"/>
        <w:jc w:val="left"/>
        <w:rPr>
          <w:rFonts w:ascii="ARIAL" w:hAnsi="ARIAL"/>
          <w:sz w:val="20"/>
        </w:rPr>
      </w:pPr>
      <w:r>
        <w:rPr>
          <w:rFonts w:ascii="ARIAL" w:hAnsi="ARIAL"/>
          <w:sz w:val="20"/>
        </w:rPr>
        <w:t xml:space="preserve">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 In connection with the acquisition of the Novartis Assets, we issued 3,849,000 ordinary shares to Novartis pursuant to a subscription agreement. In addition, we paid Novartis $1.5 million for a payment made by Novartis to a third party in full satisfaction of all monetary obligations of Novartis to such third party with respect to acumapimod. 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As part of our relationship with Novartis, we entered into a convertible loan note instrument dated February 10, 2020 with Novartis pursuant to which we created 3,841,479 convertible loan notes at an exercise price of £0.265 and interest payable in the form of ordinary shares at 6% per annum for three years for a total of 17,105,454 ordinary shares or 3,421,090 ADSs and also granted Novartis warrants over 1,449,614 ordinary shares or 289,922 ADSs for a total of 18,555,068 ordinary shares or 3,711,013 ADSs pursuant to the Deed of Consent and Amendment to Note Instrument, dated November 24, 2020 and the Deed of Consent and Amendment to Warrant Instrument, dated November 24, 2020. </w:t>
      </w:r>
    </w:p>
    <w:p>
      <w:pPr>
        <w:pStyle w:val="TextBody"/>
        <w:spacing w:before="240" w:after="0"/>
        <w:jc w:val="left"/>
        <w:rPr>
          <w:rFonts w:ascii="ARIAL" w:hAnsi="ARIAL"/>
          <w:b/>
          <w:sz w:val="20"/>
        </w:rPr>
      </w:pPr>
      <w:r>
        <w:rPr>
          <w:rFonts w:ascii="ARIAL" w:hAnsi="ARIAL"/>
          <w:b/>
          <w:sz w:val="20"/>
        </w:rPr>
        <w:t xml:space="preserve">Silicon Valley Bank and Kreos Capital Warrants </w:t>
      </w:r>
    </w:p>
    <w:p>
      <w:pPr>
        <w:pStyle w:val="TextBody"/>
        <w:spacing w:before="120" w:after="0"/>
        <w:jc w:val="left"/>
        <w:rPr>
          <w:rFonts w:ascii="ARIAL" w:hAnsi="ARIAL"/>
          <w:sz w:val="20"/>
        </w:rPr>
      </w:pPr>
      <w:r>
        <w:rPr>
          <w:rFonts w:ascii="ARIAL" w:hAnsi="ARIAL"/>
          <w:sz w:val="20"/>
        </w:rPr>
        <w:t xml:space="preserve">On August 7, 2017, we entered into a loan agreement, with Silicon Valley Bank and Kreos Capital V (UK) Limited (the Former Lenders), which provided for total borrowings of £20.0 million and in connection with the borrowings we issued to the Former Lenders warrants to subscribe for our ordinary shares pursuant to a warrant instrument dated August 21, 2017 (the 2017 Warrant Instrument) and another warrant instrument on substantively similar terms on October 1, 2018 (the 2018 Warrant Instrument). The 2017 Warrant Instrument and the 2018 Warrant Instrument are referred to as the Warrant Instruments. </w:t>
      </w:r>
    </w:p>
    <w:p>
      <w:pPr>
        <w:pStyle w:val="TextBody"/>
        <w:spacing w:before="240" w:after="0"/>
        <w:jc w:val="left"/>
        <w:rPr>
          <w:rFonts w:ascii="ARIAL" w:hAnsi="ARIAL"/>
          <w:sz w:val="20"/>
        </w:rPr>
      </w:pPr>
      <w:r>
        <w:rPr>
          <w:rFonts w:ascii="ARIAL" w:hAnsi="ARIAL"/>
          <w:sz w:val="20"/>
        </w:rPr>
        <w:t xml:space="preserve">Under the Warrant Instruments initial allocations of warrants were issued to the Former Lenders with further issues following adjustment of the warrants from time to time resulting in each of the Former Lenders holding 621,954 warrants with each such warrant being exercisable at a subscription price of £2.95. </w:t>
      </w:r>
    </w:p>
    <w:p>
      <w:pPr>
        <w:pStyle w:val="TextBody"/>
        <w:spacing w:before="240" w:after="0"/>
        <w:jc w:val="left"/>
        <w:rPr>
          <w:rFonts w:ascii="ARIAL" w:hAnsi="ARIAL"/>
          <w:sz w:val="20"/>
        </w:rPr>
      </w:pPr>
      <w:r>
        <w:rPr>
          <w:rFonts w:ascii="ARIAL" w:hAnsi="ARIAL"/>
          <w:sz w:val="20"/>
        </w:rPr>
        <w:t xml:space="preserve">The 2017 Warrant Instrument will be capable of exercise until August 21, 2027 and the 2018 Warrant Instrument will be capable of exercise until October 1, 2028.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On December 15, 2020, we prepaid all amounts due and owing to the Former Lenders and also issued additional warrants giving each of the Former Lenders the right to subscribe for 621,954 ordinary shares at a price of $0.4144 per ordinary share (the 2020 Warrants). The 2020 Warrants are an adjustment to the 2017 Warrant Instrument and the 2018 Warrant Instrument and the 2020 Warrants issued to each of the Former Lenders were apportioned between the 2017 Warrant Instrument and 2018 Warrant Instrument in the number of 469,575 and 152,379 respectively for each Former Lender and are subject to the same final exercise date as all prior warrants issued to the Former Lenders being August 21, 2027 for the 2017 Warrant Instrument and October 1, 2028 for the 2018 Warrant Instrument. </w:t>
      </w:r>
    </w:p>
    <w:p>
      <w:pPr>
        <w:pStyle w:val="TextBody"/>
        <w:spacing w:before="240" w:after="0"/>
        <w:jc w:val="left"/>
        <w:rPr>
          <w:rFonts w:ascii="ARIAL" w:hAnsi="ARIAL"/>
          <w:sz w:val="20"/>
        </w:rPr>
      </w:pPr>
      <w:r>
        <w:rPr>
          <w:rFonts w:ascii="ARIAL" w:hAnsi="ARIAL"/>
          <w:sz w:val="20"/>
        </w:rPr>
        <w:t xml:space="preserve">Following these transactions, the Former Lenders have warrants to purchase a total of 1,243,908 ordinary shares at an exercise price of £2.95 per share for the 2017 and 2018 Warrant Instruments and a total of 1,243,908 ordinary shares at an exercise price of $0.4144 per share for the 2020 Warrants. </w:t>
      </w:r>
    </w:p>
    <w:p>
      <w:pPr>
        <w:pStyle w:val="TextBody"/>
        <w:spacing w:before="240" w:after="0"/>
        <w:jc w:val="left"/>
        <w:rPr>
          <w:rFonts w:ascii="ARIAL" w:hAnsi="ARIAL"/>
          <w:b/>
          <w:sz w:val="20"/>
        </w:rPr>
      </w:pPr>
      <w:r>
        <w:rPr>
          <w:rFonts w:ascii="ARIAL" w:hAnsi="ARIAL"/>
          <w:b/>
          <w:sz w:val="20"/>
        </w:rPr>
        <w:t xml:space="preserve">Focus Fund </w:t>
      </w:r>
    </w:p>
    <w:p>
      <w:pPr>
        <w:pStyle w:val="TextBody"/>
        <w:spacing w:before="120" w:after="0"/>
        <w:jc w:val="left"/>
        <w:rPr>
          <w:rFonts w:ascii="ARIAL" w:hAnsi="ARIAL"/>
          <w:sz w:val="20"/>
        </w:rPr>
      </w:pPr>
      <w:r>
        <w:rPr>
          <w:rFonts w:ascii="ARIAL" w:hAnsi="ARIAL"/>
          <w:sz w:val="20"/>
        </w:rPr>
        <w:t xml:space="preserve">On April 30, 2021, we and Focus Fund announced a partnership for a Phase 1b/2 study of etigilimab in clear cell ovarian cancer. The study will be conducted at the University of Texas MD Anderson Cancer Center. The study will be financed by Focus Fund and is in exchange for the upfront consideration of 2,100,840 of our ordinary shares, which was equivalent to $1.5 million and additional payments based on the achievement of certain milestones and which will occur through our subsidiary. </w:t>
      </w:r>
    </w:p>
    <w:p>
      <w:pPr>
        <w:pStyle w:val="TextBody"/>
        <w:spacing w:before="240" w:after="0"/>
        <w:jc w:val="left"/>
        <w:rPr>
          <w:rFonts w:ascii="ARIAL" w:hAnsi="ARIAL"/>
          <w:sz w:val="20"/>
        </w:rPr>
      </w:pPr>
      <w:r>
        <w:rPr>
          <w:rFonts w:ascii="ARIAL" w:hAnsi="ARIAL"/>
          <w:sz w:val="20"/>
        </w:rPr>
        <w:t xml:space="preserve">The table below lists the Selling Shareholders and other information regarding the beneficial ownership of the shares held by the Selling Shareholders. The second column lists the number of ordinary shares beneficially owned by the Selling Shareholders, based on their ownership of the shares and warrants as of June 30, 2021, assuming exercise of the warrants on that date, without regard to any limitation on exercise and conversion by the holder of all of their convertible loan notes. The third column lists the percentage of shares beneficially owned by the Selling Shareholders before the offering. The fourth column lists the number of shares being registered in this prospectus by the Selling Shareholders. In accordance with the terms of the registration rights agreement with the Selling Shareholder and certain other holders of our shares and warrants, this prospectus generally covers the resale of that number of shares equal to the number of shares currently held by the Selling Shareholders and the shares issuable upon exercise of the warrants, determined as if such warrants were exercised in full. The fifth column lists the percentage of shares beneficially owned by the Selling Shareholders, assuming the sale of all of the shares registered by the registration statement of which this prospectus forms a part. </w:t>
      </w:r>
    </w:p>
    <w:p>
      <w:pPr>
        <w:pStyle w:val="TextBody"/>
        <w:spacing w:before="240" w:after="0"/>
        <w:jc w:val="left"/>
        <w:rPr>
          <w:rFonts w:ascii="ARIAL" w:hAnsi="ARIAL"/>
          <w:sz w:val="20"/>
        </w:rPr>
      </w:pPr>
      <w:r>
        <w:rPr>
          <w:rFonts w:ascii="ARIAL" w:hAnsi="ARIAL"/>
          <w:sz w:val="20"/>
        </w:rPr>
        <w:t xml:space="preserve">The Selling Shareholders may sell all, some or none of their Resale Shares included in this prospectus. See Plan of Distribution.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47"/>
        <w:gridCol w:w="166"/>
        <w:gridCol w:w="61"/>
        <w:gridCol w:w="1130"/>
        <w:gridCol w:w="60"/>
        <w:gridCol w:w="223"/>
        <w:gridCol w:w="230"/>
        <w:gridCol w:w="1243"/>
        <w:gridCol w:w="275"/>
        <w:gridCol w:w="166"/>
        <w:gridCol w:w="70"/>
        <w:gridCol w:w="1295"/>
        <w:gridCol w:w="60"/>
        <w:gridCol w:w="223"/>
        <w:gridCol w:w="264"/>
        <w:gridCol w:w="1409"/>
        <w:gridCol w:w="283"/>
      </w:tblGrid>
      <w:tr>
        <w:trPr/>
        <w:tc>
          <w:tcPr>
            <w:tcW w:w="304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3047" w:type="dxa"/>
            <w:tcBorders/>
            <w:shd w:fill="auto" w:val="clear"/>
            <w:vAlign w:val="bottom"/>
          </w:tcPr>
          <w:p>
            <w:pPr>
              <w:pStyle w:val="TableContents"/>
              <w:pBdr>
                <w:bottom w:val="single" w:sz="8" w:space="1" w:color="000000"/>
              </w:pBdr>
              <w:spacing w:before="0" w:after="0"/>
              <w:rPr>
                <w:rFonts w:ascii="ARIAL" w:hAnsi="ARIAL"/>
                <w:b/>
                <w:sz w:val="16"/>
              </w:rPr>
            </w:pPr>
            <w:r>
              <w:rPr>
                <w:rFonts w:ascii="ARIAL" w:hAnsi="ARIAL"/>
                <w:b/>
                <w:sz w:val="16"/>
              </w:rPr>
              <w:t>Name of Selling Shareholder</w:t>
            </w:r>
          </w:p>
        </w:tc>
        <w:tc>
          <w:tcPr>
            <w:tcW w:w="166" w:type="dxa"/>
            <w:tcBorders/>
            <w:shd w:fill="auto" w:val="clear"/>
            <w:vAlign w:val="bottom"/>
          </w:tcPr>
          <w:p>
            <w:pPr>
              <w:pStyle w:val="TableContents"/>
              <w:spacing w:before="0" w:after="283"/>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w:t>
              <w:br/>
              <w:t>Beneficially</w:t>
              <w:br/>
              <w:t>Owned</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4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 of</w:t>
              <w:br/>
              <w:t>shares</w:t>
              <w:br/>
              <w:t>Beneficially</w:t>
              <w:br/>
              <w:t>Owned before</w:t>
              <w:br/>
              <w:t>the Offering</w:t>
            </w:r>
          </w:p>
        </w:tc>
        <w:tc>
          <w:tcPr>
            <w:tcW w:w="27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Being</w:t>
              <w:br/>
              <w:t>Registered in</w:t>
              <w:br/>
              <w:t>the Offering</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 of</w:t>
              <w:br/>
              <w:t>Shares</w:t>
              <w:br/>
              <w:t>Beneficially</w:t>
              <w:br/>
              <w:t>Owned after the</w:t>
              <w:br/>
              <w:t>Offering</w:t>
            </w:r>
          </w:p>
        </w:tc>
        <w:tc>
          <w:tcPr>
            <w:tcW w:w="283" w:type="dxa"/>
            <w:tcBorders/>
            <w:shd w:fill="auto" w:val="clear"/>
            <w:vAlign w:val="bottom"/>
          </w:tcPr>
          <w:p>
            <w:pPr>
              <w:pStyle w:val="TableContents"/>
              <w:spacing w:before="0" w:after="283"/>
              <w:rPr/>
            </w:pPr>
            <w:r>
              <w:rPr/>
              <w:t> </w:t>
            </w:r>
          </w:p>
        </w:tc>
      </w:tr>
      <w:tr>
        <w:trPr/>
        <w:tc>
          <w:tcPr>
            <w:tcW w:w="3047" w:type="dxa"/>
            <w:tcBorders/>
            <w:shd w:fill="CCEEFF" w:val="clear"/>
          </w:tcPr>
          <w:p>
            <w:pPr>
              <w:pStyle w:val="TableContents"/>
              <w:spacing w:before="0" w:after="0"/>
              <w:rPr>
                <w:rFonts w:ascii="ARIAL" w:hAnsi="ARIAL"/>
                <w:sz w:val="20"/>
              </w:rPr>
            </w:pPr>
            <w:r>
              <w:rPr>
                <w:rFonts w:ascii="ARIAL" w:hAnsi="ARIAL"/>
                <w:sz w:val="20"/>
              </w:rPr>
              <w:t>Novartis Pharma AG</w:t>
            </w:r>
          </w:p>
        </w:tc>
        <w:tc>
          <w:tcPr>
            <w:tcW w:w="166"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34,258,939</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43" w:type="dxa"/>
            <w:tcBorders/>
            <w:shd w:fill="CCEEFF" w:val="clear"/>
            <w:vAlign w:val="bottom"/>
          </w:tcPr>
          <w:p>
            <w:pPr>
              <w:pStyle w:val="TableContents"/>
              <w:spacing w:before="0" w:after="283"/>
              <w:jc w:val="right"/>
              <w:rPr/>
            </w:pPr>
            <w:r>
              <w:rPr/>
              <w:t>6.2</w:t>
            </w:r>
          </w:p>
        </w:tc>
        <w:tc>
          <w:tcPr>
            <w:tcW w:w="27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18.555,068</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pPr>
            <w:r>
              <w:rPr/>
              <w:t>2.9</w:t>
            </w:r>
          </w:p>
        </w:tc>
        <w:tc>
          <w:tcPr>
            <w:tcW w:w="283" w:type="dxa"/>
            <w:tcBorders/>
            <w:shd w:fill="CCEEFF" w:val="clear"/>
            <w:vAlign w:val="bottom"/>
          </w:tcPr>
          <w:p>
            <w:pPr>
              <w:pStyle w:val="TableContents"/>
              <w:spacing w:before="0" w:after="283"/>
              <w:rPr/>
            </w:pPr>
            <w:r>
              <w:rPr/>
              <w:t>% </w:t>
            </w:r>
          </w:p>
        </w:tc>
      </w:tr>
      <w:tr>
        <w:trPr/>
        <w:tc>
          <w:tcPr>
            <w:tcW w:w="3047" w:type="dxa"/>
            <w:tcBorders/>
            <w:shd w:fill="auto" w:val="clear"/>
          </w:tcPr>
          <w:p>
            <w:pPr>
              <w:pStyle w:val="TableContents"/>
              <w:spacing w:before="0" w:after="0"/>
              <w:rPr>
                <w:rFonts w:ascii="ARIAL" w:hAnsi="ARIAL"/>
                <w:sz w:val="20"/>
              </w:rPr>
            </w:pPr>
            <w:r>
              <w:rPr>
                <w:rFonts w:ascii="ARIAL" w:hAnsi="ARIAL"/>
                <w:sz w:val="20"/>
              </w:rPr>
              <w:t>Silicon Valley Bank</w:t>
            </w:r>
          </w:p>
        </w:tc>
        <w:tc>
          <w:tcPr>
            <w:tcW w:w="166"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1,243,908</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1,243,908</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0</w:t>
            </w:r>
          </w:p>
        </w:tc>
        <w:tc>
          <w:tcPr>
            <w:tcW w:w="283" w:type="dxa"/>
            <w:tcBorders/>
            <w:shd w:fill="auto" w:val="clear"/>
            <w:vAlign w:val="bottom"/>
          </w:tcPr>
          <w:p>
            <w:pPr>
              <w:pStyle w:val="TableContents"/>
              <w:spacing w:before="0" w:after="283"/>
              <w:rPr/>
            </w:pPr>
            <w:r>
              <w:rPr/>
              <w:t>% </w:t>
            </w:r>
          </w:p>
        </w:tc>
      </w:tr>
      <w:tr>
        <w:trPr/>
        <w:tc>
          <w:tcPr>
            <w:tcW w:w="3047" w:type="dxa"/>
            <w:tcBorders/>
            <w:shd w:fill="CCEEFF" w:val="clear"/>
          </w:tcPr>
          <w:p>
            <w:pPr>
              <w:pStyle w:val="TableContents"/>
              <w:spacing w:before="0" w:after="0"/>
              <w:rPr>
                <w:rFonts w:ascii="ARIAL" w:hAnsi="ARIAL"/>
                <w:sz w:val="20"/>
              </w:rPr>
            </w:pPr>
            <w:r>
              <w:rPr>
                <w:rFonts w:ascii="ARIAL" w:hAnsi="ARIAL"/>
                <w:sz w:val="20"/>
              </w:rPr>
              <w:t>Kreos Capital V (UK) Limited</w:t>
            </w:r>
          </w:p>
        </w:tc>
        <w:tc>
          <w:tcPr>
            <w:tcW w:w="166"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1,243,908</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43"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1,243,908</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pPr>
            <w:r>
              <w:rPr/>
              <w:t>0</w:t>
            </w:r>
          </w:p>
        </w:tc>
        <w:tc>
          <w:tcPr>
            <w:tcW w:w="283" w:type="dxa"/>
            <w:tcBorders/>
            <w:shd w:fill="CCEEFF" w:val="clear"/>
            <w:vAlign w:val="bottom"/>
          </w:tcPr>
          <w:p>
            <w:pPr>
              <w:pStyle w:val="TableContents"/>
              <w:spacing w:before="0" w:after="283"/>
              <w:rPr/>
            </w:pPr>
            <w:r>
              <w:rPr/>
              <w:t>% </w:t>
            </w:r>
          </w:p>
        </w:tc>
      </w:tr>
      <w:tr>
        <w:trPr/>
        <w:tc>
          <w:tcPr>
            <w:tcW w:w="3047" w:type="dxa"/>
            <w:tcBorders/>
            <w:shd w:fill="auto" w:val="clear"/>
          </w:tcPr>
          <w:p>
            <w:pPr>
              <w:pStyle w:val="TableContents"/>
              <w:spacing w:before="0" w:after="0"/>
              <w:rPr>
                <w:rFonts w:ascii="ARIAL" w:hAnsi="ARIAL"/>
                <w:sz w:val="20"/>
              </w:rPr>
            </w:pPr>
            <w:r>
              <w:rPr>
                <w:rFonts w:ascii="ARIAL" w:hAnsi="ARIAL"/>
                <w:sz w:val="20"/>
              </w:rPr>
              <w:t>Cancer Focus Fund, LP</w:t>
            </w:r>
          </w:p>
        </w:tc>
        <w:tc>
          <w:tcPr>
            <w:tcW w:w="166"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2,100,840</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2,100,840</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0</w:t>
            </w:r>
          </w:p>
        </w:tc>
        <w:tc>
          <w:tcPr>
            <w:tcW w:w="283"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Indicates less than 1%.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2" w:name="toc159178_10"/>
      <w:bookmarkEnd w:id="12"/>
      <w:r>
        <w:rPr>
          <w:rFonts w:ascii="ARIAL" w:hAnsi="ARIAL"/>
          <w:b/>
          <w:sz w:val="20"/>
        </w:rPr>
        <w:t xml:space="preserve">MATERIAL TAX CONSIDERATIONS </w:t>
      </w:r>
    </w:p>
    <w:p>
      <w:pPr>
        <w:pStyle w:val="TextBody"/>
        <w:spacing w:before="240" w:after="0"/>
        <w:jc w:val="left"/>
        <w:rPr>
          <w:rFonts w:ascii="ARIAL" w:hAnsi="ARIAL"/>
          <w:b/>
          <w:sz w:val="20"/>
        </w:rPr>
      </w:pPr>
      <w:r>
        <w:rPr>
          <w:rFonts w:ascii="ARIAL" w:hAnsi="ARIAL"/>
          <w:b/>
          <w:sz w:val="20"/>
        </w:rPr>
        <w:t xml:space="preserve">Material U.S. Federal Income Tax Considerations </w:t>
      </w:r>
    </w:p>
    <w:p>
      <w:pPr>
        <w:pStyle w:val="TextBody"/>
        <w:spacing w:before="120" w:after="0"/>
        <w:jc w:val="left"/>
        <w:rPr>
          <w:rFonts w:ascii="ARIAL" w:hAnsi="ARIAL"/>
          <w:sz w:val="20"/>
        </w:rPr>
      </w:pPr>
      <w:r>
        <w:rPr>
          <w:rFonts w:ascii="ARIAL" w:hAnsi="ARIAL"/>
          <w:sz w:val="20"/>
        </w:rPr>
        <w:t xml:space="preserve">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banks, insurance companies and other financial institutions;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real estate investment trusts or regulated investment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dealers or traders in securities that use a mark-to market method of tax accounting;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persons holding our ADSs or ordinary shares as part of a straddle, integrated transaction or similar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persons whose functional currency for U.S. federal income tax purposes is not the U.S. dollar;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entities or arrangements treated as partnerships for U.S. federal income tax purposes and their partners or investors;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tax-exempt entities, individual retirement accounts or Roth IRAs;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S corporations;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former citizens or residents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 person that is subject to special tax accounting rules under section 451(b) of the U.S. Internal Revenue Code of 1986, as amended (the Code);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persons that own or are deemed to own 10% or more of our stock by vote or value;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persons holding our ADSs or ordinary shares in connection with a trade or business outside the United States. </w:t>
            </w:r>
          </w:p>
        </w:tc>
      </w:tr>
    </w:tbl>
    <w:p>
      <w:pPr>
        <w:pStyle w:val="TextBody"/>
        <w:spacing w:before="240" w:after="0"/>
        <w:jc w:val="left"/>
        <w:rPr>
          <w:rFonts w:ascii="ARIAL" w:hAnsi="ARIAL"/>
          <w:sz w:val="20"/>
        </w:rPr>
      </w:pPr>
      <w:r>
        <w:rPr>
          <w:rFonts w:ascii="ARIAL" w:hAnsi="ARIAL"/>
          <w:sz w:val="20"/>
        </w:rPr>
        <w:t xml:space="preserve">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 </w:t>
      </w:r>
    </w:p>
    <w:p>
      <w:pPr>
        <w:pStyle w:val="TextBody"/>
        <w:spacing w:before="240" w:after="0"/>
        <w:jc w:val="left"/>
        <w:rPr>
          <w:rFonts w:ascii="ARIAL" w:hAnsi="ARIAL"/>
          <w:sz w:val="20"/>
        </w:rPr>
      </w:pPr>
      <w:r>
        <w:rPr>
          <w:rFonts w:ascii="ARIAL" w:hAnsi="ARIAL"/>
          <w:sz w:val="20"/>
        </w:rPr>
        <w:t xml:space="preserve">Persons that own or are deemed to own 10% or more of our stock by vote or value should consult their tax advisers regarding the application of the controlled foreign corporation rules to their ownership of our ADSs or ordinary shares. </w:t>
      </w:r>
    </w:p>
    <w:p>
      <w:pPr>
        <w:pStyle w:val="TextBody"/>
        <w:spacing w:before="240" w:after="0"/>
        <w:jc w:val="left"/>
        <w:rPr>
          <w:rFonts w:ascii="ARIAL" w:hAnsi="ARIAL"/>
          <w:sz w:val="20"/>
        </w:rPr>
      </w:pPr>
      <w:r>
        <w:rPr>
          <w:rFonts w:ascii="ARIAL" w:hAnsi="ARIAL"/>
          <w:sz w:val="20"/>
        </w:rPr>
        <w:t xml:space="preserve">This discussion is based on the Code, administrative pronouncements, judicial decisions, and final, temporary and proposed Treasury regulations, all as of the date hereof, any of which is subject to change, possibly with retroactive effect. </w:t>
      </w:r>
    </w:p>
    <w:p>
      <w:pPr>
        <w:pStyle w:val="TextBody"/>
        <w:spacing w:before="240" w:after="0"/>
        <w:jc w:val="left"/>
        <w:rPr>
          <w:rFonts w:ascii="ARIAL" w:hAnsi="ARIAL"/>
          <w:sz w:val="20"/>
        </w:rPr>
      </w:pPr>
      <w:r>
        <w:rPr>
          <w:rFonts w:ascii="ARIAL" w:hAnsi="ARIAL"/>
          <w:sz w:val="20"/>
        </w:rPr>
        <w:t xml:space="preserve">We have not sought and do not intend to seek any ruling from the Internal Revenue Service (the IRS) with respect to the U.S. federal income tax consequences described herein and there can be no assurance that the IRS or a court will not take a contrary position. </w:t>
      </w:r>
    </w:p>
    <w:p>
      <w:pPr>
        <w:pStyle w:val="TextBody"/>
        <w:spacing w:before="240" w:after="0"/>
        <w:jc w:val="left"/>
        <w:rPr>
          <w:rFonts w:ascii="ARIAL" w:hAnsi="ARIAL"/>
          <w:sz w:val="20"/>
        </w:rPr>
      </w:pPr>
      <w:r>
        <w:rPr>
          <w:rFonts w:ascii="ARIAL" w:hAnsi="ARIAL"/>
          <w:sz w:val="20"/>
        </w:rPr>
        <w:t xml:space="preserve">As used herein, a U.S. Holder is a person that, for U.S. federal income tax purposes, is a beneficial owner of our ADSs or ordinary shares and is: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a corporation, or other entity taxable as a corporation, created or organized in or under the laws of the United States, any state therein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 estate the income of which is subject to U.S. federal income taxation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trust that (i) is subject to the primary supervision of a court within the United States and subject to the control of one or more U.S. persons for all substantial decisions or (ii) has a valid election in effect under applicable U.S. Treasury regulations to be treated as a U.S. person. </w:t>
            </w:r>
          </w:p>
        </w:tc>
      </w:tr>
    </w:tbl>
    <w:p>
      <w:pPr>
        <w:pStyle w:val="TextBody"/>
        <w:spacing w:before="240" w:after="0"/>
        <w:jc w:val="left"/>
        <w:rPr>
          <w:rFonts w:ascii="ARIAL" w:hAnsi="ARIAL"/>
          <w:sz w:val="20"/>
        </w:rPr>
      </w:pPr>
      <w:r>
        <w:rPr>
          <w:rFonts w:ascii="ARIAL" w:hAnsi="ARIAL"/>
          <w:sz w:val="20"/>
        </w:rPr>
        <w:t xml:space="preserve">U.S. Holders should consult their tax advisers concerning the U.S. federal, state, local and non-U.S. tax consequences of owning and disposing of our ADSs or ordinary shares in their particular circumstances. </w:t>
      </w:r>
    </w:p>
    <w:p>
      <w:pPr>
        <w:pStyle w:val="TextBody"/>
        <w:spacing w:before="240" w:after="0"/>
        <w:jc w:val="left"/>
        <w:rPr>
          <w:rFonts w:ascii="ARIAL" w:hAnsi="ARIAL"/>
          <w:sz w:val="20"/>
        </w:rPr>
      </w:pPr>
      <w:r>
        <w:rPr>
          <w:rFonts w:ascii="ARIAL" w:hAnsi="ARIAL"/>
          <w:sz w:val="20"/>
        </w:rPr>
        <w:t xml:space="preserve">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 </w:t>
      </w:r>
    </w:p>
    <w:p>
      <w:pPr>
        <w:pStyle w:val="TextBody"/>
        <w:spacing w:before="240" w:after="0"/>
        <w:jc w:val="left"/>
        <w:rPr>
          <w:rFonts w:ascii="ARIAL" w:hAnsi="ARIAL"/>
          <w:b/>
          <w:i/>
          <w:sz w:val="20"/>
        </w:rPr>
      </w:pPr>
      <w:r>
        <w:rPr>
          <w:rFonts w:ascii="ARIAL" w:hAnsi="ARIAL"/>
          <w:b/>
          <w:i/>
          <w:sz w:val="20"/>
        </w:rPr>
        <w:t xml:space="preserve">Passive Foreign Investment Company Rules </w:t>
      </w:r>
    </w:p>
    <w:p>
      <w:pPr>
        <w:pStyle w:val="TextBody"/>
        <w:spacing w:before="120" w:after="0"/>
        <w:jc w:val="left"/>
        <w:rPr>
          <w:rFonts w:ascii="ARIAL" w:hAnsi="ARIAL"/>
          <w:sz w:val="20"/>
        </w:rPr>
      </w:pPr>
      <w:r>
        <w:rPr>
          <w:rFonts w:ascii="ARIAL" w:hAnsi="ARIAL"/>
          <w:sz w:val="20"/>
        </w:rPr>
        <w:t xml:space="preserve">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 </w:t>
      </w:r>
    </w:p>
    <w:p>
      <w:pPr>
        <w:pStyle w:val="TextBody"/>
        <w:spacing w:before="240" w:after="0"/>
        <w:jc w:val="left"/>
        <w:rPr>
          <w:rFonts w:ascii="ARIAL" w:hAnsi="ARIAL"/>
          <w:sz w:val="20"/>
        </w:rPr>
      </w:pPr>
      <w:r>
        <w:rPr>
          <w:rFonts w:ascii="ARIAL" w:hAnsi="ARIAL"/>
          <w:sz w:val="20"/>
        </w:rPr>
        <w:t xml:space="preserve">Based on our gross income, the average value of our assets, including goodwill, and the nature of the current stage of our business, we do not believe we were a PFIC for the year ended December 31, 2020. There can be no assurance regarding our PFIC status for the current year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Accordingly, U.S. Holders should invest in our ADSs only if they are willing to bear the U.S. federal income tax consequences associated with investments in PFICs. </w:t>
      </w:r>
    </w:p>
    <w:p>
      <w:pPr>
        <w:pStyle w:val="TextBody"/>
        <w:spacing w:before="240" w:after="0"/>
        <w:jc w:val="left"/>
        <w:rPr>
          <w:rFonts w:ascii="ARIAL" w:hAnsi="ARIAL"/>
          <w:sz w:val="20"/>
        </w:rPr>
      </w:pPr>
      <w:r>
        <w:rPr>
          <w:rFonts w:ascii="ARIAL" w:hAnsi="ARIAL"/>
          <w:sz w:val="20"/>
        </w:rPr>
        <w:t xml:space="preserve">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 </w:t>
      </w:r>
    </w:p>
    <w:p>
      <w:pPr>
        <w:pStyle w:val="TextBody"/>
        <w:spacing w:before="240" w:after="0"/>
        <w:jc w:val="left"/>
        <w:rPr>
          <w:rFonts w:ascii="ARIAL" w:hAnsi="ARIAL"/>
          <w:sz w:val="20"/>
        </w:rPr>
      </w:pPr>
      <w:r>
        <w:rPr>
          <w:rFonts w:ascii="ARIAL" w:hAnsi="ARIAL"/>
          <w:sz w:val="20"/>
        </w:rPr>
        <w:t xml:space="preserve">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 </w:t>
      </w:r>
    </w:p>
    <w:p>
      <w:pPr>
        <w:pStyle w:val="TextBody"/>
        <w:spacing w:before="240" w:after="0"/>
        <w:jc w:val="left"/>
        <w:rPr>
          <w:rFonts w:ascii="ARIAL" w:hAnsi="ARIAL"/>
          <w:sz w:val="20"/>
        </w:rPr>
      </w:pPr>
      <w:r>
        <w:rPr>
          <w:rFonts w:ascii="ARIAL" w:hAnsi="ARIAL"/>
          <w:sz w:val="20"/>
        </w:rPr>
        <w:t xml:space="preserve">To avoid the foregoing rules, a U.S. Holder can make a qualified electing fund election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 </w:t>
      </w:r>
    </w:p>
    <w:p>
      <w:pPr>
        <w:pStyle w:val="TextBody"/>
        <w:spacing w:before="240" w:after="0"/>
        <w:jc w:val="left"/>
        <w:rPr>
          <w:rFonts w:ascii="ARIAL" w:hAnsi="ARIAL"/>
          <w:sz w:val="20"/>
        </w:rPr>
      </w:pPr>
      <w:r>
        <w:rPr>
          <w:rFonts w:ascii="ARIAL" w:hAnsi="ARIAL"/>
          <w:sz w:val="20"/>
        </w:rPr>
        <w:t xml:space="preserve">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 </w:t>
      </w:r>
    </w:p>
    <w:p>
      <w:pPr>
        <w:pStyle w:val="TextBody"/>
        <w:spacing w:before="240" w:after="0"/>
        <w:jc w:val="left"/>
        <w:rPr>
          <w:rFonts w:ascii="ARIAL" w:hAnsi="ARIAL"/>
          <w:sz w:val="20"/>
        </w:rPr>
      </w:pPr>
      <w:r>
        <w:rPr>
          <w:rFonts w:ascii="ARIAL" w:hAnsi="ARIAL"/>
          <w:sz w:val="20"/>
        </w:rPr>
        <w:t>If a U.S. Holder makes a QEF Election with respect to a PFIC, the U.S. Holder will be taxed on its </w:t>
      </w:r>
      <w:r>
        <w:rPr>
          <w:rFonts w:ascii="ARIAL" w:hAnsi="ARIAL"/>
          <w:i/>
          <w:sz w:val="20"/>
        </w:rPr>
        <w:t>pro rata</w:t>
      </w:r>
      <w:r>
        <w:rPr>
          <w:rFonts w:ascii="ARIAL" w:hAnsi="ARIAL"/>
          <w:sz w:val="20"/>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 </w:t>
      </w:r>
    </w:p>
    <w:p>
      <w:pPr>
        <w:pStyle w:val="TextBody"/>
        <w:spacing w:before="240" w:after="0"/>
        <w:jc w:val="left"/>
        <w:rPr>
          <w:rFonts w:ascii="ARIAL" w:hAnsi="ARIAL"/>
          <w:sz w:val="20"/>
        </w:rPr>
      </w:pPr>
      <w:r>
        <w:rPr>
          <w:rFonts w:ascii="ARIAL" w:hAnsi="ARIAL"/>
          <w:sz w:val="20"/>
        </w:rPr>
        <w:t xml:space="preserve">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 </w:t>
      </w:r>
    </w:p>
    <w:p>
      <w:pPr>
        <w:pStyle w:val="TextBody"/>
        <w:spacing w:before="240" w:after="0"/>
        <w:jc w:val="left"/>
        <w:rPr>
          <w:rFonts w:ascii="ARIAL" w:hAnsi="ARIAL"/>
          <w:sz w:val="20"/>
        </w:rPr>
      </w:pPr>
      <w:r>
        <w:rPr>
          <w:rFonts w:ascii="ARIAL" w:hAnsi="ARIAL"/>
          <w:sz w:val="20"/>
        </w:rPr>
        <w:t>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hAnsi="ARIAL"/>
          <w:i/>
          <w:sz w:val="20"/>
        </w:rPr>
        <w:t xml:space="preserve">de minimis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 </w:t>
      </w:r>
    </w:p>
    <w:p>
      <w:pPr>
        <w:pStyle w:val="TextBody"/>
        <w:spacing w:before="240" w:after="0"/>
        <w:jc w:val="left"/>
        <w:rPr>
          <w:rFonts w:ascii="ARIAL" w:hAnsi="ARIAL"/>
          <w:sz w:val="20"/>
        </w:rPr>
      </w:pPr>
      <w:r>
        <w:rPr>
          <w:rFonts w:ascii="ARIAL" w:hAnsi="ARIAL"/>
          <w:sz w:val="20"/>
        </w:rPr>
        <w:t xml:space="preserve">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i/>
          <w:sz w:val="20"/>
        </w:rPr>
      </w:pPr>
      <w:r>
        <w:rPr>
          <w:rFonts w:ascii="ARIAL" w:hAnsi="ARIAL"/>
          <w:b/>
          <w:i/>
          <w:sz w:val="20"/>
        </w:rPr>
        <w:t xml:space="preserve">Taxation of Distributions </w:t>
      </w:r>
    </w:p>
    <w:p>
      <w:pPr>
        <w:pStyle w:val="TextBody"/>
        <w:spacing w:before="120" w:after="0"/>
        <w:jc w:val="left"/>
        <w:rPr>
          <w:rFonts w:ascii="ARIAL" w:hAnsi="ARIAL"/>
          <w:sz w:val="20"/>
        </w:rPr>
      </w:pPr>
      <w:r>
        <w:rPr>
          <w:rFonts w:ascii="ARIAL" w:hAnsi="ARIAL"/>
          <w:sz w:val="20"/>
        </w:rPr>
        <w:t xml:space="preserve">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 </w:t>
      </w:r>
    </w:p>
    <w:p>
      <w:pPr>
        <w:pStyle w:val="TextBody"/>
        <w:spacing w:before="240" w:after="0"/>
        <w:jc w:val="left"/>
        <w:rPr>
          <w:rFonts w:ascii="ARIAL" w:hAnsi="ARIAL"/>
          <w:sz w:val="20"/>
        </w:rPr>
      </w:pPr>
      <w:r>
        <w:rPr>
          <w:rFonts w:ascii="ARIAL" w:hAnsi="ARIAL"/>
          <w:sz w:val="20"/>
        </w:rPr>
        <w:t xml:space="preserve">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on the sale or retirement of an ADS or an ordinary share. </w:t>
      </w:r>
    </w:p>
    <w:p>
      <w:pPr>
        <w:pStyle w:val="TextBody"/>
        <w:spacing w:before="240" w:after="0"/>
        <w:jc w:val="left"/>
        <w:rPr>
          <w:rFonts w:ascii="ARIAL" w:hAnsi="ARIAL"/>
          <w:sz w:val="20"/>
        </w:rPr>
      </w:pPr>
      <w:r>
        <w:rPr>
          <w:rFonts w:ascii="ARIAL" w:hAnsi="ARIAL"/>
          <w:sz w:val="20"/>
        </w:rPr>
        <w:t xml:space="preserve">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 </w:t>
      </w:r>
    </w:p>
    <w:p>
      <w:pPr>
        <w:pStyle w:val="TextBody"/>
        <w:spacing w:before="240" w:after="0"/>
        <w:jc w:val="left"/>
        <w:rPr>
          <w:rFonts w:ascii="ARIAL" w:hAnsi="ARIAL"/>
          <w:b/>
          <w:i/>
          <w:sz w:val="20"/>
        </w:rPr>
      </w:pPr>
      <w:r>
        <w:rPr>
          <w:rFonts w:ascii="ARIAL" w:hAnsi="ARIAL"/>
          <w:b/>
          <w:i/>
          <w:sz w:val="20"/>
        </w:rPr>
        <w:t xml:space="preserve">Sale or Other Taxable Disposition </w:t>
      </w:r>
    </w:p>
    <w:p>
      <w:pPr>
        <w:pStyle w:val="TextBody"/>
        <w:spacing w:before="120" w:after="0"/>
        <w:jc w:val="left"/>
        <w:rPr>
          <w:rFonts w:ascii="ARIAL" w:hAnsi="ARIAL"/>
          <w:sz w:val="20"/>
        </w:rPr>
      </w:pPr>
      <w:r>
        <w:rPr>
          <w:rFonts w:ascii="ARIAL" w:hAnsi="ARIAL"/>
          <w:sz w:val="20"/>
        </w:rPr>
        <w:t xml:space="preserve">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should consult their tax advisers regarding any potential foreign currency gain or loss that may have to be recognized. </w:t>
      </w:r>
    </w:p>
    <w:p>
      <w:pPr>
        <w:pStyle w:val="TextBody"/>
        <w:spacing w:before="240" w:after="0"/>
        <w:jc w:val="left"/>
        <w:rPr>
          <w:rFonts w:ascii="ARIAL" w:hAnsi="ARIAL"/>
          <w:b/>
          <w:i/>
          <w:sz w:val="20"/>
        </w:rPr>
      </w:pPr>
      <w:r>
        <w:rPr>
          <w:rFonts w:ascii="ARIAL" w:hAnsi="ARIAL"/>
          <w:b/>
          <w:i/>
          <w:sz w:val="20"/>
        </w:rPr>
        <w:t xml:space="preserve">Information Reporting and Backup Withholding </w:t>
      </w:r>
    </w:p>
    <w:p>
      <w:pPr>
        <w:pStyle w:val="TextBody"/>
        <w:spacing w:before="120" w:after="0"/>
        <w:jc w:val="left"/>
        <w:rPr>
          <w:rFonts w:ascii="ARIAL" w:hAnsi="ARIAL"/>
          <w:sz w:val="20"/>
        </w:rPr>
      </w:pPr>
      <w:r>
        <w:rPr>
          <w:rFonts w:ascii="ARIAL" w:hAnsi="ARIAL"/>
          <w:sz w:val="20"/>
        </w:rPr>
        <w:t xml:space="preserve">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 </w:t>
      </w:r>
    </w:p>
    <w:p>
      <w:pPr>
        <w:pStyle w:val="TextBody"/>
        <w:spacing w:before="240" w:after="0"/>
        <w:jc w:val="left"/>
        <w:rPr>
          <w:rFonts w:ascii="ARIAL" w:hAnsi="ARIAL"/>
          <w:b/>
          <w:i/>
          <w:sz w:val="20"/>
        </w:rPr>
      </w:pPr>
      <w:r>
        <w:rPr>
          <w:rFonts w:ascii="ARIAL" w:hAnsi="ARIAL"/>
          <w:b/>
          <w:i/>
          <w:sz w:val="20"/>
        </w:rPr>
        <w:t xml:space="preserve">Information with Respect to Foreign Financial Assets </w:t>
      </w:r>
    </w:p>
    <w:p>
      <w:pPr>
        <w:pStyle w:val="TextBody"/>
        <w:spacing w:before="120" w:after="0"/>
        <w:jc w:val="left"/>
        <w:rPr>
          <w:rFonts w:ascii="ARIAL" w:hAnsi="ARIAL"/>
          <w:sz w:val="20"/>
        </w:rPr>
      </w:pPr>
      <w:r>
        <w:rPr>
          <w:rFonts w:ascii="ARIAL" w:hAnsi="ARIAL"/>
          <w:sz w:val="20"/>
        </w:rPr>
        <w:t xml:space="preserve">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 </w:t>
      </w:r>
    </w:p>
    <w:p>
      <w:pPr>
        <w:pStyle w:val="TextBody"/>
        <w:spacing w:before="240" w:after="0"/>
        <w:jc w:val="left"/>
        <w:rPr>
          <w:rFonts w:ascii="ARIAL" w:hAnsi="ARIAL"/>
          <w:b/>
          <w:sz w:val="20"/>
        </w:rPr>
      </w:pPr>
      <w:r>
        <w:rPr>
          <w:rFonts w:ascii="ARIAL" w:hAnsi="ARIAL"/>
          <w:b/>
          <w:sz w:val="20"/>
        </w:rPr>
        <w:t xml:space="preserve">Material United Kingdom Tax Considerations </w:t>
      </w:r>
    </w:p>
    <w:p>
      <w:pPr>
        <w:pStyle w:val="TextBody"/>
        <w:spacing w:before="120" w:after="0"/>
        <w:jc w:val="left"/>
        <w:rPr>
          <w:rFonts w:ascii="ARIAL" w:hAnsi="ARIAL"/>
          <w:sz w:val="20"/>
        </w:rPr>
      </w:pPr>
      <w:r>
        <w:rPr>
          <w:rFonts w:ascii="ARIAL" w:hAnsi="ARIAL"/>
          <w:sz w:val="20"/>
        </w:rPr>
        <w:t xml:space="preserve">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 </w:t>
      </w:r>
    </w:p>
    <w:p>
      <w:pPr>
        <w:pStyle w:val="TextBody"/>
        <w:spacing w:before="240" w:after="0"/>
        <w:jc w:val="left"/>
        <w:rPr>
          <w:rFonts w:ascii="ARIAL" w:hAnsi="ARIAL"/>
          <w:sz w:val="20"/>
        </w:rPr>
      </w:pPr>
      <w:r>
        <w:rPr>
          <w:rFonts w:ascii="ARIAL" w:hAnsi="ARIAL"/>
          <w:sz w:val="20"/>
        </w:rPr>
        <w:t xml:space="preserve">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legal or tax advice to any particular holder. Holders of our ADSs are strongly urged to consult their tax advisers in connection with the U.K. tax consequences of their investment in our ADSs. </w:t>
      </w:r>
    </w:p>
    <w:p>
      <w:pPr>
        <w:pStyle w:val="TextBody"/>
        <w:spacing w:before="240" w:after="0"/>
        <w:jc w:val="left"/>
        <w:rPr>
          <w:rFonts w:ascii="ARIAL" w:hAnsi="ARIAL"/>
          <w:b/>
          <w:i/>
          <w:sz w:val="20"/>
        </w:rPr>
      </w:pPr>
      <w:r>
        <w:rPr>
          <w:rFonts w:ascii="ARIAL" w:hAnsi="ARIAL"/>
          <w:b/>
          <w:i/>
          <w:sz w:val="20"/>
        </w:rPr>
        <w:t xml:space="preserve">U.K. Taxation of Dividends </w:t>
      </w:r>
    </w:p>
    <w:p>
      <w:pPr>
        <w:pStyle w:val="TextBody"/>
        <w:spacing w:before="120" w:after="0"/>
        <w:jc w:val="left"/>
        <w:rPr>
          <w:rFonts w:ascii="ARIAL" w:hAnsi="ARIAL"/>
          <w:sz w:val="20"/>
        </w:rPr>
      </w:pPr>
      <w:r>
        <w:rPr>
          <w:rFonts w:ascii="ARIAL" w:hAnsi="ARIAL"/>
          <w:sz w:val="20"/>
        </w:rPr>
        <w:t xml:space="preserve">Mereo will not be required to withhold amounts for or on account of U.K. tax at source when paying a dividend in respect of its ordinary shares. </w:t>
      </w:r>
    </w:p>
    <w:p>
      <w:pPr>
        <w:pStyle w:val="TextBody"/>
        <w:spacing w:before="240" w:after="0"/>
        <w:jc w:val="left"/>
        <w:rPr>
          <w:rFonts w:ascii="ARIAL" w:hAnsi="ARIAL"/>
          <w:sz w:val="20"/>
        </w:rPr>
      </w:pPr>
      <w:r>
        <w:rPr>
          <w:rFonts w:ascii="ARIAL" w:hAnsi="ARIAL"/>
          <w:sz w:val="20"/>
        </w:rPr>
        <w:t xml:space="preserve">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 </w:t>
      </w:r>
    </w:p>
    <w:p>
      <w:pPr>
        <w:pStyle w:val="TextBody"/>
        <w:spacing w:before="240" w:after="0"/>
        <w:jc w:val="left"/>
        <w:rPr>
          <w:rFonts w:ascii="ARIAL" w:hAnsi="ARIAL"/>
          <w:b/>
          <w:i/>
          <w:sz w:val="20"/>
        </w:rPr>
      </w:pPr>
      <w:r>
        <w:rPr>
          <w:rFonts w:ascii="ARIAL" w:hAnsi="ARIAL"/>
          <w:b/>
          <w:i/>
          <w:sz w:val="20"/>
        </w:rPr>
        <w:t xml:space="preserve">U.K. Taxation of Capital Gains </w:t>
      </w:r>
    </w:p>
    <w:p>
      <w:pPr>
        <w:pStyle w:val="TextBody"/>
        <w:spacing w:before="120" w:after="0"/>
        <w:jc w:val="left"/>
        <w:rPr>
          <w:rFonts w:ascii="ARIAL" w:hAnsi="ARIAL"/>
          <w:sz w:val="20"/>
        </w:rPr>
      </w:pPr>
      <w:r>
        <w:rPr>
          <w:rFonts w:ascii="ARIAL" w:hAnsi="ARIAL"/>
          <w:sz w:val="20"/>
        </w:rPr>
        <w:t xml:space="preserve">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 </w:t>
      </w:r>
    </w:p>
    <w:p>
      <w:pPr>
        <w:pStyle w:val="TextBody"/>
        <w:spacing w:before="240" w:after="0"/>
        <w:jc w:val="left"/>
        <w:rPr>
          <w:rFonts w:ascii="ARIAL" w:hAnsi="ARIAL"/>
          <w:sz w:val="20"/>
        </w:rPr>
      </w:pPr>
      <w:r>
        <w:rPr>
          <w:rFonts w:ascii="ARIAL" w:hAnsi="ARIAL"/>
          <w:sz w:val="20"/>
        </w:rPr>
        <w:t xml:space="preserve">Any such individual holder of our ADSs who is temporarily a non-resident for U.K. tax purposes will, in certain circumstances, become liable to U.K. tax on capital gains in respect of gains realized while they were not resident in the U.K. </w:t>
      </w:r>
    </w:p>
    <w:p>
      <w:pPr>
        <w:pStyle w:val="TextBody"/>
        <w:spacing w:before="240" w:after="0"/>
        <w:jc w:val="left"/>
        <w:rPr>
          <w:rFonts w:ascii="ARIAL" w:hAnsi="ARIAL"/>
          <w:sz w:val="20"/>
        </w:rPr>
      </w:pPr>
      <w:r>
        <w:rPr>
          <w:rFonts w:ascii="ARIAL" w:hAnsi="ARIAL"/>
          <w:sz w:val="20"/>
        </w:rPr>
        <w:t xml:space="preserve">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 </w:t>
      </w:r>
    </w:p>
    <w:p>
      <w:pPr>
        <w:pStyle w:val="TextBody"/>
        <w:spacing w:before="240" w:after="0"/>
        <w:jc w:val="left"/>
        <w:rPr>
          <w:rFonts w:ascii="ARIAL" w:hAnsi="ARIAL"/>
          <w:b/>
          <w:i/>
          <w:sz w:val="20"/>
        </w:rPr>
      </w:pPr>
      <w:r>
        <w:rPr>
          <w:rFonts w:ascii="ARIAL" w:hAnsi="ARIAL"/>
          <w:b/>
          <w:i/>
          <w:sz w:val="20"/>
        </w:rPr>
        <w:t xml:space="preserve">Stamp Duty and Stamp Duty Reserve Tax </w:t>
      </w:r>
    </w:p>
    <w:p>
      <w:pPr>
        <w:pStyle w:val="TextBody"/>
        <w:spacing w:before="120" w:after="0"/>
        <w:jc w:val="left"/>
        <w:rPr>
          <w:rFonts w:ascii="ARIAL" w:hAnsi="ARIAL"/>
          <w:sz w:val="20"/>
        </w:rPr>
      </w:pPr>
      <w:r>
        <w:rPr>
          <w:rFonts w:ascii="ARIAL" w:hAnsi="ARIAL"/>
          <w:sz w:val="20"/>
        </w:rPr>
        <w:t xml:space="preserve">The following statements apply to all holders, regardless of their jurisdiction of tax residence. </w:t>
      </w:r>
    </w:p>
    <w:p>
      <w:pPr>
        <w:pStyle w:val="TextBody"/>
        <w:spacing w:before="240" w:after="0"/>
        <w:jc w:val="left"/>
        <w:rPr>
          <w:rFonts w:ascii="ARIAL" w:hAnsi="ARIAL"/>
          <w:sz w:val="20"/>
        </w:rPr>
      </w:pPr>
      <w:r>
        <w:rPr>
          <w:rFonts w:ascii="ARIAL" w:hAnsi="ARIAL"/>
          <w:sz w:val="20"/>
        </w:rPr>
        <w:t xml:space="preserve">No stamp duty is payable on the issue of our ordinary shares into a depositary receipt system (such as, Mereo understands, that operated by Citibank) or a clearance service (such as, Mereo understands, DTC). Based on current published HMRC practice and case law,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 </w:t>
      </w:r>
    </w:p>
    <w:p>
      <w:pPr>
        <w:pStyle w:val="TextBody"/>
        <w:spacing w:before="240" w:after="0"/>
        <w:jc w:val="left"/>
        <w:rPr>
          <w:rFonts w:ascii="ARIAL" w:hAnsi="ARIAL"/>
          <w:sz w:val="20"/>
        </w:rPr>
      </w:pPr>
      <w:r>
        <w:rPr>
          <w:rFonts w:ascii="ARIAL" w:hAnsi="ARIAL"/>
          <w:sz w:val="20"/>
        </w:rPr>
        <w:t xml:space="preserve">Transfers of ordinary shares to, or to a nominee or agent for, a person whose business is or includes issuing depositary receipts or to, or to a nominee or agent for, a person whose business is or includes the provision of clearance services, will generally be regarded by HMRC as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 </w:t>
      </w:r>
    </w:p>
    <w:p>
      <w:pPr>
        <w:pStyle w:val="TextBody"/>
        <w:spacing w:before="240" w:after="0"/>
        <w:jc w:val="left"/>
        <w:rPr>
          <w:rFonts w:ascii="ARIAL" w:hAnsi="ARIAL"/>
          <w:sz w:val="20"/>
        </w:rPr>
      </w:pPr>
      <w:r>
        <w:rPr>
          <w:rFonts w:ascii="ARIAL" w:hAnsi="ARIAL"/>
          <w:sz w:val="20"/>
        </w:rPr>
        <w:t xml:space="preserve">No SDRT or stamp duty should be payable on paperless transfers of, or agreements to transfer, our ADSs through the facilities of DTC. </w:t>
      </w:r>
    </w:p>
    <w:p>
      <w:pPr>
        <w:pStyle w:val="TextBody"/>
        <w:spacing w:before="240" w:after="0"/>
        <w:jc w:val="left"/>
        <w:rPr>
          <w:rFonts w:ascii="ARIAL" w:hAnsi="ARIAL"/>
          <w:sz w:val="20"/>
        </w:rPr>
      </w:pPr>
      <w:r>
        <w:rPr>
          <w:rFonts w:ascii="ARIAL" w:hAnsi="ARIAL"/>
          <w:sz w:val="20"/>
        </w:rPr>
        <w:t xml:space="preserve">The transfer on sale of ordinary shares by a written instrument of transfer will generally be liable to U.K. stamp duty at the rate of 0.5% of the amount or value of the consideration for the transfer. The purchaser normally pays the stamp duty.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3" w:name="toc159178_11"/>
      <w:bookmarkEnd w:id="13"/>
      <w:r>
        <w:rPr>
          <w:rFonts w:ascii="ARIAL" w:hAnsi="ARIAL"/>
          <w:b/>
          <w:sz w:val="20"/>
        </w:rPr>
        <w:t xml:space="preserve">PLAN OF DISTRIBUTION </w:t>
      </w:r>
    </w:p>
    <w:p>
      <w:pPr>
        <w:pStyle w:val="TextBody"/>
        <w:spacing w:before="240" w:after="0"/>
        <w:jc w:val="left"/>
        <w:rPr>
          <w:rFonts w:ascii="ARIAL" w:hAnsi="ARIAL"/>
          <w:b/>
          <w:sz w:val="20"/>
        </w:rPr>
      </w:pPr>
      <w:r>
        <w:rPr>
          <w:rFonts w:ascii="ARIAL" w:hAnsi="ARIAL"/>
          <w:b/>
          <w:sz w:val="20"/>
        </w:rPr>
        <w:t xml:space="preserve">Primary Offering </w:t>
      </w:r>
    </w:p>
    <w:p>
      <w:pPr>
        <w:pStyle w:val="TextBody"/>
        <w:spacing w:before="120" w:after="0"/>
        <w:jc w:val="left"/>
        <w:rPr>
          <w:rFonts w:ascii="ARIAL" w:hAnsi="ARIAL"/>
          <w:sz w:val="20"/>
        </w:rPr>
      </w:pPr>
      <w:r>
        <w:rPr>
          <w:rFonts w:ascii="ARIAL" w:hAnsi="ARIAL"/>
          <w:sz w:val="20"/>
        </w:rPr>
        <w:t xml:space="preserve">We may sell the ADSs in one or more of the following ways (or in any combination) from time to time: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through underwriters or 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directly to a limited number of purchasers or to a single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in at-the-market offerings, within the meaning of Rule 415(a)(4) of the Securities Act, to or through a market maker or into an existing trading market on an exchange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through agents;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through any other method permitted by applicable law and described in the applicable prospectus supplement. </w:t>
            </w:r>
          </w:p>
        </w:tc>
      </w:tr>
    </w:tbl>
    <w:p>
      <w:pPr>
        <w:pStyle w:val="TextBody"/>
        <w:spacing w:before="240" w:after="0"/>
        <w:jc w:val="left"/>
        <w:rPr>
          <w:rFonts w:ascii="ARIAL" w:hAnsi="ARIAL"/>
          <w:sz w:val="20"/>
        </w:rPr>
      </w:pPr>
      <w:r>
        <w:rPr>
          <w:rFonts w:ascii="ARIAL" w:hAnsi="ARIAL"/>
          <w:sz w:val="20"/>
        </w:rPr>
        <w:t xml:space="preserve">The prospectus supplement will state the terms of the offering of the ADSs,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name or names of any underwriters, dealers or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purchase price of such securities and the proceeds to be received by us,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any underwriting discounts or agency fees and other items constituting underwriters or agents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any initial public offering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any discounts or concessions allowed or reallowed or paid to dealers;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any securities exchanges on which the securities may be listed. </w:t>
            </w:r>
          </w:p>
        </w:tc>
      </w:tr>
    </w:tbl>
    <w:p>
      <w:pPr>
        <w:pStyle w:val="TextBody"/>
        <w:spacing w:before="240" w:after="0"/>
        <w:jc w:val="left"/>
        <w:rPr>
          <w:rFonts w:ascii="ARIAL" w:hAnsi="ARIAL"/>
          <w:sz w:val="20"/>
        </w:rPr>
      </w:pPr>
      <w:r>
        <w:rPr>
          <w:rFonts w:ascii="ARIAL" w:hAnsi="ARIAL"/>
          <w:sz w:val="20"/>
        </w:rPr>
        <w:t xml:space="preserve">Any initial public offering price and any discounts or concessions allowed or reallowed or paid to dealers may be changed from time to time.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negotiated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at a fixed public offering price or prices, which may be changed;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at market prices prevailing at the time of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at prices related to prevailing market prices;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at negotiated prices. </w:t>
            </w:r>
          </w:p>
        </w:tc>
      </w:tr>
    </w:tbl>
    <w:p>
      <w:pPr>
        <w:pStyle w:val="TextBody"/>
        <w:spacing w:before="240" w:after="0"/>
        <w:jc w:val="left"/>
        <w:rPr>
          <w:rFonts w:ascii="ARIAL" w:hAnsi="ARIAL"/>
          <w:sz w:val="20"/>
        </w:rPr>
      </w:pPr>
      <w:r>
        <w:rPr>
          <w:rFonts w:ascii="ARIAL" w:hAnsi="ARIAL"/>
          <w:sz w:val="20"/>
        </w:rPr>
        <w:t xml:space="preserve">Unless otherwise stated in a prospectus supplement, the obligations of the underwriters to purchase any ADSs will be conditioned on customary closing conditions and the underwriters will be obligated to purchase all of such ADSs, if any are purchased. </w:t>
      </w:r>
    </w:p>
    <w:p>
      <w:pPr>
        <w:pStyle w:val="TextBody"/>
        <w:spacing w:before="240" w:after="0"/>
        <w:jc w:val="left"/>
        <w:rPr>
          <w:rFonts w:ascii="ARIAL" w:hAnsi="ARIAL"/>
          <w:sz w:val="20"/>
        </w:rPr>
      </w:pPr>
      <w:r>
        <w:rPr>
          <w:rFonts w:ascii="ARIAL" w:hAnsi="ARIAL"/>
          <w:sz w:val="20"/>
        </w:rPr>
        <w:t xml:space="preserve">The ADSs may be sold through agents from time to time. The prospectus supplement will name any agent involved in the offer or sale of the ADSs and any commissions paid to them. Generally, any agent will be acting on a best efforts basis for the period of its appointment. </w:t>
      </w:r>
    </w:p>
    <w:p>
      <w:pPr>
        <w:pStyle w:val="TextBody"/>
        <w:spacing w:before="240" w:after="0"/>
        <w:jc w:val="left"/>
        <w:rPr>
          <w:rFonts w:ascii="ARIAL" w:hAnsi="ARIAL"/>
          <w:sz w:val="20"/>
        </w:rPr>
      </w:pPr>
      <w:r>
        <w:rPr>
          <w:rFonts w:ascii="ARIAL" w:hAnsi="ARIAL"/>
          <w:sz w:val="20"/>
        </w:rPr>
        <w:t xml:space="preserve">Sales to or through one or more underwriters or agents in at-the-market offerings will be made pursuant to the terms of a sales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 </w:t>
      </w:r>
    </w:p>
    <w:p>
      <w:pPr>
        <w:pStyle w:val="TextBody"/>
        <w:spacing w:before="240" w:after="0"/>
        <w:jc w:val="left"/>
        <w:rPr>
          <w:rFonts w:ascii="ARIAL" w:hAnsi="ARIAL"/>
          <w:sz w:val="20"/>
        </w:rPr>
      </w:pPr>
      <w:r>
        <w:rPr>
          <w:rFonts w:ascii="ARIAL" w:hAnsi="ARIAL"/>
          <w:sz w:val="20"/>
        </w:rPr>
        <w:t xml:space="preserve">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 </w:t>
      </w:r>
    </w:p>
    <w:p>
      <w:pPr>
        <w:pStyle w:val="TextBody"/>
        <w:spacing w:before="240" w:after="0"/>
        <w:jc w:val="left"/>
        <w:rPr>
          <w:rFonts w:ascii="ARIAL" w:hAnsi="ARIAL"/>
          <w:sz w:val="20"/>
        </w:rPr>
      </w:pPr>
      <w:r>
        <w:rPr>
          <w:rFonts w:ascii="ARIAL" w:hAnsi="ARIAL"/>
          <w:sz w:val="20"/>
        </w:rPr>
        <w:t xml:space="preserve">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 </w:t>
      </w:r>
    </w:p>
    <w:p>
      <w:pPr>
        <w:pStyle w:val="TextBody"/>
        <w:spacing w:before="240" w:after="0"/>
        <w:jc w:val="left"/>
        <w:rPr>
          <w:rFonts w:ascii="ARIAL" w:hAnsi="ARIAL"/>
          <w:sz w:val="20"/>
        </w:rPr>
      </w:pPr>
      <w:r>
        <w:rPr>
          <w:rFonts w:ascii="ARIAL" w:hAnsi="ARIAL"/>
          <w:sz w:val="20"/>
        </w:rPr>
        <w:t xml:space="preserve">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 </w:t>
      </w:r>
    </w:p>
    <w:p>
      <w:pPr>
        <w:pStyle w:val="TextBody"/>
        <w:spacing w:before="240" w:after="0"/>
        <w:jc w:val="left"/>
        <w:rPr>
          <w:rFonts w:ascii="ARIAL" w:hAnsi="ARIAL"/>
          <w:sz w:val="20"/>
        </w:rPr>
      </w:pPr>
      <w:r>
        <w:rPr>
          <w:rFonts w:ascii="ARIAL" w:hAnsi="ARIAL"/>
          <w:sz w:val="20"/>
        </w:rPr>
        <w:t xml:space="preserve">Underwriters and agents may be customers of, engage in transactions with, or perform services for us and our affiliates in the ordinary course of business. </w:t>
      </w:r>
    </w:p>
    <w:p>
      <w:pPr>
        <w:pStyle w:val="TextBody"/>
        <w:spacing w:before="240" w:after="0"/>
        <w:jc w:val="left"/>
        <w:rPr>
          <w:rFonts w:ascii="ARIAL" w:hAnsi="ARIAL"/>
          <w:sz w:val="20"/>
        </w:rPr>
      </w:pPr>
      <w:r>
        <w:rPr>
          <w:rFonts w:ascii="ARIAL" w:hAnsi="ARIAL"/>
          <w:sz w:val="20"/>
        </w:rPr>
        <w:t xml:space="preserve">Any underwriters to whom ADSs are sold for public offering and sale may make a market in the securities, but such underwriters will not be obligated to do so and may discontinue any market making at any time without notice. </w:t>
      </w:r>
    </w:p>
    <w:p>
      <w:pPr>
        <w:pStyle w:val="TextBody"/>
        <w:spacing w:before="240" w:after="0"/>
        <w:jc w:val="left"/>
        <w:rPr>
          <w:rFonts w:ascii="ARIAL" w:hAnsi="ARIAL"/>
          <w:b/>
          <w:sz w:val="20"/>
        </w:rPr>
      </w:pPr>
      <w:r>
        <w:rPr>
          <w:rFonts w:ascii="ARIAL" w:hAnsi="ARIAL"/>
          <w:b/>
          <w:sz w:val="20"/>
        </w:rPr>
        <w:t xml:space="preserve">Secondary Offering </w:t>
      </w:r>
    </w:p>
    <w:p>
      <w:pPr>
        <w:pStyle w:val="TextBody"/>
        <w:spacing w:before="120" w:after="0"/>
        <w:jc w:val="left"/>
        <w:rPr>
          <w:rFonts w:ascii="ARIAL" w:hAnsi="ARIAL"/>
          <w:sz w:val="20"/>
        </w:rPr>
      </w:pPr>
      <w:r>
        <w:rPr>
          <w:rFonts w:ascii="ARIAL" w:hAnsi="ARIAL"/>
          <w:sz w:val="20"/>
        </w:rPr>
        <w:t xml:space="preserve">The registration statement of which this prospectus forms a part has been filed in part in respect of, an aggregate of 23,143,724 shares (including those issuable upon the exercise of warrants or conversion of convertible loan notes) consisting of (i) 18,555,068 ordinary shares underlying convertible loan notes and warrants issuable to Novartis under the convertible loan and warrant instruments dated February 10, 2020, as amended; (ii) 2,487,816 ordinary shares underlying warrants issuable to Silicon Valley Bank and Kreos Capital V (UK) Limited as lenders under previous loan agreements with them dated August 7, 2017 and September 28, 2018, as adjusted on December 15, 2020 that have been fully repaid; and (iii) 2,100,840 ordinary shares issued to Focus Fund in connection with our partnership agreement entered into April 30, 2021. The holders of such ordinary shares are identified in this prospectus as Selling Shareholders. Any ordinary shares offered and sold in the United States by the Selling Shareholders will be in the form of ADSs. The Selling Shareholders are also permitted to sell ordinary shares not represented by ADSs in private or offshore transactions, which resales are not covered by this prospectus. The Selling Shareholders may, or may not, elect to sell their ordinary shares represented by ADSs as and to the extent that each may individually determine. Such sales, if any, will be made through brokerage transactions on Nasdaq or other securities exchange in the United States at prevailing market prices. </w:t>
      </w:r>
    </w:p>
    <w:p>
      <w:pPr>
        <w:pStyle w:val="TextBody"/>
        <w:spacing w:before="240" w:after="0"/>
        <w:jc w:val="left"/>
        <w:rPr>
          <w:rFonts w:ascii="ARIAL" w:hAnsi="ARIAL"/>
          <w:sz w:val="20"/>
        </w:rPr>
      </w:pPr>
      <w:r>
        <w:rPr>
          <w:rFonts w:ascii="ARIAL" w:hAnsi="ARIAL"/>
          <w:sz w:val="20"/>
        </w:rPr>
        <w:t xml:space="preserve">The Selling Shareholders may dispose of all or a portion of their ordinary shares in the form of ADSs from time to time directly or through one or more underwriters, broker-dealers or agents. If ADSs representing our ordinary shares are sold through underwriters or broker-dealers, the Selling Shareholders will be responsible for any applicable underwriting discounts or commissions or agents commissions. ADSs representing our ordinary shares may be sold on Nasdaq or any other national securities exchange or quotation service on which the securities may be listed or quoted at the time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disposition, in the over-the-counter market or in transactions otherwise than on these exchanges or systems or in the over-the-counter market and in one or more transactions at fixed prices, at prevailing market prices at the time of the disposition, at varying prices determined at the time of disposition, or at negotiated prices. These dispositions may be effected in transactions, which may involve crosses or block transactions. The Selling Shareholders may use any one or more of the following methods when disposing of their ADSs: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ordinary brokerage transactions and transactions in which the broker-dealer solicits purchasers;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block trades in which the broker-dealer will attempt to sell the ADSs as agent but may position and resell a portion of the block as principal to facilitate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purchases by a broker-dealer as principal and resale by the broker-dealer for its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 exchange distribution in accordance with the rules of the applicable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privately negotiated transactions and offshore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settlement of short sales entered into after the effective date of the registration statement of which this prospectus is a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broker-dealers may agree with the Selling Shareholder to sell a specified number of such ADSs at a stipulated price per ADS;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through the writing or settlement of options or other hedging transactions, whether such options are listed on an options exchange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 combination of any such methods of disposition;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any other method permitted pursuant to applicable law. </w:t>
            </w:r>
          </w:p>
        </w:tc>
      </w:tr>
    </w:tbl>
    <w:p>
      <w:pPr>
        <w:pStyle w:val="TextBody"/>
        <w:spacing w:before="240" w:after="0"/>
        <w:jc w:val="left"/>
        <w:rPr>
          <w:rFonts w:ascii="ARIAL" w:hAnsi="ARIAL"/>
          <w:sz w:val="20"/>
        </w:rPr>
      </w:pPr>
      <w:r>
        <w:rPr>
          <w:rFonts w:ascii="ARIAL" w:hAnsi="ARIAL"/>
          <w:sz w:val="20"/>
        </w:rPr>
        <w:t xml:space="preserve">The Selling Shareholders also may resell all or a portion of their ordinary shares in offshore transactions or open market transactions in reliance upon Regulation S under the Securities Act, if available, rather than under this prospectus, provided that they meet the criteria and conform to the requirements of those provisions. </w:t>
      </w:r>
    </w:p>
    <w:p>
      <w:pPr>
        <w:pStyle w:val="TextBody"/>
        <w:spacing w:before="240" w:after="0"/>
        <w:jc w:val="left"/>
        <w:rPr>
          <w:rFonts w:ascii="ARIAL" w:hAnsi="ARIAL"/>
          <w:sz w:val="20"/>
        </w:rPr>
      </w:pPr>
      <w:r>
        <w:rPr>
          <w:rFonts w:ascii="ARIAL" w:hAnsi="ARIAL"/>
          <w:sz w:val="20"/>
        </w:rPr>
        <w:t xml:space="preserve">Broker-dealers engaged by the Selling Shareholders may arrange for other broker-dealers to participate in dispositions. If the Selling Shareholders effects such transactions by selling ADSs representing our ordinary shares to or through underwriters, broker-dealers or agents, such underwriters, broker-dealers or agents may receive applicable commissions in the form of discounts, concessions or commissions from the Selling Shareholders or commissions from purchasers of ADSs representing our ordinary shares for whom they may act as agent or to whom they may sell as principal. Such commissions, which shall be payable by the Selling Shareholders, will be in amounts to be negotiated, but, except as set forth in a supplement to this prospectus, in the case of an agency transaction will not be in excess of a customary brokerage commission in compliance with applicable FINRA rules and regulations. </w:t>
      </w:r>
    </w:p>
    <w:p>
      <w:pPr>
        <w:pStyle w:val="TextBody"/>
        <w:spacing w:before="240" w:after="0"/>
        <w:jc w:val="left"/>
        <w:rPr>
          <w:rFonts w:ascii="ARIAL" w:hAnsi="ARIAL"/>
          <w:sz w:val="20"/>
        </w:rPr>
      </w:pPr>
      <w:r>
        <w:rPr>
          <w:rFonts w:ascii="ARIAL" w:hAnsi="ARIAL"/>
          <w:sz w:val="20"/>
        </w:rPr>
        <w:t xml:space="preserve">In connection with dispositions of ADSs representing their ordinary shares, the Selling Shareholders may enter into hedging transactions with broker-dealers or other financial institutions, which may in turn engage in short sales of ADSs representing their ordinary shares in the course of hedging in positions they assume. The Selling Shareholders may also sell ADSs representing their ordinary shares short and, if such short sale shall take place after the date that the registration statement of which this prospectus forms a part is declared effective by the Securities and Exchange Commission, the Selling Shareholders may deliver ADSs representing such shares to close out short positions and to return borrowed shares in connection with such short sales. The Selling Shareholders may also loan or pledge ADSs representing their ordinary shares to broker-dealers that in turn may sell such shares, to the extent permitted by applicable law. The Selling Shareholders may also enter into option or other transactions with broker-dealers or other financial institutions or the creation of one or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more derivative securities which require the delivery to such broker-dealer or other financial institution of ADSs, which ADSs such broker-dealer or other financial institution may resell pursuant to this prospectus (as supplemented or amended to reflect such transaction). Notwithstanding the foregoing, the Selling Shareholders have been advised that it may not use their ADSs to cover short sales of our ADSs made prior to the date the registration statement of which this prospectus forms a part has been declared effective by the SEC. </w:t>
      </w:r>
    </w:p>
    <w:p>
      <w:pPr>
        <w:pStyle w:val="TextBody"/>
        <w:spacing w:before="240" w:after="0"/>
        <w:jc w:val="left"/>
        <w:rPr>
          <w:rFonts w:ascii="ARIAL" w:hAnsi="ARIAL"/>
          <w:sz w:val="20"/>
        </w:rPr>
      </w:pPr>
      <w:r>
        <w:rPr>
          <w:rFonts w:ascii="ARIAL" w:hAnsi="ARIAL"/>
          <w:sz w:val="20"/>
        </w:rPr>
        <w:t xml:space="preserve">The Selling Shareholders and any broker-dealer or agents participating in the distribution of the ADSs representing their ordinary shares may be deemed to be underwriters within the meaning of Section 2(a)(11) of the Securities Act in connection with such dispositions. In such event, any commissions paid, or any discounts or concessions allowed to, any such broker-dealer or agent and any profit on the resale of the ADSs representing our ordinary shares purchased by them may be deemed to be underwriting commissions or discounts under the Securities Act. If the Selling Shareholders are underwriters within the meaning of Section 2(a)(11) of the Securities Act they will be subject to the applicable prospectus delivery requirements of the Securities Act including Rule 172 thereunder and may be subject to certain statutory liabilities thereof, including but not limited to, Sections 11, 12 and 17 of the Securities Act and Rule 10b-5 under the Securities Exchange Act of 1934, as amended, or the Exchange Act.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4" w:name="toc159178_12"/>
      <w:bookmarkEnd w:id="14"/>
      <w:r>
        <w:rPr>
          <w:rFonts w:ascii="ARIAL" w:hAnsi="ARIAL"/>
          <w:b/>
          <w:sz w:val="20"/>
        </w:rPr>
        <w:t xml:space="preserve">EXPENSES </w:t>
      </w:r>
    </w:p>
    <w:p>
      <w:pPr>
        <w:pStyle w:val="TextBody"/>
        <w:spacing w:before="240" w:after="0"/>
        <w:jc w:val="left"/>
        <w:rPr>
          <w:rFonts w:ascii="ARIAL" w:hAnsi="ARIAL"/>
          <w:sz w:val="20"/>
        </w:rPr>
      </w:pPr>
      <w:r>
        <w:rPr>
          <w:rFonts w:ascii="ARIAL" w:hAnsi="ARIAL"/>
          <w:sz w:val="20"/>
        </w:rPr>
        <w:t xml:space="preserve">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 </w:t>
      </w:r>
    </w:p>
    <w:p>
      <w:pPr>
        <w:pStyle w:val="TextBody"/>
        <w:spacing w:before="0" w:after="0"/>
        <w:jc w:val="left"/>
        <w:rPr/>
      </w:pPr>
      <w:r>
        <w:rPr/>
        <w:t> </w:t>
      </w:r>
    </w:p>
    <w:tbl>
      <w:tblPr>
        <w:tblW w:w="4700" w:type="pct"/>
        <w:jc w:val="center"/>
        <w:tblInd w:w="0" w:type="dxa"/>
        <w:tblCellMar>
          <w:top w:w="0" w:type="dxa"/>
          <w:left w:w="0" w:type="dxa"/>
          <w:bottom w:w="0" w:type="dxa"/>
          <w:right w:w="0" w:type="dxa"/>
        </w:tblCellMar>
      </w:tblPr>
      <w:tblGrid>
        <w:gridCol w:w="7777"/>
        <w:gridCol w:w="274"/>
        <w:gridCol w:w="140"/>
        <w:gridCol w:w="1039"/>
        <w:gridCol w:w="362"/>
      </w:tblGrid>
      <w:tr>
        <w:trPr/>
        <w:tc>
          <w:tcPr>
            <w:tcW w:w="777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7777" w:type="dxa"/>
            <w:tcBorders/>
            <w:shd w:fill="CCEEFF" w:val="clear"/>
          </w:tcPr>
          <w:p>
            <w:pPr>
              <w:pStyle w:val="TableContents"/>
              <w:spacing w:before="0" w:after="0"/>
              <w:rPr>
                <w:rFonts w:ascii="ARIAL" w:hAnsi="ARIAL"/>
                <w:sz w:val="20"/>
              </w:rPr>
            </w:pPr>
            <w:r>
              <w:rPr>
                <w:rFonts w:ascii="ARIAL" w:hAnsi="ARIAL"/>
                <w:sz w:val="20"/>
              </w:rPr>
              <w:t>SEC registration fee</w:t>
            </w:r>
          </w:p>
        </w:tc>
        <w:tc>
          <w:tcPr>
            <w:tcW w:w="27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39" w:type="dxa"/>
            <w:tcBorders/>
            <w:shd w:fill="CCEEFF" w:val="clear"/>
            <w:vAlign w:val="bottom"/>
          </w:tcPr>
          <w:p>
            <w:pPr>
              <w:pStyle w:val="TableContents"/>
              <w:spacing w:before="0" w:after="283"/>
              <w:jc w:val="right"/>
              <w:rPr/>
            </w:pPr>
            <w:r>
              <w:rPr/>
              <w:t>28,598.09</w:t>
            </w:r>
          </w:p>
        </w:tc>
        <w:tc>
          <w:tcPr>
            <w:tcW w:w="362" w:type="dxa"/>
            <w:tcBorders/>
            <w:shd w:fill="CCEEFF" w:val="clear"/>
            <w:vAlign w:val="bottom"/>
          </w:tcPr>
          <w:p>
            <w:pPr>
              <w:pStyle w:val="TableContents"/>
              <w:spacing w:before="0" w:after="283"/>
              <w:rPr/>
            </w:pPr>
            <w:r>
              <w:rPr/>
              <w:t>* </w:t>
            </w:r>
          </w:p>
        </w:tc>
      </w:tr>
      <w:tr>
        <w:trPr/>
        <w:tc>
          <w:tcPr>
            <w:tcW w:w="7777" w:type="dxa"/>
            <w:tcBorders/>
            <w:shd w:fill="auto" w:val="clear"/>
          </w:tcPr>
          <w:p>
            <w:pPr>
              <w:pStyle w:val="TableContents"/>
              <w:spacing w:before="0" w:after="0"/>
              <w:rPr>
                <w:rFonts w:ascii="ARIAL" w:hAnsi="ARIAL"/>
                <w:sz w:val="20"/>
              </w:rPr>
            </w:pPr>
            <w:r>
              <w:rPr>
                <w:rFonts w:ascii="ARIAL" w:hAnsi="ARIAL"/>
                <w:sz w:val="20"/>
              </w:rPr>
              <w:t>FINRA filing fee</w:t>
            </w:r>
          </w:p>
        </w:tc>
        <w:tc>
          <w:tcPr>
            <w:tcW w:w="27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39" w:type="dxa"/>
            <w:tcBorders/>
            <w:shd w:fill="auto" w:val="clear"/>
            <w:vAlign w:val="bottom"/>
          </w:tcPr>
          <w:p>
            <w:pPr>
              <w:pStyle w:val="TableContents"/>
              <w:spacing w:before="0" w:after="283"/>
              <w:jc w:val="right"/>
              <w:rPr/>
            </w:pPr>
            <w:r>
              <w:rPr/>
              <w:t>39,819.10</w:t>
            </w:r>
          </w:p>
        </w:tc>
        <w:tc>
          <w:tcPr>
            <w:tcW w:w="362" w:type="dxa"/>
            <w:tcBorders/>
            <w:shd w:fill="auto" w:val="clear"/>
            <w:vAlign w:val="bottom"/>
          </w:tcPr>
          <w:p>
            <w:pPr>
              <w:pStyle w:val="TableContents"/>
              <w:spacing w:before="0" w:after="283"/>
              <w:rPr/>
            </w:pPr>
            <w:r>
              <w:rPr/>
              <w:t>** </w:t>
            </w:r>
          </w:p>
        </w:tc>
      </w:tr>
      <w:tr>
        <w:trPr/>
        <w:tc>
          <w:tcPr>
            <w:tcW w:w="7777" w:type="dxa"/>
            <w:tcBorders/>
            <w:shd w:fill="CCEEFF" w:val="clear"/>
          </w:tcPr>
          <w:p>
            <w:pPr>
              <w:pStyle w:val="TableContents"/>
              <w:spacing w:before="0" w:after="0"/>
              <w:rPr>
                <w:rFonts w:ascii="ARIAL" w:hAnsi="ARIAL"/>
                <w:sz w:val="20"/>
              </w:rPr>
            </w:pPr>
            <w:r>
              <w:rPr>
                <w:rFonts w:ascii="ARIAL" w:hAnsi="ARIAL"/>
                <w:sz w:val="20"/>
              </w:rPr>
              <w:t>Legal fees and expenses</w:t>
            </w:r>
          </w:p>
        </w:tc>
        <w:tc>
          <w:tcPr>
            <w:tcW w:w="27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pPr>
            <w:r>
              <w:rPr/>
              <w:t>(1) </w:t>
            </w:r>
          </w:p>
        </w:tc>
      </w:tr>
      <w:tr>
        <w:trPr/>
        <w:tc>
          <w:tcPr>
            <w:tcW w:w="7777" w:type="dxa"/>
            <w:tcBorders/>
            <w:shd w:fill="auto" w:val="clear"/>
          </w:tcPr>
          <w:p>
            <w:pPr>
              <w:pStyle w:val="TableContents"/>
              <w:spacing w:before="0" w:after="0"/>
              <w:rPr>
                <w:rFonts w:ascii="ARIAL" w:hAnsi="ARIAL"/>
                <w:sz w:val="20"/>
              </w:rPr>
            </w:pPr>
            <w:r>
              <w:rPr>
                <w:rFonts w:ascii="ARIAL" w:hAnsi="ARIAL"/>
                <w:sz w:val="20"/>
              </w:rPr>
              <w:t>Accounting fees and expenses</w:t>
            </w:r>
          </w:p>
        </w:tc>
        <w:tc>
          <w:tcPr>
            <w:tcW w:w="27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(1) </w:t>
            </w:r>
          </w:p>
        </w:tc>
      </w:tr>
      <w:tr>
        <w:trPr/>
        <w:tc>
          <w:tcPr>
            <w:tcW w:w="7777" w:type="dxa"/>
            <w:tcBorders/>
            <w:shd w:fill="CCEEFF" w:val="clear"/>
          </w:tcPr>
          <w:p>
            <w:pPr>
              <w:pStyle w:val="TableContents"/>
              <w:spacing w:before="0" w:after="0"/>
              <w:rPr>
                <w:rFonts w:ascii="ARIAL" w:hAnsi="ARIAL"/>
                <w:sz w:val="20"/>
              </w:rPr>
            </w:pPr>
            <w:r>
              <w:rPr>
                <w:rFonts w:ascii="ARIAL" w:hAnsi="ARIAL"/>
                <w:sz w:val="20"/>
              </w:rPr>
              <w:t>Printing expenses</w:t>
            </w:r>
          </w:p>
        </w:tc>
        <w:tc>
          <w:tcPr>
            <w:tcW w:w="27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pPr>
            <w:r>
              <w:rPr/>
              <w:t>(1) </w:t>
            </w:r>
          </w:p>
        </w:tc>
      </w:tr>
      <w:tr>
        <w:trPr/>
        <w:tc>
          <w:tcPr>
            <w:tcW w:w="7777" w:type="dxa"/>
            <w:tcBorders/>
            <w:shd w:fill="auto" w:val="clear"/>
          </w:tcPr>
          <w:p>
            <w:pPr>
              <w:pStyle w:val="TableContents"/>
              <w:spacing w:before="0" w:after="0"/>
              <w:rPr>
                <w:rFonts w:ascii="ARIAL" w:hAnsi="ARIAL"/>
                <w:sz w:val="20"/>
              </w:rPr>
            </w:pPr>
            <w:r>
              <w:rPr>
                <w:rFonts w:ascii="ARIAL" w:hAnsi="ARIAL"/>
                <w:sz w:val="20"/>
              </w:rPr>
              <w:t>Miscellaneous expenses</w:t>
            </w:r>
          </w:p>
        </w:tc>
        <w:tc>
          <w:tcPr>
            <w:tcW w:w="27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(1) </w:t>
            </w:r>
          </w:p>
        </w:tc>
      </w:tr>
      <w:tr>
        <w:trPr/>
        <w:tc>
          <w:tcPr>
            <w:tcW w:w="7777"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39" w:type="dxa"/>
            <w:tcBorders/>
            <w:shd w:fill="auto" w:val="clear"/>
            <w:vAlign w:val="bottom"/>
          </w:tcPr>
          <w:p>
            <w:pPr>
              <w:pStyle w:val="TableContents"/>
              <w:pBdr>
                <w:top w:val="single" w:sz="2" w:space="1" w:color="000000"/>
              </w:pBdr>
              <w:spacing w:before="0" w:after="0"/>
              <w:rPr/>
            </w:pPr>
            <w:r>
              <w:rPr/>
              <w:t> </w:t>
            </w:r>
          </w:p>
        </w:tc>
        <w:tc>
          <w:tcPr>
            <w:tcW w:w="362" w:type="dxa"/>
            <w:tcBorders/>
            <w:shd w:fill="auto" w:val="clear"/>
            <w:vAlign w:val="center"/>
          </w:tcPr>
          <w:p>
            <w:pPr>
              <w:pStyle w:val="TableContents"/>
              <w:spacing w:before="0" w:after="283"/>
              <w:rPr/>
            </w:pPr>
            <w:r>
              <w:rPr/>
              <w:t> </w:t>
            </w:r>
          </w:p>
        </w:tc>
      </w:tr>
      <w:tr>
        <w:trPr/>
        <w:tc>
          <w:tcPr>
            <w:tcW w:w="7777" w:type="dxa"/>
            <w:tcBorders/>
            <w:shd w:fill="CCEEFF" w:val="clear"/>
          </w:tcPr>
          <w:p>
            <w:pPr>
              <w:pStyle w:val="TableContents"/>
              <w:spacing w:before="0" w:after="0"/>
              <w:rPr>
                <w:rFonts w:ascii="ARIAL" w:hAnsi="ARIAL"/>
                <w:sz w:val="20"/>
              </w:rPr>
            </w:pPr>
            <w:r>
              <w:rPr>
                <w:rFonts w:ascii="ARIAL" w:hAnsi="ARIAL"/>
                <w:sz w:val="20"/>
              </w:rPr>
              <w:t>Total</w:t>
            </w:r>
          </w:p>
        </w:tc>
        <w:tc>
          <w:tcPr>
            <w:tcW w:w="27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39" w:type="dxa"/>
            <w:tcBorders/>
            <w:shd w:fill="CCEEFF" w:val="clear"/>
            <w:vAlign w:val="bottom"/>
          </w:tcPr>
          <w:p>
            <w:pPr>
              <w:pStyle w:val="TableContents"/>
              <w:spacing w:before="0" w:after="283"/>
              <w:jc w:val="right"/>
              <w:rPr/>
            </w:pPr>
            <w:r>
              <w:rPr/>
              <w:t> </w:t>
            </w:r>
          </w:p>
        </w:tc>
        <w:tc>
          <w:tcPr>
            <w:tcW w:w="362" w:type="dxa"/>
            <w:tcBorders/>
            <w:shd w:fill="CCEEFF" w:val="clear"/>
            <w:vAlign w:val="bottom"/>
          </w:tcPr>
          <w:p>
            <w:pPr>
              <w:pStyle w:val="TableContents"/>
              <w:spacing w:before="0" w:after="283"/>
              <w:rPr/>
            </w:pPr>
            <w:r>
              <w:rPr/>
              <w:t>(1) </w:t>
            </w:r>
          </w:p>
        </w:tc>
      </w:tr>
      <w:tr>
        <w:trPr/>
        <w:tc>
          <w:tcPr>
            <w:tcW w:w="7777"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39" w:type="dxa"/>
            <w:tcBorders/>
            <w:shd w:fill="auto" w:val="clear"/>
            <w:vAlign w:val="bottom"/>
          </w:tcPr>
          <w:p>
            <w:pPr>
              <w:pStyle w:val="TableContents"/>
              <w:pBdr>
                <w:top w:val="single" w:sz="2" w:space="1" w:color="000000"/>
              </w:pBdr>
              <w:spacing w:before="0" w:after="0"/>
              <w:rPr/>
            </w:pPr>
            <w:r>
              <w:rPr/>
              <w:t> </w:t>
            </w:r>
          </w:p>
        </w:tc>
        <w:tc>
          <w:tcPr>
            <w:tcW w:w="362"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Includes the $9,218 previously paid in connection with unsold securities as set forth in the calculation of registration fee table above.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Includes the $12,673.88 previously paid in connection with unsold securities as set forth in the calculation of registration fee table above.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To be provided by a prospectus supplement or a Report on Form 6K that is incorporated by reference into this prospectus.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5" w:name="toc159178_13"/>
      <w:bookmarkEnd w:id="15"/>
      <w:r>
        <w:rPr>
          <w:rFonts w:ascii="ARIAL" w:hAnsi="ARIAL"/>
          <w:b/>
          <w:sz w:val="20"/>
        </w:rPr>
        <w:t xml:space="preserve">LEGAL MATTERS </w:t>
      </w:r>
    </w:p>
    <w:p>
      <w:pPr>
        <w:pStyle w:val="TextBody"/>
        <w:spacing w:before="360" w:after="0"/>
        <w:jc w:val="left"/>
        <w:rPr>
          <w:rFonts w:ascii="ARIAL" w:hAnsi="ARIAL"/>
          <w:sz w:val="20"/>
        </w:rPr>
      </w:pPr>
      <w:r>
        <w:rPr>
          <w:rFonts w:ascii="ARIAL" w:hAnsi="ARIAL"/>
          <w:sz w:val="20"/>
        </w:rPr>
        <w:t xml:space="preserve">Mayer Brown LLP has passed upon certain legal matters regarding the securities offered hereby. The validity of the ordinary shares underlying the ADSs to be offered pursuant to this prospectus will be passed upon for us by Mayer Brown International LLP. Any underwriters, dealers or agents will be advised by their own legal counsel concerning issues relating to any offering. </w:t>
      </w:r>
    </w:p>
    <w:p>
      <w:pPr>
        <w:pStyle w:val="TextBody"/>
        <w:spacing w:before="360" w:after="0"/>
        <w:jc w:val="center"/>
        <w:rPr>
          <w:rFonts w:ascii="ARIAL" w:hAnsi="ARIAL"/>
          <w:b/>
          <w:sz w:val="20"/>
        </w:rPr>
      </w:pPr>
      <w:bookmarkStart w:id="16" w:name="toc159178_14"/>
      <w:bookmarkEnd w:id="16"/>
      <w:r>
        <w:rPr>
          <w:rFonts w:ascii="ARIAL" w:hAnsi="ARIAL"/>
          <w:b/>
          <w:sz w:val="20"/>
        </w:rPr>
        <w:t xml:space="preserve">EXPERTS </w:t>
      </w:r>
    </w:p>
    <w:p>
      <w:pPr>
        <w:pStyle w:val="TextBody"/>
        <w:spacing w:before="360" w:after="0"/>
        <w:jc w:val="left"/>
        <w:rPr>
          <w:rFonts w:ascii="ARIAL" w:hAnsi="ARIAL"/>
          <w:sz w:val="20"/>
        </w:rPr>
      </w:pPr>
      <w:r>
        <w:rPr>
          <w:rFonts w:ascii="ARIAL" w:hAnsi="ARIAL"/>
          <w:sz w:val="20"/>
        </w:rPr>
        <w:t xml:space="preserve">The consolidated financial statements of Mereo BioPharma Group plc appearing in Mereo BioPharma Group plcs Annual Report (Form 20-F)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spacing w:before="240" w:after="0"/>
        <w:jc w:val="left"/>
        <w:rPr>
          <w:rFonts w:ascii="ARIAL" w:hAnsi="ARIAL"/>
          <w:sz w:val="20"/>
        </w:rPr>
      </w:pPr>
      <w:r>
        <w:rPr>
          <w:rFonts w:ascii="ARIAL" w:hAnsi="ARIAL"/>
          <w:sz w:val="20"/>
        </w:rPr>
        <w:t xml:space="preserve">The registered business address of Ernst &amp; Young LLP is Apex Plaza, Forbury Road, Reading, RG1 1YE, United Kingdom.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7" w:name="toc159178_15"/>
      <w:bookmarkEnd w:id="17"/>
      <w:r>
        <w:rPr>
          <w:rFonts w:ascii="ARIAL" w:hAnsi="ARIAL"/>
          <w:b/>
          <w:sz w:val="20"/>
        </w:rPr>
        <w:t xml:space="preserve">SERVICE OF PROCESS AND ENFORCEMENT OF LIABILITIES </w:t>
      </w:r>
    </w:p>
    <w:p>
      <w:pPr>
        <w:pStyle w:val="TextBody"/>
        <w:spacing w:before="360" w:after="0"/>
        <w:jc w:val="left"/>
        <w:rPr>
          <w:rFonts w:ascii="ARIAL" w:hAnsi="ARIAL"/>
          <w:sz w:val="20"/>
        </w:rPr>
      </w:pPr>
      <w:r>
        <w:rPr>
          <w:rFonts w:ascii="ARIAL" w:hAnsi="ARIAL"/>
          <w:sz w:val="20"/>
        </w:rPr>
        <w:t xml:space="preserve">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 </w:t>
      </w:r>
    </w:p>
    <w:p>
      <w:pPr>
        <w:pStyle w:val="TextBody"/>
        <w:spacing w:before="240" w:after="0"/>
        <w:jc w:val="left"/>
        <w:rPr>
          <w:rFonts w:ascii="ARIAL" w:hAnsi="ARIAL"/>
          <w:sz w:val="20"/>
        </w:rPr>
      </w:pPr>
      <w:r>
        <w:rPr>
          <w:rFonts w:ascii="ARIAL" w:hAnsi="ARIAL"/>
          <w:sz w:val="20"/>
        </w:rPr>
        <w:t xml:space="preserve">In addition, uncertainty exists as to whether the courts of England and Wales would: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recognize or enforce judgments of United States courts obtained against us or our directors or officers predicated upon the civil liabilities provisions of the securities laws of the United States or any state in the United States;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entertain original actions brought in England and Wales against us or our directors or officers predicated upon the securities laws of the United States or any state in the United States. </w:t>
            </w:r>
          </w:p>
        </w:tc>
      </w:tr>
    </w:tbl>
    <w:p>
      <w:pPr>
        <w:pStyle w:val="TextBody"/>
        <w:spacing w:before="240" w:after="0"/>
        <w:jc w:val="left"/>
        <w:rPr>
          <w:rFonts w:ascii="ARIAL" w:hAnsi="ARIAL"/>
          <w:sz w:val="20"/>
        </w:rPr>
      </w:pPr>
      <w:r>
        <w:rPr>
          <w:rFonts w:ascii="ARIAL" w:hAnsi="ARIAL"/>
          <w:sz w:val="20"/>
        </w:rPr>
        <w:t xml:space="preserve">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U.S. judgment was final and conclusive in the sense of being final and unalterable in the court that pronounced it and being for a definite sum of money and it is currently enforceable in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judgment given by the courts was not in respect of penalties, taxes, fines, or similar fiscal or revenue obligations (or otherwise based on a U.S. law that an English court considers to relate to a penal, revenue or other public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judgment was not procured by fraud;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judgment was not obtained following a breach of a jurisdictional or arbitration clause, unless with the agreement of the defendant or the defendants subsequent submission to the jurisdiction of the court;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recognition or enforcement of the judgment in England and Wales would not be contrary to public policy or the Human Rights Act 1998;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proceedings pursuant to which judgment was obtained were not contrary to natural justice;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there is not a prior conflicting decision of an English court or the court of another jurisdiction whose judgment the English court recognizes on the issues in question between the same parties. </w:t>
            </w:r>
          </w:p>
        </w:tc>
      </w:tr>
    </w:tbl>
    <w:p>
      <w:pPr>
        <w:pStyle w:val="TextBody"/>
        <w:spacing w:before="240" w:after="0"/>
        <w:jc w:val="left"/>
        <w:rPr>
          <w:rFonts w:ascii="ARIAL" w:hAnsi="ARIAL"/>
          <w:sz w:val="20"/>
        </w:rPr>
      </w:pPr>
      <w:r>
        <w:rPr>
          <w:rFonts w:ascii="ARIAL" w:hAnsi="ARIAL"/>
          <w:sz w:val="20"/>
        </w:rPr>
        <w:t xml:space="preserve">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 </w:t>
      </w:r>
    </w:p>
    <w:p>
      <w:pPr>
        <w:pStyle w:val="TextBody"/>
        <w:spacing w:before="240" w:after="0"/>
        <w:jc w:val="left"/>
        <w:rPr>
          <w:rFonts w:ascii="ARIAL" w:hAnsi="ARIAL"/>
          <w:sz w:val="20"/>
        </w:rPr>
      </w:pPr>
      <w:r>
        <w:rPr>
          <w:rFonts w:ascii="ARIAL" w:hAnsi="ARIAL"/>
          <w:sz w:val="20"/>
        </w:rPr>
        <w:t xml:space="preserve">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 </w:t>
      </w:r>
    </w:p>
    <w:p>
      <w:pPr>
        <w:pStyle w:val="TextBody"/>
        <w:spacing w:before="240" w:after="0"/>
        <w:jc w:val="left"/>
        <w:rPr>
          <w:rFonts w:ascii="ARIAL" w:hAnsi="ARIAL"/>
          <w:sz w:val="20"/>
        </w:rPr>
      </w:pPr>
      <w:r>
        <w:rPr>
          <w:rFonts w:ascii="ARIAL" w:hAnsi="ARIAL"/>
          <w:sz w:val="20"/>
        </w:rPr>
        <w:t xml:space="preserve">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8" w:name="toc159178_16"/>
      <w:bookmarkEnd w:id="18"/>
      <w:r>
        <w:rPr>
          <w:rFonts w:ascii="ARIAL" w:hAnsi="ARIAL"/>
          <w:b/>
          <w:sz w:val="20"/>
        </w:rPr>
        <w:t xml:space="preserve">WHERE YOU CAN FIND MORE INFORMATION </w:t>
      </w:r>
    </w:p>
    <w:p>
      <w:pPr>
        <w:pStyle w:val="TextBody"/>
        <w:spacing w:before="360" w:after="0"/>
        <w:jc w:val="left"/>
        <w:rPr>
          <w:rFonts w:ascii="ARIAL" w:hAnsi="ARIAL"/>
          <w:sz w:val="20"/>
        </w:rPr>
      </w:pPr>
      <w:r>
        <w:rPr>
          <w:rFonts w:ascii="ARIAL" w:hAnsi="ARIAL"/>
          <w:sz w:val="20"/>
        </w:rPr>
        <w:t xml:space="preserve">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spacing w:before="240" w:after="0"/>
        <w:jc w:val="left"/>
        <w:rPr>
          <w:rFonts w:ascii="ARIAL" w:hAnsi="ARIAL"/>
          <w:sz w:val="20"/>
        </w:rPr>
      </w:pPr>
      <w:r>
        <w:rPr>
          <w:rFonts w:ascii="ARIAL" w:hAnsi="ARIAL"/>
          <w:sz w:val="20"/>
        </w:rPr>
        <w:t xml:space="preserve">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 </w:t>
      </w:r>
    </w:p>
    <w:p>
      <w:pPr>
        <w:pStyle w:val="TextBody"/>
        <w:spacing w:before="240" w:after="0"/>
        <w:jc w:val="left"/>
        <w:rPr>
          <w:rFonts w:ascii="ARIAL" w:hAnsi="ARIAL"/>
          <w:sz w:val="20"/>
        </w:rPr>
      </w:pPr>
      <w:r>
        <w:rPr>
          <w:rFonts w:ascii="ARIAL" w:hAnsi="ARIAL"/>
          <w:sz w:val="20"/>
        </w:rPr>
        <w:t xml:space="preserve">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t>
      </w:r>
    </w:p>
    <w:p>
      <w:pPr>
        <w:pStyle w:val="TextBody"/>
        <w:spacing w:before="240" w:after="0"/>
        <w:jc w:val="left"/>
        <w:rPr>
          <w:rFonts w:ascii="ARIAL" w:hAnsi="ARIAL"/>
          <w:sz w:val="20"/>
        </w:rPr>
      </w:pPr>
      <w:r>
        <w:rPr>
          <w:rFonts w:ascii="ARIAL" w:hAnsi="ARIAL"/>
          <w:sz w:val="20"/>
        </w:rPr>
        <w:t xml:space="preserve">We maintain a corporate website at https://www.mereobiopharma.com. Information contained on, or that can be accessed through, our website does not constitute a part of this prospectus and our website address is included in this prospectus as an inactive textual reference only.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9" w:name="toc159178_17"/>
      <w:bookmarkEnd w:id="19"/>
      <w:r>
        <w:rPr>
          <w:rFonts w:ascii="ARIAL" w:hAnsi="ARIAL"/>
          <w:b/>
          <w:sz w:val="20"/>
        </w:rPr>
        <w:t xml:space="preserve">INCORPORATION BY REFERENCE </w:t>
      </w:r>
    </w:p>
    <w:p>
      <w:pPr>
        <w:pStyle w:val="TextBody"/>
        <w:spacing w:before="360" w:after="0"/>
        <w:jc w:val="left"/>
        <w:rPr>
          <w:rFonts w:ascii="ARIAL" w:hAnsi="ARIAL"/>
          <w:sz w:val="20"/>
        </w:rPr>
      </w:pPr>
      <w:r>
        <w:rPr>
          <w:rFonts w:ascii="ARIAL" w:hAnsi="ARIAL"/>
          <w:sz w:val="20"/>
        </w:rPr>
        <w:t xml:space="preserve">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pPr>
            <w:r>
              <w:rPr>
                <w:rFonts w:ascii="ARIAL" w:hAnsi="ARIAL"/>
                <w:sz w:val="20"/>
              </w:rPr>
              <w:t xml:space="preserve">Our Annual Report on </w:t>
            </w:r>
            <w:hyperlink r:id="rId3">
              <w:r>
                <w:rPr>
                  <w:rStyle w:val="InternetLink"/>
                  <w:rFonts w:ascii="ARIAL" w:hAnsi="ARIAL"/>
                  <w:sz w:val="20"/>
                </w:rPr>
                <w:t>Form 20-F</w:t>
              </w:r>
            </w:hyperlink>
            <w:r>
              <w:rPr>
                <w:rFonts w:ascii="ARIAL" w:hAnsi="ARIAL"/>
                <w:sz w:val="20"/>
              </w:rPr>
              <w:t xml:space="preserve"> for the year ended December 31, 2020, filed with the SEC on March 31,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pPr>
            <w:r>
              <w:rPr>
                <w:rFonts w:ascii="ARIAL" w:hAnsi="ARIAL"/>
                <w:sz w:val="20"/>
              </w:rPr>
              <w:t xml:space="preserve">Our report on </w:t>
            </w:r>
            <w:hyperlink r:id="rId4">
              <w:r>
                <w:rPr>
                  <w:rStyle w:val="InternetLink"/>
                  <w:rFonts w:ascii="ARIAL" w:hAnsi="ARIAL"/>
                  <w:sz w:val="20"/>
                </w:rPr>
                <w:t>Form 6-K</w:t>
              </w:r>
            </w:hyperlink>
            <w:r>
              <w:rPr>
                <w:rFonts w:ascii="ARIAL" w:hAnsi="ARIAL"/>
                <w:sz w:val="20"/>
              </w:rPr>
              <w:t xml:space="preserve"> furnished to the SEC on July 20, 2021;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pPr>
            <w:r>
              <w:rPr>
                <w:rFonts w:ascii="ARIAL" w:hAnsi="ARIAL"/>
                <w:sz w:val="20"/>
              </w:rPr>
              <w:t xml:space="preserve">The description of our ordinary shares contained in Item 1 of the Registration Statement on </w:t>
            </w:r>
            <w:hyperlink r:id="rId5">
              <w:r>
                <w:rPr>
                  <w:rStyle w:val="InternetLink"/>
                  <w:rFonts w:ascii="ARIAL" w:hAnsi="ARIAL"/>
                  <w:sz w:val="20"/>
                </w:rPr>
                <w:t>Form 8-A</w:t>
              </w:r>
            </w:hyperlink>
            <w:r>
              <w:rPr>
                <w:rFonts w:ascii="ARIAL" w:hAnsi="ARIAL"/>
                <w:sz w:val="20"/>
              </w:rPr>
              <w:t xml:space="preserve">, File No. 001-38452, originally filed with the SEC on April 9, 2018 and subsequently amended on April  15, 2019, as updated by </w:t>
            </w:r>
            <w:hyperlink r:id="rId6">
              <w:r>
                <w:rPr>
                  <w:rStyle w:val="InternetLink"/>
                  <w:rFonts w:ascii="ARIAL" w:hAnsi="ARIAL"/>
                  <w:sz w:val="20"/>
                </w:rPr>
                <w:t>Exhibit 2.2 to the 2020 Form 20-F</w:t>
              </w:r>
            </w:hyperlink>
            <w:r>
              <w:rPr>
                <w:rFonts w:ascii="ARIAL" w:hAnsi="ARIAL"/>
                <w:sz w:val="20"/>
              </w:rPr>
              <w:t xml:space="preserve">, including the Description of Ordinary Shares and the Description of American Depositary Shares contained therein and any amendment or report filed for the purpose of further updating such descriptions. </w:t>
            </w:r>
          </w:p>
        </w:tc>
      </w:tr>
    </w:tbl>
    <w:p>
      <w:pPr>
        <w:pStyle w:val="TextBody"/>
        <w:spacing w:before="240" w:after="0"/>
        <w:jc w:val="left"/>
        <w:rPr>
          <w:rFonts w:ascii="ARIAL" w:hAnsi="ARIAL"/>
          <w:sz w:val="20"/>
        </w:rPr>
      </w:pPr>
      <w:r>
        <w:rPr>
          <w:rFonts w:ascii="ARIAL" w:hAnsi="ARIAL"/>
          <w:sz w:val="20"/>
        </w:rPr>
        <w:t xml:space="preserve">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 </w:t>
      </w:r>
    </w:p>
    <w:p>
      <w:pPr>
        <w:pStyle w:val="TextBody"/>
        <w:spacing w:before="240" w:after="0"/>
        <w:jc w:val="left"/>
        <w:rPr>
          <w:rFonts w:ascii="ARIAL" w:hAnsi="ARIAL"/>
          <w:sz w:val="20"/>
        </w:rPr>
      </w:pPr>
      <w:r>
        <w:rPr>
          <w:rFonts w:ascii="ARIAL" w:hAnsi="ARIAL"/>
          <w:sz w:val="20"/>
        </w:rPr>
        <w:t xml:space="preserve">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 </w:t>
      </w:r>
    </w:p>
    <w:p>
      <w:pPr>
        <w:pStyle w:val="TextBody"/>
        <w:spacing w:before="240" w:after="0"/>
        <w:jc w:val="left"/>
        <w:rPr>
          <w:rFonts w:ascii="ARIAL" w:hAnsi="ARIAL"/>
          <w:sz w:val="20"/>
        </w:rPr>
      </w:pPr>
      <w:r>
        <w:rPr>
          <w:rFonts w:ascii="ARIAL" w:hAnsi="ARIAL"/>
          <w:sz w:val="20"/>
        </w:rPr>
        <w:t xml:space="preserve">We will provide to each person, including any beneficial owner, to whom this prospectus is delivered, a copy of these filings, at no cost, upon written or oral request to us at the following address: </w:t>
      </w:r>
    </w:p>
    <w:p>
      <w:pPr>
        <w:pStyle w:val="TextBody"/>
        <w:spacing w:before="120" w:after="0"/>
        <w:jc w:val="left"/>
        <w:rPr>
          <w:rFonts w:ascii="ARIAL" w:hAnsi="ARIAL"/>
          <w:sz w:val="20"/>
        </w:rPr>
      </w:pPr>
      <w:r>
        <w:rPr>
          <w:rFonts w:ascii="ARIAL" w:hAnsi="ARIAL"/>
          <w:sz w:val="20"/>
        </w:rPr>
        <w:t xml:space="preserve">Mereo BioPharma Group plc </w:t>
      </w:r>
    </w:p>
    <w:p>
      <w:pPr>
        <w:pStyle w:val="TextBody"/>
        <w:spacing w:before="0" w:after="0"/>
        <w:jc w:val="left"/>
        <w:rPr>
          <w:rFonts w:ascii="ARIAL" w:hAnsi="ARIAL"/>
          <w:sz w:val="20"/>
        </w:rPr>
      </w:pPr>
      <w:r>
        <w:rPr>
          <w:rFonts w:ascii="ARIAL" w:hAnsi="ARIAL"/>
          <w:sz w:val="20"/>
        </w:rPr>
        <w:t xml:space="preserve">1 Cavendish Place </w:t>
      </w:r>
    </w:p>
    <w:p>
      <w:pPr>
        <w:pStyle w:val="TextBody"/>
        <w:spacing w:before="0" w:after="0"/>
        <w:jc w:val="left"/>
        <w:rPr>
          <w:rFonts w:ascii="ARIAL" w:hAnsi="ARIAL"/>
          <w:sz w:val="20"/>
        </w:rPr>
      </w:pPr>
      <w:r>
        <w:rPr>
          <w:rFonts w:ascii="ARIAL" w:hAnsi="ARIAL"/>
          <w:sz w:val="20"/>
        </w:rPr>
        <w:t xml:space="preserve">4th Floor </w:t>
      </w:r>
    </w:p>
    <w:p>
      <w:pPr>
        <w:pStyle w:val="TextBody"/>
        <w:spacing w:before="0" w:after="0"/>
        <w:jc w:val="left"/>
        <w:rPr>
          <w:rFonts w:ascii="ARIAL" w:hAnsi="ARIAL"/>
          <w:sz w:val="20"/>
        </w:rPr>
      </w:pPr>
      <w:r>
        <w:rPr>
          <w:rFonts w:ascii="ARIAL" w:hAnsi="ARIAL"/>
          <w:sz w:val="20"/>
        </w:rPr>
        <w:t xml:space="preserve">London, W1G 0QF </w:t>
      </w:r>
    </w:p>
    <w:p>
      <w:pPr>
        <w:pStyle w:val="TextBody"/>
        <w:spacing w:before="0" w:after="0"/>
        <w:jc w:val="left"/>
        <w:rPr>
          <w:rFonts w:ascii="ARIAL" w:hAnsi="ARIAL"/>
          <w:sz w:val="20"/>
        </w:rPr>
      </w:pPr>
      <w:r>
        <w:rPr>
          <w:rFonts w:ascii="ARIAL" w:hAnsi="ARIAL"/>
          <w:sz w:val="20"/>
        </w:rPr>
        <w:t xml:space="preserve">United Kingdom </w:t>
      </w:r>
    </w:p>
    <w:p>
      <w:pPr>
        <w:pStyle w:val="TextBody"/>
        <w:spacing w:before="0" w:after="0"/>
        <w:jc w:val="left"/>
        <w:rPr>
          <w:rFonts w:ascii="ARIAL" w:hAnsi="ARIAL"/>
          <w:sz w:val="20"/>
        </w:rPr>
      </w:pPr>
      <w:r>
        <w:rPr>
          <w:rFonts w:ascii="ARIAL" w:hAnsi="ARIAL"/>
          <w:sz w:val="20"/>
        </w:rPr>
        <w:t xml:space="preserve">Tel: +44-333-023-7300 </w:t>
      </w:r>
    </w:p>
    <w:p>
      <w:pPr>
        <w:pStyle w:val="TextBody"/>
        <w:spacing w:before="0" w:after="0"/>
        <w:jc w:val="left"/>
        <w:rPr>
          <w:rFonts w:ascii="ARIAL" w:hAnsi="ARIAL"/>
          <w:sz w:val="20"/>
        </w:rPr>
      </w:pPr>
      <w:r>
        <w:rPr>
          <w:rFonts w:ascii="ARIAL" w:hAnsi="ARIAL"/>
          <w:sz w:val="20"/>
        </w:rPr>
        <w:t xml:space="preserve">Attention: Investor Relations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D6284A"/>
          <w:sz w:val="20"/>
        </w:rPr>
      </w:pPr>
      <w:r>
        <w:rPr>
          <w:rFonts w:ascii="ARIAL" w:hAnsi="ARIAL"/>
          <w:color w:val="D6284A"/>
          <w:sz w:val="20"/>
        </w:rPr>
        <w:t xml:space="preserve">The information in this prospectus supplement is not complete and may be changed. We may not sell these securities until the registration statement filed with the Securities and Exchange Commission is effective. This prospectus supplement is not an offer to sell these securities, and we are not soliciting an offer to buy these securities in any state where the offer or sale is not permitted.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232"/>
        <w:gridCol w:w="1973"/>
      </w:tblGrid>
      <w:tr>
        <w:trPr/>
        <w:tc>
          <w:tcPr>
            <w:tcW w:w="8232" w:type="dxa"/>
            <w:tcBorders/>
            <w:shd w:fill="auto" w:val="clear"/>
          </w:tcPr>
          <w:p>
            <w:pPr>
              <w:pStyle w:val="TableContents"/>
              <w:spacing w:before="0" w:after="20"/>
              <w:rPr>
                <w:rFonts w:ascii="ARIAL" w:hAnsi="ARIAL"/>
                <w:b/>
                <w:color w:val="D6284A"/>
                <w:sz w:val="20"/>
              </w:rPr>
            </w:pPr>
            <w:r>
              <w:rPr>
                <w:rFonts w:ascii="ARIAL" w:hAnsi="ARIAL"/>
                <w:b/>
                <w:color w:val="D6284A"/>
                <w:sz w:val="20"/>
              </w:rPr>
              <w:t xml:space="preserve">PROSPECTUS SUPPLEMENT (Subject to completion) </w:t>
            </w:r>
          </w:p>
        </w:tc>
        <w:tc>
          <w:tcPr>
            <w:tcW w:w="1973" w:type="dxa"/>
            <w:tcBorders/>
            <w:shd w:fill="auto" w:val="clear"/>
          </w:tcPr>
          <w:p>
            <w:pPr>
              <w:pStyle w:val="TableContents"/>
              <w:spacing w:before="0" w:after="20"/>
              <w:jc w:val="right"/>
              <w:rPr>
                <w:rFonts w:ascii="ARIAL" w:hAnsi="ARIAL"/>
                <w:b/>
                <w:color w:val="D6284A"/>
                <w:sz w:val="20"/>
              </w:rPr>
            </w:pPr>
            <w:r>
              <w:rPr>
                <w:rFonts w:ascii="ARIAL" w:hAnsi="ARIAL"/>
                <w:b/>
                <w:color w:val="D6284A"/>
                <w:sz w:val="20"/>
              </w:rPr>
              <w:t xml:space="preserve">Dated August 5, 2021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1767840" cy="644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767840" cy="644525"/>
                    </a:xfrm>
                    <a:prstGeom prst="rect">
                      <a:avLst/>
                    </a:prstGeom>
                  </pic:spPr>
                </pic:pic>
              </a:graphicData>
            </a:graphic>
          </wp:inline>
        </w:drawing>
      </w:r>
      <w:r>
        <w:rPr/>
        <w:t xml:space="preserve"> </w:t>
      </w:r>
    </w:p>
    <w:p>
      <w:pPr>
        <w:pStyle w:val="TextBody"/>
        <w:spacing w:before="240" w:after="0"/>
        <w:jc w:val="center"/>
        <w:rPr>
          <w:rFonts w:ascii="ARIAL" w:hAnsi="ARIAL"/>
          <w:b/>
          <w:sz w:val="28"/>
        </w:rPr>
      </w:pPr>
      <w:r>
        <w:rPr>
          <w:rFonts w:ascii="ARIAL" w:hAnsi="ARIAL"/>
          <w:b/>
          <w:sz w:val="28"/>
        </w:rPr>
        <w:t xml:space="preserve">Up to $50,000,000 American Depositary Shares </w:t>
      </w:r>
    </w:p>
    <w:p>
      <w:pPr>
        <w:pStyle w:val="TextBody"/>
        <w:spacing w:before="240" w:after="0"/>
        <w:jc w:val="center"/>
        <w:rPr>
          <w:rFonts w:ascii="ARIAL" w:hAnsi="ARIAL"/>
          <w:b/>
          <w:sz w:val="28"/>
        </w:rPr>
      </w:pPr>
      <w:r>
        <w:rPr>
          <w:rFonts w:ascii="ARIAL" w:hAnsi="ARIAL"/>
          <w:b/>
          <w:sz w:val="28"/>
        </w:rPr>
        <w:t xml:space="preserve">Representing Ordinary Shares </w:t>
      </w:r>
    </w:p>
    <w:p>
      <w:pPr>
        <w:pStyle w:val="TextBody"/>
        <w:spacing w:before="480" w:after="0"/>
        <w:jc w:val="left"/>
        <w:rPr>
          <w:rFonts w:ascii="ARIAL" w:hAnsi="ARIAL"/>
          <w:sz w:val="20"/>
        </w:rPr>
      </w:pPr>
      <w:r>
        <w:rPr>
          <w:rFonts w:ascii="ARIAL" w:hAnsi="ARIAL"/>
          <w:sz w:val="20"/>
        </w:rPr>
        <w:t xml:space="preserve">We have entered into an Open Market Sale AgreementSM (the Sale Agreement) with Jefferies LLC, or Jefferies, relating to the American Depository Shares (the ADSs) offered by this prospectus supplement and the accompanying prospectus. In accordance with the terms of the sales agreement, under this prospectus supplement, we may offer and sell our ADSs having an aggregate offering price of up to $50,000,000 from time to time through Jefferies acting as our agent. </w:t>
      </w:r>
    </w:p>
    <w:p>
      <w:pPr>
        <w:pStyle w:val="TextBody"/>
        <w:spacing w:before="240" w:after="0"/>
        <w:jc w:val="left"/>
        <w:rPr>
          <w:rFonts w:ascii="ARIAL" w:hAnsi="ARIAL"/>
          <w:sz w:val="20"/>
        </w:rPr>
      </w:pPr>
      <w:r>
        <w:rPr>
          <w:rFonts w:ascii="ARIAL" w:hAnsi="ARIAL"/>
          <w:sz w:val="20"/>
        </w:rPr>
        <w:t xml:space="preserve">Our ADSs are traded on the Nasdaq Global Market, or the Nasdaq, under the symbol MREO. On August 4, 2021, the last reported sale price of our ADSs on the Nasdaq was $2.60 per ADS. </w:t>
      </w:r>
    </w:p>
    <w:p>
      <w:pPr>
        <w:pStyle w:val="TextBody"/>
        <w:spacing w:before="240" w:after="0"/>
        <w:jc w:val="left"/>
        <w:rPr>
          <w:rFonts w:ascii="ARIAL" w:hAnsi="ARIAL"/>
          <w:sz w:val="20"/>
        </w:rPr>
      </w:pPr>
      <w:r>
        <w:rPr>
          <w:rFonts w:ascii="ARIAL" w:hAnsi="ARIAL"/>
          <w:sz w:val="20"/>
        </w:rPr>
        <w:t xml:space="preserve">Sales of our ADSs, if any, under this prospectus supplement will be made by any method deemed to be an at-the-market offering, as defined in Rule 415(a)(4) promulgated under the Securities Act of 1933, as amended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 </w:t>
      </w:r>
    </w:p>
    <w:p>
      <w:pPr>
        <w:pStyle w:val="TextBody"/>
        <w:spacing w:before="240" w:after="0"/>
        <w:jc w:val="left"/>
        <w:rPr>
          <w:rFonts w:ascii="ARIAL" w:hAnsi="ARIAL"/>
          <w:sz w:val="20"/>
        </w:rPr>
      </w:pPr>
      <w:r>
        <w:rPr>
          <w:rFonts w:ascii="ARIAL" w:hAnsi="ARIAL"/>
          <w:sz w:val="20"/>
        </w:rPr>
        <w:t xml:space="preserve">The compensation to Jefferies for sales of ADSs sold pursuant to the sales agreement will be an amount equal to 3% of the gross proceeds of any ADSs sold under the sales agreement. In connection with the sale of the ADSs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See Plan of Distribution beginning on page S-18 for additional information regarding the compensation to be paid to Jefferies. </w:t>
      </w:r>
    </w:p>
    <w:p>
      <w:pPr>
        <w:pStyle w:val="TextBody"/>
        <w:spacing w:before="240" w:after="0"/>
        <w:jc w:val="left"/>
        <w:rPr>
          <w:rFonts w:ascii="ARIAL" w:hAnsi="ARIAL"/>
          <w:sz w:val="20"/>
        </w:rPr>
      </w:pPr>
      <w:r>
        <w:rPr>
          <w:rFonts w:ascii="ARIAL" w:hAnsi="ARIAL"/>
          <w:sz w:val="20"/>
        </w:rPr>
        <w:t xml:space="preserve">We are both an emerging growth company and a foreign private issuer as defined under the Securities Act, and, as such, are subject to reduced public company reporting requirements. </w:t>
      </w:r>
    </w:p>
    <w:p>
      <w:pPr>
        <w:pStyle w:val="TextBody"/>
        <w:spacing w:before="240" w:after="0"/>
        <w:jc w:val="left"/>
        <w:rPr/>
      </w:pPr>
      <w:r>
        <w:rPr>
          <w:rFonts w:ascii="ARIAL" w:hAnsi="ARIAL"/>
          <w:b/>
          <w:sz w:val="20"/>
        </w:rPr>
        <w:t>Investing in our ADSs involves a high degree of risk. See </w:t>
      </w:r>
      <w:hyperlink w:anchor="supptoc159178_5">
        <w:r>
          <w:rPr>
            <w:rStyle w:val="InternetLink"/>
            <w:rFonts w:ascii="ARIAL" w:hAnsi="ARIAL"/>
            <w:b/>
            <w:sz w:val="20"/>
          </w:rPr>
          <w:t>Risk Factors</w:t>
        </w:r>
      </w:hyperlink>
      <w:r>
        <w:rPr>
          <w:rFonts w:ascii="ARIAL" w:hAnsi="ARIAL"/>
          <w:b/>
          <w:sz w:val="20"/>
        </w:rPr>
        <w:t xml:space="preserve"> on page S-8 of this prospectus supplement and in the documents incorporated by reference into this prospectus supplement concerning factors you should consider before investing in our ADSs. </w:t>
      </w:r>
    </w:p>
    <w:p>
      <w:pPr>
        <w:pStyle w:val="TextBody"/>
        <w:spacing w:before="240" w:after="0"/>
        <w:jc w:val="left"/>
        <w:rPr>
          <w:rFonts w:ascii="ARIAL" w:hAnsi="ARIAL"/>
          <w:b/>
          <w:sz w:val="20"/>
        </w:rPr>
      </w:pPr>
      <w:r>
        <w:rPr>
          <w:rFonts w:ascii="ARIAL" w:hAnsi="ARIAL"/>
          <w:b/>
          <w:sz w:val="20"/>
        </w:rPr>
        <w:t xml:space="preserve">Neither the U.S.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spacing w:before="240" w:after="0"/>
        <w:jc w:val="center"/>
        <w:rPr>
          <w:rFonts w:ascii="ARIAL" w:hAnsi="ARIAL"/>
          <w:b/>
          <w:sz w:val="32"/>
        </w:rPr>
      </w:pPr>
      <w:r>
        <w:rPr>
          <w:rFonts w:ascii="ARIAL" w:hAnsi="ARIAL"/>
          <w:b/>
          <w:sz w:val="32"/>
        </w:rPr>
        <w:t xml:space="preserve">Jefferies </w:t>
      </w:r>
    </w:p>
    <w:p>
      <w:pPr>
        <w:pStyle w:val="TextBody"/>
        <w:spacing w:before="240" w:after="0"/>
        <w:jc w:val="center"/>
        <w:rPr>
          <w:rFonts w:ascii="ARIAL" w:hAnsi="ARIAL"/>
          <w:b/>
          <w:sz w:val="20"/>
        </w:rPr>
      </w:pPr>
      <w:r>
        <w:rPr>
          <w:rFonts w:ascii="ARIAL" w:hAnsi="ARIAL"/>
          <w:b/>
          <w:sz w:val="20"/>
        </w:rPr>
        <w:t xml:space="preserve">The date of this prospectus supplement is                , 2021.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0" w:name="toc1"/>
      <w:bookmarkEnd w:id="20"/>
      <w:r>
        <w:rPr>
          <w:rFonts w:ascii="ARIAL" w:hAnsi="ARIAL"/>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74"/>
        <w:gridCol w:w="101"/>
        <w:gridCol w:w="61"/>
        <w:gridCol w:w="308"/>
        <w:gridCol w:w="61"/>
      </w:tblGrid>
      <w:tr>
        <w:trPr/>
        <w:tc>
          <w:tcPr>
            <w:tcW w:w="967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9674" w:type="dxa"/>
            <w:tcBorders/>
            <w:shd w:fill="auto" w:val="clear"/>
          </w:tcPr>
          <w:p>
            <w:pPr>
              <w:pStyle w:val="TableContents"/>
              <w:spacing w:before="0" w:after="0"/>
              <w:rPr/>
            </w:pPr>
            <w:hyperlink w:anchor="supptoc159178_1">
              <w:r>
                <w:rPr>
                  <w:rStyle w:val="InternetLink"/>
                  <w:rFonts w:ascii="ARIAL" w:hAnsi="ARIAL"/>
                  <w:sz w:val="20"/>
                </w:rPr>
                <w:t>ABOUT THIS PROSPECTUS SUPPLEMENT</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S-1</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2">
              <w:r>
                <w:rPr>
                  <w:rStyle w:val="InternetLink"/>
                  <w:rFonts w:ascii="ARIAL" w:hAnsi="ARIAL"/>
                  <w:sz w:val="20"/>
                </w:rPr>
                <w:t>CAUTIONARY STATEMENT REGARDING FORWARD-LOOKING STATEMENTS</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S-2</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3">
              <w:r>
                <w:rPr>
                  <w:rStyle w:val="InternetLink"/>
                  <w:rFonts w:ascii="ARIAL" w:hAnsi="ARIAL"/>
                  <w:sz w:val="20"/>
                </w:rPr>
                <w:t>PROSPECTUS SUPPLEMENT SUMMARY</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S-4</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4">
              <w:r>
                <w:rPr>
                  <w:rStyle w:val="InternetLink"/>
                  <w:rFonts w:ascii="ARIAL" w:hAnsi="ARIAL"/>
                  <w:sz w:val="20"/>
                </w:rPr>
                <w:t>THE OFFERING</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S-7</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5">
              <w:r>
                <w:rPr>
                  <w:rStyle w:val="InternetLink"/>
                  <w:rFonts w:ascii="ARIAL" w:hAnsi="ARIAL"/>
                  <w:sz w:val="20"/>
                </w:rPr>
                <w:t>RISK FACTORS</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S-8</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6">
              <w:r>
                <w:rPr>
                  <w:rStyle w:val="InternetLink"/>
                  <w:rFonts w:ascii="ARIAL" w:hAnsi="ARIAL"/>
                  <w:sz w:val="20"/>
                </w:rPr>
                <w:t>USE OF PROCEEDS</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S-10</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6a">
              <w:r>
                <w:rPr>
                  <w:rStyle w:val="InternetLink"/>
                  <w:rFonts w:ascii="ARIAL" w:hAnsi="ARIAL"/>
                  <w:sz w:val="20"/>
                </w:rPr>
                <w:t>DILUTION</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S-11</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7">
              <w:r>
                <w:rPr>
                  <w:rStyle w:val="InternetLink"/>
                  <w:rFonts w:ascii="ARIAL" w:hAnsi="ARIAL"/>
                  <w:sz w:val="20"/>
                </w:rPr>
                <w:t>PLAN OF DISTRIBUTION</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S-12</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8">
              <w:r>
                <w:rPr>
                  <w:rStyle w:val="InternetLink"/>
                  <w:rFonts w:ascii="ARIAL" w:hAnsi="ARIAL"/>
                  <w:sz w:val="20"/>
                </w:rPr>
                <w:t>LEGAL MATTERS</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S-14</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9">
              <w:r>
                <w:rPr>
                  <w:rStyle w:val="InternetLink"/>
                  <w:rFonts w:ascii="ARIAL" w:hAnsi="ARIAL"/>
                  <w:sz w:val="20"/>
                </w:rPr>
                <w:t>EXPERTS</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S-15</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10">
              <w:r>
                <w:rPr>
                  <w:rStyle w:val="InternetLink"/>
                  <w:rFonts w:ascii="ARIAL" w:hAnsi="ARIAL"/>
                  <w:sz w:val="20"/>
                </w:rPr>
                <w:t>WHERE YOU CAN FIND MORE INFORMATION</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S-16</w:t>
            </w:r>
          </w:p>
        </w:tc>
        <w:tc>
          <w:tcPr>
            <w:tcW w:w="61" w:type="dxa"/>
            <w:tcBorders/>
            <w:shd w:fill="auto" w:val="clear"/>
            <w:vAlign w:val="bottom"/>
          </w:tcPr>
          <w:p>
            <w:pPr>
              <w:pStyle w:val="TableContents"/>
              <w:spacing w:before="0" w:after="283"/>
              <w:rPr/>
            </w:pPr>
            <w:r>
              <w:rPr/>
              <w:t> </w:t>
            </w:r>
          </w:p>
        </w:tc>
      </w:tr>
      <w:tr>
        <w:trPr/>
        <w:tc>
          <w:tcPr>
            <w:tcW w:w="9674" w:type="dxa"/>
            <w:tcBorders/>
            <w:shd w:fill="auto" w:val="clear"/>
          </w:tcPr>
          <w:p>
            <w:pPr>
              <w:pStyle w:val="TableContents"/>
              <w:spacing w:before="0" w:after="0"/>
              <w:rPr/>
            </w:pPr>
            <w:hyperlink w:anchor="supptoc159178_11">
              <w:r>
                <w:rPr>
                  <w:rStyle w:val="InternetLink"/>
                  <w:rFonts w:ascii="ARIAL" w:hAnsi="ARIAL"/>
                  <w:sz w:val="20"/>
                </w:rPr>
                <w:t>INCORPORATION BY REFERENCE</w:t>
              </w:r>
            </w:hyperlink>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pPr>
            <w:r>
              <w:rPr/>
              <w:t>S-17</w:t>
            </w:r>
          </w:p>
        </w:tc>
        <w:tc>
          <w:tcPr>
            <w:tcW w:w="61"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1" w:name="supptoc159178_1"/>
      <w:bookmarkEnd w:id="21"/>
      <w:r>
        <w:rPr>
          <w:rFonts w:ascii="ARIAL" w:hAnsi="ARIAL"/>
          <w:b/>
          <w:sz w:val="20"/>
        </w:rPr>
        <w:t xml:space="preserve">ABOUT THIS PROSPECTUS SUPPLEMENT </w:t>
      </w:r>
    </w:p>
    <w:p>
      <w:pPr>
        <w:pStyle w:val="TextBody"/>
        <w:spacing w:before="240" w:after="0"/>
        <w:jc w:val="left"/>
        <w:rPr>
          <w:rFonts w:ascii="ARIAL" w:hAnsi="ARIAL"/>
          <w:sz w:val="20"/>
        </w:rPr>
      </w:pPr>
      <w:r>
        <w:rPr>
          <w:rFonts w:ascii="ARIAL" w:hAnsi="ARIAL"/>
          <w:sz w:val="20"/>
        </w:rPr>
        <w:t xml:space="preserve">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ADSs having an aggregate offering price of up to $50,000,000 under this prospectus supplement at prices and on terms to be determined by market conditions at the time of the offering. </w:t>
      </w:r>
    </w:p>
    <w:p>
      <w:pPr>
        <w:pStyle w:val="TextBody"/>
        <w:spacing w:before="240" w:after="0"/>
        <w:jc w:val="left"/>
        <w:rPr>
          <w:rFonts w:ascii="ARIAL" w:hAnsi="ARIAL"/>
          <w:sz w:val="20"/>
        </w:rPr>
      </w:pPr>
      <w:r>
        <w:rPr>
          <w:rFonts w:ascii="ARIAL" w:hAnsi="ARIAL"/>
          <w:sz w:val="20"/>
        </w:rPr>
        <w:t xml:space="preserve">Before buying any of the ADSs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 </w:t>
      </w:r>
    </w:p>
    <w:p>
      <w:pPr>
        <w:pStyle w:val="TextBody"/>
        <w:spacing w:before="240" w:after="0"/>
        <w:jc w:val="left"/>
        <w:rPr>
          <w:rFonts w:ascii="ARIAL" w:hAnsi="ARIAL"/>
          <w:sz w:val="20"/>
        </w:rPr>
      </w:pPr>
      <w:r>
        <w:rPr>
          <w:rFonts w:ascii="ARIAL" w:hAnsi="ARIAL"/>
          <w:sz w:val="20"/>
        </w:rPr>
        <w:t xml:space="preserve">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 </w:t>
      </w:r>
    </w:p>
    <w:p>
      <w:pPr>
        <w:pStyle w:val="TextBody"/>
        <w:spacing w:before="240" w:after="0"/>
        <w:jc w:val="left"/>
        <w:rPr>
          <w:rFonts w:ascii="ARIAL" w:hAnsi="ARIAL"/>
          <w:sz w:val="20"/>
        </w:rPr>
      </w:pPr>
      <w:r>
        <w:rPr>
          <w:rFonts w:ascii="ARIAL" w:hAnsi="ARIAL"/>
          <w:sz w:val="20"/>
        </w:rPr>
        <w:t xml:space="preserve">You should rely only on the information contained in or incorporated by reference in this prospectus supplement and any related free writing prospectus filed by us with the SEC. We have not, and Jefferies LLC has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spacing w:before="240" w:after="0"/>
        <w:jc w:val="left"/>
        <w:rPr>
          <w:rFonts w:ascii="ARIAL" w:hAnsi="ARIAL"/>
          <w:sz w:val="20"/>
        </w:rPr>
      </w:pPr>
      <w:r>
        <w:rPr>
          <w:rFonts w:ascii="ARIAL" w:hAnsi="ARIAL"/>
          <w:sz w:val="20"/>
        </w:rPr>
        <w:t xml:space="preserve">You should also read and consider the information in the documents to which we have referred you in the sections entitled Where You Can Find More Information and Incorporation by Reference in this prospectus supplement. </w:t>
      </w:r>
    </w:p>
    <w:p>
      <w:pPr>
        <w:pStyle w:val="TextBody"/>
        <w:spacing w:before="240" w:after="0"/>
        <w:jc w:val="left"/>
        <w:rPr>
          <w:rFonts w:ascii="ARIAL" w:hAnsi="ARIAL"/>
          <w:sz w:val="20"/>
        </w:rPr>
      </w:pPr>
      <w:r>
        <w:rPr>
          <w:rFonts w:ascii="ARIAL" w:hAnsi="ARIAL"/>
          <w:sz w:val="20"/>
        </w:rPr>
        <w:t xml:space="preserve">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2" w:name="supptoc159178_2"/>
      <w:bookmarkEnd w:id="22"/>
      <w:r>
        <w:rPr>
          <w:rFonts w:ascii="ARIAL" w:hAnsi="ARIAL"/>
          <w:b/>
          <w:sz w:val="20"/>
        </w:rPr>
        <w:t xml:space="preserve">SPECIAL NOTE REGARDING FORWARD-LOOKING STATEMENTS </w:t>
      </w:r>
    </w:p>
    <w:p>
      <w:pPr>
        <w:pStyle w:val="TextBody"/>
        <w:spacing w:before="240" w:after="0"/>
        <w:jc w:val="left"/>
        <w:rPr>
          <w:rFonts w:ascii="ARIAL" w:hAnsi="ARIAL"/>
          <w:sz w:val="20"/>
        </w:rPr>
      </w:pPr>
      <w:r>
        <w:rPr>
          <w:rFonts w:ascii="ARIAL" w:hAnsi="ARIAL"/>
          <w:sz w:val="20"/>
        </w:rPr>
        <w:t xml:space="preserve">This prospectus supplement, the accompanying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 </w:t>
      </w:r>
    </w:p>
    <w:p>
      <w:pPr>
        <w:pStyle w:val="TextBody"/>
        <w:spacing w:before="240" w:after="0"/>
        <w:jc w:val="left"/>
        <w:rPr>
          <w:rFonts w:ascii="ARIAL" w:hAnsi="ARIAL"/>
          <w:sz w:val="20"/>
        </w:rPr>
      </w:pPr>
      <w:r>
        <w:rPr>
          <w:rFonts w:ascii="ARIAL" w:hAnsi="ARIAL"/>
          <w:sz w:val="20"/>
        </w:rPr>
        <w:t xml:space="preserve">Forward-looking statements appear in a number of places in this prospectus supplement, the accompanying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 </w:t>
      </w:r>
    </w:p>
    <w:p>
      <w:pPr>
        <w:pStyle w:val="TextBody"/>
        <w:spacing w:before="240" w:after="0"/>
        <w:jc w:val="left"/>
        <w:rPr>
          <w:rFonts w:ascii="ARIAL" w:hAnsi="ARIAL"/>
          <w:sz w:val="20"/>
        </w:rPr>
      </w:pPr>
      <w:r>
        <w:rPr>
          <w:rFonts w:ascii="ARIAL" w:hAnsi="ARIAL"/>
          <w:sz w:val="20"/>
        </w:rPr>
        <w:t xml:space="preserve">Forward-looking statements include, but are not limited to,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development of our product candidates, including statements regarding the expected initiation, timing, progress, and availability of data from our clinical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potential attributes and benefits of our product candidates and their competitive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our ability to partner or sell our two product candidates, acumapimod for the treatment of AECOPD and leflutrozole for the treatment of infertility and HH in obese men, on attractive terms or at 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our ability to successfully commercialize, or enter into strategic relationships with third parties to commercialize, our product candidates, if approved;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our estimates regarding expenses, future revenues, capital requirements, and our need for additional financing;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our being subject to ongoing regulatory obligations if our products secure regulatory approval;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our reliance on third parties to conduct our clinical trials and on third-party suppliers to supply or produce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patient market size of any diseases and market adoption of our products by physicians and patients;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our ability to obtain and maintain adequate intellectual property rights and adequately protect and enforce such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duration of our patent portfolio;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COVID-19 pandemic and the associated disruptions that could materially impact our business, including, delays to clinical trial supplies, planned clinical developments and our ongoing clinical studies;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our ability to retain key personnel and recruit additional qualified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our ability to manage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our ability to successfully integrate and realize the benefits of our past or future strategic acquisitions or investments;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other risk factors discussed under Risk Factors.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w:t>
      </w:r>
    </w:p>
    <w:p>
      <w:pPr>
        <w:pStyle w:val="TextBody"/>
        <w:spacing w:before="240" w:after="0"/>
        <w:jc w:val="left"/>
        <w:rPr>
          <w:rFonts w:ascii="ARIAL" w:hAnsi="ARIAL"/>
          <w:sz w:val="20"/>
        </w:rPr>
      </w:pPr>
      <w:r>
        <w:rPr>
          <w:rFonts w:ascii="ARIAL" w:hAnsi="ARIAL"/>
          <w:sz w:val="20"/>
        </w:rPr>
        <w:t xml:space="preserve">You should read this prospectus supplement, the accompanying prospectus and the documents that we incorporate by reference in this prospectus supplement, the accompanying prospectus and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20"/>
          <w:bdr w:val="single" w:sz="2" w:space="1" w:color="000000"/>
        </w:rPr>
      </w:pPr>
      <w:bookmarkStart w:id="23" w:name="supptoc159178_3"/>
      <w:bookmarkEnd w:id="23"/>
      <w:r>
        <w:rPr>
          <w:rFonts w:ascii="ARIAL" w:hAnsi="ARIAL"/>
          <w:b/>
          <w:sz w:val="20"/>
          <w:bdr w:val="single" w:sz="2" w:space="1" w:color="000000"/>
        </w:rPr>
        <w:t xml:space="preserve">PROSPECTUS SUPPLEMENT SUMMARY </w:t>
      </w:r>
    </w:p>
    <w:p>
      <w:pPr>
        <w:pStyle w:val="TextBody"/>
        <w:spacing w:before="240" w:after="0"/>
        <w:jc w:val="left"/>
        <w:rPr>
          <w:rFonts w:ascii="ARIAL" w:hAnsi="ARIAL"/>
          <w:i/>
          <w:sz w:val="20"/>
          <w:bdr w:val="single" w:sz="2" w:space="1" w:color="000000"/>
        </w:rPr>
      </w:pPr>
      <w:r>
        <w:rPr>
          <w:rFonts w:ascii="ARIAL" w:hAnsi="ARIAL"/>
          <w:i/>
          <w:sz w:val="20"/>
          <w:bdr w:val="single" w:sz="2" w:space="1" w:color="000000"/>
        </w:rPr>
        <w:t xml:space="preserve">This summary highlights information contained elsewhere in this prospectus supplement or incorporated by reference herein. This summary may not contain all the information that may be important to you, and we urge you to read this entire prospectus supplement carefully, including the risks related to our business, our industry, investing in our ordinary shares, that we describe under Risk Factors and our consolidated financial statements, including the notes thereto, included and incorporated by reference in this prospectus supplement, before deciding to invest in our ADSs. </w:t>
      </w:r>
    </w:p>
    <w:p>
      <w:pPr>
        <w:pStyle w:val="TextBody"/>
        <w:spacing w:before="240" w:after="0"/>
        <w:jc w:val="left"/>
        <w:rPr>
          <w:rFonts w:ascii="ARIAL" w:hAnsi="ARIAL"/>
          <w:b/>
          <w:sz w:val="20"/>
          <w:bdr w:val="single" w:sz="2" w:space="1" w:color="000000"/>
        </w:rPr>
      </w:pPr>
      <w:r>
        <w:rPr>
          <w:rFonts w:ascii="ARIAL" w:hAnsi="ARIAL"/>
          <w:b/>
          <w:sz w:val="20"/>
          <w:bdr w:val="single" w:sz="2" w:space="1" w:color="000000"/>
        </w:rPr>
        <w:t xml:space="preserve">Our Company </w:t>
      </w:r>
    </w:p>
    <w:p>
      <w:pPr>
        <w:pStyle w:val="TextBody"/>
        <w:spacing w:before="120" w:after="0"/>
        <w:jc w:val="left"/>
        <w:rPr>
          <w:rFonts w:ascii="ARIAL" w:hAnsi="ARIAL"/>
          <w:sz w:val="20"/>
          <w:bdr w:val="single" w:sz="2" w:space="1" w:color="000000"/>
        </w:rPr>
      </w:pPr>
      <w:r>
        <w:rPr>
          <w:rFonts w:ascii="ARIAL" w:hAnsi="ARIAL"/>
          <w:sz w:val="20"/>
          <w:bdr w:val="single" w:sz="2" w:space="1" w:color="000000"/>
        </w:rPr>
        <w:t xml:space="preserve">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recently initiated a Phase1b/2 basket study for etigilimab in combination with an anti-PD-1 in three rare tumors, including sarcoma, several gynecological carcinomas including cervical and endometrial carcinomas and tumors with high mutation burden. On April 30, 2021 we and Cancer Focus Fund, LP (Focus Fund), a unique venture capital fund established in collaboration with The University of Texas MD Anderson Cancer Center (MD Anderson) announced a partnership to evaluate Mereos etigilimab, in clear cell ovarian cancer, a rare cancer that accounts for approximately 510% of all ovarian carcinomas in North America. Our other rare disease product candidates are alvelestat, which is being investigated in an ongoing Phase 2 proof-of-concept study for the treatment of severe AATD,in an investigator-initiated study in hospitalized COVID-19 and in an investigator-initiated study in Bronchiolitis Obliterans Syndrome (BOS), and setrusumab for the treatment of OI. Following the announcement of the results for setrusumab in a Phase 2b study in adults with OI which demonstrated a dose dependent increase in bone mineral density and bone strength and alignment with the FDA and the EMA following scientific advice on the pivotal study design for children with OI, we announced a strategic partnership with Ultragenyx Pharmaceutical, Inc. (Ultragenyx) in December 2020 for the development of setrusumab in children and adults with OI. Ultragenyx have announced their intention to initiate a Phase 2/3 study in children with OI in the second half of 2021 following additional discussions with the regulators.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We plan to develop our product candidates for oncology and rare diseases through the next key clinical milestone and then partner where it makes sense to do so strategically but also in select cases to develop through regulatory approval and potentially commercialization.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Our second oncology product, navicixizumab for the treatment of late line ovarian cancer, has completed a Phase 1b study and has been partnered for further development with OncXerna Therapeutics, Inc. (OncXerna) on a global basis.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We plan to partner or sell our other two product candidates acumapimod for the treatment of AECOPD and leflutrozole for the treatment of infertility and HH in obese men, recognizing the need for greater resources to take these product candidates to market.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Our strategy is selectively to acquire and develop product candidates for oncology and rare diseases that have already received significant investment from large pharmaceutical and biotechnology companies and that have substantial pre-clinical, clinical and manufacturing data </w:t>
      </w:r>
    </w:p>
    <w:p>
      <w:pPr>
        <w:pStyle w:val="TextBody"/>
        <w:jc w:val="left"/>
        <w:rPr>
          <w:bdr w:val="single" w:sz="2" w:space="1" w:color="000000"/>
        </w:rPr>
      </w:pPr>
      <w:r>
        <w:rPr>
          <w:bdr w:val="single" w:sz="2" w:space="1" w:color="000000"/>
        </w:rPr>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packages. Since our formation in March 2015, we have successfully executed on this strategy by 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 </w:t>
      </w:r>
    </w:p>
    <w:p>
      <w:pPr>
        <w:pStyle w:val="TextBody"/>
        <w:spacing w:before="240" w:after="0"/>
        <w:jc w:val="left"/>
        <w:rPr>
          <w:rFonts w:ascii="ARIAL" w:hAnsi="ARIAL"/>
          <w:b/>
          <w:sz w:val="20"/>
          <w:bdr w:val="single" w:sz="2" w:space="1" w:color="000000"/>
        </w:rPr>
      </w:pPr>
      <w:r>
        <w:rPr>
          <w:rFonts w:ascii="ARIAL" w:hAnsi="ARIAL"/>
          <w:b/>
          <w:sz w:val="20"/>
          <w:bdr w:val="single" w:sz="2" w:space="1" w:color="000000"/>
        </w:rPr>
        <w:t xml:space="preserve">Implications of Being an Emerging Growth Company and a Foreign Private Issuer </w:t>
      </w:r>
    </w:p>
    <w:p>
      <w:pPr>
        <w:pStyle w:val="TextBody"/>
        <w:spacing w:before="240" w:after="0"/>
        <w:jc w:val="left"/>
        <w:rPr>
          <w:rFonts w:ascii="ARIAL" w:hAnsi="ARIAL"/>
          <w:b/>
          <w:sz w:val="20"/>
          <w:bdr w:val="single" w:sz="2" w:space="1" w:color="000000"/>
        </w:rPr>
      </w:pPr>
      <w:r>
        <w:rPr>
          <w:rFonts w:ascii="ARIAL" w:hAnsi="ARIAL"/>
          <w:b/>
          <w:sz w:val="20"/>
          <w:bdr w:val="single" w:sz="2" w:space="1" w:color="000000"/>
        </w:rPr>
        <w:t xml:space="preserve">Emerging Growth Company </w:t>
      </w:r>
    </w:p>
    <w:p>
      <w:pPr>
        <w:pStyle w:val="TextBody"/>
        <w:spacing w:before="120" w:after="0"/>
        <w:jc w:val="left"/>
        <w:rPr>
          <w:rFonts w:ascii="ARIAL" w:hAnsi="ARIAL"/>
          <w:sz w:val="20"/>
          <w:bdr w:val="single" w:sz="2" w:space="1" w:color="000000"/>
        </w:rPr>
      </w:pPr>
      <w:r>
        <w:rPr>
          <w:rFonts w:ascii="ARIAL" w:hAnsi="ARIAL"/>
          <w:sz w:val="20"/>
          <w:bdr w:val="single" w:sz="2" w:space="1" w:color="000000"/>
        </w:rPr>
        <w:t xml:space="preserve">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 </w:t>
      </w:r>
    </w:p>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not being required to comply with the auditor attestation requirements of Section 404 of the Sarbanes-Oxley Act of 2002;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not being required to submit certain executive compensation matters to shareholder advisory votes, such as say-on-pay, say-on-frequency, and say-on-golden parachutes; and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not being required to disclose certain executive compensation related items such as the correlation between executive compensation and performance and comparisons of the chief executive officers compensation to median employee compensation. </w:t>
            </w:r>
          </w:p>
        </w:tc>
      </w:tr>
    </w:tbl>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ADSs held by non-affiliates exceeds $700 million as of the last business day of our most recently completed second fiscal quarter; or (iv) the date on which we have issued more than $1.0 billion in non-convertible debt securities during any three-year period. </w:t>
      </w:r>
    </w:p>
    <w:p>
      <w:pPr>
        <w:pStyle w:val="TextBody"/>
        <w:jc w:val="left"/>
        <w:rPr>
          <w:bdr w:val="single" w:sz="2" w:space="1" w:color="000000"/>
        </w:rPr>
      </w:pPr>
      <w:r>
        <w:rPr>
          <w:bdr w:val="single" w:sz="2" w:space="1" w:color="000000"/>
        </w:rPr>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ARIAL" w:hAnsi="ARIAL"/>
          <w:b/>
          <w:sz w:val="20"/>
          <w:bdr w:val="single" w:sz="2" w:space="1" w:color="000000"/>
        </w:rPr>
      </w:pPr>
      <w:r>
        <w:rPr>
          <w:rFonts w:ascii="ARIAL" w:hAnsi="ARIAL"/>
          <w:b/>
          <w:sz w:val="20"/>
          <w:bdr w:val="single" w:sz="2" w:space="1" w:color="000000"/>
        </w:rPr>
        <w:t xml:space="preserve">Foreign Private Issuer </w:t>
      </w:r>
    </w:p>
    <w:p>
      <w:pPr>
        <w:pStyle w:val="TextBody"/>
        <w:spacing w:before="120" w:after="0"/>
        <w:jc w:val="left"/>
        <w:rPr>
          <w:rFonts w:ascii="ARIAL" w:hAnsi="ARIAL"/>
          <w:sz w:val="20"/>
          <w:bdr w:val="single" w:sz="2" w:space="1" w:color="000000"/>
        </w:rPr>
      </w:pPr>
      <w:r>
        <w:rPr>
          <w:rFonts w:ascii="ARIAL" w:hAnsi="ARIAL"/>
          <w:sz w:val="20"/>
          <w:bdr w:val="single" w:sz="2" w:space="1" w:color="000000"/>
        </w:rPr>
        <w:t xml:space="preserve">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 </w:t>
      </w:r>
    </w:p>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the rules under the Exchange Act requiring the filing with the SEC of quarterly reports on Form 10-Q containing unaudited financial and other specific information, or current reports on Form 8-K, upon the occurrence of specified significant events. </w:t>
            </w:r>
          </w:p>
        </w:tc>
      </w:tr>
    </w:tbl>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 </w:t>
      </w:r>
    </w:p>
    <w:p>
      <w:pPr>
        <w:pStyle w:val="TextBody"/>
        <w:spacing w:before="240" w:after="0"/>
        <w:jc w:val="left"/>
        <w:rPr>
          <w:rFonts w:ascii="ARIAL" w:hAnsi="ARIAL"/>
          <w:sz w:val="20"/>
          <w:bdr w:val="single" w:sz="2" w:space="1" w:color="000000"/>
        </w:rPr>
      </w:pPr>
      <w:r>
        <w:rPr>
          <w:rFonts w:ascii="ARIAL" w:hAnsi="ARIAL"/>
          <w:sz w:val="20"/>
          <w:bdr w:val="single" w:sz="2" w:space="1" w:color="000000"/>
        </w:rPr>
        <w:t xml:space="preserve">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certain issuances of equity securities. </w:t>
      </w:r>
    </w:p>
    <w:p>
      <w:pPr>
        <w:pStyle w:val="TextBody"/>
        <w:spacing w:before="240" w:after="0"/>
        <w:jc w:val="left"/>
        <w:rPr>
          <w:rFonts w:ascii="ARIAL" w:hAnsi="ARIAL"/>
          <w:b/>
          <w:sz w:val="20"/>
          <w:bdr w:val="single" w:sz="2" w:space="1" w:color="000000"/>
        </w:rPr>
      </w:pPr>
      <w:r>
        <w:rPr>
          <w:rFonts w:ascii="ARIAL" w:hAnsi="ARIAL"/>
          <w:b/>
          <w:sz w:val="20"/>
          <w:bdr w:val="single" w:sz="2" w:space="1" w:color="000000"/>
        </w:rPr>
        <w:t xml:space="preserve">Corporate Information </w:t>
      </w:r>
    </w:p>
    <w:p>
      <w:pPr>
        <w:pStyle w:val="TextBody"/>
        <w:spacing w:before="120" w:after="0"/>
        <w:jc w:val="left"/>
        <w:rPr>
          <w:rFonts w:ascii="ARIAL" w:hAnsi="ARIAL"/>
          <w:sz w:val="20"/>
          <w:bdr w:val="single" w:sz="2" w:space="1" w:color="000000"/>
        </w:rPr>
      </w:pPr>
      <w:r>
        <w:rPr>
          <w:rFonts w:ascii="ARIAL" w:hAnsi="ARIAL"/>
          <w:sz w:val="20"/>
          <w:bdr w:val="single" w:sz="2" w:space="1" w:color="000000"/>
        </w:rPr>
        <w:t xml:space="preserve">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supplement. Our agent for service of process in the United States is Mereo US Holdings Inc. </w:t>
      </w:r>
    </w:p>
    <w:p>
      <w:pPr>
        <w:pStyle w:val="TextBody"/>
        <w:jc w:val="left"/>
        <w:rPr>
          <w:bdr w:val="single" w:sz="2" w:space="1" w:color="000000"/>
        </w:rPr>
      </w:pPr>
      <w:r>
        <w:rPr>
          <w:bdr w:val="single" w:sz="2" w:space="1" w:color="000000"/>
        </w:rPr>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20"/>
          <w:bdr w:val="single" w:sz="2" w:space="1" w:color="000000"/>
        </w:rPr>
      </w:pPr>
      <w:bookmarkStart w:id="24" w:name="supptoc159178_4"/>
      <w:bookmarkEnd w:id="24"/>
      <w:r>
        <w:rPr>
          <w:rFonts w:ascii="ARIAL" w:hAnsi="ARIAL"/>
          <w:b/>
          <w:sz w:val="20"/>
          <w:bdr w:val="single" w:sz="2" w:space="1" w:color="000000"/>
        </w:rPr>
        <w:t xml:space="preserve">THE OFFERING </w:t>
      </w:r>
    </w:p>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5001"/>
        <w:gridCol w:w="5204"/>
      </w:tblGrid>
      <w:tr>
        <w:trPr/>
        <w:tc>
          <w:tcPr>
            <w:tcW w:w="5001" w:type="dxa"/>
            <w:tcBorders/>
            <w:shd w:fill="auto" w:val="clear"/>
          </w:tcPr>
          <w:p>
            <w:pPr>
              <w:pStyle w:val="TableContents"/>
              <w:spacing w:before="0" w:after="20"/>
              <w:rPr>
                <w:rFonts w:ascii="ARIAL" w:hAnsi="ARIAL"/>
                <w:sz w:val="20"/>
              </w:rPr>
            </w:pPr>
            <w:r>
              <w:rPr>
                <w:rFonts w:ascii="ARIAL" w:hAnsi="ARIAL"/>
                <w:sz w:val="20"/>
              </w:rPr>
              <w:t xml:space="preserve">ADSs Offered by Us </w:t>
            </w:r>
          </w:p>
        </w:tc>
        <w:tc>
          <w:tcPr>
            <w:tcW w:w="5204" w:type="dxa"/>
            <w:tcBorders/>
            <w:shd w:fill="auto" w:val="clear"/>
          </w:tcPr>
          <w:p>
            <w:pPr>
              <w:pStyle w:val="TableContents"/>
              <w:spacing w:before="0" w:after="283"/>
              <w:rPr/>
            </w:pPr>
            <w:r>
              <w:rPr/>
              <w:t xml:space="preserve">ADSs having an aggregate offering price of up to $50,000,000.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5001"/>
        <w:gridCol w:w="5204"/>
      </w:tblGrid>
      <w:tr>
        <w:trPr/>
        <w:tc>
          <w:tcPr>
            <w:tcW w:w="5001" w:type="dxa"/>
            <w:tcBorders/>
            <w:shd w:fill="auto" w:val="clear"/>
          </w:tcPr>
          <w:p>
            <w:pPr>
              <w:pStyle w:val="TableContents"/>
              <w:spacing w:before="0" w:after="20"/>
              <w:rPr>
                <w:rFonts w:ascii="ARIAL" w:hAnsi="ARIAL"/>
                <w:sz w:val="20"/>
              </w:rPr>
            </w:pPr>
            <w:r>
              <w:rPr>
                <w:rFonts w:ascii="ARIAL" w:hAnsi="ARIAL"/>
                <w:sz w:val="20"/>
              </w:rPr>
              <w:t xml:space="preserve">Plan of Distribution </w:t>
            </w:r>
          </w:p>
        </w:tc>
        <w:tc>
          <w:tcPr>
            <w:tcW w:w="5204" w:type="dxa"/>
            <w:tcBorders/>
            <w:shd w:fill="auto" w:val="clear"/>
          </w:tcPr>
          <w:p>
            <w:pPr>
              <w:pStyle w:val="TableContents"/>
              <w:spacing w:before="0" w:after="283"/>
              <w:rPr/>
            </w:pPr>
            <w:r>
              <w:rPr/>
              <w:t xml:space="preserve">At the market offering that may be made from time to time through our sales agent, Jefferies. See Plan of Distribution.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999"/>
        <w:gridCol w:w="5206"/>
      </w:tblGrid>
      <w:tr>
        <w:trPr/>
        <w:tc>
          <w:tcPr>
            <w:tcW w:w="4999" w:type="dxa"/>
            <w:tcBorders/>
            <w:shd w:fill="auto" w:val="clear"/>
          </w:tcPr>
          <w:p>
            <w:pPr>
              <w:pStyle w:val="TableContents"/>
              <w:spacing w:before="0" w:after="20"/>
              <w:rPr>
                <w:rFonts w:ascii="ARIAL" w:hAnsi="ARIAL"/>
                <w:sz w:val="20"/>
              </w:rPr>
            </w:pPr>
            <w:r>
              <w:rPr>
                <w:rFonts w:ascii="ARIAL" w:hAnsi="ARIAL"/>
                <w:sz w:val="20"/>
              </w:rPr>
              <w:t xml:space="preserve">Use of Proceeds </w:t>
            </w:r>
          </w:p>
        </w:tc>
        <w:tc>
          <w:tcPr>
            <w:tcW w:w="5206" w:type="dxa"/>
            <w:tcBorders/>
            <w:shd w:fill="auto" w:val="clear"/>
          </w:tcPr>
          <w:p>
            <w:pPr>
              <w:pStyle w:val="TableContents"/>
              <w:spacing w:before="0" w:after="283"/>
              <w:rPr/>
            </w:pPr>
            <w:r>
              <w:rPr/>
              <w:t xml:space="preserve">We intend to use the net proceeds from this offering, if any, for general corporate purposes, which may include research and development expenses, working capital and general and administrative expenses. See Use of Proceeds.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999"/>
        <w:gridCol w:w="5206"/>
      </w:tblGrid>
      <w:tr>
        <w:trPr/>
        <w:tc>
          <w:tcPr>
            <w:tcW w:w="4999" w:type="dxa"/>
            <w:tcBorders/>
            <w:shd w:fill="auto" w:val="clear"/>
          </w:tcPr>
          <w:p>
            <w:pPr>
              <w:pStyle w:val="TableContents"/>
              <w:spacing w:before="0" w:after="20"/>
              <w:rPr>
                <w:rFonts w:ascii="ARIAL" w:hAnsi="ARIAL"/>
                <w:sz w:val="20"/>
              </w:rPr>
            </w:pPr>
            <w:r>
              <w:rPr>
                <w:rFonts w:ascii="ARIAL" w:hAnsi="ARIAL"/>
                <w:sz w:val="20"/>
              </w:rPr>
              <w:t xml:space="preserve">Risk Factors </w:t>
            </w:r>
          </w:p>
        </w:tc>
        <w:tc>
          <w:tcPr>
            <w:tcW w:w="5206" w:type="dxa"/>
            <w:tcBorders/>
            <w:shd w:fill="auto" w:val="clear"/>
          </w:tcPr>
          <w:p>
            <w:pPr>
              <w:pStyle w:val="TableContents"/>
              <w:spacing w:before="0" w:after="283"/>
              <w:rPr/>
            </w:pPr>
            <w:r>
              <w:rPr/>
              <w:t xml:space="preserve">You should read the Risk Factors section of this prospectus supplement for a discussion of factors to consider carefully before deciding to purchase our ADSs. </w:t>
            </w:r>
          </w:p>
        </w:tc>
      </w:tr>
    </w:tbl>
    <w:p>
      <w:pPr>
        <w:pStyle w:val="TextBody"/>
        <w:spacing w:before="0" w:after="0"/>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4999"/>
        <w:gridCol w:w="5206"/>
      </w:tblGrid>
      <w:tr>
        <w:trPr/>
        <w:tc>
          <w:tcPr>
            <w:tcW w:w="4999" w:type="dxa"/>
            <w:tcBorders/>
            <w:shd w:fill="auto" w:val="clear"/>
          </w:tcPr>
          <w:p>
            <w:pPr>
              <w:pStyle w:val="TableContents"/>
              <w:spacing w:before="0" w:after="20"/>
              <w:rPr>
                <w:rFonts w:ascii="ARIAL" w:hAnsi="ARIAL"/>
                <w:sz w:val="20"/>
              </w:rPr>
            </w:pPr>
            <w:r>
              <w:rPr>
                <w:rFonts w:ascii="ARIAL" w:hAnsi="ARIAL"/>
                <w:sz w:val="20"/>
              </w:rPr>
              <w:t xml:space="preserve">Nasdaq Global Market Symbol </w:t>
            </w:r>
          </w:p>
        </w:tc>
        <w:tc>
          <w:tcPr>
            <w:tcW w:w="5206" w:type="dxa"/>
            <w:tcBorders/>
            <w:shd w:fill="auto" w:val="clear"/>
          </w:tcPr>
          <w:p>
            <w:pPr>
              <w:pStyle w:val="TableContents"/>
              <w:spacing w:before="0" w:after="283"/>
              <w:rPr/>
            </w:pPr>
            <w:r>
              <w:rPr/>
              <w:t xml:space="preserve">MREO </w:t>
            </w:r>
          </w:p>
        </w:tc>
      </w:tr>
    </w:tbl>
    <w:p>
      <w:pPr>
        <w:pStyle w:val="TextBody"/>
        <w:jc w:val="left"/>
        <w:rPr>
          <w:bdr w:val="single" w:sz="2" w:space="1" w:color="000000"/>
        </w:rPr>
      </w:pPr>
      <w:r>
        <w:rPr>
          <w:bdr w:val="single" w:sz="2" w:space="1" w:color="000000"/>
        </w:rPr>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5" w:name="supptoc159178_5"/>
      <w:bookmarkEnd w:id="25"/>
      <w:r>
        <w:rPr>
          <w:rFonts w:ascii="ARIAL" w:hAnsi="ARIAL"/>
          <w:b/>
          <w:sz w:val="20"/>
        </w:rPr>
        <w:t xml:space="preserve">RISK FACTORS </w:t>
      </w:r>
    </w:p>
    <w:p>
      <w:pPr>
        <w:pStyle w:val="TextBody"/>
        <w:spacing w:before="240" w:after="0"/>
        <w:jc w:val="left"/>
        <w:rPr>
          <w:rFonts w:ascii="ARIAL" w:hAnsi="ARIAL"/>
          <w:sz w:val="20"/>
        </w:rPr>
      </w:pPr>
      <w:r>
        <w:rPr>
          <w:rFonts w:ascii="ARIAL" w:hAnsi="ARIAL"/>
          <w:sz w:val="20"/>
        </w:rPr>
        <w:t xml:space="preserve">Investing in our securities involves significant risks. Before making an investment decision, you should carefully consider the risks described under Risk Factors under Item 3.D.Risk Factors in our most recent Annual Report on Form 20-F, and any updates in our Reports on Form 6-K, together with all of the other information appearing in this prospectus supplement, the accompanying prospectus or incorporated by reference into this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and the accompanying prospectus. </w:t>
      </w:r>
    </w:p>
    <w:p>
      <w:pPr>
        <w:pStyle w:val="TextBody"/>
        <w:spacing w:before="240" w:after="0"/>
        <w:jc w:val="left"/>
        <w:rPr>
          <w:rFonts w:ascii="ARIAL" w:hAnsi="ARIAL"/>
          <w:b/>
          <w:sz w:val="20"/>
        </w:rPr>
      </w:pPr>
      <w:r>
        <w:rPr>
          <w:rFonts w:ascii="ARIAL" w:hAnsi="ARIAL"/>
          <w:b/>
          <w:sz w:val="20"/>
        </w:rPr>
        <w:t xml:space="preserve">Risks Related to our ADSs </w:t>
      </w:r>
    </w:p>
    <w:p>
      <w:pPr>
        <w:pStyle w:val="TextBody"/>
        <w:spacing w:before="240" w:after="0"/>
        <w:jc w:val="left"/>
        <w:rPr>
          <w:rFonts w:ascii="ARIAL" w:hAnsi="ARIAL"/>
          <w:b/>
          <w:i/>
          <w:sz w:val="20"/>
        </w:rPr>
      </w:pPr>
      <w:r>
        <w:rPr>
          <w:rFonts w:ascii="ARIAL" w:hAnsi="ARIAL"/>
          <w:b/>
          <w:i/>
          <w:sz w:val="20"/>
        </w:rPr>
        <w:t xml:space="preserve">The ADSs offered under this prospectus supplement and the accompanying prospectus may be sold in at-the-market offerings, and investors who buy ADSs at different times will likely pay different prices. </w:t>
      </w:r>
    </w:p>
    <w:p>
      <w:pPr>
        <w:pStyle w:val="TextBody"/>
        <w:spacing w:before="120" w:after="0"/>
        <w:jc w:val="left"/>
        <w:rPr>
          <w:rFonts w:ascii="ARIAL" w:hAnsi="ARIAL"/>
          <w:sz w:val="20"/>
        </w:rPr>
      </w:pPr>
      <w:r>
        <w:rPr>
          <w:rFonts w:ascii="ARIAL" w:hAnsi="ARIAL"/>
          <w:sz w:val="20"/>
        </w:rPr>
        <w:t xml:space="preserve">Investors who purchase ADSs under this prospectus supplement and the accompanying prospectus at different times will likely pay different prices, and so may experience different outcomes in their investment results. We will have discretion, subject to market demand and the terms of the sales agreement, to vary the timing, prices, and numbers of ADSs sold, and there is no minimum or maximum sales price. Investors may experience declines in the value of their shares as a result of ADS sales made at prices lower than the prices they paid. </w:t>
      </w:r>
    </w:p>
    <w:p>
      <w:pPr>
        <w:pStyle w:val="TextBody"/>
        <w:spacing w:before="240" w:after="0"/>
        <w:jc w:val="left"/>
        <w:rPr>
          <w:rFonts w:ascii="ARIAL" w:hAnsi="ARIAL"/>
          <w:b/>
          <w:i/>
          <w:sz w:val="20"/>
        </w:rPr>
      </w:pPr>
      <w:r>
        <w:rPr>
          <w:rFonts w:ascii="ARIAL" w:hAnsi="ARIAL"/>
          <w:b/>
          <w:i/>
          <w:sz w:val="20"/>
        </w:rPr>
        <w:t xml:space="preserve">The actual number of ADSs we sell, if any, under the sales agreement and the resulting gross proceeds is uncertain. </w:t>
      </w:r>
    </w:p>
    <w:p>
      <w:pPr>
        <w:pStyle w:val="TextBody"/>
        <w:spacing w:before="120" w:after="0"/>
        <w:jc w:val="left"/>
        <w:rPr>
          <w:rFonts w:ascii="ARIAL" w:hAnsi="ARIAL"/>
          <w:sz w:val="20"/>
        </w:rPr>
      </w:pPr>
      <w:r>
        <w:rPr>
          <w:rFonts w:ascii="ARIAL" w:hAnsi="ARIAL"/>
          <w:sz w:val="20"/>
        </w:rPr>
        <w:t xml:space="preserve">Subject to certain limitations in the sales agreement and compliance with applicable law, we have the discretion to deliver a sales notice to Jefferies at any time throughout the term of the sales agreement. The number of ADSs that are sold by Jefferies after delivering a sales notice will fluctuate based on the market price of ADSs during the sales period and limits we set with Jefferies, as well as any limits under applicable law or exchange listing rules. Because the price per each ADS sold, if any, will fluctuate based on the market price of the ADSs during the terms of the sales agreement, it is not possible at this stage to predict the number of ADSs that will ultimately be issued, if any. </w:t>
      </w:r>
    </w:p>
    <w:p>
      <w:pPr>
        <w:pStyle w:val="TextBody"/>
        <w:spacing w:before="240" w:after="0"/>
        <w:jc w:val="left"/>
        <w:rPr>
          <w:rFonts w:ascii="ARIAL" w:hAnsi="ARIAL"/>
          <w:b/>
          <w:i/>
          <w:sz w:val="20"/>
        </w:rPr>
      </w:pPr>
      <w:r>
        <w:rPr>
          <w:rFonts w:ascii="ARIAL" w:hAnsi="ARIAL"/>
          <w:b/>
          <w:i/>
          <w:sz w:val="20"/>
        </w:rPr>
        <w:t xml:space="preserve">We have broad discretion in the use of the net proceeds from this offering, and we may not use them effectively. </w:t>
      </w:r>
    </w:p>
    <w:p>
      <w:pPr>
        <w:pStyle w:val="TextBody"/>
        <w:spacing w:before="120" w:after="0"/>
        <w:jc w:val="left"/>
        <w:rPr>
          <w:rFonts w:ascii="ARIAL" w:hAnsi="ARIAL"/>
          <w:sz w:val="20"/>
        </w:rPr>
      </w:pPr>
      <w:r>
        <w:rPr>
          <w:rFonts w:ascii="ARIAL" w:hAnsi="ARIAL"/>
          <w:sz w:val="20"/>
        </w:rPr>
        <w:t xml:space="preserve">We currently intend to use the net proceeds from this offering as described in Use of Proceeds. However, our board of directors and our management retains broad discretion in the application of the net proceeds from this offering and could spend the proceeds in ways that do not improve our results of operations or enhance the value of our ADSs. Our failure to apply these funds effectively could result in financial losses, which could have a material adverse effect on our business, results of operations, financial condition and prospects. </w:t>
      </w:r>
    </w:p>
    <w:p>
      <w:pPr>
        <w:pStyle w:val="TextBody"/>
        <w:spacing w:before="240" w:after="0"/>
        <w:jc w:val="left"/>
        <w:rPr>
          <w:rFonts w:ascii="ARIAL" w:hAnsi="ARIAL"/>
          <w:b/>
          <w:i/>
          <w:sz w:val="20"/>
        </w:rPr>
      </w:pPr>
      <w:r>
        <w:rPr>
          <w:rFonts w:ascii="ARIAL" w:hAnsi="ARIAL"/>
          <w:b/>
          <w:i/>
          <w:sz w:val="20"/>
        </w:rPr>
        <w:t xml:space="preserve">Future sales of ADSs could depress the market price of ADSs. </w:t>
      </w:r>
    </w:p>
    <w:p>
      <w:pPr>
        <w:pStyle w:val="TextBody"/>
        <w:spacing w:before="120" w:after="0"/>
        <w:jc w:val="left"/>
        <w:rPr>
          <w:rFonts w:ascii="ARIAL" w:hAnsi="ARIAL"/>
          <w:sz w:val="20"/>
        </w:rPr>
      </w:pPr>
      <w:r>
        <w:rPr>
          <w:rFonts w:ascii="ARIAL" w:hAnsi="ARIAL"/>
          <w:sz w:val="20"/>
        </w:rPr>
        <w:t xml:space="preserve">If holders of ADSs sell, or indicate an intent to sell, substantial amounts of ADSs in the public markets, the trading price of our ADSs could decline significantly. These sales might also make it more difficult for us to sell equity securities at a time and price that we otherwise would deem appropriate.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i/>
          <w:sz w:val="20"/>
        </w:rPr>
      </w:pPr>
      <w:r>
        <w:rPr>
          <w:rFonts w:ascii="ARIAL" w:hAnsi="ARIAL"/>
          <w:b/>
          <w:i/>
          <w:sz w:val="20"/>
        </w:rPr>
        <w:t xml:space="preserve">Because we do not anticipate paying any cash dividends on ADSs or ordinary shares in the foreseeable future, capital appreciation, if any, will be your sole source of gains and you may never receive a return on your investment. </w:t>
      </w:r>
    </w:p>
    <w:p>
      <w:pPr>
        <w:pStyle w:val="TextBody"/>
        <w:spacing w:before="120" w:after="0"/>
        <w:jc w:val="left"/>
        <w:rPr>
          <w:rFonts w:ascii="ARIAL" w:hAnsi="ARIAL"/>
          <w:sz w:val="20"/>
        </w:rPr>
      </w:pPr>
      <w:r>
        <w:rPr>
          <w:rFonts w:ascii="ARIAL" w:hAnsi="ARIAL"/>
          <w:sz w:val="20"/>
        </w:rPr>
        <w:t xml:space="preserve">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As a result, capital appreciation, if any, on ADSs or ordinary shares will be your sole source of gains for the foreseeable future. </w:t>
      </w:r>
    </w:p>
    <w:p>
      <w:pPr>
        <w:pStyle w:val="TextBody"/>
        <w:spacing w:before="240" w:after="0"/>
        <w:jc w:val="left"/>
        <w:rPr>
          <w:rFonts w:ascii="ARIAL" w:hAnsi="ARIAL"/>
          <w:b/>
          <w:i/>
          <w:sz w:val="20"/>
        </w:rPr>
      </w:pPr>
      <w:r>
        <w:rPr>
          <w:rFonts w:ascii="ARIAL" w:hAnsi="ARIAL"/>
          <w:b/>
          <w:i/>
          <w:sz w:val="20"/>
        </w:rPr>
        <w:t xml:space="preserve">Purchasers will experience immediate dilution in the book value per share of the ADSs purchased in the offering. </w:t>
      </w:r>
    </w:p>
    <w:p>
      <w:pPr>
        <w:pStyle w:val="TextBody"/>
        <w:spacing w:before="120" w:after="0"/>
        <w:jc w:val="left"/>
        <w:rPr>
          <w:rFonts w:ascii="ARIAL" w:hAnsi="ARIAL"/>
          <w:sz w:val="20"/>
        </w:rPr>
      </w:pPr>
      <w:r>
        <w:rPr>
          <w:rFonts w:ascii="ARIAL" w:hAnsi="ARIAL"/>
          <w:sz w:val="20"/>
        </w:rPr>
        <w:t xml:space="preserve">The ADSs sold in this offering, if any, will be sold from time to time at various prices. However, we expect that the offering price of our ADSs will be substantially higher than the net tangible book value per ADS, and per each underlying ordinary share, prior to this offering. After giving effect to the sale of ADSs in the aggregate amount of $50.0 million at an assumed offering price of $2.60 per ADS, the last reported sale price of our ADSs on August 4, 2021 on the Nasdaq, and after deducting commissions and estimated offering expenses, our as adjusted net tangible book value as of December 31, 2021 would have been £(11.5) million or £(0.03) per ordinary share, equivalent to $(0.04) per ordinary share and $(0.18) per ADS. This represents an immediate increase in net tangible book value of approximately $0.76 per ADS to our existing shareholders and an immediate dilution in as adjusted net tangible book value of $2.78 per ADS to purchasers of ADSs in this offering. See the section titled Dilution for a more detailed illustration of the dilution you would incur if you participate in this offering. </w:t>
      </w:r>
    </w:p>
    <w:p>
      <w:pPr>
        <w:pStyle w:val="TextBody"/>
        <w:spacing w:before="240" w:after="0"/>
        <w:jc w:val="left"/>
        <w:rPr>
          <w:rFonts w:ascii="ARIAL" w:hAnsi="ARIAL"/>
          <w:b/>
          <w:i/>
          <w:sz w:val="20"/>
        </w:rPr>
      </w:pPr>
      <w:r>
        <w:rPr>
          <w:rFonts w:ascii="ARIAL" w:hAnsi="ARIAL"/>
          <w:b/>
          <w:i/>
          <w:sz w:val="20"/>
        </w:rPr>
        <w:t xml:space="preserve">You may experience future dilution as a result of future equity offerings. </w:t>
      </w:r>
    </w:p>
    <w:p>
      <w:pPr>
        <w:pStyle w:val="TextBody"/>
        <w:spacing w:before="120" w:after="0"/>
        <w:jc w:val="left"/>
        <w:rPr>
          <w:rFonts w:ascii="ARIAL" w:hAnsi="ARIAL"/>
          <w:sz w:val="20"/>
        </w:rPr>
      </w:pPr>
      <w:r>
        <w:rPr>
          <w:rFonts w:ascii="ARIAL" w:hAnsi="ARIAL"/>
          <w:sz w:val="20"/>
        </w:rPr>
        <w:t xml:space="preserve">In order to raise additional capital, we may in the future offer additional ADSs. We cannot assure you that we will be able to sell ADSs or other securities in any other offering at a price per ADS that is equal to or greater than the price per ADS paid by investors in this offering, and investors purchasing ADSs or other securities in the future could have rights superior to existing shareholders. The price per ADS at which we sell additional ADSs in future transactions may be higher or lower than the price per ADS in this offering.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6" w:name="supptoc159178_6"/>
      <w:bookmarkEnd w:id="26"/>
      <w:r>
        <w:rPr>
          <w:rFonts w:ascii="ARIAL" w:hAnsi="ARIAL"/>
          <w:b/>
          <w:sz w:val="20"/>
        </w:rPr>
        <w:t xml:space="preserve">USE OF PROCEEDS </w:t>
      </w:r>
    </w:p>
    <w:p>
      <w:pPr>
        <w:pStyle w:val="TextBody"/>
        <w:spacing w:before="240" w:after="0"/>
        <w:jc w:val="left"/>
        <w:rPr>
          <w:rFonts w:ascii="ARIAL" w:hAnsi="ARIAL"/>
          <w:sz w:val="20"/>
        </w:rPr>
      </w:pPr>
      <w:r>
        <w:rPr>
          <w:rFonts w:ascii="ARIAL" w:hAnsi="ARIAL"/>
          <w:sz w:val="20"/>
        </w:rPr>
        <w:t xml:space="preserve">We may issue and sell our ADSs having aggregate sales proceeds of up to $50,000,000 from time to time. Because there is no minimum offering amount required as a condition to close this offering, the actual total public offering amount, commissions and proceeds to us, if any, are not determinable at this time. We intend to use the net proceeds from this offering, if any, for general corporate purposes, which may include research and development expenses, working capital and general and administrative expenses. 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7" w:name="supptoc159178_6a"/>
      <w:bookmarkEnd w:id="27"/>
      <w:r>
        <w:rPr>
          <w:rFonts w:ascii="ARIAL" w:hAnsi="ARIAL"/>
          <w:b/>
          <w:sz w:val="20"/>
        </w:rPr>
        <w:t xml:space="preserve">DILUTION </w:t>
      </w:r>
    </w:p>
    <w:p>
      <w:pPr>
        <w:pStyle w:val="TextBody"/>
        <w:spacing w:before="240" w:after="0"/>
        <w:jc w:val="left"/>
        <w:rPr>
          <w:rFonts w:ascii="ARIAL" w:hAnsi="ARIAL"/>
          <w:sz w:val="20"/>
        </w:rPr>
      </w:pPr>
      <w:r>
        <w:rPr>
          <w:rFonts w:ascii="ARIAL" w:hAnsi="ARIAL"/>
          <w:sz w:val="20"/>
        </w:rPr>
        <w:t xml:space="preserve">If you invest in our ADSs, your interest will be diluted to the extent of the difference between the price per ADS you pay in this offering and the net tangible book value per ADS immediately after this offering. </w:t>
      </w:r>
    </w:p>
    <w:p>
      <w:pPr>
        <w:pStyle w:val="TextBody"/>
        <w:spacing w:before="240" w:after="0"/>
        <w:jc w:val="left"/>
        <w:rPr>
          <w:rFonts w:ascii="ARIAL" w:hAnsi="ARIAL"/>
          <w:sz w:val="20"/>
        </w:rPr>
      </w:pPr>
      <w:r>
        <w:rPr>
          <w:rFonts w:ascii="ARIAL" w:hAnsi="ARIAL"/>
          <w:sz w:val="20"/>
        </w:rPr>
        <w:t xml:space="preserve">As of December 31, 2020, our net tangible book value was £(46.6) million, or £(0.14) per ordinary share, equivalent to $(0.19) per ordinary share and $(0.94) per ADS, with each ADS representing 5 ordinary shares. Net tangible book value per ordinary share is equal to our total assets minus intangible assets and total liabilities, divided by 338,953,141, the total number of ordinary shares outstanding as of December 31, 2020. </w:t>
      </w:r>
    </w:p>
    <w:p>
      <w:pPr>
        <w:pStyle w:val="TextBody"/>
        <w:spacing w:before="240" w:after="0"/>
        <w:jc w:val="left"/>
        <w:rPr>
          <w:rFonts w:ascii="ARIAL" w:hAnsi="ARIAL"/>
          <w:sz w:val="20"/>
        </w:rPr>
      </w:pPr>
      <w:r>
        <w:rPr>
          <w:rFonts w:ascii="ARIAL" w:hAnsi="ARIAL"/>
          <w:sz w:val="20"/>
        </w:rPr>
        <w:t xml:space="preserve">After giving effect to the sale of our ADSs in the aggregate amount of $50.0 million at an assumed offering price of $2.60 per ADS, the last reported sale price of our ADSs on the Nasdaq on August 4, 2021, and after deducting commissions and estimated offering expenses payable by us, our as adjusted net tangible book value as of December 31, 2020 would have been £(11.5) million, or £(0.03) per ordinary share, equivalent to $(0.04) per ordinary share and $(0.18) per ADS. This represents an immediate increase in net tangible book value of $0.76 per ADS to our existing shareholders and an immediate dilution in net tangible book value of $2.78 per ADS to new investors in this offering. </w:t>
      </w:r>
    </w:p>
    <w:p>
      <w:pPr>
        <w:pStyle w:val="TextBody"/>
        <w:spacing w:before="240" w:after="0"/>
        <w:jc w:val="left"/>
        <w:rPr>
          <w:rFonts w:ascii="ARIAL" w:hAnsi="ARIAL"/>
          <w:sz w:val="20"/>
        </w:rPr>
      </w:pPr>
      <w:r>
        <w:rPr>
          <w:rFonts w:ascii="ARIAL" w:hAnsi="ARIAL"/>
          <w:sz w:val="20"/>
        </w:rPr>
        <w:t xml:space="preserve">The following table illustrates this calculation on a per ADS basis. The as adjusted information is illustrative only and will adjust based on the actual price to the public, the actual number of ADSs sold and other terms of the offering determined at the time our ADSs are sold pursuant to this prospectus supplement. The ADSs sold in this offering, if any, will be sold from time to time at various prices.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118"/>
        <w:gridCol w:w="236"/>
        <w:gridCol w:w="140"/>
        <w:gridCol w:w="526"/>
        <w:gridCol w:w="155"/>
        <w:gridCol w:w="206"/>
        <w:gridCol w:w="140"/>
        <w:gridCol w:w="526"/>
        <w:gridCol w:w="158"/>
      </w:tblGrid>
      <w:tr>
        <w:trPr/>
        <w:tc>
          <w:tcPr>
            <w:tcW w:w="811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118" w:type="dxa"/>
            <w:tcBorders/>
            <w:shd w:fill="auto" w:val="clear"/>
            <w:vAlign w:val="bottom"/>
          </w:tcPr>
          <w:p>
            <w:pPr>
              <w:pStyle w:val="TableContents"/>
              <w:spacing w:before="0" w:after="283"/>
              <w:rPr/>
            </w:pPr>
            <w:r>
              <w:rPr/>
              <w:t>Assumed public offering price per ADS</w:t>
            </w:r>
          </w:p>
        </w:tc>
        <w:tc>
          <w:tcPr>
            <w:tcW w:w="236" w:type="dxa"/>
            <w:tcBorders/>
            <w:shd w:fill="auto" w:val="clear"/>
            <w:vAlign w:val="bottom"/>
          </w:tcPr>
          <w:p>
            <w:pPr>
              <w:pStyle w:val="TableContents"/>
              <w:spacing w:before="0" w:after="283"/>
              <w:rPr/>
            </w:pPr>
            <w:r>
              <w:rPr/>
              <w:t>  </w:t>
            </w:r>
          </w:p>
        </w:tc>
        <w:tc>
          <w:tcPr>
            <w:tcW w:w="666"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66" w:type="dxa"/>
            <w:gridSpan w:val="2"/>
            <w:tcBorders/>
            <w:shd w:fill="auto" w:val="clear"/>
            <w:vAlign w:val="bottom"/>
          </w:tcPr>
          <w:p>
            <w:pPr>
              <w:pStyle w:val="TableContents"/>
              <w:spacing w:before="0" w:after="283"/>
              <w:jc w:val="right"/>
              <w:rPr/>
            </w:pPr>
            <w:r>
              <w:rPr/>
              <w:t>$2.60</w:t>
            </w:r>
          </w:p>
        </w:tc>
        <w:tc>
          <w:tcPr>
            <w:tcW w:w="158" w:type="dxa"/>
            <w:tcBorders/>
            <w:shd w:fill="auto" w:val="clear"/>
            <w:vAlign w:val="bottom"/>
          </w:tcPr>
          <w:p>
            <w:pPr>
              <w:pStyle w:val="TableContents"/>
              <w:spacing w:before="0" w:after="283"/>
              <w:rPr/>
            </w:pPr>
            <w:r>
              <w:rPr/>
              <w:t> </w:t>
            </w:r>
          </w:p>
        </w:tc>
      </w:tr>
      <w:tr>
        <w:trPr/>
        <w:tc>
          <w:tcPr>
            <w:tcW w:w="8118" w:type="dxa"/>
            <w:tcBorders/>
            <w:shd w:fill="CCEEFF" w:val="clear"/>
          </w:tcPr>
          <w:p>
            <w:pPr>
              <w:pStyle w:val="TableContents"/>
              <w:spacing w:before="0" w:after="0"/>
              <w:rPr>
                <w:rFonts w:ascii="ARIAL" w:hAnsi="ARIAL"/>
                <w:sz w:val="20"/>
              </w:rPr>
            </w:pPr>
            <w:r>
              <w:rPr>
                <w:rFonts w:ascii="ARIAL" w:hAnsi="ARIAL"/>
                <w:sz w:val="20"/>
              </w:rPr>
              <w:t>Net tangible book value per ADS as of December 31, 2020</w:t>
            </w:r>
          </w:p>
        </w:tc>
        <w:tc>
          <w:tcPr>
            <w:tcW w:w="2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26" w:type="dxa"/>
            <w:tcBorders/>
            <w:shd w:fill="CCEEFF" w:val="clear"/>
            <w:vAlign w:val="bottom"/>
          </w:tcPr>
          <w:p>
            <w:pPr>
              <w:pStyle w:val="TableContents"/>
              <w:spacing w:before="0" w:after="283"/>
              <w:jc w:val="right"/>
              <w:rPr/>
            </w:pPr>
            <w:r>
              <w:rPr/>
              <w:t>(0.94</w:t>
            </w:r>
          </w:p>
        </w:tc>
        <w:tc>
          <w:tcPr>
            <w:tcW w:w="15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26"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8118" w:type="dxa"/>
            <w:tcBorders/>
            <w:shd w:fill="auto" w:val="clear"/>
          </w:tcPr>
          <w:p>
            <w:pPr>
              <w:pStyle w:val="TableContents"/>
              <w:spacing w:before="0" w:after="0"/>
              <w:rPr>
                <w:rFonts w:ascii="ARIAL" w:hAnsi="ARIAL"/>
                <w:sz w:val="20"/>
              </w:rPr>
            </w:pPr>
            <w:r>
              <w:rPr>
                <w:rFonts w:ascii="ARIAL" w:hAnsi="ARIAL"/>
                <w:sz w:val="20"/>
              </w:rPr>
              <w:t>Increase in net tangible book value per ADS attributable to the offering</w:t>
            </w:r>
          </w:p>
        </w:tc>
        <w:tc>
          <w:tcPr>
            <w:tcW w:w="2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26" w:type="dxa"/>
            <w:tcBorders/>
            <w:shd w:fill="auto" w:val="clear"/>
            <w:vAlign w:val="bottom"/>
          </w:tcPr>
          <w:p>
            <w:pPr>
              <w:pStyle w:val="TableContents"/>
              <w:spacing w:before="0" w:after="283"/>
              <w:jc w:val="right"/>
              <w:rPr/>
            </w:pPr>
            <w:r>
              <w:rPr/>
              <w:t>0.76</w:t>
            </w:r>
          </w:p>
        </w:tc>
        <w:tc>
          <w:tcPr>
            <w:tcW w:w="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8118"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8118" w:type="dxa"/>
            <w:tcBorders/>
            <w:shd w:fill="CCEEFF" w:val="clear"/>
          </w:tcPr>
          <w:p>
            <w:pPr>
              <w:pStyle w:val="TableContents"/>
              <w:spacing w:before="0" w:after="0"/>
              <w:rPr>
                <w:rFonts w:ascii="ARIAL" w:hAnsi="ARIAL"/>
                <w:sz w:val="20"/>
              </w:rPr>
            </w:pPr>
            <w:r>
              <w:rPr>
                <w:rFonts w:ascii="ARIAL" w:hAnsi="ARIAL"/>
                <w:sz w:val="20"/>
              </w:rPr>
              <w:t>As adjusted net tangible book value per ADS after giving effect to the offering</w:t>
            </w:r>
          </w:p>
        </w:tc>
        <w:tc>
          <w:tcPr>
            <w:tcW w:w="2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2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26" w:type="dxa"/>
            <w:tcBorders/>
            <w:shd w:fill="CCEEFF" w:val="clear"/>
            <w:vAlign w:val="bottom"/>
          </w:tcPr>
          <w:p>
            <w:pPr>
              <w:pStyle w:val="TableContents"/>
              <w:spacing w:before="0" w:after="283"/>
              <w:jc w:val="right"/>
              <w:rPr/>
            </w:pPr>
            <w:r>
              <w:rPr/>
              <w:t>(0.18</w:t>
            </w:r>
          </w:p>
        </w:tc>
        <w:tc>
          <w:tcPr>
            <w:tcW w:w="158" w:type="dxa"/>
            <w:tcBorders/>
            <w:shd w:fill="CCEEFF" w:val="clear"/>
            <w:vAlign w:val="bottom"/>
          </w:tcPr>
          <w:p>
            <w:pPr>
              <w:pStyle w:val="TableContents"/>
              <w:spacing w:before="0" w:after="283"/>
              <w:rPr/>
            </w:pPr>
            <w:r>
              <w:rPr/>
              <w:t>) </w:t>
            </w:r>
          </w:p>
        </w:tc>
      </w:tr>
      <w:tr>
        <w:trPr/>
        <w:tc>
          <w:tcPr>
            <w:tcW w:w="8118"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8118" w:type="dxa"/>
            <w:tcBorders/>
            <w:shd w:fill="auto" w:val="clear"/>
          </w:tcPr>
          <w:p>
            <w:pPr>
              <w:pStyle w:val="TableContents"/>
              <w:spacing w:before="0" w:after="0"/>
              <w:rPr>
                <w:rFonts w:ascii="ARIAL" w:hAnsi="ARIAL"/>
                <w:sz w:val="20"/>
              </w:rPr>
            </w:pPr>
            <w:r>
              <w:rPr>
                <w:rFonts w:ascii="ARIAL" w:hAnsi="ARIAL"/>
                <w:sz w:val="20"/>
              </w:rPr>
              <w:t>Dilution per ADS to new investors participating in the offering</w:t>
            </w:r>
          </w:p>
        </w:tc>
        <w:tc>
          <w:tcPr>
            <w:tcW w:w="2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26" w:type="dxa"/>
            <w:tcBorders/>
            <w:shd w:fill="auto" w:val="clear"/>
            <w:vAlign w:val="bottom"/>
          </w:tcPr>
          <w:p>
            <w:pPr>
              <w:pStyle w:val="TableContents"/>
              <w:spacing w:before="0" w:after="283"/>
              <w:jc w:val="right"/>
              <w:rPr/>
            </w:pPr>
            <w:r>
              <w:rPr/>
              <w:t>2.78</w:t>
            </w:r>
          </w:p>
        </w:tc>
        <w:tc>
          <w:tcPr>
            <w:tcW w:w="158" w:type="dxa"/>
            <w:tcBorders/>
            <w:shd w:fill="auto" w:val="clear"/>
            <w:vAlign w:val="bottom"/>
          </w:tcPr>
          <w:p>
            <w:pPr>
              <w:pStyle w:val="TableContents"/>
              <w:spacing w:before="0" w:after="283"/>
              <w:rPr/>
            </w:pPr>
            <w:r>
              <w:rPr/>
              <w:t> </w:t>
            </w:r>
          </w:p>
        </w:tc>
      </w:tr>
      <w:tr>
        <w:trPr/>
        <w:tc>
          <w:tcPr>
            <w:tcW w:w="8118"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26"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The above discussion and table are based on 338,953,141 ordinary shares outstanding as of December 31, 2020 and excludes: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18,483,624 ordinary shares issuable upon exercise of outstanding options under our equity plans as of December 31,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310,539,920 ordinary shares issuable upon the exercise of warrants, convertible notes and other committed equity outstanding as of December 31, 2020;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39,675,000 ADSs representing 198,375,000 ordinary shares sold by us in an underwritten public offering completed on February 12, 2021. </w:t>
            </w:r>
          </w:p>
        </w:tc>
      </w:tr>
    </w:tbl>
    <w:p>
      <w:pPr>
        <w:pStyle w:val="TextBody"/>
        <w:spacing w:before="240" w:after="0"/>
        <w:jc w:val="left"/>
        <w:rPr>
          <w:rFonts w:ascii="ARIAL" w:hAnsi="ARIAL"/>
          <w:sz w:val="20"/>
        </w:rPr>
      </w:pPr>
      <w:r>
        <w:rPr>
          <w:rFonts w:ascii="ARIAL" w:hAnsi="ARIAL"/>
          <w:sz w:val="20"/>
        </w:rPr>
        <w:t xml:space="preserve">To the extent that outstanding options or warrants are exercised or convertible notes converted,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securities, the issuance of these securities may result in further dilution to our shareholders.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8" w:name="supptoc159178_7"/>
      <w:bookmarkEnd w:id="28"/>
      <w:r>
        <w:rPr>
          <w:rFonts w:ascii="ARIAL" w:hAnsi="ARIAL"/>
          <w:b/>
          <w:sz w:val="20"/>
        </w:rPr>
        <w:t xml:space="preserve">PLAN OF DISTRIBUTION </w:t>
      </w:r>
    </w:p>
    <w:p>
      <w:pPr>
        <w:pStyle w:val="TextBody"/>
        <w:spacing w:before="240" w:after="0"/>
        <w:jc w:val="left"/>
        <w:rPr>
          <w:rFonts w:ascii="ARIAL" w:hAnsi="ARIAL"/>
          <w:sz w:val="20"/>
        </w:rPr>
      </w:pPr>
      <w:r>
        <w:rPr>
          <w:rFonts w:ascii="ARIAL" w:hAnsi="ARIAL"/>
          <w:sz w:val="20"/>
        </w:rPr>
        <w:t xml:space="preserve">We have entered into the Sale Agreement with Jefferies, under which we may offer and sell our ADSs from time to time through Jefferies acting as agent. Pursuant to this prospectus supplement we may offer and sell up to $50,000,000 of our ADSs. Sales of our ADSs, if any, under this prospectus supplement and the accompanying prospectus will be made by any method that is deemed to be an at the market offering as defined in Rule 415(a)(4) under the Securities Act. </w:t>
      </w:r>
    </w:p>
    <w:p>
      <w:pPr>
        <w:pStyle w:val="TextBody"/>
        <w:spacing w:before="240" w:after="0"/>
        <w:jc w:val="left"/>
        <w:rPr>
          <w:rFonts w:ascii="ARIAL" w:hAnsi="ARIAL"/>
          <w:sz w:val="20"/>
        </w:rPr>
      </w:pPr>
      <w:r>
        <w:rPr>
          <w:rFonts w:ascii="ARIAL" w:hAnsi="ARIAL"/>
          <w:sz w:val="20"/>
        </w:rPr>
        <w:t>Each time we wish to issue and sell ADSs under the Sale Agreement, we will notify Jefferies of the number of ADSs to be issued, the dates on which such sales are anticipated to be made, any limitation on the number of ADSs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ADSs up to the amount specified on such terms. The obligations of Jefferies under the Sale Agreement to sell our ADSs are subject to a number of conditions that we must meet.</w:t>
      </w:r>
    </w:p>
    <w:p>
      <w:pPr>
        <w:pStyle w:val="TextBody"/>
        <w:spacing w:before="240" w:after="0"/>
        <w:jc w:val="left"/>
        <w:rPr>
          <w:rFonts w:ascii="ARIAL" w:hAnsi="ARIAL"/>
          <w:sz w:val="20"/>
        </w:rPr>
      </w:pPr>
      <w:r>
        <w:rPr>
          <w:rFonts w:ascii="ARIAL" w:hAnsi="ARIAL"/>
          <w:sz w:val="20"/>
        </w:rPr>
        <w:t xml:space="preserve">The settlement of sales of ADSs between us and Jefferies is generally anticipated to occur on the second trading day following the date on which the sale was made. Sales of our ADSs as contemplated in this prospectus supplement will be settled through the facilities of The Depository Trust Company or by such other means as we and Jefferies may agree upon. There is no arrangement for funds to be received in an escrow, trust or similar arrangement. </w:t>
      </w:r>
    </w:p>
    <w:p>
      <w:pPr>
        <w:pStyle w:val="TextBody"/>
        <w:spacing w:before="240" w:after="0"/>
        <w:jc w:val="left"/>
        <w:rPr>
          <w:rFonts w:ascii="ARIAL" w:hAnsi="ARIAL"/>
          <w:sz w:val="20"/>
        </w:rPr>
      </w:pPr>
      <w:r>
        <w:rPr>
          <w:rFonts w:ascii="ARIAL" w:hAnsi="ARIAL"/>
          <w:sz w:val="20"/>
        </w:rPr>
        <w:t xml:space="preserve">We will pay Jefferies a commission equal to 3.0% of the aggregate gross proceeds we receive from each sale of our ADSs.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in an amount not to exceed $125,000, in addition to certain ongoing disbursements of its legal counsel, unless Jefferies otherwise agrees. In addition, we estimate that the total expenses for the offering, excluding any commissions or expense reimbursement payable to Jefferies under the terms of the sales agreement and ADS issuance fees payable to the depositary bank, will be approximately $300,000. The remaining sale proceeds, after deducting any other transaction fees, will equal our net proceeds from the sale of such ADSs. </w:t>
      </w:r>
    </w:p>
    <w:p>
      <w:pPr>
        <w:pStyle w:val="TextBody"/>
        <w:spacing w:before="240" w:after="0"/>
        <w:jc w:val="left"/>
        <w:rPr>
          <w:rFonts w:ascii="ARIAL" w:hAnsi="ARIAL"/>
          <w:sz w:val="20"/>
        </w:rPr>
      </w:pPr>
      <w:r>
        <w:rPr>
          <w:rFonts w:ascii="ARIAL" w:hAnsi="ARIAL"/>
          <w:sz w:val="20"/>
        </w:rPr>
        <w:t xml:space="preserve">Jefferies will provide written confirmation to us before the open on the Nasdaq on the day following each day on which ADSs are sold under the sales agreement. Each confirmation will include the number of ADSs sold on that day, the aggregate gross proceeds of such sales and the proceeds to us. </w:t>
      </w:r>
    </w:p>
    <w:p>
      <w:pPr>
        <w:pStyle w:val="TextBody"/>
        <w:spacing w:before="240" w:after="0"/>
        <w:jc w:val="left"/>
        <w:rPr>
          <w:rFonts w:ascii="ARIAL" w:hAnsi="ARIAL"/>
          <w:sz w:val="20"/>
        </w:rPr>
      </w:pPr>
      <w:r>
        <w:rPr>
          <w:rFonts w:ascii="ARIAL" w:hAnsi="ARIAL"/>
          <w:sz w:val="20"/>
        </w:rPr>
        <w:t xml:space="preserve">In connection with the sale of the ADSs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spacing w:before="240" w:after="0"/>
        <w:jc w:val="left"/>
        <w:rPr>
          <w:rFonts w:ascii="ARIAL" w:hAnsi="ARIAL"/>
          <w:sz w:val="20"/>
        </w:rPr>
      </w:pPr>
      <w:r>
        <w:rPr>
          <w:rFonts w:ascii="ARIAL" w:hAnsi="ARIAL"/>
          <w:sz w:val="20"/>
        </w:rPr>
        <w:t xml:space="preserve">The offering of our ADSs pursuant to the sales agreement will terminate upon the earlier of (i) the sale of all ADSs subject to the sales agreement and (ii) the termination of the sales agreement as permitted therein. </w:t>
      </w:r>
    </w:p>
    <w:p>
      <w:pPr>
        <w:pStyle w:val="TextBody"/>
        <w:spacing w:before="240" w:after="0"/>
        <w:jc w:val="left"/>
        <w:rPr>
          <w:rFonts w:ascii="ARIAL" w:hAnsi="ARIAL"/>
          <w:sz w:val="20"/>
        </w:rPr>
      </w:pPr>
      <w:r>
        <w:rPr>
          <w:rFonts w:ascii="ARIAL" w:hAnsi="ARIAL"/>
          <w:sz w:val="20"/>
        </w:rPr>
        <w:t xml:space="preserve">This summary of the material provisions of the sales agreement does not purport to be a complete statement of its terms and conditions. A copy of the sales agreement is filed as an exhibit to the registration statement of which this prospectus supplement forms a part.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w:t>
      </w:r>
    </w:p>
    <w:p>
      <w:pPr>
        <w:pStyle w:val="TextBody"/>
        <w:spacing w:before="240" w:after="0"/>
        <w:jc w:val="left"/>
        <w:rPr>
          <w:rFonts w:ascii="ARIAL" w:hAnsi="ARIAL"/>
          <w:sz w:val="20"/>
        </w:rPr>
      </w:pPr>
      <w:r>
        <w:rPr>
          <w:rFonts w:ascii="ARIAL" w:hAnsi="ARIAL"/>
          <w:sz w:val="20"/>
        </w:rPr>
        <w:t xml:space="preserve">A prospectus supplement and the accompanying prospectus in electronic format may be made available on a website maintained by Jefferies, and Jefferies may distribute the prospectus supplement and the accompanying prospectus electronically. </w:t>
      </w:r>
    </w:p>
    <w:p>
      <w:pPr>
        <w:pStyle w:val="TextBody"/>
        <w:spacing w:before="240" w:after="0"/>
        <w:jc w:val="left"/>
        <w:rPr>
          <w:rFonts w:ascii="ARIAL" w:hAnsi="ARIAL"/>
          <w:sz w:val="20"/>
        </w:rPr>
      </w:pPr>
      <w:r>
        <w:rPr>
          <w:rFonts w:ascii="ARIAL" w:hAnsi="ARIAL"/>
          <w:sz w:val="20"/>
        </w:rPr>
        <w:t xml:space="preserve">The address of Jefferies LLC is 520 Madison Avenue New York, New York 10022.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9" w:name="supptoc159178_8"/>
      <w:bookmarkEnd w:id="29"/>
      <w:r>
        <w:rPr>
          <w:rFonts w:ascii="ARIAL" w:hAnsi="ARIAL"/>
          <w:b/>
          <w:sz w:val="20"/>
        </w:rPr>
        <w:t xml:space="preserve">LEGAL MATTERS </w:t>
      </w:r>
    </w:p>
    <w:p>
      <w:pPr>
        <w:pStyle w:val="TextBody"/>
        <w:spacing w:before="240" w:after="0"/>
        <w:jc w:val="left"/>
        <w:rPr>
          <w:rFonts w:ascii="ARIAL" w:hAnsi="ARIAL"/>
          <w:sz w:val="20"/>
        </w:rPr>
      </w:pPr>
      <w:r>
        <w:rPr>
          <w:rFonts w:ascii="ARIAL" w:hAnsi="ARIAL"/>
          <w:sz w:val="20"/>
        </w:rPr>
        <w:t xml:space="preserve">Mayer Brown LLP has passed upon certain legal matters regarding the securities offered hereby. The validity of the ordinary shares underlying the ADSs to be offered pursuant to this prospectus supplement will be passed upon for us by Mayer Brown International LLP. Jefferies LLC is being represented in connection with this offering by Cooley LLP, New York, New York with respect to U.S. law and Cooley (UK) LLP with respect to certain matters of English law.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30" w:name="supptoc159178_9"/>
      <w:bookmarkEnd w:id="30"/>
      <w:r>
        <w:rPr>
          <w:rFonts w:ascii="ARIAL" w:hAnsi="ARIAL"/>
          <w:b/>
          <w:sz w:val="20"/>
        </w:rPr>
        <w:t xml:space="preserve">EXPERTS </w:t>
      </w:r>
    </w:p>
    <w:p>
      <w:pPr>
        <w:pStyle w:val="TextBody"/>
        <w:spacing w:before="240" w:after="0"/>
        <w:jc w:val="left"/>
        <w:rPr>
          <w:rFonts w:ascii="ARIAL" w:hAnsi="ARIAL"/>
          <w:sz w:val="20"/>
        </w:rPr>
      </w:pPr>
      <w:r>
        <w:rPr>
          <w:rFonts w:ascii="ARIAL" w:hAnsi="ARIAL"/>
          <w:sz w:val="20"/>
        </w:rPr>
        <w:t xml:space="preserve">The consolidated financial statements of Mereo BioPharma Group plc appearing in Mereo BioPharma Group plcs Annual Report (Form 20-F)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spacing w:before="240" w:after="0"/>
        <w:jc w:val="left"/>
        <w:rPr>
          <w:rFonts w:ascii="ARIAL" w:hAnsi="ARIAL"/>
          <w:sz w:val="20"/>
        </w:rPr>
      </w:pPr>
      <w:r>
        <w:rPr>
          <w:rFonts w:ascii="ARIAL" w:hAnsi="ARIAL"/>
          <w:sz w:val="20"/>
        </w:rPr>
        <w:t xml:space="preserve">The registered business address of Ernst &amp; Young LLP is Apex Plaza, Forbury Road, Reading, RG1 1YE, United Kingdom.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31" w:name="supptoc159178_10"/>
      <w:bookmarkEnd w:id="31"/>
      <w:r>
        <w:rPr>
          <w:rFonts w:ascii="ARIAL" w:hAnsi="ARIAL"/>
          <w:b/>
          <w:sz w:val="20"/>
        </w:rPr>
        <w:t xml:space="preserve">WHERE YOU CAN FIND MORE INFORMATION </w:t>
      </w:r>
    </w:p>
    <w:p>
      <w:pPr>
        <w:pStyle w:val="TextBody"/>
        <w:spacing w:before="240" w:after="0"/>
        <w:jc w:val="left"/>
        <w:rPr>
          <w:rFonts w:ascii="ARIAL" w:hAnsi="ARIAL"/>
          <w:sz w:val="20"/>
        </w:rPr>
      </w:pPr>
      <w:r>
        <w:rPr>
          <w:rFonts w:ascii="ARIAL" w:hAnsi="ARIAL"/>
          <w:sz w:val="20"/>
        </w:rPr>
        <w:t xml:space="preserve">We have filed with the SEC a registration statement (including amendments and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 </w:t>
      </w:r>
    </w:p>
    <w:p>
      <w:pPr>
        <w:pStyle w:val="TextBody"/>
        <w:spacing w:before="240" w:after="0"/>
        <w:jc w:val="left"/>
        <w:rPr>
          <w:rFonts w:ascii="ARIAL" w:hAnsi="ARIAL"/>
          <w:sz w:val="20"/>
        </w:rPr>
      </w:pPr>
      <w:r>
        <w:rPr>
          <w:rFonts w:ascii="ARIAL" w:hAnsi="ARIAL"/>
          <w:sz w:val="20"/>
        </w:rPr>
        <w:t xml:space="preserve">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 </w:t>
      </w:r>
    </w:p>
    <w:p>
      <w:pPr>
        <w:pStyle w:val="TextBody"/>
        <w:spacing w:before="240" w:after="0"/>
        <w:jc w:val="left"/>
        <w:rPr>
          <w:rFonts w:ascii="ARIAL" w:hAnsi="ARIAL"/>
          <w:sz w:val="20"/>
        </w:rPr>
      </w:pPr>
      <w:r>
        <w:rPr>
          <w:rFonts w:ascii="ARIAL" w:hAnsi="ARIAL"/>
          <w:sz w:val="20"/>
        </w:rPr>
        <w:t xml:space="preserve">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t>
      </w:r>
    </w:p>
    <w:p>
      <w:pPr>
        <w:pStyle w:val="TextBody"/>
        <w:spacing w:before="240" w:after="0"/>
        <w:jc w:val="left"/>
        <w:rPr>
          <w:rFonts w:ascii="ARIAL" w:hAnsi="ARIAL"/>
          <w:sz w:val="20"/>
        </w:rPr>
      </w:pPr>
      <w:r>
        <w:rPr>
          <w:rFonts w:ascii="ARIAL" w:hAnsi="ARIAL"/>
          <w:sz w:val="20"/>
        </w:rPr>
        <w:t xml:space="preserve">We maintain a corporate website at https://www.mereobiopharma.com. Information contained on, or that can be accessed through, our website does not constitute a part of this prospectus supplement and our website address is included in this prospectus supplement as an inactive textual reference only.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32" w:name="supptoc159178_11"/>
      <w:bookmarkEnd w:id="32"/>
      <w:r>
        <w:rPr>
          <w:rFonts w:ascii="ARIAL" w:hAnsi="ARIAL"/>
          <w:b/>
          <w:sz w:val="20"/>
        </w:rPr>
        <w:t xml:space="preserve">INCORPORATION BY REFERENCE </w:t>
      </w:r>
    </w:p>
    <w:p>
      <w:pPr>
        <w:pStyle w:val="TextBody"/>
        <w:spacing w:before="240" w:after="0"/>
        <w:jc w:val="left"/>
        <w:rPr>
          <w:rFonts w:ascii="ARIAL" w:hAnsi="ARIAL"/>
          <w:sz w:val="20"/>
        </w:rPr>
      </w:pPr>
      <w:r>
        <w:rPr>
          <w:rFonts w:ascii="ARIAL" w:hAnsi="ARIAL"/>
          <w:sz w:val="20"/>
        </w:rPr>
        <w:t xml:space="preserve">The SEC allows us to incorporate by reference information into this prospectus supplement, which means that we can disclose important information to you by referring you to other documents which we have filed or will file with the SEC. We are incorporating by reference in this prospectus supplement the documents listed below and all amendments or supplements we may file to such documents, as well as any future filings we may make with the SEC on Form 20-F under the Exchange Act before the time that all of the securities offered by this prospectus supplement have been sold or de-registered: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pPr>
            <w:r>
              <w:rPr>
                <w:rFonts w:ascii="ARIAL" w:hAnsi="ARIAL"/>
                <w:sz w:val="20"/>
              </w:rPr>
              <w:t xml:space="preserve">Our Annual Report on </w:t>
            </w:r>
            <w:hyperlink r:id="rId8">
              <w:r>
                <w:rPr>
                  <w:rStyle w:val="InternetLink"/>
                  <w:rFonts w:ascii="ARIAL" w:hAnsi="ARIAL"/>
                  <w:sz w:val="20"/>
                </w:rPr>
                <w:t>Form 20-F</w:t>
              </w:r>
            </w:hyperlink>
            <w:r>
              <w:rPr>
                <w:rFonts w:ascii="ARIAL" w:hAnsi="ARIAL"/>
                <w:sz w:val="20"/>
              </w:rPr>
              <w:t xml:space="preserve"> for the year ended December 31, 2020, filed with the SEC on March 31,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pPr>
            <w:r>
              <w:rPr>
                <w:rFonts w:ascii="ARIAL" w:hAnsi="ARIAL"/>
                <w:sz w:val="20"/>
              </w:rPr>
              <w:t xml:space="preserve">Our report on </w:t>
            </w:r>
            <w:hyperlink r:id="rId9">
              <w:r>
                <w:rPr>
                  <w:rStyle w:val="InternetLink"/>
                  <w:rFonts w:ascii="ARIAL" w:hAnsi="ARIAL"/>
                  <w:sz w:val="20"/>
                </w:rPr>
                <w:t>Form 6-K</w:t>
              </w:r>
            </w:hyperlink>
            <w:r>
              <w:rPr>
                <w:rFonts w:ascii="ARIAL" w:hAnsi="ARIAL"/>
                <w:sz w:val="20"/>
              </w:rPr>
              <w:t xml:space="preserve"> furnished to the SEC on July 20, 2021;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pPr>
            <w:r>
              <w:rPr>
                <w:rFonts w:ascii="ARIAL" w:hAnsi="ARIAL"/>
                <w:sz w:val="20"/>
              </w:rPr>
              <w:t xml:space="preserve">The description of our ordinary shares contained in Item 1 of the Registration Statement on </w:t>
            </w:r>
            <w:hyperlink r:id="rId10">
              <w:r>
                <w:rPr>
                  <w:rStyle w:val="InternetLink"/>
                  <w:rFonts w:ascii="ARIAL" w:hAnsi="ARIAL"/>
                  <w:sz w:val="20"/>
                </w:rPr>
                <w:t>Form 8-A</w:t>
              </w:r>
            </w:hyperlink>
            <w:r>
              <w:rPr>
                <w:rFonts w:ascii="ARIAL" w:hAnsi="ARIAL"/>
                <w:sz w:val="20"/>
              </w:rPr>
              <w:t xml:space="preserve">, File No. 001-38452, originally filed with the SEC on April 9, 2018 and subsequently amended on April  15, 2019, as updated by </w:t>
            </w:r>
            <w:hyperlink r:id="rId11">
              <w:r>
                <w:rPr>
                  <w:rStyle w:val="InternetLink"/>
                  <w:rFonts w:ascii="ARIAL" w:hAnsi="ARIAL"/>
                  <w:sz w:val="20"/>
                </w:rPr>
                <w:t>Exhibit 2.2 to the 2020 Form 20-F</w:t>
              </w:r>
            </w:hyperlink>
            <w:r>
              <w:rPr>
                <w:rFonts w:ascii="ARIAL" w:hAnsi="ARIAL"/>
                <w:sz w:val="20"/>
              </w:rPr>
              <w:t xml:space="preserve">, including the Description of Ordinary Shares and the Description of American Depositary Shares contained therein and any amendment or report filed for the purpose of further updating such descriptions. </w:t>
            </w:r>
          </w:p>
        </w:tc>
      </w:tr>
    </w:tbl>
    <w:p>
      <w:pPr>
        <w:pStyle w:val="TextBody"/>
        <w:spacing w:before="240" w:after="0"/>
        <w:jc w:val="left"/>
        <w:rPr>
          <w:rFonts w:ascii="ARIAL" w:hAnsi="ARIAL"/>
          <w:sz w:val="20"/>
        </w:rPr>
      </w:pPr>
      <w:r>
        <w:rPr>
          <w:rFonts w:ascii="ARIAL" w:hAnsi="ARIAL"/>
          <w:sz w:val="20"/>
        </w:rPr>
        <w:t xml:space="preserve">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supplement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supplement forms a part, shall be considered to be incorporated into this prospectus supplement by reference and shall be considered a part of this prospectus supplement from the date of filing or submission of such documents. </w:t>
      </w:r>
    </w:p>
    <w:p>
      <w:pPr>
        <w:pStyle w:val="TextBody"/>
        <w:spacing w:before="240" w:after="0"/>
        <w:jc w:val="left"/>
        <w:rPr>
          <w:rFonts w:ascii="ARIAL" w:hAnsi="ARIAL"/>
          <w:sz w:val="20"/>
        </w:rPr>
      </w:pPr>
      <w:r>
        <w:rPr>
          <w:rFonts w:ascii="ARIAL" w:hAnsi="ARIAL"/>
          <w:sz w:val="20"/>
        </w:rPr>
        <w:t xml:space="preserve">As you read the above documents, you may find inconsistencies in information from one document to another. If you find inconsistencies between the documents and this prospectus supplement, you should rely on the statements made in the most recent document. All information appearing in this prospectus supplement is qualified in its entirety by the information and financial statements, including the notes thereto, contained in the documents incorporated by reference herein. </w:t>
      </w:r>
    </w:p>
    <w:p>
      <w:pPr>
        <w:pStyle w:val="TextBody"/>
        <w:spacing w:before="240" w:after="0"/>
        <w:jc w:val="left"/>
        <w:rPr>
          <w:rFonts w:ascii="ARIAL" w:hAnsi="ARIAL"/>
          <w:sz w:val="20"/>
        </w:rPr>
      </w:pPr>
      <w:r>
        <w:rPr>
          <w:rFonts w:ascii="ARIAL" w:hAnsi="ARIAL"/>
          <w:sz w:val="20"/>
        </w:rPr>
        <w:t xml:space="preserve">We will provide to each person, including any beneficial owner, to whom this prospectus supplement is delivered, a copy of these filings, at no cost, upon written or oral request to us at the following address: </w:t>
      </w:r>
    </w:p>
    <w:p>
      <w:pPr>
        <w:pStyle w:val="TextBody"/>
        <w:spacing w:before="240" w:after="0"/>
        <w:jc w:val="left"/>
        <w:rPr>
          <w:rFonts w:ascii="ARIAL" w:hAnsi="ARIAL"/>
          <w:sz w:val="20"/>
        </w:rPr>
      </w:pPr>
      <w:r>
        <w:rPr>
          <w:rFonts w:ascii="ARIAL" w:hAnsi="ARIAL"/>
          <w:sz w:val="20"/>
        </w:rPr>
        <w:t xml:space="preserve">Mereo BioPharma Group plc </w:t>
      </w:r>
    </w:p>
    <w:p>
      <w:pPr>
        <w:pStyle w:val="TextBody"/>
        <w:spacing w:before="0" w:after="0"/>
        <w:jc w:val="left"/>
        <w:rPr>
          <w:rFonts w:ascii="ARIAL" w:hAnsi="ARIAL"/>
          <w:sz w:val="20"/>
        </w:rPr>
      </w:pPr>
      <w:r>
        <w:rPr>
          <w:rFonts w:ascii="ARIAL" w:hAnsi="ARIAL"/>
          <w:sz w:val="20"/>
        </w:rPr>
        <w:t xml:space="preserve">1 Cavendish Place </w:t>
      </w:r>
    </w:p>
    <w:p>
      <w:pPr>
        <w:pStyle w:val="TextBody"/>
        <w:spacing w:before="0" w:after="0"/>
        <w:jc w:val="left"/>
        <w:rPr>
          <w:rFonts w:ascii="ARIAL" w:hAnsi="ARIAL"/>
          <w:sz w:val="20"/>
        </w:rPr>
      </w:pPr>
      <w:r>
        <w:rPr>
          <w:rFonts w:ascii="ARIAL" w:hAnsi="ARIAL"/>
          <w:sz w:val="20"/>
        </w:rPr>
        <w:t xml:space="preserve">4th Floor </w:t>
      </w:r>
    </w:p>
    <w:p>
      <w:pPr>
        <w:pStyle w:val="TextBody"/>
        <w:spacing w:before="0" w:after="0"/>
        <w:jc w:val="left"/>
        <w:rPr>
          <w:rFonts w:ascii="ARIAL" w:hAnsi="ARIAL"/>
          <w:sz w:val="20"/>
        </w:rPr>
      </w:pPr>
      <w:r>
        <w:rPr>
          <w:rFonts w:ascii="ARIAL" w:hAnsi="ARIAL"/>
          <w:sz w:val="20"/>
        </w:rPr>
        <w:t xml:space="preserve">London, W1G 0QF </w:t>
      </w:r>
    </w:p>
    <w:p>
      <w:pPr>
        <w:pStyle w:val="TextBody"/>
        <w:spacing w:before="0" w:after="0"/>
        <w:jc w:val="left"/>
        <w:rPr>
          <w:rFonts w:ascii="ARIAL" w:hAnsi="ARIAL"/>
          <w:sz w:val="20"/>
        </w:rPr>
      </w:pPr>
      <w:r>
        <w:rPr>
          <w:rFonts w:ascii="ARIAL" w:hAnsi="ARIAL"/>
          <w:sz w:val="20"/>
        </w:rPr>
        <w:t xml:space="preserve">United Kingdom </w:t>
      </w:r>
    </w:p>
    <w:p>
      <w:pPr>
        <w:pStyle w:val="TextBody"/>
        <w:spacing w:before="0" w:after="0"/>
        <w:jc w:val="left"/>
        <w:rPr>
          <w:rFonts w:ascii="ARIAL" w:hAnsi="ARIAL"/>
          <w:sz w:val="20"/>
        </w:rPr>
      </w:pPr>
      <w:r>
        <w:rPr>
          <w:rFonts w:ascii="ARIAL" w:hAnsi="ARIAL"/>
          <w:sz w:val="20"/>
        </w:rPr>
        <w:t xml:space="preserve">Tel: +44-333-023-7300 </w:t>
      </w:r>
    </w:p>
    <w:p>
      <w:pPr>
        <w:pStyle w:val="TextBody"/>
        <w:spacing w:before="0" w:after="0"/>
        <w:jc w:val="left"/>
        <w:rPr>
          <w:rFonts w:ascii="ARIAL" w:hAnsi="ARIAL"/>
          <w:sz w:val="20"/>
        </w:rPr>
      </w:pPr>
      <w:r>
        <w:rPr>
          <w:rFonts w:ascii="ARIAL" w:hAnsi="ARIAL"/>
          <w:sz w:val="20"/>
        </w:rPr>
        <w:t xml:space="preserve">Attention: Investor Relations </w:t>
      </w:r>
    </w:p>
    <w:p>
      <w:pPr>
        <w:pStyle w:val="TextBody"/>
        <w:spacing w:before="240" w:after="0"/>
        <w:jc w:val="left"/>
        <w:rPr>
          <w:rFonts w:ascii="ARIAL" w:hAnsi="ARIAL"/>
          <w:sz w:val="20"/>
        </w:rPr>
      </w:pPr>
      <w:r>
        <w:rPr>
          <w:rFonts w:ascii="ARIAL" w:hAnsi="ARIAL"/>
          <w:sz w:val="20"/>
        </w:rPr>
        <w:t xml:space="preserve">You should rely only on the information incorporated by reference or provided in this prospectus supplement. We have not authorized anyone else to provide you with different or additional information. An offer of these securities is not being made in any jurisdiction where the offer or sale is not permitted. You should not assume that the information in this prospectus supplement is accurate as of any date other than the date on the front of those documents.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pPr>
      <w:r>
        <w:rPr/>
        <w:drawing>
          <wp:inline distT="0" distB="0" distL="0" distR="0">
            <wp:extent cx="1767840" cy="644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767840" cy="64452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 w:hAnsi="ARIAL"/>
          <w:b/>
          <w:sz w:val="24"/>
        </w:rPr>
      </w:pPr>
      <w:r>
        <w:rPr>
          <w:rFonts w:ascii="ARIAL" w:hAnsi="ARIAL"/>
          <w:b/>
          <w:sz w:val="24"/>
        </w:rPr>
        <w:t xml:space="preserve">Up to $50,000,000 American Depositary Shares </w:t>
      </w:r>
    </w:p>
    <w:p>
      <w:pPr>
        <w:pStyle w:val="TextBody"/>
        <w:spacing w:before="240" w:after="0"/>
        <w:jc w:val="center"/>
        <w:rPr>
          <w:rFonts w:ascii="ARIAL" w:hAnsi="ARIAL"/>
          <w:b/>
          <w:sz w:val="24"/>
        </w:rPr>
      </w:pPr>
      <w:r>
        <w:rPr>
          <w:rFonts w:ascii="ARIAL" w:hAnsi="ARIAL"/>
          <w:b/>
          <w:sz w:val="24"/>
        </w:rPr>
        <w:t xml:space="preserve">Representing Ordinary Shares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pPr>
            <w:r>
              <w:rPr/>
              <w:t> </w:t>
            </w:r>
          </w:p>
          <w:p>
            <w:pPr>
              <w:pStyle w:val="TableContents"/>
              <w:spacing w:before="0" w:after="0"/>
              <w:jc w:val="center"/>
              <w:rPr>
                <w:rFonts w:ascii="ARIAL" w:hAnsi="ARIAL"/>
                <w:b/>
                <w:sz w:val="24"/>
              </w:rPr>
            </w:pPr>
            <w:r>
              <w:rPr>
                <w:rFonts w:ascii="ARIAL" w:hAnsi="ARIAL"/>
                <w:b/>
                <w:sz w:val="24"/>
              </w:rPr>
              <w:t>PROSPECTUS SUPPLEMENT</w:t>
            </w:r>
          </w:p>
          <w:p>
            <w:pPr>
              <w:pStyle w:val="TableContents"/>
              <w:pBdr>
                <w:bottom w:val="single" w:sz="2" w:space="1" w:color="000000"/>
              </w:pBdr>
              <w:spacing w:before="0" w:after="0"/>
              <w:jc w:val="left"/>
              <w:rPr/>
            </w:pPr>
            <w:r>
              <w:rPr/>
              <w:t> </w:t>
            </w:r>
          </w:p>
          <w:p>
            <w:pPr>
              <w:pStyle w:val="TableContents"/>
              <w:spacing w:before="0" w:after="20"/>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960" w:after="0"/>
        <w:jc w:val="center"/>
        <w:rPr>
          <w:rFonts w:ascii="ARIAL" w:hAnsi="ARIAL"/>
          <w:b/>
          <w:sz w:val="32"/>
        </w:rPr>
      </w:pPr>
      <w:r>
        <w:rPr>
          <w:rFonts w:ascii="ARIAL" w:hAnsi="ARIAL"/>
          <w:b/>
          <w:sz w:val="32"/>
        </w:rPr>
        <w:t xml:space="preserve">Jefferies </w:t>
      </w:r>
    </w:p>
    <w:p>
      <w:pPr>
        <w:pStyle w:val="TextBody"/>
        <w:spacing w:before="900" w:after="0"/>
        <w:jc w:val="center"/>
        <w:rPr/>
      </w:pPr>
      <w:r>
        <w:rPr/>
        <w:t>                </w:t>
      </w:r>
      <w:r>
        <w:rPr>
          <w:rFonts w:ascii="ARIAL" w:hAnsi="ARIAL"/>
          <w:b/>
          <w:sz w:val="24"/>
        </w:rPr>
        <w:t xml:space="preserve">, 2021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r>
        <w:rPr>
          <w:rFonts w:ascii="ARIAL" w:hAnsi="ARIAL"/>
          <w:b/>
          <w:sz w:val="20"/>
        </w:rPr>
        <w:t xml:space="preserve">PART IIINFORMATION NOT REQUIRED IN THE PROSPECTUS </w:t>
      </w:r>
    </w:p>
    <w:p>
      <w:pPr>
        <w:pStyle w:val="TextBody"/>
        <w:spacing w:before="360" w:after="0"/>
        <w:jc w:val="left"/>
        <w:rPr>
          <w:rFonts w:ascii="ARIAL" w:hAnsi="ARIAL"/>
          <w:b/>
          <w:sz w:val="20"/>
        </w:rPr>
      </w:pPr>
      <w:r>
        <w:rPr>
          <w:rFonts w:ascii="ARIAL" w:hAnsi="ARIAL"/>
          <w:b/>
          <w:sz w:val="20"/>
        </w:rPr>
        <w:t xml:space="preserve">Item 8. Indemnification of directors and officers </w:t>
      </w:r>
    </w:p>
    <w:p>
      <w:pPr>
        <w:pStyle w:val="TextBody"/>
        <w:spacing w:before="80" w:after="0"/>
        <w:jc w:val="left"/>
        <w:rPr>
          <w:rFonts w:ascii="ARIAL" w:hAnsi="ARIAL"/>
          <w:sz w:val="20"/>
        </w:rPr>
      </w:pPr>
      <w:r>
        <w:rPr>
          <w:rFonts w:ascii="ARIAL" w:hAnsi="ARIAL"/>
          <w:sz w:val="20"/>
        </w:rPr>
        <w:t xml:space="preserve">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 </w:t>
      </w:r>
    </w:p>
    <w:p>
      <w:pPr>
        <w:pStyle w:val="TextBody"/>
        <w:spacing w:before="240" w:after="0"/>
        <w:jc w:val="left"/>
        <w:rPr>
          <w:rFonts w:ascii="ARIAL" w:hAnsi="ARIAL"/>
          <w:sz w:val="20"/>
        </w:rPr>
      </w:pPr>
      <w:r>
        <w:rPr>
          <w:rFonts w:ascii="ARIAL" w:hAnsi="ARIAL"/>
          <w:sz w:val="20"/>
        </w:rPr>
        <w:t xml:space="preserve">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 </w:t>
      </w:r>
    </w:p>
    <w:p>
      <w:pPr>
        <w:pStyle w:val="TextBody"/>
        <w:spacing w:before="240" w:after="0"/>
        <w:jc w:val="left"/>
        <w:rPr>
          <w:rFonts w:ascii="ARIAL" w:hAnsi="ARIAL"/>
          <w:sz w:val="20"/>
        </w:rPr>
      </w:pPr>
      <w:r>
        <w:rPr>
          <w:rFonts w:ascii="ARIAL" w:hAnsi="ARIAL"/>
          <w:sz w:val="20"/>
        </w:rPr>
        <w:t xml:space="preserve">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 </w:t>
      </w:r>
    </w:p>
    <w:p>
      <w:pPr>
        <w:pStyle w:val="TextBody"/>
        <w:spacing w:before="240" w:after="0"/>
        <w:jc w:val="left"/>
        <w:rPr>
          <w:rFonts w:ascii="ARIAL" w:hAnsi="ARIAL"/>
          <w:sz w:val="20"/>
        </w:rPr>
      </w:pPr>
      <w:r>
        <w:rPr>
          <w:rFonts w:ascii="ARIAL" w:hAnsi="ARIAL"/>
          <w:sz w:val="20"/>
        </w:rPr>
        <w:t xml:space="preserve">Mereo maintains directors and officers insurance coverage, which, subject to policy terms and limitations, is expected to include coverage to reimburse Mereo for amounts that it may be required or permitted by law to pay directors or officers of Mereo. </w:t>
      </w:r>
    </w:p>
    <w:p>
      <w:pPr>
        <w:pStyle w:val="TextBody"/>
        <w:spacing w:before="240" w:after="0"/>
        <w:jc w:val="left"/>
        <w:rPr>
          <w:rFonts w:ascii="ARIAL" w:hAnsi="ARIAL"/>
          <w:sz w:val="20"/>
        </w:rPr>
      </w:pPr>
      <w:r>
        <w:rPr>
          <w:rFonts w:ascii="ARIAL" w:hAnsi="ARIAL"/>
          <w:sz w:val="20"/>
        </w:rPr>
        <w:t xml:space="preserve">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 </w:t>
      </w:r>
    </w:p>
    <w:p>
      <w:pPr>
        <w:pStyle w:val="TextBody"/>
        <w:spacing w:before="240" w:after="0"/>
        <w:jc w:val="left"/>
        <w:rPr>
          <w:rFonts w:ascii="ARIAL" w:hAnsi="ARIAL"/>
          <w:b/>
          <w:sz w:val="20"/>
        </w:rPr>
      </w:pPr>
      <w:r>
        <w:rPr>
          <w:rFonts w:ascii="ARIAL" w:hAnsi="ARIAL"/>
          <w:b/>
          <w:sz w:val="20"/>
        </w:rPr>
        <w:t xml:space="preserve">Item 9. Exhibits and financial statements </w:t>
      </w:r>
    </w:p>
    <w:p>
      <w:pPr>
        <w:pStyle w:val="TextBody"/>
        <w:spacing w:before="240" w:after="0"/>
        <w:jc w:val="left"/>
        <w:rPr>
          <w:rFonts w:ascii="ARIAL" w:hAnsi="ARIAL"/>
          <w:sz w:val="20"/>
        </w:rPr>
      </w:pPr>
      <w:r>
        <w:rPr>
          <w:rFonts w:ascii="ARIAL" w:hAnsi="ARIAL"/>
          <w:sz w:val="20"/>
        </w:rPr>
        <w:t xml:space="preserve">(a) </w:t>
      </w:r>
      <w:r>
        <w:rPr>
          <w:rFonts w:ascii="ARIAL" w:hAnsi="ARIAL"/>
          <w:b/>
          <w:sz w:val="20"/>
        </w:rPr>
        <w:t>Exhibits</w:t>
      </w:r>
      <w:r>
        <w:rPr>
          <w:rFonts w:ascii="ARIAL" w:hAnsi="ARIAL"/>
          <w:sz w:val="20"/>
        </w:rPr>
        <w:t xml:space="preserve">. The exhibits to this registration statement are listed in the Exhibit Index to this registration statement and incorporated herein by reference. </w:t>
      </w:r>
    </w:p>
    <w:p>
      <w:pPr>
        <w:pStyle w:val="TextBody"/>
        <w:spacing w:before="240" w:after="0"/>
        <w:jc w:val="left"/>
        <w:rPr>
          <w:rFonts w:ascii="ARIAL" w:hAnsi="ARIAL"/>
          <w:sz w:val="20"/>
        </w:rPr>
      </w:pPr>
      <w:r>
        <w:rPr>
          <w:rFonts w:ascii="ARIAL" w:hAnsi="ARIAL"/>
          <w:sz w:val="20"/>
        </w:rPr>
        <w:t xml:space="preserve">(b) </w:t>
      </w:r>
      <w:r>
        <w:rPr>
          <w:rFonts w:ascii="ARIAL" w:hAnsi="ARIAL"/>
          <w:b/>
          <w:sz w:val="20"/>
        </w:rPr>
        <w:t>Financial Statement Schedules</w:t>
      </w:r>
      <w:r>
        <w:rPr>
          <w:rFonts w:ascii="ARIAL" w:hAnsi="ARIAL"/>
          <w:sz w:val="20"/>
        </w:rPr>
        <w:t xml:space="preserve">. Schedules have been omitted because the information required to be set forth therein is not applicable or is shown in our combined financial statements or the notes thereto. </w:t>
      </w:r>
    </w:p>
    <w:p>
      <w:pPr>
        <w:pStyle w:val="TextBody"/>
        <w:spacing w:before="360" w:after="0"/>
        <w:jc w:val="left"/>
        <w:rPr>
          <w:rFonts w:ascii="ARIAL" w:hAnsi="ARIAL"/>
          <w:b/>
          <w:sz w:val="20"/>
        </w:rPr>
      </w:pPr>
      <w:r>
        <w:rPr>
          <w:rFonts w:ascii="ARIAL" w:hAnsi="ARIAL"/>
          <w:b/>
          <w:sz w:val="20"/>
        </w:rPr>
        <w:t xml:space="preserve">Item 10. Undertakings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undersigned registrant hereby undertakes: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408"/>
        <w:gridCol w:w="8982"/>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8982" w:type="dxa"/>
            <w:tcBorders/>
            <w:shd w:fill="auto" w:val="clear"/>
          </w:tcPr>
          <w:p>
            <w:pPr>
              <w:pStyle w:val="TableContents"/>
              <w:spacing w:before="0" w:after="0"/>
              <w:jc w:val="left"/>
              <w:rPr>
                <w:rFonts w:ascii="ARIAL" w:hAnsi="ARIAL"/>
                <w:sz w:val="20"/>
              </w:rPr>
            </w:pPr>
            <w:r>
              <w:rPr>
                <w:rFonts w:ascii="ARIAL" w:hAnsi="ARIAL"/>
                <w:sz w:val="20"/>
              </w:rPr>
              <w:t xml:space="preserve">To file, during any period in which offers or sales are being made, a post-effective amendment to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4"/>
        <w:gridCol w:w="407"/>
        <w:gridCol w:w="8574"/>
      </w:tblGrid>
      <w:tr>
        <w:trPr/>
        <w:tc>
          <w:tcPr>
            <w:tcW w:w="1224"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574" w:type="dxa"/>
            <w:tcBorders/>
            <w:shd w:fill="auto" w:val="clear"/>
          </w:tcPr>
          <w:p>
            <w:pPr>
              <w:pStyle w:val="TableContents"/>
              <w:spacing w:before="0" w:after="0"/>
              <w:jc w:val="left"/>
              <w:rPr>
                <w:rFonts w:ascii="ARIAL" w:hAnsi="ARIAL"/>
                <w:sz w:val="20"/>
              </w:rPr>
            </w:pPr>
            <w:r>
              <w:rPr>
                <w:rFonts w:ascii="ARIAL" w:hAnsi="ARIAL"/>
                <w:sz w:val="20"/>
              </w:rPr>
              <w:t xml:space="preserve">To include any prospectus required by section 10(a)(3) of the Securities Act of 1933;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3"/>
        <w:gridCol w:w="408"/>
        <w:gridCol w:w="8574"/>
      </w:tblGrid>
      <w:tr>
        <w:trPr/>
        <w:tc>
          <w:tcPr>
            <w:tcW w:w="1223"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w:t>
            </w:r>
          </w:p>
        </w:tc>
        <w:tc>
          <w:tcPr>
            <w:tcW w:w="8574" w:type="dxa"/>
            <w:tcBorders/>
            <w:shd w:fill="auto" w:val="clear"/>
          </w:tcPr>
          <w:p>
            <w:pPr>
              <w:pStyle w:val="TableContents"/>
              <w:spacing w:before="0" w:after="0"/>
              <w:jc w:val="left"/>
              <w:rPr>
                <w:rFonts w:ascii="ARIAL" w:hAnsi="ARIAL"/>
                <w:sz w:val="20"/>
              </w:rPr>
            </w:pPr>
            <w:r>
              <w:rPr>
                <w:rFonts w:ascii="ARIAL" w:hAnsi="ARIAL"/>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631"/>
        <w:gridCol w:w="8574"/>
      </w:tblGrid>
      <w:tr>
        <w:trPr/>
        <w:tc>
          <w:tcPr>
            <w:tcW w:w="1631" w:type="dxa"/>
            <w:tcBorders/>
            <w:shd w:fill="auto" w:val="clear"/>
            <w:vAlign w:val="center"/>
          </w:tcPr>
          <w:p>
            <w:pPr>
              <w:pStyle w:val="TableContents"/>
              <w:spacing w:before="0" w:after="283"/>
              <w:rPr/>
            </w:pPr>
            <w:r>
              <w:rPr/>
              <w:t> </w:t>
            </w:r>
          </w:p>
        </w:tc>
        <w:tc>
          <w:tcPr>
            <w:tcW w:w="8574" w:type="dxa"/>
            <w:tcBorders/>
            <w:shd w:fill="auto" w:val="clear"/>
          </w:tcPr>
          <w:p>
            <w:pPr>
              <w:pStyle w:val="TableContents"/>
              <w:spacing w:before="0" w:after="283"/>
              <w:jc w:val="left"/>
              <w:rPr/>
            </w:pPr>
            <w:r>
              <w:rPr/>
              <w:t xml:space="preserve">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4"/>
        <w:gridCol w:w="408"/>
        <w:gridCol w:w="8573"/>
      </w:tblGrid>
      <w:tr>
        <w:trPr/>
        <w:tc>
          <w:tcPr>
            <w:tcW w:w="1224"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(iii)</w:t>
            </w:r>
          </w:p>
        </w:tc>
        <w:tc>
          <w:tcPr>
            <w:tcW w:w="8573" w:type="dxa"/>
            <w:tcBorders/>
            <w:shd w:fill="auto" w:val="clear"/>
          </w:tcPr>
          <w:p>
            <w:pPr>
              <w:pStyle w:val="TableContents"/>
              <w:spacing w:before="0" w:after="0"/>
              <w:jc w:val="left"/>
              <w:rPr>
                <w:rFonts w:ascii="ARIAL" w:hAnsi="ARIAL"/>
                <w:sz w:val="20"/>
              </w:rPr>
            </w:pPr>
            <w:r>
              <w:rPr>
                <w:rFonts w:ascii="ARIAL" w:hAnsi="ARIAL"/>
                <w:sz w:val="20"/>
              </w:rPr>
              <w:t xml:space="preserve">To include any material information with respect to the plan of distribution not previously disclosed in the registration statement or any material change to such information in the registration statement; 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408"/>
        <w:gridCol w:w="8982"/>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8982" w:type="dxa"/>
            <w:tcBorders/>
            <w:shd w:fill="auto" w:val="clear"/>
          </w:tcPr>
          <w:p>
            <w:pPr>
              <w:pStyle w:val="TableContents"/>
              <w:spacing w:before="0" w:after="0"/>
              <w:jc w:val="left"/>
              <w:rPr>
                <w:rFonts w:ascii="ARIAL" w:hAnsi="ARIAL"/>
                <w:sz w:val="20"/>
              </w:rPr>
            </w:pPr>
            <w:r>
              <w:rPr>
                <w:rFonts w:ascii="ARIAL" w:hAnsi="ARIAL"/>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408"/>
        <w:gridCol w:w="8982"/>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(3)</w:t>
            </w:r>
          </w:p>
        </w:tc>
        <w:tc>
          <w:tcPr>
            <w:tcW w:w="8982" w:type="dxa"/>
            <w:tcBorders/>
            <w:shd w:fill="auto" w:val="clear"/>
          </w:tcPr>
          <w:p>
            <w:pPr>
              <w:pStyle w:val="TableContents"/>
              <w:spacing w:before="0" w:after="0"/>
              <w:jc w:val="left"/>
              <w:rPr>
                <w:rFonts w:ascii="ARIAL" w:hAnsi="ARIAL"/>
                <w:sz w:val="20"/>
              </w:rPr>
            </w:pPr>
            <w:r>
              <w:rPr>
                <w:rFonts w:ascii="ARIAL" w:hAnsi="ARIAL"/>
                <w:sz w:val="20"/>
              </w:rPr>
              <w:t xml:space="preserve">To remove from registration by means of a post-effective amendment any of the securities being registered which remain unsold at the termination of the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408"/>
        <w:gridCol w:w="8982"/>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8982" w:type="dxa"/>
            <w:tcBorders/>
            <w:shd w:fill="auto" w:val="clear"/>
          </w:tcPr>
          <w:p>
            <w:pPr>
              <w:pStyle w:val="TableContents"/>
              <w:spacing w:before="0" w:after="0"/>
              <w:jc w:val="left"/>
              <w:rPr>
                <w:rFonts w:ascii="ARIAL" w:hAnsi="ARIAL"/>
                <w:sz w:val="20"/>
              </w:rPr>
            </w:pPr>
            <w:r>
              <w:rPr>
                <w:rFonts w:ascii="ARIAL" w:hAnsi="ARIAL"/>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if such financial statements and information are contained in periodic reports filed with or furnished to the SEC by the registrant pursuant to Section 13 or Section 15(d) of the Securities Exchange Act of 1934 that are incorporated by reference in this Form F-3.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408"/>
        <w:gridCol w:w="8982"/>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(5)</w:t>
            </w:r>
          </w:p>
        </w:tc>
        <w:tc>
          <w:tcPr>
            <w:tcW w:w="8982" w:type="dxa"/>
            <w:tcBorders/>
            <w:shd w:fill="auto" w:val="clear"/>
          </w:tcPr>
          <w:p>
            <w:pPr>
              <w:pStyle w:val="TableContents"/>
              <w:spacing w:before="0" w:after="0"/>
              <w:jc w:val="left"/>
              <w:rPr>
                <w:rFonts w:ascii="ARIAL" w:hAnsi="ARIAL"/>
                <w:sz w:val="20"/>
              </w:rPr>
            </w:pPr>
            <w:r>
              <w:rPr>
                <w:rFonts w:ascii="ARIAL" w:hAnsi="ARIAL"/>
                <w:sz w:val="20"/>
              </w:rPr>
              <w:t xml:space="preserve">That, for the purpose of determining liability under the Securities Act of 1933 to any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4"/>
        <w:gridCol w:w="406"/>
        <w:gridCol w:w="8575"/>
      </w:tblGrid>
      <w:tr>
        <w:trPr/>
        <w:tc>
          <w:tcPr>
            <w:tcW w:w="1224"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(i)</w:t>
            </w:r>
          </w:p>
        </w:tc>
        <w:tc>
          <w:tcPr>
            <w:tcW w:w="8575" w:type="dxa"/>
            <w:tcBorders/>
            <w:shd w:fill="auto" w:val="clear"/>
          </w:tcPr>
          <w:p>
            <w:pPr>
              <w:pStyle w:val="TableContents"/>
              <w:spacing w:before="0" w:after="0"/>
              <w:jc w:val="left"/>
              <w:rPr>
                <w:rFonts w:ascii="ARIAL" w:hAnsi="ARIAL"/>
                <w:sz w:val="20"/>
              </w:rPr>
            </w:pPr>
            <w:r>
              <w:rPr>
                <w:rFonts w:ascii="ARIAL" w:hAnsi="ARIAL"/>
                <w:sz w:val="20"/>
              </w:rPr>
              <w:t xml:space="preserve">If the registrant is relying on Rule 430B: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407"/>
        <w:gridCol w:w="8166"/>
      </w:tblGrid>
      <w:tr>
        <w:trPr/>
        <w:tc>
          <w:tcPr>
            <w:tcW w:w="1632"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166" w:type="dxa"/>
            <w:tcBorders/>
            <w:shd w:fill="auto" w:val="clear"/>
          </w:tcPr>
          <w:p>
            <w:pPr>
              <w:pStyle w:val="TableContents"/>
              <w:spacing w:before="0" w:after="0"/>
              <w:jc w:val="left"/>
              <w:rPr>
                <w:rFonts w:ascii="ARIAL" w:hAnsi="ARIAL"/>
                <w:sz w:val="20"/>
              </w:rPr>
            </w:pPr>
            <w:r>
              <w:rPr>
                <w:rFonts w:ascii="ARIAL" w:hAnsi="ARIAL"/>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407"/>
        <w:gridCol w:w="8166"/>
      </w:tblGrid>
      <w:tr>
        <w:trPr/>
        <w:tc>
          <w:tcPr>
            <w:tcW w:w="1632"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166" w:type="dxa"/>
            <w:tcBorders/>
            <w:shd w:fill="auto" w:val="clear"/>
          </w:tcPr>
          <w:p>
            <w:pPr>
              <w:pStyle w:val="TableContents"/>
              <w:spacing w:before="0" w:after="0"/>
              <w:jc w:val="left"/>
              <w:rPr>
                <w:rFonts w:ascii="ARIAL" w:hAnsi="ARIAL"/>
                <w:sz w:val="20"/>
              </w:rPr>
            </w:pPr>
            <w:r>
              <w:rPr>
                <w:rFonts w:ascii="ARIAL" w:hAnsi="ARIAL"/>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2036"/>
        <w:gridCol w:w="8169"/>
      </w:tblGrid>
      <w:tr>
        <w:trPr/>
        <w:tc>
          <w:tcPr>
            <w:tcW w:w="2036" w:type="dxa"/>
            <w:tcBorders/>
            <w:shd w:fill="auto" w:val="clear"/>
            <w:vAlign w:val="center"/>
          </w:tcPr>
          <w:p>
            <w:pPr>
              <w:pStyle w:val="TableContents"/>
              <w:spacing w:before="0" w:after="283"/>
              <w:rPr/>
            </w:pPr>
            <w:r>
              <w:rPr/>
              <w:t> </w:t>
            </w:r>
          </w:p>
        </w:tc>
        <w:tc>
          <w:tcPr>
            <w:tcW w:w="8169" w:type="dxa"/>
            <w:tcBorders/>
            <w:shd w:fill="auto" w:val="clear"/>
          </w:tcPr>
          <w:p>
            <w:pPr>
              <w:pStyle w:val="TableContents"/>
              <w:spacing w:before="0" w:after="283"/>
              <w:jc w:val="left"/>
              <w:rPr/>
            </w:pPr>
            <w:r>
              <w:rPr/>
              <w:t xml:space="preserve">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3"/>
        <w:gridCol w:w="407"/>
        <w:gridCol w:w="8575"/>
      </w:tblGrid>
      <w:tr>
        <w:trPr/>
        <w:tc>
          <w:tcPr>
            <w:tcW w:w="1223"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575" w:type="dxa"/>
            <w:tcBorders/>
            <w:shd w:fill="auto" w:val="clear"/>
          </w:tcPr>
          <w:p>
            <w:pPr>
              <w:pStyle w:val="TableContents"/>
              <w:spacing w:before="0" w:after="0"/>
              <w:jc w:val="left"/>
              <w:rPr>
                <w:rFonts w:ascii="ARIAL" w:hAnsi="ARIAL"/>
                <w:sz w:val="20"/>
              </w:rPr>
            </w:pPr>
            <w:r>
              <w:rPr>
                <w:rFonts w:ascii="ARIAL" w:hAnsi="ARIAL"/>
                <w:sz w:val="20"/>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408"/>
        <w:gridCol w:w="8982"/>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(6)</w:t>
            </w:r>
          </w:p>
        </w:tc>
        <w:tc>
          <w:tcPr>
            <w:tcW w:w="8982" w:type="dxa"/>
            <w:tcBorders/>
            <w:shd w:fill="auto" w:val="clear"/>
          </w:tcPr>
          <w:p>
            <w:pPr>
              <w:pStyle w:val="TableContents"/>
              <w:spacing w:before="0" w:after="0"/>
              <w:jc w:val="left"/>
              <w:rPr>
                <w:rFonts w:ascii="ARIAL" w:hAnsi="ARIAL"/>
                <w:sz w:val="20"/>
              </w:rPr>
            </w:pPr>
            <w:r>
              <w:rPr>
                <w:rFonts w:ascii="ARIAL" w:hAnsi="ARIAL"/>
                <w:sz w:val="20"/>
              </w:rPr>
              <w:t xml:space="preserve">That, for the purpose of determining liability of the registrant under the Securities Act of 1933 to any purchaser in the initial distribution of the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408"/>
        <w:gridCol w:w="8982"/>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8982" w:type="dxa"/>
            <w:tcBorders/>
            <w:shd w:fill="auto" w:val="clear"/>
          </w:tcPr>
          <w:p>
            <w:pPr>
              <w:pStyle w:val="TableContents"/>
              <w:spacing w:before="0" w:after="0"/>
              <w:jc w:val="left"/>
              <w:rPr>
                <w:rFonts w:ascii="ARIAL" w:hAnsi="ARIAL"/>
                <w:sz w:val="20"/>
              </w:rPr>
            </w:pPr>
            <w:r>
              <w:rPr>
                <w:rFonts w:ascii="ARIAL" w:hAnsi="ARIAL"/>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4"/>
        <w:gridCol w:w="406"/>
        <w:gridCol w:w="8575"/>
      </w:tblGrid>
      <w:tr>
        <w:trPr/>
        <w:tc>
          <w:tcPr>
            <w:tcW w:w="1224"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(i)</w:t>
            </w:r>
          </w:p>
        </w:tc>
        <w:tc>
          <w:tcPr>
            <w:tcW w:w="8575" w:type="dxa"/>
            <w:tcBorders/>
            <w:shd w:fill="auto" w:val="clear"/>
          </w:tcPr>
          <w:p>
            <w:pPr>
              <w:pStyle w:val="TableContents"/>
              <w:spacing w:before="0" w:after="0"/>
              <w:jc w:val="left"/>
              <w:rPr>
                <w:rFonts w:ascii="ARIAL" w:hAnsi="ARIAL"/>
                <w:sz w:val="20"/>
              </w:rPr>
            </w:pPr>
            <w:r>
              <w:rPr>
                <w:rFonts w:ascii="ARIAL" w:hAnsi="ARIAL"/>
                <w:sz w:val="20"/>
              </w:rPr>
              <w:t xml:space="preserve">Any preliminary prospectus or prospectus of the undersigned registrant relating to the offering required to be filed pursuant to Rule 424;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3"/>
        <w:gridCol w:w="408"/>
        <w:gridCol w:w="8574"/>
      </w:tblGrid>
      <w:tr>
        <w:trPr/>
        <w:tc>
          <w:tcPr>
            <w:tcW w:w="1223"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w:t>
            </w:r>
          </w:p>
        </w:tc>
        <w:tc>
          <w:tcPr>
            <w:tcW w:w="8574" w:type="dxa"/>
            <w:tcBorders/>
            <w:shd w:fill="auto" w:val="clear"/>
          </w:tcPr>
          <w:p>
            <w:pPr>
              <w:pStyle w:val="TableContents"/>
              <w:spacing w:before="0" w:after="0"/>
              <w:jc w:val="left"/>
              <w:rPr>
                <w:rFonts w:ascii="ARIAL" w:hAnsi="ARIAL"/>
                <w:sz w:val="20"/>
              </w:rPr>
            </w:pPr>
            <w:r>
              <w:rPr>
                <w:rFonts w:ascii="ARIAL" w:hAnsi="ARIAL"/>
                <w:sz w:val="20"/>
              </w:rPr>
              <w:t xml:space="preserve">Any free writing prospectus relating to the offering prepared by or on behalf of the undersigned registrant or used or referred to by the undersigned registrant;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4"/>
        <w:gridCol w:w="408"/>
        <w:gridCol w:w="8573"/>
      </w:tblGrid>
      <w:tr>
        <w:trPr/>
        <w:tc>
          <w:tcPr>
            <w:tcW w:w="1224"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(iii)</w:t>
            </w:r>
          </w:p>
        </w:tc>
        <w:tc>
          <w:tcPr>
            <w:tcW w:w="8573" w:type="dxa"/>
            <w:tcBorders/>
            <w:shd w:fill="auto" w:val="clear"/>
          </w:tcPr>
          <w:p>
            <w:pPr>
              <w:pStyle w:val="TableContents"/>
              <w:spacing w:before="0" w:after="0"/>
              <w:jc w:val="left"/>
              <w:rPr>
                <w:rFonts w:ascii="ARIAL" w:hAnsi="ARIAL"/>
                <w:sz w:val="20"/>
              </w:rPr>
            </w:pPr>
            <w:r>
              <w:rPr>
                <w:rFonts w:ascii="ARIAL" w:hAnsi="ARIAL"/>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3"/>
        <w:gridCol w:w="408"/>
        <w:gridCol w:w="8574"/>
      </w:tblGrid>
      <w:tr>
        <w:trPr/>
        <w:tc>
          <w:tcPr>
            <w:tcW w:w="1223"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(iv)</w:t>
            </w:r>
          </w:p>
        </w:tc>
        <w:tc>
          <w:tcPr>
            <w:tcW w:w="8574" w:type="dxa"/>
            <w:tcBorders/>
            <w:shd w:fill="auto" w:val="clear"/>
          </w:tcPr>
          <w:p>
            <w:pPr>
              <w:pStyle w:val="TableContents"/>
              <w:spacing w:before="0" w:after="0"/>
              <w:jc w:val="left"/>
              <w:rPr>
                <w:rFonts w:ascii="ARIAL" w:hAnsi="ARIAL"/>
                <w:sz w:val="20"/>
              </w:rPr>
            </w:pPr>
            <w:r>
              <w:rPr>
                <w:rFonts w:ascii="ARIAL" w:hAnsi="ARIAL"/>
                <w:sz w:val="20"/>
              </w:rPr>
              <w:t xml:space="preserve">Any other communication that is an offer in the offering made by the undersigned registrant to the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1"/>
        <w:gridCol w:w="9394"/>
      </w:tblGrid>
      <w:tr>
        <w:trPr/>
        <w:tc>
          <w:tcPr>
            <w:tcW w:w="811" w:type="dxa"/>
            <w:tcBorders/>
            <w:shd w:fill="auto" w:val="clear"/>
            <w:vAlign w:val="center"/>
          </w:tcPr>
          <w:p>
            <w:pPr>
              <w:pStyle w:val="TableContents"/>
              <w:spacing w:before="0" w:after="283"/>
              <w:rPr/>
            </w:pPr>
            <w:r>
              <w:rPr/>
              <w:t> </w:t>
            </w:r>
          </w:p>
        </w:tc>
        <w:tc>
          <w:tcPr>
            <w:tcW w:w="9394" w:type="dxa"/>
            <w:tcBorders/>
            <w:shd w:fill="auto" w:val="clear"/>
          </w:tcPr>
          <w:p>
            <w:pPr>
              <w:pStyle w:val="TableContents"/>
              <w:spacing w:before="0" w:after="283"/>
              <w:jc w:val="left"/>
              <w:rPr/>
            </w:pPr>
            <w:r>
              <w:rPr/>
              <w:t xml:space="preserve">therein, and the offering of such securities at that time shall be deemed to be the initial bona fide offering thereof. </w:t>
            </w:r>
          </w:p>
        </w:tc>
      </w:tr>
    </w:tbl>
    <w:p>
      <w:pPr>
        <w:pStyle w:val="TextBody"/>
        <w:spacing w:before="240" w:after="0"/>
        <w:jc w:val="left"/>
        <w:rPr>
          <w:rFonts w:ascii="ARIAL" w:hAnsi="ARIAL"/>
          <w:sz w:val="20"/>
        </w:rPr>
      </w:pPr>
      <w:r>
        <w:rPr>
          <w:rFonts w:ascii="ARIAL" w:hAnsi="ARIAL"/>
          <w:sz w:val="20"/>
        </w:rPr>
        <w:t xml:space="preserve">(c)-(g) 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(h)</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Insofar as indemnification for liabilities arising under the Securities Act of 1933 may be permitted to directors, officers and controlling persons of the registrant pursuant to the provisions referred to in Item 8,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r>
        <w:rPr>
          <w:rFonts w:ascii="ARIAL" w:hAnsi="ARIAL"/>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77"/>
        <w:gridCol w:w="507"/>
        <w:gridCol w:w="8821"/>
      </w:tblGrid>
      <w:tr>
        <w:trPr/>
        <w:tc>
          <w:tcPr>
            <w:tcW w:w="87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8821"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bottom"/>
          </w:tcPr>
          <w:p>
            <w:pPr>
              <w:pStyle w:val="TableContents"/>
              <w:pBdr>
                <w:bottom w:val="single" w:sz="8" w:space="1" w:color="000000"/>
              </w:pBdr>
              <w:spacing w:before="0" w:after="0"/>
              <w:jc w:val="center"/>
              <w:rPr>
                <w:rFonts w:ascii="ARIAL" w:hAnsi="ARIAL"/>
                <w:b/>
                <w:sz w:val="16"/>
              </w:rPr>
            </w:pPr>
            <w:r>
              <w:rPr>
                <w:rFonts w:ascii="ARIAL" w:hAnsi="ARIAL"/>
                <w:b/>
                <w:sz w:val="16"/>
              </w:rPr>
              <w:t>Exhibit</w:t>
              <w:br/>
              <w:t>Number</w:t>
            </w:r>
          </w:p>
        </w:tc>
        <w:tc>
          <w:tcPr>
            <w:tcW w:w="507" w:type="dxa"/>
            <w:tcBorders/>
            <w:shd w:fill="auto" w:val="clear"/>
            <w:vAlign w:val="bottom"/>
          </w:tcPr>
          <w:p>
            <w:pPr>
              <w:pStyle w:val="TableContents"/>
              <w:spacing w:before="0" w:after="283"/>
              <w:rPr/>
            </w:pPr>
            <w:r>
              <w:rPr/>
              <w:t>  </w:t>
            </w:r>
          </w:p>
        </w:tc>
        <w:tc>
          <w:tcPr>
            <w:tcW w:w="8821" w:type="dxa"/>
            <w:tcBorders/>
            <w:shd w:fill="auto" w:val="clear"/>
            <w:vAlign w:val="bottom"/>
          </w:tcPr>
          <w:p>
            <w:pPr>
              <w:pStyle w:val="TableContents"/>
              <w:pBdr>
                <w:bottom w:val="single" w:sz="8" w:space="1" w:color="000000"/>
              </w:pBdr>
              <w:spacing w:before="0" w:after="0"/>
              <w:jc w:val="center"/>
              <w:rPr>
                <w:rFonts w:ascii="ARIAL" w:hAnsi="ARIAL"/>
                <w:b/>
                <w:sz w:val="16"/>
              </w:rPr>
            </w:pPr>
            <w:r>
              <w:rPr>
                <w:rFonts w:ascii="ARIAL" w:hAnsi="ARIAL"/>
                <w:b/>
                <w:sz w:val="16"/>
              </w:rPr>
              <w:t>Exhibit Description</w:t>
            </w:r>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1.1*</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r>
              <w:rPr/>
              <w:t>Form of Underwriting Agreement.</w:t>
            </w:r>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1.2**</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13">
              <w:r>
                <w:rPr>
                  <w:rStyle w:val="InternetLink"/>
                </w:rPr>
                <w:t>Open Market Sale AgreementSM, dated August 5, 2021, by and between Mereo BioPharma Group plc and Jefferies LLC.</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4.1**</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14">
              <w:r>
                <w:rPr>
                  <w:rStyle w:val="InternetLink"/>
                </w:rPr>
                <w:t xml:space="preserve">Form of Deposit Agreement (incorporated by reference to Exhibit 4.2 to the registrants registration statement on Form F-4 filed with the SEC on January, 25, 2019 (File No. 333-229351)). </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4.2**</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15">
              <w:r>
                <w:rPr>
                  <w:rStyle w:val="InternetLink"/>
                </w:rPr>
                <w:t xml:space="preserve">Form of American Depositary Receipt (included in Exhibit 4.1). </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4.3**</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16">
              <w:r>
                <w:rPr>
                  <w:rStyle w:val="InternetLink"/>
                </w:rPr>
                <w:t>Deed of Consent and Amendment to Warrant Instruments, dated December  15, 2020, by and between Mereo Biopharma Group plc, Kreos Capital V (UK) Limited and Silicon Valley Bank.</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4.4**</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17">
              <w:r>
                <w:rPr>
                  <w:rStyle w:val="InternetLink"/>
                </w:rPr>
                <w:t xml:space="preserve">Deed of Consent and Amendment to Note Instrument, dated November  24, 2020, between Mereo BioPharma Group plc and Novartis Pharma AG (incorporated by reference to Exhibit 4.30 to the registrants Annual Report on Form 20-F for the year ended December  31, 2020, filed with the SEC on March 31, 2021 (File No. 001-38452)). </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4.5**</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18">
              <w:r>
                <w:rPr>
                  <w:rStyle w:val="InternetLink"/>
                </w:rPr>
                <w:t xml:space="preserve">Deed of Consent and Amendment to Warrant Instrument, dated November  24, 2020, between Mereo BioPharma Group plc and Novartis Pharma AG (incorporated by reference to Exhibit 4.31 to the registrants Annual Report on Form 20-F for the year ended December 31, 2020, filed with the SEC on March 31, 2021 (File No. 001-38452)). </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4.6**</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19">
              <w:r>
                <w:rPr>
                  <w:rStyle w:val="InternetLink"/>
                </w:rPr>
                <w:t xml:space="preserve">Loan Agreement, dated September  28, 2018, by and among Mereo BioPharma Group plc, as borrower, the guarantors party thereto, Silicon Valley Bank, as a lender, and Kreos Capital V (UK) Limited, as a lender, agent and security agent. </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4.6.1**</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20">
              <w:r>
                <w:rPr>
                  <w:rStyle w:val="InternetLink"/>
                </w:rPr>
                <w:t xml:space="preserve">Deed of Consent and Amendment, dated April  17, 2019, by and among Mereo BioPharma Group plc, as borrower, the guarantors party thereto, Silicon Valley Bank, as a lender, and Kreos Capital V (UK) Limited, as a lender, agent and security agent. </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  </w:t>
            </w:r>
            <w:r>
              <w:rPr/>
              <w:t>5.1**</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21">
              <w:r>
                <w:rPr>
                  <w:rStyle w:val="InternetLink"/>
                </w:rPr>
                <w:t xml:space="preserve">Opinion of Mayer Brown International LLP. </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23.1**</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22">
              <w:r>
                <w:rPr>
                  <w:rStyle w:val="InternetLink"/>
                </w:rPr>
                <w:t xml:space="preserve">Consent of Ernst &amp; Young LLP, Independent Registered Public Accounting Firm. </w:t>
              </w:r>
            </w:hyperlink>
          </w:p>
        </w:tc>
      </w:tr>
      <w:tr>
        <w:trPr>
          <w:trHeight w:val="120" w:hRule="atLeast"/>
        </w:trPr>
        <w:tc>
          <w:tcPr>
            <w:tcW w:w="877" w:type="dxa"/>
            <w:tcBorders/>
            <w:shd w:fill="auto" w:val="clear"/>
            <w:vAlign w:val="center"/>
          </w:tcPr>
          <w:p>
            <w:pPr>
              <w:pStyle w:val="TableContents"/>
              <w:spacing w:before="0" w:after="283"/>
              <w:rPr>
                <w:sz w:val="4"/>
                <w:szCs w:val="4"/>
              </w:rPr>
            </w:pPr>
            <w:r>
              <w:rPr>
                <w:sz w:val="4"/>
                <w:szCs w:val="4"/>
              </w:rPr>
            </w:r>
          </w:p>
        </w:tc>
        <w:tc>
          <w:tcPr>
            <w:tcW w:w="9328" w:type="dxa"/>
            <w:gridSpan w:val="2"/>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tcPr>
          <w:p>
            <w:pPr>
              <w:pStyle w:val="TableContents"/>
              <w:spacing w:before="0" w:after="283"/>
              <w:rPr/>
            </w:pPr>
            <w:r>
              <w:rPr/>
              <w:t>23.2**</w:t>
            </w:r>
          </w:p>
        </w:tc>
        <w:tc>
          <w:tcPr>
            <w:tcW w:w="507" w:type="dxa"/>
            <w:tcBorders/>
            <w:shd w:fill="auto" w:val="clear"/>
            <w:vAlign w:val="bottom"/>
          </w:tcPr>
          <w:p>
            <w:pPr>
              <w:pStyle w:val="TableContents"/>
              <w:spacing w:before="0" w:after="283"/>
              <w:rPr/>
            </w:pPr>
            <w:r>
              <w:rPr/>
              <w:t>  </w:t>
            </w:r>
          </w:p>
        </w:tc>
        <w:tc>
          <w:tcPr>
            <w:tcW w:w="8821" w:type="dxa"/>
            <w:tcBorders/>
            <w:shd w:fill="auto" w:val="clear"/>
          </w:tcPr>
          <w:p>
            <w:pPr>
              <w:pStyle w:val="TableContents"/>
              <w:spacing w:before="0" w:after="283"/>
              <w:rPr/>
            </w:pPr>
            <w:hyperlink r:id="rId23">
              <w:r>
                <w:rPr>
                  <w:rStyle w:val="InternetLink"/>
                </w:rPr>
                <w:t xml:space="preserve">Consent of Mayer Brown International LLP (included in Exhibit 5.1). </w:t>
              </w:r>
            </w:hyperlink>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To be subsequently filed, if applicable, by an amendment to this registration statement or by a Report on Form 6-K.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Previously filed.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r>
        <w:rPr>
          <w:rFonts w:ascii="ARIAL" w:hAnsi="ARIAL"/>
          <w:b/>
          <w:sz w:val="20"/>
        </w:rPr>
        <w:t xml:space="preserve">SIGNATURES </w:t>
      </w:r>
    </w:p>
    <w:p>
      <w:pPr>
        <w:pStyle w:val="TextBody"/>
        <w:spacing w:before="360" w:after="0"/>
        <w:jc w:val="left"/>
        <w:rPr>
          <w:rFonts w:ascii="ARIAL" w:hAnsi="ARIAL"/>
          <w:sz w:val="20"/>
        </w:rPr>
      </w:pPr>
      <w:r>
        <w:rPr>
          <w:rFonts w:ascii="ARIAL" w:hAnsi="ARIAL"/>
          <w:sz w:val="20"/>
        </w:rPr>
        <w:t xml:space="preserve">Pursuant to the requirements of the Securities Act of 1933, as amended, the registrant certifies that it has reasonable grounds to believe that it meets all of the requirements for filing on Form F-3 and has duly caused this Amendment No. 2 to the registration statement to be signed on its behalf by the undersigned, thereunto duly authorized, in London, the United Kingdom on September 27, 2021. </w:t>
      </w:r>
    </w:p>
    <w:p>
      <w:pPr>
        <w:pStyle w:val="TextBody"/>
        <w:spacing w:before="0" w:after="0"/>
        <w:jc w:val="left"/>
        <w:rPr/>
      </w:pPr>
      <w:r>
        <w:rPr/>
        <w:t> </w:t>
      </w:r>
    </w:p>
    <w:tbl>
      <w:tblPr>
        <w:tblW w:w="4830" w:type="dxa"/>
        <w:jc w:val="right"/>
        <w:tblInd w:w="0" w:type="dxa"/>
        <w:tblCellMar>
          <w:top w:w="0" w:type="dxa"/>
          <w:left w:w="0" w:type="dxa"/>
          <w:bottom w:w="0" w:type="dxa"/>
          <w:right w:w="0" w:type="dxa"/>
        </w:tblCellMar>
      </w:tblPr>
      <w:tblGrid>
        <w:gridCol w:w="1340"/>
        <w:gridCol w:w="60"/>
        <w:gridCol w:w="590"/>
        <w:gridCol w:w="60"/>
        <w:gridCol w:w="2780"/>
      </w:tblGrid>
      <w:tr>
        <w:trPr/>
        <w:tc>
          <w:tcPr>
            <w:tcW w:w="1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80" w:type="dxa"/>
            <w:tcBorders/>
            <w:shd w:fill="auto" w:val="clear"/>
            <w:vAlign w:val="center"/>
          </w:tcPr>
          <w:p>
            <w:pPr>
              <w:pStyle w:val="TableContents"/>
              <w:spacing w:before="0" w:after="283"/>
              <w:rPr>
                <w:sz w:val="4"/>
                <w:szCs w:val="4"/>
              </w:rPr>
            </w:pPr>
            <w:r>
              <w:rPr>
                <w:sz w:val="4"/>
                <w:szCs w:val="4"/>
              </w:rPr>
            </w:r>
          </w:p>
        </w:tc>
      </w:tr>
      <w:tr>
        <w:trPr/>
        <w:tc>
          <w:tcPr>
            <w:tcW w:w="4830" w:type="dxa"/>
            <w:gridSpan w:val="5"/>
            <w:tcBorders/>
            <w:shd w:fill="auto" w:val="clear"/>
          </w:tcPr>
          <w:p>
            <w:pPr>
              <w:pStyle w:val="TableContents"/>
              <w:spacing w:before="0" w:after="283"/>
              <w:rPr/>
            </w:pPr>
            <w:r>
              <w:rPr/>
              <w:t>MEREO BIOPHARMA GROUP PLC</w:t>
            </w:r>
          </w:p>
        </w:tc>
      </w:tr>
      <w:tr>
        <w:trPr>
          <w:trHeight w:val="240" w:hRule="atLeast"/>
        </w:trPr>
        <w:tc>
          <w:tcPr>
            <w:tcW w:w="1340" w:type="dxa"/>
            <w:tcBorders/>
            <w:shd w:fill="auto" w:val="clear"/>
            <w:vAlign w:val="center"/>
          </w:tcPr>
          <w:p>
            <w:pPr>
              <w:pStyle w:val="TableContents"/>
              <w:spacing w:before="0" w:after="283"/>
              <w:rPr>
                <w:sz w:val="4"/>
                <w:szCs w:val="4"/>
              </w:rPr>
            </w:pPr>
            <w:r>
              <w:rPr>
                <w:sz w:val="4"/>
                <w:szCs w:val="4"/>
              </w:rPr>
            </w:r>
          </w:p>
        </w:tc>
        <w:tc>
          <w:tcPr>
            <w:tcW w:w="3490" w:type="dxa"/>
            <w:gridSpan w:val="4"/>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tcPr>
          <w:p>
            <w:pPr>
              <w:pStyle w:val="TableContents"/>
              <w:spacing w:before="0" w:after="283"/>
              <w:rPr/>
            </w:pPr>
            <w:r>
              <w:rPr/>
              <w:t>By: __________</w:t>
            </w:r>
          </w:p>
        </w:tc>
        <w:tc>
          <w:tcPr>
            <w:tcW w:w="60" w:type="dxa"/>
            <w:tcBorders/>
            <w:shd w:fill="auto" w:val="clear"/>
            <w:vAlign w:val="bottom"/>
          </w:tcPr>
          <w:p>
            <w:pPr>
              <w:pStyle w:val="TableContents"/>
              <w:spacing w:before="0" w:after="283"/>
              <w:rPr/>
            </w:pPr>
            <w:r>
              <w:rPr/>
              <w:t> </w:t>
            </w:r>
          </w:p>
        </w:tc>
        <w:tc>
          <w:tcPr>
            <w:tcW w:w="3430" w:type="dxa"/>
            <w:gridSpan w:val="3"/>
            <w:tcBorders/>
            <w:shd w:fill="auto" w:val="clear"/>
            <w:vAlign w:val="bottom"/>
          </w:tcPr>
          <w:p>
            <w:pPr>
              <w:pStyle w:val="TableContents"/>
              <w:pBdr>
                <w:bottom w:val="single" w:sz="2" w:space="1" w:color="000000"/>
              </w:pBdr>
              <w:spacing w:before="0" w:after="20"/>
              <w:rPr>
                <w:rFonts w:ascii="ARIAL" w:hAnsi="ARIAL"/>
                <w:sz w:val="20"/>
              </w:rPr>
            </w:pPr>
            <w:r>
              <w:rPr>
                <w:rFonts w:ascii="ARIAL" w:hAnsi="ARIAL"/>
                <w:sz w:val="20"/>
              </w:rPr>
              <w:t>/s/ Denise Scots-Knight, Ph.D.</w:t>
            </w:r>
          </w:p>
        </w:tc>
      </w:tr>
      <w:tr>
        <w:trPr/>
        <w:tc>
          <w:tcPr>
            <w:tcW w:w="134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780" w:type="dxa"/>
            <w:tcBorders/>
            <w:shd w:fill="auto" w:val="clear"/>
            <w:vAlign w:val="bottom"/>
          </w:tcPr>
          <w:p>
            <w:pPr>
              <w:pStyle w:val="TableContents"/>
              <w:spacing w:before="0" w:after="283"/>
              <w:rPr/>
            </w:pPr>
            <w:r>
              <w:rPr/>
              <w:t>  </w:t>
            </w:r>
            <w:r>
              <w:rPr/>
              <w:t>Denise Scots-Knight, Ph.D.</w:t>
            </w:r>
          </w:p>
        </w:tc>
      </w:tr>
      <w:tr>
        <w:trPr/>
        <w:tc>
          <w:tcPr>
            <w:tcW w:w="134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780" w:type="dxa"/>
            <w:tcBorders/>
            <w:shd w:fill="auto" w:val="clear"/>
            <w:vAlign w:val="bottom"/>
          </w:tcPr>
          <w:p>
            <w:pPr>
              <w:pStyle w:val="TableContents"/>
              <w:spacing w:before="0" w:after="283"/>
              <w:rPr/>
            </w:pPr>
            <w:r>
              <w:rPr/>
              <w:t>  </w:t>
            </w:r>
            <w:r>
              <w:rPr/>
              <w:t>Chief Executive Officer</w:t>
            </w:r>
          </w:p>
        </w:tc>
      </w:tr>
    </w:tbl>
    <w:p>
      <w:pPr>
        <w:pStyle w:val="TextBody"/>
        <w:spacing w:before="240" w:after="0"/>
        <w:jc w:val="left"/>
        <w:rPr>
          <w:rFonts w:ascii="ARIAL" w:hAnsi="ARIAL"/>
          <w:sz w:val="20"/>
        </w:rPr>
      </w:pPr>
      <w:r>
        <w:rPr>
          <w:rFonts w:ascii="ARIAL" w:hAnsi="ARIAL"/>
          <w:sz w:val="20"/>
        </w:rPr>
        <w:t xml:space="preserve">Pursuant to the requirements of the Securities Act of 1933, as amended, this Amendment No. 2 to the registration statement has been signed by the following persons on September 27, 2021 in the capacities indicated: </w:t>
      </w:r>
    </w:p>
    <w:p>
      <w:pPr>
        <w:pStyle w:val="TextBody"/>
        <w:spacing w:before="0" w:after="0"/>
        <w:jc w:val="left"/>
        <w:rPr/>
      </w:pPr>
      <w:r>
        <w:rPr/>
        <w:t> </w:t>
      </w:r>
    </w:p>
    <w:tbl>
      <w:tblPr>
        <w:tblW w:w="4400" w:type="pct"/>
        <w:jc w:val="center"/>
        <w:tblInd w:w="0" w:type="dxa"/>
        <w:tblCellMar>
          <w:top w:w="0" w:type="dxa"/>
          <w:left w:w="0" w:type="dxa"/>
          <w:bottom w:w="0" w:type="dxa"/>
          <w:right w:w="0" w:type="dxa"/>
        </w:tblCellMar>
      </w:tblPr>
      <w:tblGrid>
        <w:gridCol w:w="4579"/>
        <w:gridCol w:w="179"/>
        <w:gridCol w:w="4222"/>
      </w:tblGrid>
      <w:tr>
        <w:trPr/>
        <w:tc>
          <w:tcPr>
            <w:tcW w:w="45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4222" w:type="dxa"/>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vAlign w:val="bottom"/>
          </w:tcPr>
          <w:p>
            <w:pPr>
              <w:pStyle w:val="TableContents"/>
              <w:pBdr>
                <w:bottom w:val="single" w:sz="8" w:space="1" w:color="000000"/>
              </w:pBdr>
              <w:spacing w:before="0" w:after="0"/>
              <w:jc w:val="center"/>
              <w:rPr>
                <w:rFonts w:ascii="ARIAL" w:hAnsi="ARIAL"/>
                <w:b/>
                <w:sz w:val="16"/>
              </w:rPr>
            </w:pPr>
            <w:r>
              <w:rPr>
                <w:rFonts w:ascii="ARIAL" w:hAnsi="ARIAL"/>
                <w:b/>
                <w:sz w:val="16"/>
              </w:rPr>
              <w:t>Name</w:t>
            </w:r>
          </w:p>
        </w:tc>
        <w:tc>
          <w:tcPr>
            <w:tcW w:w="179" w:type="dxa"/>
            <w:tcBorders/>
            <w:shd w:fill="auto" w:val="clear"/>
            <w:vAlign w:val="bottom"/>
          </w:tcPr>
          <w:p>
            <w:pPr>
              <w:pStyle w:val="TableContents"/>
              <w:spacing w:before="0" w:after="283"/>
              <w:rPr/>
            </w:pPr>
            <w:r>
              <w:rPr/>
              <w:t>  </w:t>
            </w:r>
          </w:p>
        </w:tc>
        <w:tc>
          <w:tcPr>
            <w:tcW w:w="4222" w:type="dxa"/>
            <w:tcBorders/>
            <w:shd w:fill="auto" w:val="clear"/>
            <w:vAlign w:val="bottom"/>
          </w:tcPr>
          <w:p>
            <w:pPr>
              <w:pStyle w:val="TableContents"/>
              <w:pBdr>
                <w:bottom w:val="single" w:sz="8" w:space="1" w:color="000000"/>
              </w:pBdr>
              <w:spacing w:before="0" w:after="0"/>
              <w:jc w:val="center"/>
              <w:rPr>
                <w:rFonts w:ascii="ARIAL" w:hAnsi="ARIAL"/>
                <w:b/>
                <w:sz w:val="16"/>
              </w:rPr>
            </w:pPr>
            <w:r>
              <w:rPr>
                <w:rFonts w:ascii="ARIAL" w:hAnsi="ARIAL"/>
                <w:b/>
                <w:sz w:val="16"/>
              </w:rPr>
              <w:t>Title</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/s/ Denise Scots-Knight, Ph.D.</w:t>
            </w:r>
          </w:p>
          <w:p>
            <w:pPr>
              <w:pStyle w:val="TableContents"/>
              <w:spacing w:before="0" w:after="20"/>
              <w:jc w:val="center"/>
              <w:rPr>
                <w:rFonts w:ascii="ARIAL" w:hAnsi="ARIAL"/>
                <w:sz w:val="20"/>
              </w:rPr>
            </w:pPr>
            <w:r>
              <w:rPr>
                <w:rFonts w:ascii="ARIAL" w:hAnsi="ARIAL"/>
                <w:sz w:val="20"/>
              </w:rPr>
              <w:t>Denise Scots-Knight, Ph.D.</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 xml:space="preserve">Chief Executive Officer and Member of the Board of Directors </w:t>
            </w:r>
            <w:r>
              <w:rPr>
                <w:i/>
              </w:rPr>
              <w:t>(Principal Executive Officer)</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/s/ Christine Fox</w:t>
            </w:r>
          </w:p>
          <w:p>
            <w:pPr>
              <w:pStyle w:val="TableContents"/>
              <w:spacing w:before="0" w:after="20"/>
              <w:jc w:val="center"/>
              <w:rPr>
                <w:rFonts w:ascii="ARIAL" w:hAnsi="ARIAL"/>
                <w:sz w:val="20"/>
              </w:rPr>
            </w:pPr>
            <w:r>
              <w:rPr>
                <w:rFonts w:ascii="ARIAL" w:hAnsi="ARIAL"/>
                <w:sz w:val="20"/>
              </w:rPr>
              <w:t>Christine Fox</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 xml:space="preserve">Chief Financial Officer </w:t>
            </w:r>
            <w:r>
              <w:rPr>
                <w:i/>
              </w:rPr>
              <w:t>(Principal Financial Officer and Principal Accounting Officer)</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w:t>
            </w:r>
          </w:p>
          <w:p>
            <w:pPr>
              <w:pStyle w:val="TableContents"/>
              <w:spacing w:before="0" w:after="20"/>
              <w:jc w:val="center"/>
              <w:rPr>
                <w:rFonts w:ascii="ARIAL" w:hAnsi="ARIAL"/>
                <w:sz w:val="20"/>
              </w:rPr>
            </w:pPr>
            <w:r>
              <w:rPr>
                <w:rFonts w:ascii="ARIAL" w:hAnsi="ARIAL"/>
                <w:sz w:val="20"/>
              </w:rPr>
              <w:t>Peter Fellner, Ph.D.</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Chairman of the Board of Directors</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/s/ Pierre Jacquet, M.D., Ph. D.</w:t>
            </w:r>
          </w:p>
          <w:p>
            <w:pPr>
              <w:pStyle w:val="TableContents"/>
              <w:spacing w:before="0" w:after="20"/>
              <w:jc w:val="center"/>
              <w:rPr>
                <w:rFonts w:ascii="ARIAL" w:hAnsi="ARIAL"/>
                <w:sz w:val="20"/>
              </w:rPr>
            </w:pPr>
            <w:r>
              <w:rPr>
                <w:rFonts w:ascii="ARIAL" w:hAnsi="ARIAL"/>
                <w:sz w:val="20"/>
              </w:rPr>
              <w:t>Pierre Jacquet, M.D., Ph. D.</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Member of the Board of Directors</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w:t>
            </w:r>
          </w:p>
          <w:p>
            <w:pPr>
              <w:pStyle w:val="TableContents"/>
              <w:spacing w:before="0" w:after="20"/>
              <w:jc w:val="center"/>
              <w:rPr>
                <w:rFonts w:ascii="ARIAL" w:hAnsi="ARIAL"/>
                <w:sz w:val="20"/>
              </w:rPr>
            </w:pPr>
            <w:r>
              <w:rPr>
                <w:rFonts w:ascii="ARIAL" w:hAnsi="ARIAL"/>
                <w:sz w:val="20"/>
              </w:rPr>
              <w:t>Jeremy Bender, Ph.D.</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Member of the Board of Directors</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w:t>
            </w:r>
          </w:p>
          <w:p>
            <w:pPr>
              <w:pStyle w:val="TableContents"/>
              <w:spacing w:before="0" w:after="20"/>
              <w:jc w:val="center"/>
              <w:rPr>
                <w:rFonts w:ascii="ARIAL" w:hAnsi="ARIAL"/>
                <w:sz w:val="20"/>
              </w:rPr>
            </w:pPr>
            <w:r>
              <w:rPr>
                <w:rFonts w:ascii="ARIAL" w:hAnsi="ARIAL"/>
                <w:sz w:val="20"/>
              </w:rPr>
              <w:t>Anders Ekblom, M.D., Ph.D.</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Member of the Board of Directors</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w:t>
            </w:r>
          </w:p>
          <w:p>
            <w:pPr>
              <w:pStyle w:val="TableContents"/>
              <w:spacing w:before="0" w:after="20"/>
              <w:jc w:val="center"/>
              <w:rPr>
                <w:rFonts w:ascii="ARIAL" w:hAnsi="ARIAL"/>
                <w:sz w:val="20"/>
              </w:rPr>
            </w:pPr>
            <w:r>
              <w:rPr>
                <w:rFonts w:ascii="ARIAL" w:hAnsi="ARIAL"/>
                <w:sz w:val="20"/>
              </w:rPr>
              <w:t>Kunal Kashyap</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Member of the Board of Directors</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w:t>
            </w:r>
          </w:p>
          <w:p>
            <w:pPr>
              <w:pStyle w:val="TableContents"/>
              <w:spacing w:before="0" w:after="20"/>
              <w:jc w:val="center"/>
              <w:rPr>
                <w:rFonts w:ascii="ARIAL" w:hAnsi="ARIAL"/>
                <w:sz w:val="20"/>
              </w:rPr>
            </w:pPr>
            <w:r>
              <w:rPr>
                <w:rFonts w:ascii="ARIAL" w:hAnsi="ARIAL"/>
                <w:sz w:val="20"/>
              </w:rPr>
              <w:t>Deepika R. Pakianathan, Ph.D.</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Member of the Board of Directors</w:t>
            </w:r>
          </w:p>
        </w:tc>
      </w:tr>
      <w:tr>
        <w:trPr>
          <w:trHeight w:val="240" w:hRule="atLeast"/>
        </w:trPr>
        <w:tc>
          <w:tcPr>
            <w:tcW w:w="4579" w:type="dxa"/>
            <w:tcBorders/>
            <w:shd w:fill="auto" w:val="clear"/>
            <w:vAlign w:val="center"/>
          </w:tcPr>
          <w:p>
            <w:pPr>
              <w:pStyle w:val="TableContents"/>
              <w:spacing w:before="0" w:after="283"/>
              <w:rPr>
                <w:sz w:val="4"/>
                <w:szCs w:val="4"/>
              </w:rPr>
            </w:pPr>
            <w:r>
              <w:rPr>
                <w:sz w:val="4"/>
                <w:szCs w:val="4"/>
              </w:rPr>
            </w:r>
          </w:p>
        </w:tc>
        <w:tc>
          <w:tcPr>
            <w:tcW w:w="4401" w:type="dxa"/>
            <w:gridSpan w:val="2"/>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w:t>
            </w:r>
          </w:p>
          <w:p>
            <w:pPr>
              <w:pStyle w:val="TableContents"/>
              <w:spacing w:before="0" w:after="20"/>
              <w:jc w:val="center"/>
              <w:rPr>
                <w:rFonts w:ascii="ARIAL" w:hAnsi="ARIAL"/>
                <w:sz w:val="20"/>
              </w:rPr>
            </w:pPr>
            <w:r>
              <w:rPr>
                <w:rFonts w:ascii="ARIAL" w:hAnsi="ARIAL"/>
                <w:sz w:val="20"/>
              </w:rPr>
              <w:t>Brian Schwartz</w:t>
            </w:r>
          </w:p>
        </w:tc>
        <w:tc>
          <w:tcPr>
            <w:tcW w:w="179"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center"/>
              <w:rPr/>
            </w:pPr>
            <w:r>
              <w:rPr/>
              <w:t>Member of the Board of Directors</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400" w:type="pct"/>
        <w:jc w:val="center"/>
        <w:tblInd w:w="0" w:type="dxa"/>
        <w:tblCellMar>
          <w:top w:w="0" w:type="dxa"/>
          <w:left w:w="0" w:type="dxa"/>
          <w:bottom w:w="0" w:type="dxa"/>
          <w:right w:w="0" w:type="dxa"/>
        </w:tblCellMar>
      </w:tblPr>
      <w:tblGrid>
        <w:gridCol w:w="4580"/>
        <w:gridCol w:w="179"/>
        <w:gridCol w:w="4221"/>
      </w:tblGrid>
      <w:tr>
        <w:trPr/>
        <w:tc>
          <w:tcPr>
            <w:tcW w:w="458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4221" w:type="dxa"/>
            <w:tcBorders/>
            <w:shd w:fill="auto" w:val="clear"/>
            <w:vAlign w:val="center"/>
          </w:tcPr>
          <w:p>
            <w:pPr>
              <w:pStyle w:val="TableContents"/>
              <w:spacing w:before="0" w:after="283"/>
              <w:rPr>
                <w:sz w:val="4"/>
                <w:szCs w:val="4"/>
              </w:rPr>
            </w:pPr>
            <w:r>
              <w:rPr>
                <w:sz w:val="4"/>
                <w:szCs w:val="4"/>
              </w:rPr>
            </w:r>
          </w:p>
        </w:tc>
      </w:tr>
      <w:tr>
        <w:trPr/>
        <w:tc>
          <w:tcPr>
            <w:tcW w:w="4580" w:type="dxa"/>
            <w:tcBorders/>
            <w:shd w:fill="auto" w:val="clear"/>
            <w:vAlign w:val="bottom"/>
          </w:tcPr>
          <w:p>
            <w:pPr>
              <w:pStyle w:val="TableContents"/>
              <w:pBdr>
                <w:bottom w:val="single" w:sz="8" w:space="1" w:color="000000"/>
              </w:pBdr>
              <w:spacing w:before="0" w:after="0"/>
              <w:jc w:val="center"/>
              <w:rPr>
                <w:rFonts w:ascii="ARIAL" w:hAnsi="ARIAL"/>
                <w:b/>
                <w:sz w:val="16"/>
              </w:rPr>
            </w:pPr>
            <w:r>
              <w:rPr>
                <w:rFonts w:ascii="ARIAL" w:hAnsi="ARIAL"/>
                <w:b/>
                <w:sz w:val="16"/>
              </w:rPr>
              <w:t>Name</w:t>
            </w:r>
          </w:p>
        </w:tc>
        <w:tc>
          <w:tcPr>
            <w:tcW w:w="179" w:type="dxa"/>
            <w:tcBorders/>
            <w:shd w:fill="auto" w:val="clear"/>
            <w:vAlign w:val="bottom"/>
          </w:tcPr>
          <w:p>
            <w:pPr>
              <w:pStyle w:val="TableContents"/>
              <w:spacing w:before="0" w:after="283"/>
              <w:rPr/>
            </w:pPr>
            <w:r>
              <w:rPr/>
              <w:t>  </w:t>
            </w:r>
          </w:p>
        </w:tc>
        <w:tc>
          <w:tcPr>
            <w:tcW w:w="4221" w:type="dxa"/>
            <w:tcBorders/>
            <w:shd w:fill="auto" w:val="clear"/>
            <w:vAlign w:val="bottom"/>
          </w:tcPr>
          <w:p>
            <w:pPr>
              <w:pStyle w:val="TableContents"/>
              <w:pBdr>
                <w:bottom w:val="single" w:sz="8" w:space="1" w:color="000000"/>
              </w:pBdr>
              <w:spacing w:before="0" w:after="0"/>
              <w:jc w:val="center"/>
              <w:rPr>
                <w:rFonts w:ascii="ARIAL" w:hAnsi="ARIAL"/>
                <w:b/>
                <w:sz w:val="16"/>
              </w:rPr>
            </w:pPr>
            <w:r>
              <w:rPr>
                <w:rFonts w:ascii="ARIAL" w:hAnsi="ARIAL"/>
                <w:b/>
                <w:sz w:val="16"/>
              </w:rPr>
              <w:t>Title</w:t>
            </w:r>
          </w:p>
        </w:tc>
      </w:tr>
      <w:tr>
        <w:trPr>
          <w:trHeight w:val="240" w:hRule="atLeast"/>
        </w:trPr>
        <w:tc>
          <w:tcPr>
            <w:tcW w:w="4580" w:type="dxa"/>
            <w:tcBorders/>
            <w:shd w:fill="auto" w:val="clear"/>
            <w:vAlign w:val="center"/>
          </w:tcPr>
          <w:p>
            <w:pPr>
              <w:pStyle w:val="TableContents"/>
              <w:spacing w:before="0" w:after="283"/>
              <w:rPr>
                <w:sz w:val="4"/>
                <w:szCs w:val="4"/>
              </w:rPr>
            </w:pPr>
            <w:r>
              <w:rPr>
                <w:sz w:val="4"/>
                <w:szCs w:val="4"/>
              </w:rPr>
            </w:r>
          </w:p>
        </w:tc>
        <w:tc>
          <w:tcPr>
            <w:tcW w:w="4400" w:type="dxa"/>
            <w:gridSpan w:val="2"/>
            <w:tcBorders/>
            <w:shd w:fill="auto" w:val="clear"/>
            <w:vAlign w:val="center"/>
          </w:tcPr>
          <w:p>
            <w:pPr>
              <w:pStyle w:val="TableContents"/>
              <w:spacing w:before="0" w:after="283"/>
              <w:rPr>
                <w:sz w:val="4"/>
                <w:szCs w:val="4"/>
              </w:rPr>
            </w:pPr>
            <w:r>
              <w:rPr>
                <w:sz w:val="4"/>
                <w:szCs w:val="4"/>
              </w:rPr>
            </w:r>
          </w:p>
        </w:tc>
      </w:tr>
      <w:tr>
        <w:trPr/>
        <w:tc>
          <w:tcPr>
            <w:tcW w:w="4580" w:type="dxa"/>
            <w:tcBorders/>
            <w:shd w:fill="auto" w:val="clear"/>
          </w:tcPr>
          <w:p>
            <w:pPr>
              <w:pStyle w:val="TableContents"/>
              <w:pBdr>
                <w:bottom w:val="single" w:sz="2" w:space="1" w:color="000000"/>
              </w:pBdr>
              <w:spacing w:before="0" w:after="0"/>
              <w:jc w:val="center"/>
              <w:rPr>
                <w:rFonts w:ascii="ARIAL" w:hAnsi="ARIAL"/>
                <w:sz w:val="20"/>
              </w:rPr>
            </w:pPr>
            <w:r>
              <w:rPr>
                <w:rFonts w:ascii="ARIAL" w:hAnsi="ARIAL"/>
                <w:sz w:val="20"/>
              </w:rPr>
              <w:t>*</w:t>
            </w:r>
          </w:p>
          <w:p>
            <w:pPr>
              <w:pStyle w:val="TableContents"/>
              <w:spacing w:before="0" w:after="20"/>
              <w:jc w:val="center"/>
              <w:rPr>
                <w:rFonts w:ascii="ARIAL" w:hAnsi="ARIAL"/>
                <w:sz w:val="20"/>
              </w:rPr>
            </w:pPr>
            <w:r>
              <w:rPr>
                <w:rFonts w:ascii="ARIAL" w:hAnsi="ARIAL"/>
                <w:sz w:val="20"/>
              </w:rPr>
              <w:t>Michael Wyzga</w:t>
            </w:r>
          </w:p>
        </w:tc>
        <w:tc>
          <w:tcPr>
            <w:tcW w:w="17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center"/>
              <w:rPr/>
            </w:pPr>
            <w:r>
              <w:rPr/>
              <w:t>Deputy Chair of the Board of Directors</w:t>
            </w:r>
          </w:p>
        </w:tc>
      </w:tr>
    </w:tbl>
    <w:tbl>
      <w:tblPr>
        <w:tblW w:w="2000" w:type="pct"/>
        <w:jc w:val="left"/>
        <w:tblInd w:w="0" w:type="dxa"/>
        <w:tblCellMar>
          <w:top w:w="0" w:type="dxa"/>
          <w:left w:w="0" w:type="dxa"/>
          <w:bottom w:w="0" w:type="dxa"/>
          <w:right w:w="0" w:type="dxa"/>
        </w:tblCellMar>
      </w:tblPr>
      <w:tblGrid>
        <w:gridCol w:w="540"/>
        <w:gridCol w:w="60"/>
        <w:gridCol w:w="23"/>
        <w:gridCol w:w="60"/>
        <w:gridCol w:w="3399"/>
      </w:tblGrid>
      <w:tr>
        <w:trPr/>
        <w:tc>
          <w:tcPr>
            <w:tcW w:w="5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9" w:type="dxa"/>
            <w:tcBorders/>
            <w:shd w:fill="auto" w:val="clear"/>
            <w:vAlign w:val="center"/>
          </w:tcPr>
          <w:p>
            <w:pPr>
              <w:pStyle w:val="TableContents"/>
              <w:spacing w:before="0" w:after="283"/>
              <w:rPr>
                <w:sz w:val="4"/>
                <w:szCs w:val="4"/>
              </w:rPr>
            </w:pPr>
            <w:r>
              <w:rPr>
                <w:sz w:val="4"/>
                <w:szCs w:val="4"/>
              </w:rPr>
            </w:r>
          </w:p>
        </w:tc>
      </w:tr>
      <w:tr>
        <w:trPr/>
        <w:tc>
          <w:tcPr>
            <w:tcW w:w="540" w:type="dxa"/>
            <w:tcBorders/>
            <w:shd w:fill="auto" w:val="clear"/>
          </w:tcPr>
          <w:p>
            <w:pPr>
              <w:pStyle w:val="TableContents"/>
              <w:spacing w:before="0" w:after="283"/>
              <w:rPr/>
            </w:pPr>
            <w:r>
              <w:rPr/>
              <w:t>* By:</w:t>
            </w:r>
          </w:p>
        </w:tc>
        <w:tc>
          <w:tcPr>
            <w:tcW w:w="60" w:type="dxa"/>
            <w:tcBorders/>
            <w:shd w:fill="auto" w:val="clear"/>
            <w:vAlign w:val="bottom"/>
          </w:tcPr>
          <w:p>
            <w:pPr>
              <w:pStyle w:val="TableContents"/>
              <w:spacing w:before="0" w:after="283"/>
              <w:rPr/>
            </w:pPr>
            <w:r>
              <w:rPr/>
              <w:t> </w:t>
            </w:r>
          </w:p>
        </w:tc>
        <w:tc>
          <w:tcPr>
            <w:tcW w:w="3482" w:type="dxa"/>
            <w:gridSpan w:val="3"/>
            <w:tcBorders/>
            <w:shd w:fill="auto" w:val="clear"/>
          </w:tcPr>
          <w:p>
            <w:pPr>
              <w:pStyle w:val="TableContents"/>
              <w:pBdr>
                <w:bottom w:val="single" w:sz="2" w:space="1" w:color="000000"/>
              </w:pBdr>
              <w:spacing w:before="0" w:after="20"/>
              <w:rPr>
                <w:rFonts w:ascii="ARIAL" w:hAnsi="ARIAL"/>
                <w:sz w:val="20"/>
              </w:rPr>
            </w:pPr>
            <w:r>
              <w:rPr>
                <w:rFonts w:ascii="ARIAL" w:hAnsi="ARIAL"/>
                <w:sz w:val="20"/>
              </w:rPr>
              <w:t>/s/ Denise Scots-Knight, Ph.D.</w:t>
            </w:r>
          </w:p>
        </w:tc>
      </w:tr>
      <w:tr>
        <w:trPr/>
        <w:tc>
          <w:tcPr>
            <w:tcW w:w="54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2" w:type="dxa"/>
            <w:gridSpan w:val="3"/>
            <w:tcBorders/>
            <w:shd w:fill="auto" w:val="clear"/>
          </w:tcPr>
          <w:p>
            <w:pPr>
              <w:pStyle w:val="TableContents"/>
              <w:spacing w:before="0" w:after="283"/>
              <w:rPr/>
            </w:pPr>
            <w:r>
              <w:rPr/>
              <w:t>Denise Scots-Knight Ph.D.</w:t>
            </w:r>
          </w:p>
        </w:tc>
      </w:tr>
      <w:tr>
        <w:trPr/>
        <w:tc>
          <w:tcPr>
            <w:tcW w:w="54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99" w:type="dxa"/>
            <w:tcBorders/>
            <w:shd w:fill="auto" w:val="clear"/>
          </w:tcPr>
          <w:p>
            <w:pPr>
              <w:pStyle w:val="TableContents"/>
              <w:spacing w:before="0" w:after="283"/>
              <w:rPr/>
            </w:pPr>
            <w:r>
              <w:rPr/>
              <w:t>Attorney-in-Fact</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r>
        <w:rPr>
          <w:rFonts w:ascii="ARIAL" w:hAnsi="ARIAL"/>
          <w:b/>
          <w:sz w:val="20"/>
        </w:rPr>
        <w:t xml:space="preserve">SIGNATURE OF AUTHORIZED U.S. REPRESENTATIVE OF REGISTRANT </w:t>
      </w:r>
    </w:p>
    <w:p>
      <w:pPr>
        <w:pStyle w:val="TextBody"/>
        <w:spacing w:before="240" w:after="0"/>
        <w:jc w:val="left"/>
        <w:rPr>
          <w:rFonts w:ascii="ARIAL" w:hAnsi="ARIAL"/>
          <w:sz w:val="20"/>
        </w:rPr>
      </w:pPr>
      <w:r>
        <w:rPr>
          <w:rFonts w:ascii="ARIAL" w:hAnsi="ARIAL"/>
          <w:sz w:val="20"/>
        </w:rPr>
        <w:t xml:space="preserve">Pursuant to the requirements of the Securities Act of 1933, as amended, the undersigned, the duly authorized representative in the United States of Mereo BioPharma Group plc has signed this Amendment No. 2 to the registration statement on September 27,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58"/>
        <w:gridCol w:w="60"/>
        <w:gridCol w:w="708"/>
        <w:gridCol w:w="60"/>
        <w:gridCol w:w="2896"/>
      </w:tblGrid>
      <w:tr>
        <w:trPr/>
        <w:tc>
          <w:tcPr>
            <w:tcW w:w="3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96"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0"/>
              <w:rPr>
                <w:rFonts w:ascii="ARIAL" w:hAnsi="ARIAL"/>
                <w:sz w:val="20"/>
              </w:rPr>
            </w:pPr>
            <w:r>
              <w:rPr>
                <w:rFonts w:ascii="ARIAL" w:hAnsi="ARIAL"/>
                <w:sz w:val="20"/>
              </w:rPr>
              <w:t>Mereo US Holdings Inc.</w:t>
            </w:r>
          </w:p>
        </w:tc>
      </w:tr>
      <w:tr>
        <w:trPr>
          <w:trHeight w:val="240" w:hRule="atLeast"/>
        </w:trPr>
        <w:tc>
          <w:tcPr>
            <w:tcW w:w="358" w:type="dxa"/>
            <w:tcBorders/>
            <w:shd w:fill="auto" w:val="clear"/>
            <w:vAlign w:val="center"/>
          </w:tcPr>
          <w:p>
            <w:pPr>
              <w:pStyle w:val="TableContents"/>
              <w:spacing w:before="0" w:after="283"/>
              <w:rPr>
                <w:sz w:val="4"/>
                <w:szCs w:val="4"/>
              </w:rPr>
            </w:pPr>
            <w:r>
              <w:rPr>
                <w:sz w:val="4"/>
                <w:szCs w:val="4"/>
              </w:rPr>
            </w:r>
          </w:p>
        </w:tc>
        <w:tc>
          <w:tcPr>
            <w:tcW w:w="3724" w:type="dxa"/>
            <w:gridSpan w:val="4"/>
            <w:tcBorders/>
            <w:shd w:fill="auto" w:val="clear"/>
            <w:vAlign w:val="center"/>
          </w:tcPr>
          <w:p>
            <w:pPr>
              <w:pStyle w:val="TableContents"/>
              <w:spacing w:before="0" w:after="283"/>
              <w:rPr>
                <w:sz w:val="4"/>
                <w:szCs w:val="4"/>
              </w:rPr>
            </w:pPr>
            <w:r>
              <w:rPr>
                <w:sz w:val="4"/>
                <w:szCs w:val="4"/>
              </w:rPr>
            </w:r>
          </w:p>
        </w:tc>
      </w:tr>
      <w:tr>
        <w:trPr/>
        <w:tc>
          <w:tcPr>
            <w:tcW w:w="358"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64" w:type="dxa"/>
            <w:gridSpan w:val="3"/>
            <w:tcBorders/>
            <w:shd w:fill="auto" w:val="clear"/>
            <w:vAlign w:val="bottom"/>
          </w:tcPr>
          <w:p>
            <w:pPr>
              <w:pStyle w:val="TableContents"/>
              <w:pBdr>
                <w:bottom w:val="single" w:sz="2" w:space="1" w:color="000000"/>
              </w:pBdr>
              <w:spacing w:before="0" w:after="20"/>
              <w:rPr>
                <w:rFonts w:ascii="ARIAL" w:hAnsi="ARIAL"/>
                <w:sz w:val="20"/>
              </w:rPr>
            </w:pPr>
            <w:r>
              <w:rPr>
                <w:rFonts w:ascii="ARIAL" w:hAnsi="ARIAL"/>
                <w:sz w:val="20"/>
              </w:rPr>
              <w:t>/s/ Denise Scots-Knight, Ph.D.</w:t>
            </w:r>
          </w:p>
        </w:tc>
      </w:tr>
      <w:tr>
        <w:trPr/>
        <w:tc>
          <w:tcPr>
            <w:tcW w:w="35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896" w:type="dxa"/>
            <w:tcBorders/>
            <w:shd w:fill="auto" w:val="clear"/>
            <w:vAlign w:val="bottom"/>
          </w:tcPr>
          <w:p>
            <w:pPr>
              <w:pStyle w:val="TableContents"/>
              <w:spacing w:before="0" w:after="283"/>
              <w:rPr/>
            </w:pPr>
            <w:r>
              <w:rPr/>
              <w:t>Denise Scots-Knight, Ph.D.</w:t>
            </w:r>
          </w:p>
        </w:tc>
      </w:tr>
      <w:tr>
        <w:trPr/>
        <w:tc>
          <w:tcPr>
            <w:tcW w:w="35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896" w:type="dxa"/>
            <w:tcBorders/>
            <w:shd w:fill="auto" w:val="clear"/>
          </w:tcPr>
          <w:p>
            <w:pPr>
              <w:pStyle w:val="TableContents"/>
              <w:spacing w:before="0" w:after="283"/>
              <w:rPr/>
            </w:pPr>
            <w:r>
              <w:rPr/>
              <w:t>President</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II-8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19714/000119312521102416/d60415d20f.htm" TargetMode="External"/><Relationship Id="rId4" Type="http://schemas.openxmlformats.org/officeDocument/2006/relationships/hyperlink" Target="http://www.sec.gov/Archives/edgar/data/1719714/000119312521219651/d188395d6k.htm" TargetMode="External"/><Relationship Id="rId5" Type="http://schemas.openxmlformats.org/officeDocument/2006/relationships/hyperlink" Target="http://www.sec.gov/Archives/edgar/data/1719714/000119312518111700/d566514d8a12b.htm" TargetMode="External"/><Relationship Id="rId6" Type="http://schemas.openxmlformats.org/officeDocument/2006/relationships/hyperlink" Target="http://www.sec.gov/Archives/edgar/data/1719714/000119312521102416/d60415dex22.htm" TargetMode="External"/><Relationship Id="rId7" Type="http://schemas.openxmlformats.org/officeDocument/2006/relationships/image" Target="media/image2.jpeg"/><Relationship Id="rId8" Type="http://schemas.openxmlformats.org/officeDocument/2006/relationships/hyperlink" Target="http://www.sec.gov/Archives/edgar/data/1719714/000119312521102416/d60415d20f.htm" TargetMode="External"/><Relationship Id="rId9" Type="http://schemas.openxmlformats.org/officeDocument/2006/relationships/hyperlink" Target="http://www.sec.gov/Archives/edgar/data/1719714/000119312521219651/d188395d6k.htm" TargetMode="External"/><Relationship Id="rId10" Type="http://schemas.openxmlformats.org/officeDocument/2006/relationships/hyperlink" Target="http://www.sec.gov/Archives/edgar/data/1719714/000119312518111700/d566514d8a12b.htm" TargetMode="External"/><Relationship Id="rId11" Type="http://schemas.openxmlformats.org/officeDocument/2006/relationships/hyperlink" Target="http://www.sec.gov/Archives/edgar/data/1719714/000119312521102416/d60415dex22.htm" TargetMode="External"/><Relationship Id="rId12" Type="http://schemas.openxmlformats.org/officeDocument/2006/relationships/image" Target="media/image3.jpeg"/><Relationship Id="rId13" Type="http://schemas.openxmlformats.org/officeDocument/2006/relationships/hyperlink" Target="http://www.sec.gov/Archives/edgar/data/0001719714/000119312521237790/d159178dex12.htm" TargetMode="External"/><Relationship Id="rId14" Type="http://schemas.openxmlformats.org/officeDocument/2006/relationships/hyperlink" Target="http://www.sec.gov/Archives/edgar/data/1719714/000119312519016112/d680874dex42.htm" TargetMode="External"/><Relationship Id="rId15" Type="http://schemas.openxmlformats.org/officeDocument/2006/relationships/hyperlink" Target="http://www.sec.gov/Archives/edgar/data/1719714/000119312519016112/d680874dex42.htm" TargetMode="External"/><Relationship Id="rId16" Type="http://schemas.openxmlformats.org/officeDocument/2006/relationships/hyperlink" Target="http://www.sec.gov/Archives/edgar/data/0001719714/000119312521237790/d159178dex44.htm" TargetMode="External"/><Relationship Id="rId17" Type="http://schemas.openxmlformats.org/officeDocument/2006/relationships/hyperlink" Target="http://www.sec.gov/Archives/edgar/data/1719714/000119312521102416/d60415dex430.htm" TargetMode="External"/><Relationship Id="rId18" Type="http://schemas.openxmlformats.org/officeDocument/2006/relationships/hyperlink" Target="http://www.sec.gov/Archives/edgar/data/1719714/000119312521102416/d60415dex431.htm" TargetMode="External"/><Relationship Id="rId19" Type="http://schemas.openxmlformats.org/officeDocument/2006/relationships/hyperlink" Target="http://www.sec.gov/Archives/edgar/data/1719714/000119312519016112/d680874dex1025.htm" TargetMode="External"/><Relationship Id="rId20" Type="http://schemas.openxmlformats.org/officeDocument/2006/relationships/hyperlink" Target="http://www.sec.gov/Archives/edgar/data/1719714/000119312519125560/d734372dex4131.htm" TargetMode="External"/><Relationship Id="rId21" Type="http://schemas.openxmlformats.org/officeDocument/2006/relationships/hyperlink" Target="http://www.sec.gov/Archives/edgar/data/1719714/000119312521266597/d159178dex51.htm" TargetMode="External"/><Relationship Id="rId22" Type="http://schemas.openxmlformats.org/officeDocument/2006/relationships/hyperlink" Target="http://www.sec.gov/Archives/edgar/data/1719714/000119312521266597/d159178dex231.htm" TargetMode="External"/><Relationship Id="rId23" Type="http://schemas.openxmlformats.org/officeDocument/2006/relationships/hyperlink" Target="http://www.sec.gov/Archives/edgar/data/1719714/000119312521266597/d159178dex5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93</Pages>
  <Words>42524</Words>
  <CharactersWithSpaces>258316</CharactersWithSpaces>
  <Paragraphs>2853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F-3/A</dc:title>
</cp:coreProperties>
</file>