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52004d424b5.htm"/>
        <w:bookmarkStart w:id="1" w:name="ksd852004d424b5"/>
        <w:bookmarkEnd w:id="0"/>
        <w:bookmarkEnd w:id="1"/>
        <w:r>
          <w:rPr>
            <w:rStyle w:val="InternetLink"/>
          </w:rPr>
          <w:t>Table of Contents</w:t>
        </w:r>
      </w:hyperlink>
    </w:p>
    <w:p>
      <w:pPr>
        <w:pStyle w:val="TextBody"/>
        <w:bidi w:val="0"/>
        <w:spacing w:before="0" w:after="0"/>
        <w:jc w:val="right"/>
        <w:rPr>
          <w:rFonts w:ascii="ARIAL" w:hAnsi="ARIAL"/>
          <w:b/>
          <w:sz w:val="20"/>
        </w:rPr>
      </w:pPr>
      <w:r>
        <w:rPr>
          <w:rFonts w:ascii="ARIAL" w:hAnsi="ARIAL"/>
          <w:b/>
          <w:sz w:val="20"/>
        </w:rPr>
        <w:t>Filed Pursuant to Rule 424(b)(5)</w:t>
        <w:br/>
        <w:t xml:space="preserve">Registration No. 333-279433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PROSPECTUS SUPPLEMENT </w:t>
      </w:r>
    </w:p>
    <w:p>
      <w:pPr>
        <w:pStyle w:val="TextBody"/>
        <w:bidi w:val="0"/>
        <w:spacing w:before="0" w:after="0"/>
        <w:jc w:val="left"/>
        <w:rPr>
          <w:rFonts w:ascii="ARIAL" w:hAnsi="ARIAL"/>
          <w:b/>
          <w:sz w:val="20"/>
        </w:rPr>
      </w:pPr>
      <w:r>
        <w:rPr>
          <w:rFonts w:ascii="ARIAL" w:hAnsi="ARIAL"/>
          <w:b/>
          <w:sz w:val="20"/>
        </w:rPr>
        <w:t xml:space="preserve">(To Prospectus dated May 22, 2024) </w:t>
      </w:r>
    </w:p>
    <w:p>
      <w:pPr>
        <w:pStyle w:val="TextBody"/>
        <w:bidi w:val="0"/>
        <w:spacing w:before="240" w:after="0"/>
        <w:jc w:val="center"/>
        <w:rPr>
          <w:rFonts w:ascii="ARIAL" w:hAnsi="ARIAL"/>
          <w:b/>
          <w:sz w:val="28"/>
        </w:rPr>
      </w:pPr>
      <w:r>
        <w:rPr>
          <w:rFonts w:ascii="ARIAL" w:hAnsi="ARIAL"/>
          <w:b/>
          <w:sz w:val="28"/>
        </w:rPr>
        <w:t xml:space="preserve">12,531,300 American Depositary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863725" cy="5518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3725" cy="551815"/>
                    </a:xfrm>
                    <a:prstGeom prst="rect">
                      <a:avLst/>
                    </a:prstGeom>
                  </pic:spPr>
                </pic:pic>
              </a:graphicData>
            </a:graphic>
          </wp:inline>
        </w:drawing>
      </w:r>
      <w:r>
        <w:rPr/>
        <w:t xml:space="preserve"> </w:t>
      </w:r>
    </w:p>
    <w:p>
      <w:pPr>
        <w:pStyle w:val="TextBody"/>
        <w:bidi w:val="0"/>
        <w:spacing w:before="240" w:after="0"/>
        <w:jc w:val="center"/>
        <w:rPr>
          <w:rFonts w:ascii="ARIAL" w:hAnsi="ARIAL"/>
          <w:b/>
          <w:sz w:val="28"/>
        </w:rPr>
      </w:pPr>
      <w:r>
        <w:rPr>
          <w:rFonts w:ascii="ARIAL" w:hAnsi="ARIAL"/>
          <w:b/>
          <w:sz w:val="28"/>
        </w:rPr>
        <w:t xml:space="preserve">Representing 62,656,500 Ordinary Shares </w:t>
      </w:r>
    </w:p>
    <w:p>
      <w:pPr>
        <w:pStyle w:val="TextBody"/>
        <w:bidi w:val="0"/>
        <w:spacing w:before="240" w:after="0"/>
        <w:jc w:val="center"/>
        <w:rPr>
          <w:rFonts w:ascii="ARIAL" w:hAnsi="ARIAL"/>
          <w:b/>
          <w:sz w:val="28"/>
        </w:rPr>
      </w:pPr>
      <w:r>
        <w:rPr>
          <w:rFonts w:ascii="ARIAL" w:hAnsi="ARIAL"/>
          <w:b/>
          <w:sz w:val="28"/>
        </w:rPr>
        <w:t xml:space="preserve">$3.99 per ADS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 xml:space="preserve">We are offering 12,531,300 American Depositary Shares (ADSs) at an offering price of $3.99. Each ADS represents five ordinary shares of Mereo BioPharma Group plc. par value £0.003 per share. </w:t>
      </w:r>
    </w:p>
    <w:p>
      <w:pPr>
        <w:pStyle w:val="TextBody"/>
        <w:bidi w:val="0"/>
        <w:spacing w:before="240" w:after="0"/>
        <w:jc w:val="left"/>
        <w:rPr>
          <w:rFonts w:ascii="ARIAL" w:hAnsi="ARIAL"/>
          <w:sz w:val="20"/>
        </w:rPr>
      </w:pPr>
      <w:r>
        <w:rPr>
          <w:rFonts w:ascii="ARIAL" w:hAnsi="ARIAL"/>
          <w:sz w:val="20"/>
        </w:rPr>
        <w:t xml:space="preserve">The ADSs are listed on The Nasdaq Capital Market (Nasdaq), under the symbol MREO. On June 13, 2024, the last reported sale price of the ADSs on Nasdaq was $3.99 per ADS. </w:t>
      </w:r>
    </w:p>
    <w:p>
      <w:pPr>
        <w:pStyle w:val="TextBody"/>
        <w:bidi w:val="0"/>
        <w:spacing w:before="240" w:after="0"/>
        <w:jc w:val="left"/>
        <w:rPr>
          <w:rFonts w:ascii="ARIAL" w:hAnsi="ARIAL"/>
          <w:sz w:val="20"/>
        </w:rPr>
      </w:pPr>
      <w:r>
        <w:rPr>
          <w:rFonts w:ascii="ARIAL" w:hAnsi="ARIAL"/>
          <w:sz w:val="20"/>
        </w:rPr>
        <w:t xml:space="preserve">We are an emerging growth company and a smaller reporting company under applicable Securities and Exchange Commission rules and are eligible for reduced public company disclosure requirements.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pPr>
      <w:r>
        <w:rPr>
          <w:rFonts w:ascii="ARIAL" w:hAnsi="ARIAL"/>
          <w:b/>
          <w:sz w:val="20"/>
        </w:rPr>
        <w:t>Investing in the ADSs involves risks. See </w:t>
      </w:r>
      <w:hyperlink w:anchor="srom852004_5">
        <w:r>
          <w:rPr>
            <w:rStyle w:val="InternetLink"/>
            <w:rFonts w:ascii="ARIAL" w:hAnsi="ARIAL"/>
            <w:b/>
            <w:sz w:val="20"/>
          </w:rPr>
          <w:t>Risk Factors</w:t>
        </w:r>
      </w:hyperlink>
      <w:r>
        <w:rPr>
          <w:rFonts w:ascii="ARIAL" w:hAnsi="ARIAL"/>
          <w:b/>
          <w:sz w:val="20"/>
        </w:rPr>
        <w:t xml:space="preserve"> beginning on page S-6 of this prospectus supplement or the accompanying prospectus and in the documents incorporated by reference into this prospectus supplement concerning risk factors you should consider before investing in our ADSs. </w:t>
      </w:r>
    </w:p>
    <w:p>
      <w:pPr>
        <w:pStyle w:val="TextBody"/>
        <w:bidi w:val="0"/>
        <w:spacing w:before="24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left"/>
        <w:rPr/>
      </w:pPr>
      <w:r>
        <w:rPr/>
        <w:t> </w:t>
      </w:r>
    </w:p>
    <w:tbl>
      <w:tblPr>
        <w:tblW w:w="4000" w:type="pct"/>
        <w:jc w:val="center"/>
        <w:tblInd w:w="0" w:type="dxa"/>
        <w:tblLayout w:type="fixed"/>
        <w:tblCellMar>
          <w:top w:w="0" w:type="dxa"/>
          <w:left w:w="0" w:type="dxa"/>
          <w:bottom w:w="0" w:type="dxa"/>
          <w:right w:w="0" w:type="dxa"/>
        </w:tblCellMar>
      </w:tblPr>
      <w:tblGrid>
        <w:gridCol w:w="4569"/>
        <w:gridCol w:w="216"/>
        <w:gridCol w:w="141"/>
        <w:gridCol w:w="946"/>
        <w:gridCol w:w="60"/>
        <w:gridCol w:w="311"/>
        <w:gridCol w:w="141"/>
        <w:gridCol w:w="1716"/>
        <w:gridCol w:w="64"/>
      </w:tblGrid>
      <w:tr>
        <w:trPr/>
        <w:tc>
          <w:tcPr>
            <w:tcW w:w="4569"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6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ADS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569" w:type="dxa"/>
            <w:tcBorders/>
            <w:shd w:fill="CCEEFF" w:val="clear"/>
          </w:tcPr>
          <w:p>
            <w:pPr>
              <w:pStyle w:val="TableContents"/>
              <w:bidi w:val="0"/>
              <w:spacing w:before="0" w:after="0"/>
              <w:jc w:val="left"/>
              <w:rPr>
                <w:rFonts w:ascii="ARIAL" w:hAnsi="ARIAL"/>
                <w:sz w:val="20"/>
              </w:rPr>
            </w:pPr>
            <w:r>
              <w:rPr>
                <w:rFonts w:ascii="ARIAL" w:hAnsi="ARIAL"/>
                <w:sz w:val="20"/>
              </w:rPr>
              <w:t>Offering Price</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3.99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716" w:type="dxa"/>
            <w:tcBorders/>
            <w:shd w:fill="CCEEFF" w:val="clear"/>
            <w:vAlign w:val="bottom"/>
          </w:tcPr>
          <w:p>
            <w:pPr>
              <w:pStyle w:val="TableContents"/>
              <w:bidi w:val="0"/>
              <w:spacing w:before="0" w:after="283"/>
              <w:jc w:val="right"/>
              <w:rPr/>
            </w:pPr>
            <w:r>
              <w:rPr/>
              <w:t>49,999,887.00</w:t>
            </w:r>
          </w:p>
        </w:tc>
        <w:tc>
          <w:tcPr>
            <w:tcW w:w="64" w:type="dxa"/>
            <w:tcBorders/>
            <w:shd w:fill="CCEEFF" w:val="clear"/>
            <w:vAlign w:val="bottom"/>
          </w:tcPr>
          <w:p>
            <w:pPr>
              <w:pStyle w:val="TableContents"/>
              <w:bidi w:val="0"/>
              <w:spacing w:before="0" w:after="283"/>
              <w:jc w:val="left"/>
              <w:rPr/>
            </w:pPr>
            <w:r>
              <w:rPr/>
              <w:t> </w:t>
            </w:r>
          </w:p>
        </w:tc>
      </w:tr>
      <w:tr>
        <w:trPr/>
        <w:tc>
          <w:tcPr>
            <w:tcW w:w="4569" w:type="dxa"/>
            <w:tcBorders/>
          </w:tcPr>
          <w:p>
            <w:pPr>
              <w:pStyle w:val="TableContents"/>
              <w:bidi w:val="0"/>
              <w:spacing w:before="0" w:after="0"/>
              <w:jc w:val="left"/>
              <w:rPr>
                <w:rFonts w:ascii="ARIAL" w:hAnsi="ARIAL"/>
                <w:sz w:val="20"/>
              </w:rPr>
            </w:pPr>
            <w:r>
              <w:rPr>
                <w:rFonts w:ascii="ARIAL" w:hAnsi="ARIAL"/>
                <w:sz w:val="20"/>
              </w:rPr>
              <w:t>Underwriting Discount(1)</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46" w:type="dxa"/>
            <w:tcBorders/>
            <w:vAlign w:val="bottom"/>
          </w:tcPr>
          <w:p>
            <w:pPr>
              <w:pStyle w:val="TableContents"/>
              <w:bidi w:val="0"/>
              <w:spacing w:before="0" w:after="283"/>
              <w:jc w:val="right"/>
              <w:rPr/>
            </w:pPr>
            <w:r>
              <w:rPr/>
              <w:t>0.2394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716" w:type="dxa"/>
            <w:tcBorders/>
            <w:vAlign w:val="bottom"/>
          </w:tcPr>
          <w:p>
            <w:pPr>
              <w:pStyle w:val="TableContents"/>
              <w:bidi w:val="0"/>
              <w:spacing w:before="0" w:after="283"/>
              <w:jc w:val="right"/>
              <w:rPr/>
            </w:pPr>
            <w:r>
              <w:rPr/>
              <w:t>2,999,993.22</w:t>
            </w:r>
          </w:p>
        </w:tc>
        <w:tc>
          <w:tcPr>
            <w:tcW w:w="64" w:type="dxa"/>
            <w:tcBorders/>
            <w:vAlign w:val="bottom"/>
          </w:tcPr>
          <w:p>
            <w:pPr>
              <w:pStyle w:val="TableContents"/>
              <w:bidi w:val="0"/>
              <w:spacing w:before="0" w:after="283"/>
              <w:jc w:val="left"/>
              <w:rPr/>
            </w:pPr>
            <w:r>
              <w:rPr/>
              <w:t> </w:t>
            </w:r>
          </w:p>
        </w:tc>
      </w:tr>
      <w:tr>
        <w:trPr/>
        <w:tc>
          <w:tcPr>
            <w:tcW w:w="4569" w:type="dxa"/>
            <w:tcBorders/>
            <w:shd w:fill="CCEEFF" w:val="clear"/>
          </w:tcPr>
          <w:p>
            <w:pPr>
              <w:pStyle w:val="TableContents"/>
              <w:bidi w:val="0"/>
              <w:spacing w:before="0" w:after="0"/>
              <w:jc w:val="left"/>
              <w:rPr>
                <w:rFonts w:ascii="ARIAL" w:hAnsi="ARIAL"/>
                <w:sz w:val="20"/>
              </w:rPr>
            </w:pPr>
            <w:r>
              <w:rPr>
                <w:rFonts w:ascii="ARIAL" w:hAnsi="ARIAL"/>
                <w:sz w:val="20"/>
              </w:rPr>
              <w:t>Proceeds to us (before expenses)</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3.75060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716" w:type="dxa"/>
            <w:tcBorders/>
            <w:shd w:fill="CCEEFF" w:val="clear"/>
            <w:vAlign w:val="bottom"/>
          </w:tcPr>
          <w:p>
            <w:pPr>
              <w:pStyle w:val="TableContents"/>
              <w:bidi w:val="0"/>
              <w:spacing w:before="0" w:after="283"/>
              <w:jc w:val="right"/>
              <w:rPr/>
            </w:pPr>
            <w:r>
              <w:rPr/>
              <w:t>46,999,893.78</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the section entitled Underwriting beginning on page S-25 for a description of the compensation payable to the underwriters. </w:t>
            </w:r>
          </w:p>
        </w:tc>
      </w:tr>
    </w:tbl>
    <w:p>
      <w:pPr>
        <w:pStyle w:val="TextBody"/>
        <w:bidi w:val="0"/>
        <w:spacing w:before="240" w:after="0"/>
        <w:jc w:val="left"/>
        <w:rPr>
          <w:rFonts w:ascii="ARIAL" w:hAnsi="ARIAL"/>
          <w:sz w:val="20"/>
        </w:rPr>
      </w:pPr>
      <w:r>
        <w:rPr>
          <w:rFonts w:ascii="ARIAL" w:hAnsi="ARIAL"/>
          <w:sz w:val="20"/>
        </w:rPr>
        <w:t xml:space="preserve">Delivery of the ADSs is expected to be made on or about June 17, 2024. </w:t>
      </w:r>
    </w:p>
    <w:p>
      <w:pPr>
        <w:pStyle w:val="TextBody"/>
        <w:bidi w:val="0"/>
        <w:spacing w:before="240" w:after="0"/>
        <w:jc w:val="left"/>
        <w:rPr>
          <w:rFonts w:ascii="ARIAL" w:hAnsi="ARIAL"/>
          <w:sz w:val="20"/>
        </w:rPr>
      </w:pPr>
      <w:r>
        <w:rPr>
          <w:rFonts w:ascii="ARIAL" w:hAnsi="ARIAL"/>
          <w:sz w:val="20"/>
        </w:rPr>
        <w:t xml:space="preserve">Certain directors are purchasing 37,600 ADSs in this offering at the offering price. An investment entity affiliated with a director is purchasing 1,754,350 ADSs in this offering at the offering price. These investors will pay the same price per ADS as all other purchasers of ADSs sold in this offering and the underwriters will receive the same discount on any ADSs purchased by them as they will from any other ADSs sold in this offering.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center"/>
        <w:rPr>
          <w:rFonts w:ascii="ARIAL" w:hAnsi="ARIAL"/>
          <w:i/>
          <w:sz w:val="20"/>
        </w:rPr>
      </w:pPr>
      <w:r>
        <w:rPr>
          <w:rFonts w:ascii="ARIAL" w:hAnsi="ARIAL"/>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2"/>
        <w:gridCol w:w="2269"/>
        <w:gridCol w:w="2989"/>
        <w:gridCol w:w="2268"/>
        <w:gridCol w:w="1237"/>
      </w:tblGrid>
      <w:tr>
        <w:trPr/>
        <w:tc>
          <w:tcPr>
            <w:tcW w:w="1442" w:type="dxa"/>
            <w:tcBorders/>
            <w:vAlign w:val="center"/>
          </w:tcPr>
          <w:p>
            <w:pPr>
              <w:pStyle w:val="TableContents"/>
              <w:bidi w:val="0"/>
              <w:spacing w:before="0" w:after="283"/>
              <w:jc w:val="left"/>
              <w:rPr>
                <w:sz w:val="4"/>
                <w:szCs w:val="4"/>
              </w:rPr>
            </w:pPr>
            <w:r>
              <w:rPr>
                <w:sz w:val="4"/>
                <w:szCs w:val="4"/>
              </w:rPr>
            </w:r>
          </w:p>
        </w:tc>
        <w:tc>
          <w:tcPr>
            <w:tcW w:w="2269" w:type="dxa"/>
            <w:tcBorders/>
            <w:vAlign w:val="bottom"/>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268"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283"/>
              <w:jc w:val="center"/>
              <w:rPr>
                <w:b/>
              </w:rPr>
            </w:pPr>
            <w:r>
              <w:rPr>
                <w:b/>
              </w:rPr>
              <w:t>Jefferies</w:t>
            </w:r>
          </w:p>
        </w:tc>
        <w:tc>
          <w:tcPr>
            <w:tcW w:w="2269" w:type="dxa"/>
            <w:tcBorders/>
            <w:vAlign w:val="bottom"/>
          </w:tcPr>
          <w:p>
            <w:pPr>
              <w:pStyle w:val="TableContents"/>
              <w:bidi w:val="0"/>
              <w:spacing w:before="0" w:after="283"/>
              <w:jc w:val="left"/>
              <w:rPr/>
            </w:pPr>
            <w:r>
              <w:rPr/>
              <w:t> </w:t>
            </w:r>
          </w:p>
        </w:tc>
        <w:tc>
          <w:tcPr>
            <w:tcW w:w="2989" w:type="dxa"/>
            <w:tcBorders/>
            <w:vAlign w:val="bottom"/>
          </w:tcPr>
          <w:p>
            <w:pPr>
              <w:pStyle w:val="TableContents"/>
              <w:bidi w:val="0"/>
              <w:spacing w:before="0" w:after="283"/>
              <w:jc w:val="center"/>
              <w:rPr>
                <w:b/>
              </w:rPr>
            </w:pPr>
            <w:r>
              <w:rPr>
                <w:b/>
              </w:rPr>
              <w:t>Leerink Partners</w:t>
            </w:r>
          </w:p>
        </w:tc>
        <w:tc>
          <w:tcPr>
            <w:tcW w:w="226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center"/>
              <w:rPr>
                <w:b/>
              </w:rPr>
            </w:pPr>
            <w:r>
              <w:rPr>
                <w:b/>
              </w:rPr>
              <w:t>Cantor</w:t>
            </w:r>
          </w:p>
        </w:tc>
      </w:tr>
    </w:tbl>
    <w:p>
      <w:pPr>
        <w:pStyle w:val="TextBody"/>
        <w:bidi w:val="0"/>
        <w:spacing w:before="240" w:after="0"/>
        <w:jc w:val="center"/>
        <w:rPr>
          <w:rFonts w:ascii="ARIAL" w:hAnsi="ARIAL"/>
          <w:sz w:val="20"/>
        </w:rPr>
      </w:pPr>
      <w:r>
        <w:rPr>
          <w:rFonts w:ascii="ARIAL" w:hAnsi="ARIAL"/>
          <w:sz w:val="20"/>
        </w:rPr>
        <w:t xml:space="preserve">June 14,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11"/>
        <w:gridCol w:w="116"/>
        <w:gridCol w:w="60"/>
        <w:gridCol w:w="456"/>
        <w:gridCol w:w="62"/>
      </w:tblGrid>
      <w:tr>
        <w:trPr/>
        <w:tc>
          <w:tcPr>
            <w:tcW w:w="951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1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rFonts w:ascii="ARIAL" w:hAnsi="ARIAL"/>
                <w:b/>
                <w:sz w:val="20"/>
              </w:rPr>
            </w:pPr>
            <w:r>
              <w:rPr>
                <w:rFonts w:ascii="ARIAL" w:hAnsi="ARIAL"/>
                <w:b/>
                <w:sz w:val="20"/>
              </w:rPr>
              <w:t>PROSPECTUS SUPPLEMENT</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511" w:type="dxa"/>
            <w:tcBorders/>
          </w:tcPr>
          <w:p>
            <w:pPr>
              <w:pStyle w:val="TableContents"/>
              <w:bidi w:val="0"/>
              <w:spacing w:before="0" w:after="0"/>
              <w:jc w:val="left"/>
              <w:rPr/>
            </w:pPr>
            <w:hyperlink w:anchor="srom852004_1">
              <w:r>
                <w:rPr>
                  <w:rStyle w:val="InternetLink"/>
                  <w:rFonts w:ascii="ARIAL" w:hAnsi="ARIAL"/>
                  <w:sz w:val="20"/>
                </w:rPr>
                <w:t>ABOUT THIS PROSPECTUS SUPPLEMENT</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S-1</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2">
              <w:r>
                <w:rPr>
                  <w:rStyle w:val="InternetLink"/>
                  <w:rFonts w:ascii="ARIAL" w:hAnsi="ARIAL"/>
                  <w:sz w:val="20"/>
                </w:rPr>
                <w:t>SPECIAL NOTE REGARDING FORWARD-LOOKING STATEMENTS</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S-2</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3">
              <w:r>
                <w:rPr>
                  <w:rStyle w:val="InternetLink"/>
                  <w:rFonts w:ascii="ARIAL" w:hAnsi="ARIAL"/>
                  <w:sz w:val="20"/>
                </w:rPr>
                <w:t>PROSPECTUS SUPPLEMENT SUMMARY</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S-3</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4">
              <w:r>
                <w:rPr>
                  <w:rStyle w:val="InternetLink"/>
                  <w:rFonts w:ascii="ARIAL" w:hAnsi="ARIAL"/>
                  <w:sz w:val="20"/>
                </w:rPr>
                <w:t>THE OFFERING</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S-5</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5">
              <w:r>
                <w:rPr>
                  <w:rStyle w:val="InternetLink"/>
                  <w:rFonts w:ascii="ARIAL" w:hAnsi="ARIAL"/>
                  <w:sz w:val="20"/>
                </w:rPr>
                <w:t>RISK FACTORS</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S-6</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6">
              <w:r>
                <w:rPr>
                  <w:rStyle w:val="InternetLink"/>
                  <w:rFonts w:ascii="ARIAL" w:hAnsi="ARIAL"/>
                  <w:sz w:val="20"/>
                </w:rPr>
                <w:t>USE OF PROCEEDS</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S-13</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6a">
              <w:r>
                <w:rPr>
                  <w:rStyle w:val="InternetLink"/>
                  <w:rFonts w:ascii="ARIAL" w:hAnsi="ARIAL"/>
                  <w:sz w:val="20"/>
                </w:rPr>
                <w:t xml:space="preserve">DIVIDEND POLICY </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S-14</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7">
              <w:r>
                <w:rPr>
                  <w:rStyle w:val="InternetLink"/>
                  <w:rFonts w:ascii="ARIAL" w:hAnsi="ARIAL"/>
                  <w:sz w:val="20"/>
                </w:rPr>
                <w:t>DILUTION</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S-15</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8">
              <w:r>
                <w:rPr>
                  <w:rStyle w:val="InternetLink"/>
                  <w:rFonts w:ascii="ARIAL" w:hAnsi="ARIAL"/>
                  <w:sz w:val="20"/>
                </w:rPr>
                <w:t>MATERIAL TAX CONSIDERATIONS</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S-16</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9">
              <w:r>
                <w:rPr>
                  <w:rStyle w:val="InternetLink"/>
                  <w:rFonts w:ascii="ARIAL" w:hAnsi="ARIAL"/>
                  <w:sz w:val="20"/>
                </w:rPr>
                <w:t>UNDERWRITING</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S-25</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10">
              <w:r>
                <w:rPr>
                  <w:rStyle w:val="InternetLink"/>
                  <w:rFonts w:ascii="ARIAL" w:hAnsi="ARIAL"/>
                  <w:sz w:val="20"/>
                </w:rPr>
                <w:t>LEGAL MATTERS</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S-33</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11">
              <w:r>
                <w:rPr>
                  <w:rStyle w:val="InternetLink"/>
                  <w:rFonts w:ascii="ARIAL" w:hAnsi="ARIAL"/>
                  <w:sz w:val="20"/>
                </w:rPr>
                <w:t>EXPERTS</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S-33</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12">
              <w:r>
                <w:rPr>
                  <w:rStyle w:val="InternetLink"/>
                  <w:rFonts w:ascii="ARIAL" w:hAnsi="ARIAL"/>
                  <w:sz w:val="20"/>
                </w:rPr>
                <w:t>SERVICE OF PROCESS AND ENFORCEMENT OF LIABILITIES</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S-33</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13">
              <w:r>
                <w:rPr>
                  <w:rStyle w:val="InternetLink"/>
                  <w:rFonts w:ascii="ARIAL" w:hAnsi="ARIAL"/>
                  <w:sz w:val="20"/>
                </w:rPr>
                <w:t>WHERE YOU CAN FIND MORE INFORMATION</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S-35</w:t>
            </w:r>
          </w:p>
        </w:tc>
        <w:tc>
          <w:tcPr>
            <w:tcW w:w="62" w:type="dxa"/>
            <w:tcBorders/>
            <w:vAlign w:val="bottom"/>
          </w:tcPr>
          <w:p>
            <w:pPr>
              <w:pStyle w:val="TableContents"/>
              <w:bidi w:val="0"/>
              <w:spacing w:before="0" w:after="283"/>
              <w:jc w:val="left"/>
              <w:rPr/>
            </w:pPr>
            <w:r>
              <w:rPr/>
              <w:t> </w:t>
            </w:r>
          </w:p>
        </w:tc>
      </w:tr>
      <w:tr>
        <w:trPr/>
        <w:tc>
          <w:tcPr>
            <w:tcW w:w="9511" w:type="dxa"/>
            <w:tcBorders/>
          </w:tcPr>
          <w:p>
            <w:pPr>
              <w:pStyle w:val="TableContents"/>
              <w:bidi w:val="0"/>
              <w:spacing w:before="0" w:after="0"/>
              <w:jc w:val="left"/>
              <w:rPr/>
            </w:pPr>
            <w:hyperlink w:anchor="srom852004_14">
              <w:r>
                <w:rPr>
                  <w:rStyle w:val="InternetLink"/>
                  <w:rFonts w:ascii="ARIAL" w:hAnsi="ARIAL"/>
                  <w:sz w:val="20"/>
                </w:rPr>
                <w:t>INCORPORATION BY REFERENCE</w:t>
              </w:r>
            </w:hyperlink>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91"/>
        <w:gridCol w:w="129"/>
        <w:gridCol w:w="60"/>
        <w:gridCol w:w="263"/>
        <w:gridCol w:w="62"/>
      </w:tblGrid>
      <w:tr>
        <w:trPr/>
        <w:tc>
          <w:tcPr>
            <w:tcW w:w="969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rFonts w:ascii="ARIAL" w:hAnsi="ARIAL"/>
                <w:b/>
                <w:sz w:val="20"/>
              </w:rPr>
            </w:pPr>
            <w:r>
              <w:rPr>
                <w:rFonts w:ascii="ARIAL" w:hAnsi="ARIAL"/>
                <w:b/>
                <w:sz w:val="20"/>
              </w:rPr>
              <w:t>BASE PROSPECTUS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1">
              <w:r>
                <w:rPr>
                  <w:rStyle w:val="InternetLink"/>
                  <w:rFonts w:ascii="ARIAL" w:hAnsi="ARIAL"/>
                  <w:sz w:val="20"/>
                </w:rPr>
                <w:t>ABOUT THIS PROSPECTUS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2">
              <w:r>
                <w:rPr>
                  <w:rStyle w:val="InternetLink"/>
                  <w:rFonts w:ascii="ARIAL" w:hAnsi="ARIAL"/>
                  <w:sz w:val="20"/>
                </w:rPr>
                <w:t>WHERE YOU CAN FIND MORE INFORMATION; INCORPORATION BY REFERENCE</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3">
              <w:r>
                <w:rPr>
                  <w:rStyle w:val="InternetLink"/>
                  <w:rFonts w:ascii="ARIAL" w:hAnsi="ARIAL"/>
                  <w:sz w:val="20"/>
                </w:rPr>
                <w:t>THE COMPANY</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4">
              <w:r>
                <w:rPr>
                  <w:rStyle w:val="InternetLink"/>
                  <w:rFonts w:ascii="ARIAL" w:hAnsi="ARIAL"/>
                  <w:sz w:val="20"/>
                </w:rPr>
                <w:t>RISK FACTORS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5">
              <w:r>
                <w:rPr>
                  <w:rStyle w:val="InternetLink"/>
                  <w:rFonts w:ascii="ARIAL" w:hAnsi="ARIAL"/>
                  <w:sz w:val="20"/>
                </w:rPr>
                <w:t>USE OF PROCEEDS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6">
              <w:r>
                <w:rPr>
                  <w:rStyle w:val="InternetLink"/>
                  <w:rFonts w:ascii="ARIAL" w:hAnsi="ARIAL"/>
                  <w:sz w:val="20"/>
                </w:rPr>
                <w:t>DESCRIPTION OF SHARE CAPITAL AND ARTICLES OF ASSOCIATION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7">
              <w:r>
                <w:rPr>
                  <w:rStyle w:val="InternetLink"/>
                  <w:rFonts w:ascii="ARIAL" w:hAnsi="ARIAL"/>
                  <w:sz w:val="20"/>
                </w:rPr>
                <w:t>DESCRIPTION OF AMERICAN DEPOSITARY SHARES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8">
              <w:r>
                <w:rPr>
                  <w:rStyle w:val="InternetLink"/>
                  <w:rFonts w:ascii="ARIAL" w:hAnsi="ARIAL"/>
                  <w:sz w:val="20"/>
                </w:rPr>
                <w:t>PLAN OF DISTRIBUTION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9">
              <w:r>
                <w:rPr>
                  <w:rStyle w:val="InternetLink"/>
                  <w:rFonts w:ascii="ARIAL" w:hAnsi="ARIAL"/>
                  <w:sz w:val="20"/>
                </w:rPr>
                <w:t>LEGAL MATTERS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10">
              <w:r>
                <w:rPr>
                  <w:rStyle w:val="InternetLink"/>
                  <w:rFonts w:ascii="ARIAL" w:hAnsi="ARIAL"/>
                  <w:sz w:val="20"/>
                </w:rPr>
                <w:t>EXPERTS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2" w:space="1" w:color="000000"/>
        </w:rPr>
      </w:pPr>
      <w:bookmarkStart w:id="3" w:name="srom852004_1"/>
      <w:bookmarkEnd w:id="3"/>
      <w:r>
        <w:rPr>
          <w:rFonts w:ascii="ARIAL" w:hAnsi="ARIAL"/>
          <w:b/>
          <w:sz w:val="20"/>
          <w:bdr w:val="single" w:sz="2" w:space="1" w:color="000000"/>
        </w:rPr>
        <w:t xml:space="preserve">ABOUT THIS PROSPECTUS SUPPLEMENT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This document is in two parts. The first part is the prospectus supplement, including the documents incorporated by reference herein, which describes the specific terms of this offering. The second part, the accompanying base prospectus, including the documents incorporated by reference therein, provides more general information. Generally, when we refer to this prospectus, we are referring to both parts of this document combined. Before you invest, you should carefully read this prospectus supplement, the accompanying base prospectus, all information incorporated by reference herein and therein, as well as the additional information described under Where You Can Find More Information. These documents contain information you should consider when making your investment decision. This prospectus supplement may add, update or change information contained in the accompanying base prospectus. To the extent that any statement we make in this prospectus supplement is inconsistent with statements made in the accompanying base prospectus or any documents incorporated by reference therein or herein, the statements made in this prospectus supplement will be deemed to modify or supersede those made in the accompanying base prospectus and such documents incorporated by reference therein.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We have not authorized anyone to provide any information other than that contained in or incorporated by reference in this prospectus supplement, the accompanying base prospectus and any related free writing prospectus filed by us with the SEC. We have not, and the underwriters have not, authorized anyone to provide you with different information. We and the underwriters take no responsibility for, and can provide no assurance as to the reliability of any other information that others may give you. This prospectus supplement and the accompanying base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and the accompanying base prospectus, the documents incorporated by reference and any related free writing prospectus is accurate only as of their respective dates regardless of the time of delivery of this prospectus supplement and the accompanying prospectus. Our business, financial condition, results of operations and prospects may have changed materially since those dates.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We are offering to sell, and seeking offers to buy, ADSs only in jurisdictions where offers and sales are permitted. The distribution of this prospectus supplement and the accompanying base prospectus and the offering of the ADSs in certain jurisdictions may be restricted by law. Persons outside the United States (U.S.) who come into possession of this prospectus supplement and the accompanying base prospectus must inform themselves about, and observe any restrictions relating to, the offering of the ADSs and the distribution of this prospectus supplement outside the U.S.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Unless otherwise indicated or the context otherwise requires, the terms Mereo, the Company, we, us, and our refer to Mereo BioPharma Group plc and our wholly-owned subsidiaries Mereo BioPharma 1 Limited, Mereo BioPharma 2 Limited, Mereo BioPharma 3 Limited, Mereo BioPharma 4 Limited, Mereo BioPharma 5, Inc., Mereo BioPharma Ireland Limited, Mereo US Holdings Inc. and NAVI Subsidiary, Inc. Mereo, the Mereo logo and other trademarks, trade names or service marks of Mereo appearing in this prospectus and the documents incorporated by reference are the property of Mereo.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2" w:space="1" w:color="000000"/>
        </w:rPr>
      </w:pPr>
      <w:bookmarkStart w:id="4" w:name="srom852004_2"/>
      <w:bookmarkEnd w:id="4"/>
      <w:r>
        <w:rPr>
          <w:rFonts w:ascii="ARIAL" w:hAnsi="ARIAL"/>
          <w:b/>
          <w:sz w:val="20"/>
          <w:bdr w:val="single" w:sz="2" w:space="1" w:color="000000"/>
        </w:rPr>
        <w:t xml:space="preserve">SPECIAL NOTE REGARDING FORWARD-LOOKING STATEMENTS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This prospectus supplement, the accompanying base prospectus and the documents incorporated by reference herein and therein and any free writing prospectus that we have authorized for use in connection with this offering contain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words such as believe, may, will, estimate, continue, anticipate, intend, expect or the negative of these words or other comparable terminology.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Any forward-looking statements in this prospectus supplement, the accompanying base prospectus and the documents incorporated by reference herein and therein and any free writing prospectus that we have authorized for use in connection with this offering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and elsewhere in this prospectus supplement and in the documents incorporated by reference herein, including our most recent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This prospectus supplement, the accompanying base prospectus and the documents incorporated by reference herein and therein and any free writing prospectus that we have authorized for use in connection with this offering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2" w:space="1" w:color="000000"/>
        </w:rPr>
      </w:pPr>
      <w:bookmarkStart w:id="5" w:name="srom852004_3"/>
      <w:bookmarkEnd w:id="5"/>
      <w:r>
        <w:rPr>
          <w:rFonts w:ascii="ARIAL" w:hAnsi="ARIAL"/>
          <w:b/>
          <w:sz w:val="20"/>
          <w:bdr w:val="single" w:sz="2" w:space="1" w:color="000000"/>
        </w:rPr>
        <w:t xml:space="preserve">PROSPECTUS SUPPLEMENT SUMMARY </w:t>
      </w:r>
    </w:p>
    <w:p>
      <w:pPr>
        <w:pStyle w:val="TextBody"/>
        <w:bidi w:val="0"/>
        <w:spacing w:before="240" w:after="0"/>
        <w:jc w:val="left"/>
        <w:rPr>
          <w:rFonts w:ascii="ARIAL" w:hAnsi="ARIAL"/>
          <w:i/>
          <w:sz w:val="20"/>
          <w:bdr w:val="single" w:sz="2" w:space="1" w:color="000000"/>
        </w:rPr>
      </w:pPr>
      <w:r>
        <w:rPr>
          <w:rFonts w:ascii="ARIAL" w:hAnsi="ARIAL"/>
          <w:i/>
          <w:sz w:val="20"/>
          <w:bdr w:val="single" w:sz="2" w:space="1" w:color="000000"/>
        </w:rPr>
        <w:t xml:space="preserve">This summary highlights selected information contained elsewhere in this prospectus supplement, the accompanying base prospectus and in the documents we incorporate by reference herein and therein. This summary does not contain all of the information you should consider before making an investment decision. You should read this entire prospectus supplement and accompanying prospectus carefully, especially the risks of investing in our ADSs discussed under Risk Factors beginning on page S-6 of this prospectus supplement, along with our consolidated financial statements and notes to those consolidated financial statements and the other information incorporated by reference in this prospectus supplement and the accompanying base prospectus. </w:t>
      </w:r>
    </w:p>
    <w:p>
      <w:pPr>
        <w:pStyle w:val="TextBody"/>
        <w:bidi w:val="0"/>
        <w:spacing w:before="240" w:after="0"/>
        <w:jc w:val="left"/>
        <w:rPr>
          <w:rFonts w:ascii="ARIAL" w:hAnsi="ARIAL"/>
          <w:b/>
          <w:sz w:val="20"/>
          <w:bdr w:val="single" w:sz="2" w:space="1" w:color="000000"/>
        </w:rPr>
      </w:pPr>
      <w:r>
        <w:rPr>
          <w:rFonts w:ascii="ARIAL" w:hAnsi="ARIAL"/>
          <w:b/>
          <w:sz w:val="20"/>
          <w:bdr w:val="single" w:sz="2" w:space="1" w:color="000000"/>
        </w:rPr>
        <w:t xml:space="preserve">Our Company </w:t>
      </w:r>
    </w:p>
    <w:p>
      <w:pPr>
        <w:pStyle w:val="TextBody"/>
        <w:bidi w:val="0"/>
        <w:spacing w:before="120" w:after="0"/>
        <w:jc w:val="left"/>
        <w:rPr>
          <w:rFonts w:ascii="ARIAL" w:hAnsi="ARIAL"/>
          <w:sz w:val="20"/>
          <w:bdr w:val="single" w:sz="2" w:space="1" w:color="000000"/>
        </w:rPr>
      </w:pPr>
      <w:r>
        <w:rPr>
          <w:rFonts w:ascii="ARIAL" w:hAnsi="ARIAL"/>
          <w:sz w:val="20"/>
          <w:bdr w:val="single" w:sz="2" w:space="1" w:color="000000"/>
        </w:rPr>
        <w:t xml:space="preserve">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from the FDA. Alvelestat has received U.S. Orphan Drug Designation for the treatment of AATD and Fast Track designation for the treatment of AATD-LD.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We have successfully completed large, randomized Phase 2 clinical trials for four of our product candidates and the Phase 1b portion of a Phase 1b/2 for a fifth product candidate.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Rare diseases represent an attractive development and, in some cases, commercialization opportunity for us since they typically have high unmet medical need and can utilize regulatory pathways that facilitate acceleration to approval and to the potential market. We believe based on third-party research reports that the total global market opportunity for OI is over $1 billion in peak annual revenue. Development of products for rare diseases involve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 </w:t>
      </w:r>
    </w:p>
    <w:p>
      <w:pPr>
        <w:pStyle w:val="TextBody"/>
        <w:bidi w:val="0"/>
        <w:spacing w:before="240" w:after="0"/>
        <w:jc w:val="left"/>
        <w:rPr>
          <w:rFonts w:ascii="ARIAL" w:hAnsi="ARIAL"/>
          <w:b/>
          <w:sz w:val="20"/>
          <w:bdr w:val="single" w:sz="2" w:space="1" w:color="000000"/>
        </w:rPr>
      </w:pPr>
      <w:r>
        <w:rPr>
          <w:rFonts w:ascii="ARIAL" w:hAnsi="ARIAL"/>
          <w:b/>
          <w:sz w:val="20"/>
          <w:bdr w:val="single" w:sz="2" w:space="1" w:color="000000"/>
        </w:rPr>
        <w:t xml:space="preserve">Recent Developments </w:t>
      </w:r>
    </w:p>
    <w:p>
      <w:pPr>
        <w:pStyle w:val="TextBody"/>
        <w:bidi w:val="0"/>
        <w:spacing w:before="120" w:after="0"/>
        <w:jc w:val="left"/>
        <w:rPr>
          <w:rFonts w:ascii="ARIAL" w:hAnsi="ARIAL"/>
          <w:sz w:val="20"/>
          <w:bdr w:val="single" w:sz="2" w:space="1" w:color="000000"/>
        </w:rPr>
      </w:pPr>
      <w:r>
        <w:rPr>
          <w:rFonts w:ascii="ARIAL" w:hAnsi="ARIAL"/>
          <w:sz w:val="20"/>
          <w:bdr w:val="single" w:sz="2" w:space="1" w:color="000000"/>
        </w:rPr>
        <w:t xml:space="preserve">On June 11, 2024 we and Ultragenyx Pharmaceutical Inc. (NASDAQ: RARE) announced positive 14-month results from the Phase 2 portion of the ongoing Phase 2/3 Orbit study (NCT05125809) demonstrating that, as of a May 24, 2024 data cut-off date, treatment with setrusumab (UX143) continued to significantly reduce incidence of fractures in patients with OI with at least 14 months of follow-up. Treatment with setrusumab also resulted in ongoing and meaningful improvements in lumbar spine bone mineral density (BMD) at month 12 without evidence of plateau.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The large reduction in annualized radiologically confirmed fracture rate previously reported in patients treated for a minimum of 6 months was sustained in patients treated for at least 14 months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with a high degree of significance. The median annualized rate of radiologically confirmed fractures across all 24 patients in the 2 years prior to treatment was 0.72. Following a mean treatment duration period of 16 months, the median annualized fracture rate was reduced 67% to 0.00 (p=0.0014; n=24). The annualized fracture rate excluded morphometric vertebral fractures and fractures of the fingers, toes, skull, and face, consistent with the Phase 3 study primary efficacy endpoint.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The reduction in annualized fracture rates was associated with continued, clinically meaningful increases in BMD. Tests conducted at the 12-month timepoint demonstrated that treatment with setrusumab resulted in a mean increase in lumbar spine BMD from baseline of 22% (p&lt;0.0001, n=19) across all age groups (5 to &lt; 26 years old), a further improvement from 14% observed at 6 months of treatment. This increase in BMD is reflected in the change from the mean baseline lumbar spine BMD Z-score of -1.73 to -0.49 at 12 months across all age groups, a substantial normalization in Z-score of +1.25 (p&lt;0.0001, n=18). This is further improved from the mean 6-month Z-score change of +0.85. The improvements in BMD and Z-scores were significant and consistent across all OI sub-types studied.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As of the data cut-off, there were no treatment-related serious adverse events observed in the study. Reported adverse events were generally consistent with those observed in the Asteroid study with infusion-related events and headache determined to be the most common adverse events related to the study drug. As of the data cut-off, there were no reported hypersensitivity reactions related to setrusumab.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More detailed 14-month data will be presented at a future scientific meeting. </w:t>
      </w:r>
    </w:p>
    <w:p>
      <w:pPr>
        <w:pStyle w:val="TextBody"/>
        <w:bidi w:val="0"/>
        <w:spacing w:before="240" w:after="0"/>
        <w:jc w:val="left"/>
        <w:rPr>
          <w:rFonts w:ascii="ARIAL" w:hAnsi="ARIAL"/>
          <w:b/>
          <w:sz w:val="20"/>
          <w:bdr w:val="single" w:sz="2" w:space="1" w:color="000000"/>
        </w:rPr>
      </w:pPr>
      <w:r>
        <w:rPr>
          <w:rFonts w:ascii="ARIAL" w:hAnsi="ARIAL"/>
          <w:b/>
          <w:sz w:val="20"/>
          <w:bdr w:val="single" w:sz="2" w:space="1" w:color="000000"/>
        </w:rPr>
        <w:t xml:space="preserve">Corporate Information </w:t>
      </w:r>
    </w:p>
    <w:p>
      <w:pPr>
        <w:pStyle w:val="TextBody"/>
        <w:bidi w:val="0"/>
        <w:spacing w:before="120" w:after="0"/>
        <w:jc w:val="left"/>
        <w:rPr>
          <w:rFonts w:ascii="ARIAL" w:hAnsi="ARIAL"/>
          <w:sz w:val="20"/>
          <w:bdr w:val="single" w:sz="2" w:space="1" w:color="000000"/>
        </w:rPr>
      </w:pPr>
      <w:r>
        <w:rPr>
          <w:rFonts w:ascii="ARIAL" w:hAnsi="ARIAL"/>
          <w:sz w:val="20"/>
          <w:bdr w:val="single" w:sz="2" w:space="1" w:color="000000"/>
        </w:rPr>
        <w:t xml:space="preserve">Our registered office address is One Cavendish Place, 4th Floor, London, W1G 0QF, United Kingdom and our telephone number is +44 333 023 7300. Our website address is www.mereobiopharma.com. The information contained on, or that can be accessed from, our website does not form part of this prospectus supplement. Our agent for service of process in the United States is Mereo US Holdings Inc.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2" w:space="1" w:color="000000"/>
        </w:rPr>
      </w:pPr>
      <w:bookmarkStart w:id="6" w:name="srom852004_4"/>
      <w:bookmarkEnd w:id="6"/>
      <w:r>
        <w:rPr>
          <w:rFonts w:ascii="ARIAL" w:hAnsi="ARIAL"/>
          <w:b/>
          <w:sz w:val="20"/>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ARIAL" w:hAnsi="ARIAL"/>
                <w:sz w:val="20"/>
              </w:rPr>
            </w:pPr>
            <w:r>
              <w:rPr>
                <w:rFonts w:ascii="ARIAL" w:hAnsi="ARIAL"/>
                <w:sz w:val="20"/>
              </w:rPr>
              <w:t xml:space="preserve">ADSs offered by us </w:t>
            </w:r>
          </w:p>
        </w:tc>
        <w:tc>
          <w:tcPr>
            <w:tcW w:w="5204" w:type="dxa"/>
            <w:tcBorders/>
          </w:tcPr>
          <w:p>
            <w:pPr>
              <w:pStyle w:val="TableContents"/>
              <w:bidi w:val="0"/>
              <w:spacing w:before="0" w:after="283"/>
              <w:jc w:val="left"/>
              <w:rPr/>
            </w:pPr>
            <w:r>
              <w:rPr/>
              <w:t xml:space="preserve">12,531,300 ADSs (with each ADS representing five ordinary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998"/>
        <w:gridCol w:w="5207"/>
      </w:tblGrid>
      <w:tr>
        <w:trPr/>
        <w:tc>
          <w:tcPr>
            <w:tcW w:w="4998" w:type="dxa"/>
            <w:tcBorders/>
          </w:tcPr>
          <w:p>
            <w:pPr>
              <w:pStyle w:val="TableContents"/>
              <w:bidi w:val="0"/>
              <w:spacing w:before="0" w:after="20"/>
              <w:jc w:val="left"/>
              <w:rPr>
                <w:rFonts w:ascii="ARIAL" w:hAnsi="ARIAL"/>
                <w:sz w:val="20"/>
              </w:rPr>
            </w:pPr>
            <w:r>
              <w:rPr>
                <w:rFonts w:ascii="ARIAL" w:hAnsi="ARIAL"/>
                <w:sz w:val="20"/>
              </w:rPr>
              <w:t xml:space="preserve">ADSs outstanding after the offering </w:t>
            </w:r>
          </w:p>
        </w:tc>
        <w:tc>
          <w:tcPr>
            <w:tcW w:w="5207" w:type="dxa"/>
            <w:tcBorders/>
          </w:tcPr>
          <w:p>
            <w:pPr>
              <w:pStyle w:val="TableContents"/>
              <w:bidi w:val="0"/>
              <w:spacing w:before="0" w:after="283"/>
              <w:jc w:val="left"/>
              <w:rPr/>
            </w:pPr>
            <w:r>
              <w:rPr/>
              <w:t xml:space="preserve">152,801,186 ADSs (with each ADS representing five ordinary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ARIAL" w:hAnsi="ARIAL"/>
                <w:sz w:val="20"/>
              </w:rPr>
            </w:pPr>
            <w:r>
              <w:rPr>
                <w:rFonts w:ascii="ARIAL" w:hAnsi="ARIAL"/>
                <w:sz w:val="20"/>
              </w:rPr>
              <w:t xml:space="preserve">Ordinary shares outstanding after the offering </w:t>
            </w:r>
          </w:p>
        </w:tc>
        <w:tc>
          <w:tcPr>
            <w:tcW w:w="5204" w:type="dxa"/>
            <w:tcBorders/>
          </w:tcPr>
          <w:p>
            <w:pPr>
              <w:pStyle w:val="TableContents"/>
              <w:bidi w:val="0"/>
              <w:spacing w:before="0" w:after="20"/>
              <w:jc w:val="left"/>
              <w:rPr>
                <w:rFonts w:ascii="ARIAL" w:hAnsi="ARIAL"/>
                <w:sz w:val="20"/>
              </w:rPr>
            </w:pPr>
            <w:r>
              <w:rPr>
                <w:rFonts w:ascii="ARIAL" w:hAnsi="ARIAL"/>
                <w:sz w:val="20"/>
              </w:rPr>
              <w:t xml:space="preserve">764,005,934 ordinary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ARIAL" w:hAnsi="ARIAL"/>
                <w:sz w:val="20"/>
              </w:rPr>
            </w:pPr>
            <w:r>
              <w:rPr>
                <w:rFonts w:ascii="ARIAL" w:hAnsi="ARIAL"/>
                <w:sz w:val="20"/>
              </w:rPr>
              <w:t xml:space="preserve">Depositary </w:t>
            </w:r>
          </w:p>
        </w:tc>
        <w:tc>
          <w:tcPr>
            <w:tcW w:w="5205" w:type="dxa"/>
            <w:tcBorders/>
          </w:tcPr>
          <w:p>
            <w:pPr>
              <w:pStyle w:val="TableContents"/>
              <w:bidi w:val="0"/>
              <w:spacing w:before="0" w:after="283"/>
              <w:jc w:val="left"/>
              <w:rPr/>
            </w:pPr>
            <w:r>
              <w:rPr/>
              <w:t xml:space="preserve">Citibank, N.A.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ARIAL" w:hAnsi="ARIAL"/>
                <w:sz w:val="20"/>
              </w:rPr>
            </w:pPr>
            <w:r>
              <w:rPr>
                <w:rFonts w:ascii="ARIAL" w:hAnsi="ARIAL"/>
                <w:sz w:val="20"/>
              </w:rPr>
              <w:t xml:space="preserve">Use of Proceeds </w:t>
            </w:r>
          </w:p>
        </w:tc>
        <w:tc>
          <w:tcPr>
            <w:tcW w:w="5205" w:type="dxa"/>
            <w:tcBorders/>
          </w:tcPr>
          <w:p>
            <w:pPr>
              <w:pStyle w:val="TableContents"/>
              <w:bidi w:val="0"/>
              <w:spacing w:before="0" w:after="283"/>
              <w:jc w:val="left"/>
              <w:rPr/>
            </w:pPr>
            <w:r>
              <w:rPr/>
              <w:t xml:space="preserve">We intend to use the net proceeds from this offering to fund the setrusumab program, including pre-launch activities in Europe and supply, and for working capital and other general corporate purposes. See Use of Proceeds.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ARIAL" w:hAnsi="ARIAL"/>
                <w:sz w:val="20"/>
              </w:rPr>
            </w:pPr>
            <w:r>
              <w:rPr>
                <w:rFonts w:ascii="ARIAL" w:hAnsi="ARIAL"/>
                <w:sz w:val="20"/>
              </w:rPr>
              <w:t xml:space="preserve">Risk Factors </w:t>
            </w:r>
          </w:p>
        </w:tc>
        <w:tc>
          <w:tcPr>
            <w:tcW w:w="5206" w:type="dxa"/>
            <w:tcBorders/>
          </w:tcPr>
          <w:p>
            <w:pPr>
              <w:pStyle w:val="TableContents"/>
              <w:bidi w:val="0"/>
              <w:spacing w:before="0" w:after="283"/>
              <w:jc w:val="left"/>
              <w:rPr/>
            </w:pPr>
            <w:r>
              <w:rPr/>
              <w:t xml:space="preserve">You should read the Risk Factors section beginning on page S-6 of this prospectus supplement and in other documents incorporated by reference into this prospectus supplement and the accompanying base prospectus for a discussion of factors to consider carefully before deciding to purchase our ADSs.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ARIAL" w:hAnsi="ARIAL"/>
                <w:sz w:val="20"/>
              </w:rPr>
            </w:pPr>
            <w:r>
              <w:rPr>
                <w:rFonts w:ascii="ARIAL" w:hAnsi="ARIAL"/>
                <w:sz w:val="20"/>
              </w:rPr>
              <w:t xml:space="preserve">Nasdaq symbol </w:t>
            </w:r>
          </w:p>
        </w:tc>
        <w:tc>
          <w:tcPr>
            <w:tcW w:w="5206" w:type="dxa"/>
            <w:tcBorders/>
          </w:tcPr>
          <w:p>
            <w:pPr>
              <w:pStyle w:val="TableContents"/>
              <w:bidi w:val="0"/>
              <w:spacing w:before="0" w:after="283"/>
              <w:jc w:val="left"/>
              <w:rPr/>
            </w:pPr>
            <w:r>
              <w:rPr/>
              <w:t xml:space="preserve">MREO </w:t>
            </w:r>
          </w:p>
        </w:tc>
      </w:tr>
    </w:tbl>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Unless otherwise indicated, all information in this prospectus supplement, including information relating to the number of ordinary shares to be outstanding immediately after the completion of this offering are based on 701,349,434 ordinary shares issued as of March 31, 2024 and excludes: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88,532,810 ordinary shares issuable upon exercise of outstanding awards under our equity plans as of March 31, 2024;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25,944,272 ordinary shares issuable upon the exercise of warrants, convertible notes and other committed equity outstanding as of March 31, 2024.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7" w:name="srom852004_5"/>
      <w:bookmarkEnd w:id="7"/>
      <w:r>
        <w:rPr>
          <w:rFonts w:ascii="ARIAL" w:hAnsi="ARIAL"/>
          <w:b/>
          <w:sz w:val="20"/>
        </w:rPr>
        <w:t xml:space="preserve">RISK FACTORS </w:t>
      </w:r>
    </w:p>
    <w:p>
      <w:pPr>
        <w:pStyle w:val="TextBody"/>
        <w:bidi w:val="0"/>
        <w:spacing w:before="120" w:after="0"/>
        <w:jc w:val="left"/>
        <w:rPr>
          <w:rFonts w:ascii="ARIAL" w:hAnsi="ARIAL"/>
          <w:sz w:val="20"/>
        </w:rPr>
      </w:pPr>
      <w:r>
        <w:rPr>
          <w:rFonts w:ascii="ARIAL" w:hAnsi="ARIAL"/>
          <w:i/>
          <w:sz w:val="20"/>
        </w:rPr>
        <w:t>Our business, and an investment in the securities, is subject to uncertainties and risks. You should carefully consider and evaluate all of the information included and incorporated by reference in this prospectus supplement and the accompanying base prospectus, including the risk factors incorporated by reference from our most recent Annual Report on Form 10-K.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base prospectus</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Risks Related to Our Business and Industry </w:t>
      </w:r>
    </w:p>
    <w:p>
      <w:pPr>
        <w:pStyle w:val="TextBody"/>
        <w:bidi w:val="0"/>
        <w:spacing w:before="120" w:after="0"/>
        <w:jc w:val="left"/>
        <w:rPr>
          <w:rFonts w:ascii="ARIAL" w:hAnsi="ARIAL"/>
          <w:b/>
          <w:i/>
          <w:sz w:val="20"/>
        </w:rPr>
      </w:pPr>
      <w:r>
        <w:rPr>
          <w:rFonts w:ascii="ARIAL" w:hAnsi="ARIAL"/>
          <w:b/>
          <w:i/>
          <w:sz w:val="20"/>
        </w:rPr>
        <w:t xml:space="preserve">Changes in our tax rates, unavailability of certain tax credits or reliefs, or exposure to additional tax liabilities or assessments could adversely affect our results of operations and financial condition. </w:t>
      </w:r>
    </w:p>
    <w:p>
      <w:pPr>
        <w:pStyle w:val="TextBody"/>
        <w:bidi w:val="0"/>
        <w:spacing w:before="120" w:after="0"/>
        <w:jc w:val="left"/>
        <w:rPr>
          <w:rFonts w:ascii="ARIAL" w:hAnsi="ARIAL"/>
          <w:sz w:val="20"/>
        </w:rPr>
      </w:pPr>
      <w:r>
        <w:rPr>
          <w:rFonts w:ascii="ARIAL" w:hAnsi="ARIAL"/>
          <w:sz w:val="20"/>
        </w:rPr>
        <w:t xml:space="preserve">As a U.K. resident trading entity, we are subject to U.K. corporate taxation. Due to the nature of our business, we have generated operating losses since formation. As of December 31, 2023 and 2022, we had cumulative carry-forward tax losses of $122.2 million, $151.3 million, respectively. The availability to carry forward and offset these tax loss carry-forwards against future operating profits is subject to certain restrictions. </w:t>
      </w:r>
    </w:p>
    <w:p>
      <w:pPr>
        <w:pStyle w:val="TextBody"/>
        <w:bidi w:val="0"/>
        <w:spacing w:before="240" w:after="0"/>
        <w:jc w:val="left"/>
        <w:rPr>
          <w:rFonts w:ascii="ARIAL" w:hAnsi="ARIAL"/>
          <w:sz w:val="20"/>
        </w:rPr>
      </w:pPr>
      <w:r>
        <w:rPr>
          <w:rFonts w:ascii="ARIAL" w:hAnsi="ARIAL"/>
          <w:sz w:val="20"/>
        </w:rPr>
        <w:t xml:space="preserve">As a company that carries out extensive research and development (R&amp;D) activities and which qualifies as a small and medium sized enterprise, we benefit from the U.K. HM Revenue and Customs (HMRC) small and medium sized enterprises research and development relief, or SME R&amp;D Relief, which provides relief against U.K. Corporation Tax and enables us to surrender some of our trading losses that arise from our research and development activities for a cash rebate. Historically, a cash rebate of up to 33.35% of eligible R&amp;D expenditure had been available, but with effect from April 1, 2023 the cash rebate has reduced to a maximum of 27% for R&amp;D intensive companies (i.e. where at least 40%, or, for accounting periods beginning on or after April 1, 2024, 30%, of their total expenditure is on qualifying R&amp;D), or to 18.6% of eligible R&amp;D expenditure for other companies. Certain subcontracted qualifying research expenditures are eligible for a cash rebate though the rate of the cash rebate has reduced with effect from April 1, 2023, from up to 21.67% of the subcontracted expenditures to 17.53% for R&amp;D intensive companies or 12.09% for other companies. The difference in cash rebate for qualifying subcontracted expenditure vs other qualifying expenditure is due to a statutory restriction of 65% being applied to unconnected qualifying subcontracted expenditure, thus restricting the benefit available. </w:t>
      </w:r>
    </w:p>
    <w:p>
      <w:pPr>
        <w:pStyle w:val="TextBody"/>
        <w:bidi w:val="0"/>
        <w:spacing w:before="240" w:after="0"/>
        <w:jc w:val="left"/>
        <w:rPr>
          <w:rFonts w:ascii="ARIAL" w:hAnsi="ARIAL"/>
          <w:sz w:val="20"/>
        </w:rPr>
      </w:pPr>
      <w:r>
        <w:rPr>
          <w:rFonts w:ascii="ARIAL" w:hAnsi="ARIAL"/>
          <w:sz w:val="20"/>
        </w:rPr>
        <w:t xml:space="preserve">For accounting periods beginning on or after April 1, 2024, the U.K. has implemented a new R&amp;D relief regime which merges the previous RDEC regime for large companies with the previous SME R&amp;D Relief (apart from SME R&amp;D Relief for R&amp;D intensive companies which has been preserved). If we do not qualify as R&amp;D intensive in our next accounting period, we could benefit from the new R&amp;D relief regime. Under the new regime, we could either offset taxable credit for qualifying R&amp;D expenditure against corporation tax liabilities or be paid net of tax as a cash credit where there is no liability in the future. This may be less generous than credits or reliefs which we have previously claimed or received under SME R&amp;D Relief. Under the new regime, subcontracted expenditure is a qualifying cost (unless it relates to non-qualifying costs subcontracted overseas). </w:t>
      </w:r>
    </w:p>
    <w:p>
      <w:pPr>
        <w:pStyle w:val="TextBody"/>
        <w:bidi w:val="0"/>
        <w:spacing w:before="240" w:after="0"/>
        <w:jc w:val="left"/>
        <w:rPr>
          <w:rFonts w:ascii="ARIAL" w:hAnsi="ARIAL"/>
          <w:sz w:val="20"/>
        </w:rPr>
      </w:pPr>
      <w:r>
        <w:rPr>
          <w:rFonts w:ascii="ARIAL" w:hAnsi="ARIAL"/>
          <w:sz w:val="20"/>
        </w:rPr>
        <w:t xml:space="preserve">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(or qualify to the same extent) for such advantageous tax legislation, or we are unable to use net operating loss and tax credit carry forwards and certain built-in losses to reduce future tax payments, our business, results of operations, and financial condition may be adversely affected. </w:t>
      </w:r>
    </w:p>
    <w:p>
      <w:pPr>
        <w:pStyle w:val="TextBody"/>
        <w:bidi w:val="0"/>
        <w:spacing w:before="240" w:after="0"/>
        <w:jc w:val="left"/>
        <w:rPr>
          <w:rFonts w:ascii="ARIAL" w:hAnsi="ARIAL"/>
          <w:sz w:val="20"/>
        </w:rPr>
      </w:pPr>
      <w:r>
        <w:rPr>
          <w:rFonts w:ascii="ARIAL" w:hAnsi="ARIAL"/>
          <w:sz w:val="20"/>
        </w:rPr>
        <w:t xml:space="preserve">If tax authorities challenge our determinations and/or audit prior periods there could be adverse tax consequences to us that could adversely affect our results of operations and financial condition. </w:t>
      </w:r>
    </w:p>
    <w:p>
      <w:pPr>
        <w:pStyle w:val="TextBody"/>
        <w:bidi w:val="0"/>
        <w:spacing w:before="240" w:after="0"/>
        <w:jc w:val="left"/>
        <w:rPr>
          <w:rFonts w:ascii="ARIAL" w:hAnsi="ARIAL"/>
          <w:b/>
          <w:sz w:val="20"/>
        </w:rPr>
      </w:pPr>
      <w:r>
        <w:rPr>
          <w:rFonts w:ascii="ARIAL" w:hAnsi="ARIAL"/>
          <w:b/>
          <w:sz w:val="20"/>
        </w:rPr>
        <w:t xml:space="preserve">Risks Related to Our ADSs and this Offering </w:t>
      </w:r>
    </w:p>
    <w:p>
      <w:pPr>
        <w:pStyle w:val="TextBody"/>
        <w:bidi w:val="0"/>
        <w:spacing w:before="120" w:after="0"/>
        <w:jc w:val="left"/>
        <w:rPr>
          <w:rFonts w:ascii="ARIAL" w:hAnsi="ARIAL"/>
          <w:b/>
          <w:i/>
          <w:sz w:val="20"/>
        </w:rPr>
      </w:pPr>
      <w:r>
        <w:rPr>
          <w:rFonts w:ascii="ARIAL" w:hAnsi="ARIAL"/>
          <w:b/>
          <w:i/>
          <w:sz w:val="20"/>
        </w:rPr>
        <w:t xml:space="preserve">If you purchase the ADSs sold in this offering, you may experience immediate and substantial dilution in the net tangible book value of the ADSs. In addition, we may issue additional ADSs or securities convertible or exchangeable for ADSs or ordinary shares in the future, which may result in additional dilution to you. </w:t>
      </w:r>
    </w:p>
    <w:p>
      <w:pPr>
        <w:pStyle w:val="TextBody"/>
        <w:bidi w:val="0"/>
        <w:spacing w:before="120" w:after="0"/>
        <w:jc w:val="left"/>
        <w:rPr>
          <w:rFonts w:ascii="ARIAL" w:hAnsi="ARIAL"/>
          <w:sz w:val="20"/>
        </w:rPr>
      </w:pPr>
      <w:r>
        <w:rPr>
          <w:rFonts w:ascii="ARIAL" w:hAnsi="ARIAL"/>
          <w:sz w:val="20"/>
        </w:rPr>
        <w:t xml:space="preserve">If you purchase ADSs in this offering, you will incur immediate and substantial dilution in the amount of $3.42 per ADS, representing the difference between our as adjusted net tangible book value per ADS as of March 31, 2024 after giving effect to this offering and the offering price. For a more detailed discussion of the foregoing, see the section entitled Dilution below. </w:t>
      </w:r>
    </w:p>
    <w:p>
      <w:pPr>
        <w:pStyle w:val="TextBody"/>
        <w:bidi w:val="0"/>
        <w:spacing w:before="240" w:after="0"/>
        <w:jc w:val="left"/>
        <w:rPr>
          <w:rFonts w:ascii="ARIAL" w:hAnsi="ARIAL"/>
          <w:sz w:val="20"/>
        </w:rPr>
      </w:pPr>
      <w:r>
        <w:rPr>
          <w:rFonts w:ascii="ARIAL" w:hAnsi="ARIAL"/>
          <w:sz w:val="20"/>
        </w:rPr>
        <w:t xml:space="preserve">To the extent outstanding equity incentive awards or warrants are exercised, there will be further dilution to new investors. In addition, to the extent we need to raise additional capital in the future and we issue additional ordinary shares, ordinary shares represented by ADSs or securities convertible or exchangeable for our ordinary shares and/or ordinary shares represented by ADSs, our then existing shareholders may experience dilution and the new securities may have rights senior to those of the ADSs offered in this offering. The price per share or ADS at which we sell additional ordinary shares or ADSs, as applicable, or securities convertible or exchangeable into ordinary shares and/or ADSs, in any future transactions may be higher or lower than the price per ADS paid by investors in this offering. </w:t>
      </w:r>
    </w:p>
    <w:p>
      <w:pPr>
        <w:pStyle w:val="TextBody"/>
        <w:bidi w:val="0"/>
        <w:spacing w:before="240" w:after="0"/>
        <w:jc w:val="left"/>
        <w:rPr>
          <w:rFonts w:ascii="ARIAL" w:hAnsi="ARIAL"/>
          <w:b/>
          <w:i/>
          <w:sz w:val="20"/>
        </w:rPr>
      </w:pPr>
      <w:r>
        <w:rPr>
          <w:rFonts w:ascii="ARIAL" w:hAnsi="ARIAL"/>
          <w:b/>
          <w:i/>
          <w:sz w:val="20"/>
        </w:rPr>
        <w:t xml:space="preserve">The trading price of our ADSs may be volatile, and you could lose all or part of your investment. </w:t>
      </w:r>
    </w:p>
    <w:p>
      <w:pPr>
        <w:pStyle w:val="TextBody"/>
        <w:bidi w:val="0"/>
        <w:spacing w:before="120" w:after="0"/>
        <w:jc w:val="left"/>
        <w:rPr>
          <w:rFonts w:ascii="ARIAL" w:hAnsi="ARIAL"/>
          <w:sz w:val="20"/>
        </w:rPr>
      </w:pPr>
      <w:r>
        <w:rPr>
          <w:rFonts w:ascii="ARIAL" w:hAnsi="ARIAL"/>
          <w:sz w:val="20"/>
        </w:rPr>
        <w:t xml:space="preserve">The trading price of our ADSs is likely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are expected to affect the market price of our ADSs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positive or negative results from, or delays in, testing or clinical trials conducted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delays in entering into strategic relationships with respect to development or commercialization of our product candidates or entry into strategic relationships on terms that are not deemed to be favorable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delays in timelines in existing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technological innovations or commercial product introductions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changes in government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developments concerning proprietary rights, including patents and litigation matters;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general economic, political, and market conditions and overall fluctuations in the financial markets in the United Kingdom, the United States and the European Union, and other countries, including the impact of the wars in Ukraine and Israel and globally and regional economic and political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public concern relating to the commercial value or safety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financing or other corporate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publication of research reports or comments by securities or industry analysts, and variances in our periodic results of operations from securities analysts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general market conditions in the biopharmaceutical and pharmaceutical industries or in the economy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the loss of any of our key scientific or senior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sales of our ADSs by us, our senior management and board members, holders of ADSs or our other security 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actions by institutional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speculation in the press or the investment community;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other events and factors, many of which are beyond our control. </w:t>
            </w:r>
          </w:p>
        </w:tc>
      </w:tr>
    </w:tbl>
    <w:p>
      <w:pPr>
        <w:pStyle w:val="TextBody"/>
        <w:bidi w:val="0"/>
        <w:spacing w:before="120" w:after="0"/>
        <w:jc w:val="left"/>
        <w:rPr>
          <w:rFonts w:ascii="ARIAL" w:hAnsi="ARIAL"/>
          <w:sz w:val="20"/>
        </w:rPr>
      </w:pPr>
      <w:r>
        <w:rPr>
          <w:rFonts w:ascii="ARIAL" w:hAnsi="ARIAL"/>
          <w:sz w:val="20"/>
        </w:rPr>
        <w:t xml:space="preserve">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 </w:t>
      </w:r>
    </w:p>
    <w:p>
      <w:pPr>
        <w:pStyle w:val="TextBody"/>
        <w:bidi w:val="0"/>
        <w:spacing w:before="240" w:after="0"/>
        <w:jc w:val="left"/>
        <w:rPr>
          <w:rFonts w:ascii="ARIAL" w:hAnsi="ARIAL"/>
          <w:b/>
          <w:i/>
          <w:sz w:val="20"/>
        </w:rPr>
      </w:pPr>
      <w:r>
        <w:rPr>
          <w:rFonts w:ascii="ARIAL" w:hAnsi="ARIAL"/>
          <w:b/>
          <w:i/>
          <w:sz w:val="20"/>
        </w:rPr>
        <w:t xml:space="preserve">Future sales of our ADSs by us or our existing holders of ADSs could cause the market price of our ADSs to decline. </w:t>
      </w:r>
    </w:p>
    <w:p>
      <w:pPr>
        <w:pStyle w:val="TextBody"/>
        <w:bidi w:val="0"/>
        <w:spacing w:before="120" w:after="0"/>
        <w:jc w:val="left"/>
        <w:rPr>
          <w:rFonts w:ascii="ARIAL" w:hAnsi="ARIAL"/>
          <w:sz w:val="20"/>
        </w:rPr>
      </w:pPr>
      <w:r>
        <w:rPr>
          <w:rFonts w:ascii="ARIAL" w:hAnsi="ARIAL"/>
          <w:sz w:val="20"/>
        </w:rPr>
        <w:t xml:space="preserve">Sales of a substantial number of our ADSs in the public market could occur at any time. These sales, or the perception in the market that such sales may occur, could reduce the market price of our ADSs. We, our executive officers and directors and certain shareholders have entered into lock-up agreements with the underwriters under which we and they have agreed, subject to certain exceptions, not to sell, directly or indirectly, any ordinary shares or ADSs without the permission of the underwriters for a period of 60 days following the date of this prospectus supplement. We refer to such period as the lock-up period. When the lock-up period expires, we, our executive officers and directors and certain shareholders will be able to sell ADSs in the public market, subject to compliance with applicable securities laws restrictions. In addition, the underwriters may, in their sole discretion, release all or some portion of the ordinary shares or ADSs subject to lock-up agreements at any time and for any reason. Sales of a substantial number of such shares or ADSs upon expiration of the lock-up or otherwise, the perception that such sales may occur, or early release of these agreements, could cause the market price of our ADSs to fall or make it more difficult for you to sell your ADSs at a time and price that you deem appropriate. </w:t>
      </w:r>
    </w:p>
    <w:p>
      <w:pPr>
        <w:pStyle w:val="TextBody"/>
        <w:bidi w:val="0"/>
        <w:spacing w:before="240" w:after="0"/>
        <w:jc w:val="left"/>
        <w:rPr>
          <w:rFonts w:ascii="ARIAL" w:hAnsi="ARIAL"/>
          <w:b/>
          <w:i/>
          <w:sz w:val="20"/>
        </w:rPr>
      </w:pPr>
      <w:r>
        <w:rPr>
          <w:rFonts w:ascii="ARIAL" w:hAnsi="ARIAL"/>
          <w:b/>
          <w:i/>
          <w:sz w:val="20"/>
        </w:rPr>
        <w:t xml:space="preserve">We do not anticipate paying dividends, and accordingly, holders of our ADSs must rely on appreciation in the price of the ADSs for any return on their investment. </w:t>
      </w:r>
    </w:p>
    <w:p>
      <w:pPr>
        <w:pStyle w:val="TextBody"/>
        <w:bidi w:val="0"/>
        <w:spacing w:before="120" w:after="0"/>
        <w:jc w:val="left"/>
        <w:rPr>
          <w:rFonts w:ascii="ARIAL" w:hAnsi="ARIAL"/>
          <w:sz w:val="20"/>
        </w:rPr>
      </w:pPr>
      <w:r>
        <w:rPr>
          <w:rFonts w:ascii="ARIAL" w:hAnsi="ARIAL"/>
          <w:sz w:val="20"/>
        </w:rPr>
        <w:t xml:space="preserve">We currently intend to retain our future earnings, if any, to fund the development and growth of our businesses. As a result, capital appreciation, if any, of our ADSs will be your sole source of gain on your investment for the foreseeable future. Investors seeking cash dividends should not invest in our ADSs.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You may not receive distributions on our ordinary shares represented by the ADSs or any value for them if it is unlawful or impracticable to make such distributions available to holders of ADSs. </w:t>
      </w:r>
    </w:p>
    <w:p>
      <w:pPr>
        <w:pStyle w:val="TextBody"/>
        <w:bidi w:val="0"/>
        <w:spacing w:before="120" w:after="0"/>
        <w:jc w:val="left"/>
        <w:rPr>
          <w:rFonts w:ascii="ARIAL" w:hAnsi="ARIAL"/>
          <w:sz w:val="20"/>
        </w:rPr>
      </w:pPr>
      <w:r>
        <w:rPr>
          <w:rFonts w:ascii="ARIAL" w:hAnsi="ARIAL"/>
          <w:sz w:val="20"/>
        </w:rPr>
        <w:t xml:space="preserve">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that your ADSs represent. However, in accordance with the limitations set forth in the deposit agreement, it may be unlawful or impracticable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impracticable to make them available to you. These restrictions may have a material adverse effect on the value of your ADSs. </w:t>
      </w:r>
    </w:p>
    <w:p>
      <w:pPr>
        <w:pStyle w:val="TextBody"/>
        <w:bidi w:val="0"/>
        <w:spacing w:before="240" w:after="0"/>
        <w:jc w:val="left"/>
        <w:rPr>
          <w:rFonts w:ascii="ARIAL" w:hAnsi="ARIAL"/>
          <w:b/>
          <w:i/>
          <w:sz w:val="20"/>
        </w:rPr>
      </w:pPr>
      <w:r>
        <w:rPr>
          <w:rFonts w:ascii="ARIAL" w:hAnsi="ARIAL"/>
          <w:b/>
          <w:i/>
          <w:sz w:val="20"/>
        </w:rPr>
        <w:t xml:space="preserve">You may be subject to limitations on the transfer of ADSs and the withdrawal of the underlying ordinary shares. </w:t>
      </w:r>
    </w:p>
    <w:p>
      <w:pPr>
        <w:pStyle w:val="TextBody"/>
        <w:bidi w:val="0"/>
        <w:spacing w:before="120" w:after="0"/>
        <w:jc w:val="left"/>
        <w:rPr>
          <w:rFonts w:ascii="ARIAL" w:hAnsi="ARIAL"/>
          <w:sz w:val="20"/>
        </w:rPr>
      </w:pPr>
      <w:r>
        <w:rPr>
          <w:rFonts w:ascii="ARIAL" w:hAnsi="ARIAL"/>
          <w:sz w:val="20"/>
        </w:rPr>
        <w:t xml:space="preserve">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 </w:t>
      </w:r>
    </w:p>
    <w:p>
      <w:pPr>
        <w:pStyle w:val="TextBody"/>
        <w:bidi w:val="0"/>
        <w:spacing w:before="240" w:after="0"/>
        <w:jc w:val="left"/>
        <w:rPr>
          <w:rFonts w:ascii="ARIAL" w:hAnsi="ARIAL"/>
          <w:sz w:val="20"/>
        </w:rPr>
      </w:pPr>
      <w:r>
        <w:rPr>
          <w:rFonts w:ascii="ARIAL" w:hAnsi="ARIAL"/>
          <w:sz w:val="20"/>
        </w:rPr>
        <w:t xml:space="preserve">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 </w:t>
      </w:r>
    </w:p>
    <w:p>
      <w:pPr>
        <w:pStyle w:val="TextBody"/>
        <w:bidi w:val="0"/>
        <w:spacing w:before="240" w:after="0"/>
        <w:jc w:val="left"/>
        <w:rPr>
          <w:rFonts w:ascii="ARIAL" w:hAnsi="ARIAL"/>
          <w:b/>
          <w:i/>
          <w:sz w:val="20"/>
        </w:rPr>
      </w:pPr>
      <w:r>
        <w:rPr>
          <w:rFonts w:ascii="ARIAL" w:hAnsi="ARIAL"/>
          <w:b/>
          <w:i/>
          <w:sz w:val="20"/>
        </w:rPr>
        <w:t xml:space="preserve">The depositary for ADSs is entitled to charge holders fees for various services, including annual service fees. </w:t>
      </w:r>
    </w:p>
    <w:p>
      <w:pPr>
        <w:pStyle w:val="TextBody"/>
        <w:bidi w:val="0"/>
        <w:spacing w:before="120" w:after="0"/>
        <w:jc w:val="left"/>
        <w:rPr>
          <w:rFonts w:ascii="ARIAL" w:hAnsi="ARIAL"/>
          <w:sz w:val="20"/>
        </w:rPr>
      </w:pPr>
      <w:r>
        <w:rPr>
          <w:rFonts w:ascii="ARIAL" w:hAnsi="ARIAL"/>
          <w:sz w:val="20"/>
        </w:rPr>
        <w:t xml:space="preserve">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U.K. stamp duty or stamp duty reserve tax arising upon the issuance or transfer of ADSs. For a discussion of the U.K. stamp duty and stamp duty reserve tax consequences of the issuance and transfer of ADSs, see Material Tax ConsiderationsMaterial United Kingdom Tax ConsiderationsStamp Duty and Stamp Duty Reserve Tax.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Our ADS holders may not be entitled to a jury trial with respect to claims arising under the deposit agreement, which could result in less favorable results to the plaintiff(s) in any such action. </w:t>
      </w:r>
    </w:p>
    <w:p>
      <w:pPr>
        <w:pStyle w:val="TextBody"/>
        <w:bidi w:val="0"/>
        <w:spacing w:before="120" w:after="0"/>
        <w:jc w:val="left"/>
        <w:rPr>
          <w:rFonts w:ascii="ARIAL" w:hAnsi="ARIAL"/>
          <w:sz w:val="20"/>
        </w:rPr>
      </w:pPr>
      <w:r>
        <w:rPr>
          <w:rFonts w:ascii="ARIAL" w:hAnsi="ARIAL"/>
          <w:sz w:val="20"/>
        </w:rPr>
        <w:t xml:space="preserve">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 </w:t>
      </w:r>
    </w:p>
    <w:p>
      <w:pPr>
        <w:pStyle w:val="TextBody"/>
        <w:bidi w:val="0"/>
        <w:spacing w:before="240" w:after="0"/>
        <w:jc w:val="left"/>
        <w:rPr>
          <w:rFonts w:ascii="ARIAL" w:hAnsi="ARIAL"/>
          <w:sz w:val="20"/>
        </w:rPr>
      </w:pPr>
      <w:r>
        <w:rPr>
          <w:rFonts w:ascii="ARIAL" w:hAnsi="ARIAL"/>
          <w:sz w:val="20"/>
        </w:rPr>
        <w:t xml:space="preserve">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 </w:t>
      </w:r>
    </w:p>
    <w:p>
      <w:pPr>
        <w:pStyle w:val="TextBody"/>
        <w:bidi w:val="0"/>
        <w:spacing w:before="240" w:after="0"/>
        <w:jc w:val="left"/>
        <w:rPr>
          <w:rFonts w:ascii="ARIAL" w:hAnsi="ARIAL"/>
          <w:sz w:val="20"/>
        </w:rPr>
      </w:pPr>
      <w:r>
        <w:rPr>
          <w:rFonts w:ascii="ARIAL" w:hAnsi="ARIAL"/>
          <w:sz w:val="20"/>
        </w:rPr>
        <w:t xml:space="preserve">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 </w:t>
      </w:r>
    </w:p>
    <w:p>
      <w:pPr>
        <w:pStyle w:val="TextBody"/>
        <w:bidi w:val="0"/>
        <w:spacing w:before="240" w:after="0"/>
        <w:jc w:val="left"/>
        <w:rPr>
          <w:rFonts w:ascii="ARIAL" w:hAnsi="ARIAL"/>
          <w:b/>
          <w:i/>
          <w:sz w:val="20"/>
        </w:rPr>
      </w:pPr>
      <w:r>
        <w:rPr>
          <w:rFonts w:ascii="ARIAL" w:hAnsi="ARIAL"/>
          <w:b/>
          <w:i/>
          <w:sz w:val="20"/>
        </w:rPr>
        <w:t xml:space="preserve">It may be difficult for you to bring any action or enforce any judgment obtained in the U.S. against us or members of our Board, which may limit the remedies otherwise available to us. </w:t>
      </w:r>
    </w:p>
    <w:p>
      <w:pPr>
        <w:pStyle w:val="TextBody"/>
        <w:bidi w:val="0"/>
        <w:spacing w:before="120" w:after="0"/>
        <w:jc w:val="left"/>
        <w:rPr>
          <w:rFonts w:ascii="ARIAL" w:hAnsi="ARIAL"/>
          <w:sz w:val="20"/>
        </w:rPr>
      </w:pPr>
      <w:r>
        <w:rPr>
          <w:rFonts w:ascii="ARIAL" w:hAnsi="ARIAL"/>
          <w:sz w:val="20"/>
        </w:rPr>
        <w:t xml:space="preserve">We are incorporated as a public limited company in England and Wales, and the majority of our assets are located outside the U.S. As a result, it may be difficult or impossible for you to bring an action against us or against these individuals in the U.S. if you believe your rights have been infringed under the securities laws or otherwise. In addition, a U.K. court may prevent you from enforcing a judgment of a U.S. court against us or these individuals based on the securities laws of the U.S. or any state thereof. A U.K. court may not allow you to bring an action against us or our directors based on the securities laws of the U.S. or any state thereof. </w:t>
      </w:r>
    </w:p>
    <w:p>
      <w:pPr>
        <w:pStyle w:val="TextBody"/>
        <w:bidi w:val="0"/>
        <w:spacing w:before="240" w:after="0"/>
        <w:jc w:val="left"/>
        <w:rPr>
          <w:rFonts w:ascii="ARIAL" w:hAnsi="ARIAL"/>
          <w:b/>
          <w:i/>
          <w:sz w:val="20"/>
        </w:rPr>
      </w:pPr>
      <w:r>
        <w:rPr>
          <w:rFonts w:ascii="ARIAL" w:hAnsi="ARIAL"/>
          <w:b/>
          <w:i/>
          <w:sz w:val="20"/>
        </w:rPr>
        <w:t xml:space="preserve">Shareholders in countries other than the U.K. will suffer dilution if they are unable to participate in future pre-emptive equity offerings. </w:t>
      </w:r>
    </w:p>
    <w:p>
      <w:pPr>
        <w:pStyle w:val="TextBody"/>
        <w:bidi w:val="0"/>
        <w:spacing w:before="120" w:after="0"/>
        <w:jc w:val="left"/>
        <w:rPr>
          <w:rFonts w:ascii="ARIAL" w:hAnsi="ARIAL"/>
          <w:sz w:val="20"/>
        </w:rPr>
      </w:pPr>
      <w:r>
        <w:rPr>
          <w:rFonts w:ascii="ARIAL" w:hAnsi="ARIAL"/>
          <w:sz w:val="20"/>
        </w:rPr>
        <w:t xml:space="preserve">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 At the annual general meeting held on May 22, 2023, our shareholders granted our directors the power to disapply statutory pre-emption rights in the allotment of equity securities for cash up to an aggregate nominal value of £2,494,456.76, such power to expire on June 30, 2026. </w:t>
      </w:r>
    </w:p>
    <w:p>
      <w:pPr>
        <w:pStyle w:val="TextBody"/>
        <w:bidi w:val="0"/>
        <w:spacing w:before="240" w:after="0"/>
        <w:jc w:val="left"/>
        <w:rPr>
          <w:rFonts w:ascii="ARIAL" w:hAnsi="ARIAL"/>
          <w:b/>
          <w:i/>
          <w:sz w:val="20"/>
        </w:rPr>
      </w:pPr>
      <w:r>
        <w:rPr>
          <w:rFonts w:ascii="ARIAL" w:hAnsi="ARIAL"/>
          <w:b/>
          <w:i/>
          <w:sz w:val="20"/>
        </w:rPr>
        <w:t xml:space="preserve">Holders of ADSs may not have the same voting rights as holders of ordinary shares and may not receive voting materials in time to be able to exercise their right to vote. </w:t>
      </w:r>
    </w:p>
    <w:p>
      <w:pPr>
        <w:pStyle w:val="TextBody"/>
        <w:bidi w:val="0"/>
        <w:spacing w:before="120" w:after="0"/>
        <w:jc w:val="left"/>
        <w:rPr>
          <w:rFonts w:ascii="ARIAL" w:hAnsi="ARIAL"/>
          <w:sz w:val="20"/>
        </w:rPr>
      </w:pPr>
      <w:r>
        <w:rPr>
          <w:rFonts w:ascii="ARIAL" w:hAnsi="ARIAL"/>
          <w:sz w:val="20"/>
        </w:rPr>
        <w:t xml:space="preserve">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 </w:t>
      </w:r>
    </w:p>
    <w:p>
      <w:pPr>
        <w:pStyle w:val="TextBody"/>
        <w:bidi w:val="0"/>
        <w:spacing w:before="240" w:after="0"/>
        <w:jc w:val="left"/>
        <w:rPr>
          <w:rFonts w:ascii="ARIAL" w:hAnsi="ARIAL"/>
          <w:b/>
          <w:i/>
          <w:sz w:val="20"/>
        </w:rPr>
      </w:pPr>
      <w:r>
        <w:rPr>
          <w:rFonts w:ascii="ARIAL" w:hAnsi="ARIAL"/>
          <w:b/>
          <w:i/>
          <w:sz w:val="20"/>
        </w:rPr>
        <w:t xml:space="preserve">We may be a passive foreign investment company (PFIC) for any taxable year, which could result in material adverse U.S. federal income tax consequences if you are a U.S. investor. </w:t>
      </w:r>
    </w:p>
    <w:p>
      <w:pPr>
        <w:pStyle w:val="TextBody"/>
        <w:bidi w:val="0"/>
        <w:spacing w:before="120" w:after="0"/>
        <w:jc w:val="left"/>
        <w:rPr>
          <w:rFonts w:ascii="ARIAL" w:hAnsi="ARIAL"/>
          <w:sz w:val="20"/>
        </w:rPr>
      </w:pPr>
      <w:r>
        <w:rPr>
          <w:rFonts w:ascii="ARIAL" w:hAnsi="ARIAL"/>
          <w:sz w:val="20"/>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pStyle w:val="TextBody"/>
        <w:bidi w:val="0"/>
        <w:spacing w:before="240" w:after="0"/>
        <w:jc w:val="left"/>
        <w:rPr>
          <w:rFonts w:ascii="ARIAL" w:hAnsi="ARIAL"/>
          <w:sz w:val="20"/>
        </w:rPr>
      </w:pPr>
      <w:r>
        <w:rPr>
          <w:rFonts w:ascii="ARIAL" w:hAnsi="ARIAL"/>
          <w:sz w:val="20"/>
        </w:rPr>
        <w:t xml:space="preserve">Although we believe we have been treated as a PFIC in the past, based on our gross income, the average value of our assets, including goodwill, and the nature of the current state of our business, we do not believe we were a PFIC for the year ended December 31, 2023. There can be no assurance regarding our PFIC status for the current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w:t>
      </w:r>
    </w:p>
    <w:p>
      <w:pPr>
        <w:pStyle w:val="TextBody"/>
        <w:bidi w:val="0"/>
        <w:spacing w:before="240" w:after="0"/>
        <w:jc w:val="left"/>
        <w:rPr>
          <w:rFonts w:ascii="ARIAL" w:hAnsi="ARIAL"/>
          <w:sz w:val="20"/>
        </w:rPr>
      </w:pPr>
      <w:r>
        <w:rPr>
          <w:rFonts w:ascii="ARIAL" w:hAnsi="ARIAL"/>
          <w:sz w:val="20"/>
        </w:rPr>
        <w:t>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U.S. investors should consult their tax advisers regarding our PFIC status for any taxable year and the potential application of the PFIC rules to an investment in our ADSs (including the potential implications of our prior PFIC status).</w:t>
      </w:r>
    </w:p>
    <w:p>
      <w:pPr>
        <w:pStyle w:val="TextBody"/>
        <w:bidi w:val="0"/>
        <w:spacing w:before="240" w:after="0"/>
        <w:jc w:val="left"/>
        <w:rPr>
          <w:rFonts w:ascii="ARIAL" w:hAnsi="ARIAL"/>
          <w:b/>
          <w:i/>
          <w:sz w:val="20"/>
        </w:rPr>
      </w:pPr>
      <w:r>
        <w:rPr>
          <w:rFonts w:ascii="ARIAL" w:hAnsi="ARIAL"/>
          <w:b/>
          <w:i/>
          <w:sz w:val="20"/>
        </w:rPr>
        <w:t xml:space="preserve">We will have broad discretion as to the use of the proceeds from this offering, and we may not use the proceeds effectively. </w:t>
      </w:r>
    </w:p>
    <w:p>
      <w:pPr>
        <w:pStyle w:val="TextBody"/>
        <w:bidi w:val="0"/>
        <w:spacing w:before="120" w:after="0"/>
        <w:jc w:val="left"/>
        <w:rPr>
          <w:rFonts w:ascii="ARIAL" w:hAnsi="ARIAL"/>
          <w:sz w:val="20"/>
        </w:rPr>
      </w:pPr>
      <w:r>
        <w:rPr>
          <w:rFonts w:ascii="ARIAL" w:hAnsi="ARIAL"/>
          <w:sz w:val="20"/>
        </w:rPr>
        <w:t xml:space="preserve">We have not designated the amount of net proceeds we will use for any particular purpose. Accordingly, our management will have broad discretion as to the application of the net proceeds and could use them for purposes other than those contemplated at the time of this offering. Our shareholders may not agree with the manner in which our management chooses to allocate and spend the net proceeds. Moreover, our management may use the net proceeds for corporate purposes that may not positively impact our profitability or our market value. See Use of Proceeds for a description of our managements intended use of the proceeds from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8" w:name="srom852004_6"/>
      <w:bookmarkEnd w:id="8"/>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We estimate that we will receive total estimated net proceeds from this offering of approximately $45.9 million, after deducting the underwriting discounts and commissions and estimated offering expenses payable by us. </w:t>
      </w:r>
    </w:p>
    <w:p>
      <w:pPr>
        <w:pStyle w:val="TextBody"/>
        <w:bidi w:val="0"/>
        <w:spacing w:before="240" w:after="0"/>
        <w:jc w:val="left"/>
        <w:rPr>
          <w:rFonts w:ascii="ARIAL" w:hAnsi="ARIAL"/>
          <w:sz w:val="20"/>
        </w:rPr>
      </w:pPr>
      <w:r>
        <w:rPr>
          <w:rFonts w:ascii="ARIAL" w:hAnsi="ARIAL"/>
          <w:sz w:val="20"/>
        </w:rPr>
        <w:t xml:space="preserve">We intend to use the net proceeds from this offering to fund the setrusumab program, including pre-launch activities in Europe and supply, and for working capital and other general corporate purposes. </w:t>
      </w:r>
    </w:p>
    <w:p>
      <w:pPr>
        <w:pStyle w:val="TextBody"/>
        <w:bidi w:val="0"/>
        <w:spacing w:before="240" w:after="0"/>
        <w:jc w:val="left"/>
        <w:rPr>
          <w:rFonts w:ascii="ARIAL" w:hAnsi="ARIAL"/>
          <w:sz w:val="20"/>
        </w:rPr>
      </w:pPr>
      <w:r>
        <w:rPr>
          <w:rFonts w:ascii="ARIAL" w:hAnsi="ARIAL"/>
          <w:sz w:val="20"/>
        </w:rPr>
        <w:t xml:space="preserve">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As a result, management will have broad discretion in the application of the net proceeds, and investors will be relying on our judgment regarding the application of the net proceeds of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9" w:name="srom852004_6a"/>
      <w:bookmarkEnd w:id="9"/>
      <w:r>
        <w:rPr>
          <w:rFonts w:ascii="ARIAL" w:hAnsi="ARIAL"/>
          <w:b/>
          <w:sz w:val="20"/>
        </w:rPr>
        <w:t xml:space="preserve">DIVIDEND POLICY </w:t>
      </w:r>
    </w:p>
    <w:p>
      <w:pPr>
        <w:pStyle w:val="TextBody"/>
        <w:bidi w:val="0"/>
        <w:spacing w:before="240" w:after="0"/>
        <w:jc w:val="left"/>
        <w:rPr>
          <w:rFonts w:ascii="ARIAL" w:hAnsi="ARIAL"/>
          <w:sz w:val="20"/>
        </w:rPr>
      </w:pPr>
      <w:r>
        <w:rPr>
          <w:rFonts w:ascii="ARIAL" w:hAnsi="ARIAL"/>
          <w:sz w:val="20"/>
        </w:rPr>
        <w:t xml:space="preserve">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0" w:name="srom852004_7"/>
      <w:bookmarkEnd w:id="10"/>
      <w:r>
        <w:rPr>
          <w:rFonts w:ascii="ARIAL" w:hAnsi="ARIAL"/>
          <w:b/>
          <w:sz w:val="20"/>
        </w:rPr>
        <w:t xml:space="preserve">DILUTION </w:t>
      </w:r>
    </w:p>
    <w:p>
      <w:pPr>
        <w:pStyle w:val="TextBody"/>
        <w:bidi w:val="0"/>
        <w:spacing w:before="240" w:after="0"/>
        <w:jc w:val="left"/>
        <w:rPr>
          <w:rFonts w:ascii="ARIAL" w:hAnsi="ARIAL"/>
          <w:sz w:val="20"/>
        </w:rPr>
      </w:pPr>
      <w:r>
        <w:rPr>
          <w:rFonts w:ascii="ARIAL" w:hAnsi="ARIAL"/>
          <w:sz w:val="20"/>
        </w:rPr>
        <w:t xml:space="preserve">If you invest in our ADSs, your interest will be diluted to the extent of the difference between the price per ADS you pay in this offering and the net tangible book value per ADS immediately after this offering. </w:t>
      </w:r>
    </w:p>
    <w:p>
      <w:pPr>
        <w:pStyle w:val="TextBody"/>
        <w:bidi w:val="0"/>
        <w:spacing w:before="240" w:after="0"/>
        <w:jc w:val="left"/>
        <w:rPr>
          <w:rFonts w:ascii="ARIAL" w:hAnsi="ARIAL"/>
          <w:sz w:val="20"/>
        </w:rPr>
      </w:pPr>
      <w:r>
        <w:rPr>
          <w:rFonts w:ascii="ARIAL" w:hAnsi="ARIAL"/>
          <w:sz w:val="20"/>
        </w:rPr>
        <w:t xml:space="preserve">As of March 31, 2024, our net tangible book value was $41.9 million, or $0.06 per ordinary share, equivalent to $0.30 per ADS, with each ADS representing 5 ordinary shares. Net tangible book value per ordinary share is equal to our total assets minus intangible assets and total liabilities, divided by 701,349,434, the total number of ordinary shares issued as of March 31, 2024. </w:t>
      </w:r>
    </w:p>
    <w:p>
      <w:pPr>
        <w:pStyle w:val="TextBody"/>
        <w:bidi w:val="0"/>
        <w:spacing w:before="240" w:after="0"/>
        <w:jc w:val="left"/>
        <w:rPr>
          <w:rFonts w:ascii="ARIAL" w:hAnsi="ARIAL"/>
          <w:sz w:val="20"/>
        </w:rPr>
      </w:pPr>
      <w:r>
        <w:rPr>
          <w:rFonts w:ascii="ARIAL" w:hAnsi="ARIAL"/>
          <w:sz w:val="20"/>
        </w:rPr>
        <w:t xml:space="preserve">After giving effect to our sale of 12,531,300 ADSs in this offering at the offering price of $3.99 per ADS, and after deducting commissions and estimated offering expenses payable by us, our as adjusted net tangible book value as of March 31, 2024, would have been $87.8 million, or $0.11 per ordinary share, equivalent to $0.57 per ADS. This represents an immediate increase in net tangible book value of $0.27 per ADS to our existing shareholders and an immediate dilution in net tangible book value of $3.42 per ADS to new investors in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56"/>
        <w:gridCol w:w="214"/>
        <w:gridCol w:w="140"/>
        <w:gridCol w:w="441"/>
        <w:gridCol w:w="60"/>
        <w:gridCol w:w="250"/>
        <w:gridCol w:w="140"/>
        <w:gridCol w:w="441"/>
        <w:gridCol w:w="63"/>
      </w:tblGrid>
      <w:tr>
        <w:trPr/>
        <w:tc>
          <w:tcPr>
            <w:tcW w:w="845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56" w:type="dxa"/>
            <w:tcBorders/>
            <w:shd w:fill="CCEEFF" w:val="clear"/>
          </w:tcPr>
          <w:p>
            <w:pPr>
              <w:pStyle w:val="TableContents"/>
              <w:bidi w:val="0"/>
              <w:spacing w:before="0" w:after="0"/>
              <w:jc w:val="left"/>
              <w:rPr>
                <w:rFonts w:ascii="ARIAL" w:hAnsi="ARIAL"/>
                <w:sz w:val="20"/>
              </w:rPr>
            </w:pPr>
            <w:r>
              <w:rPr>
                <w:rFonts w:ascii="ARIAL" w:hAnsi="ARIAL"/>
                <w:sz w:val="20"/>
              </w:rPr>
              <w:t>Offering price per ADS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3.99</w:t>
            </w:r>
          </w:p>
        </w:tc>
        <w:tc>
          <w:tcPr>
            <w:tcW w:w="63" w:type="dxa"/>
            <w:tcBorders/>
            <w:shd w:fill="CCEEFF" w:val="clear"/>
            <w:vAlign w:val="bottom"/>
          </w:tcPr>
          <w:p>
            <w:pPr>
              <w:pStyle w:val="TableContents"/>
              <w:bidi w:val="0"/>
              <w:spacing w:before="0" w:after="283"/>
              <w:jc w:val="left"/>
              <w:rPr/>
            </w:pPr>
            <w:r>
              <w:rPr/>
              <w:t> </w:t>
            </w:r>
          </w:p>
        </w:tc>
      </w:tr>
      <w:tr>
        <w:trPr/>
        <w:tc>
          <w:tcPr>
            <w:tcW w:w="8456" w:type="dxa"/>
            <w:tcBorders/>
          </w:tcPr>
          <w:p>
            <w:pPr>
              <w:pStyle w:val="TableContents"/>
              <w:bidi w:val="0"/>
              <w:spacing w:before="0" w:after="0"/>
              <w:jc w:val="left"/>
              <w:rPr>
                <w:rFonts w:ascii="ARIAL" w:hAnsi="ARIAL"/>
                <w:sz w:val="20"/>
              </w:rPr>
            </w:pPr>
            <w:r>
              <w:rPr>
                <w:rFonts w:ascii="ARIAL" w:hAnsi="ARIAL"/>
                <w:sz w:val="20"/>
              </w:rPr>
              <w:t>Net tangible book value per ADS as of March 31, 2024</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0.30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56" w:type="dxa"/>
            <w:tcBorders/>
            <w:shd w:fill="CCEEFF" w:val="clear"/>
          </w:tcPr>
          <w:p>
            <w:pPr>
              <w:pStyle w:val="TableContents"/>
              <w:bidi w:val="0"/>
              <w:spacing w:before="0" w:after="0"/>
              <w:jc w:val="left"/>
              <w:rPr>
                <w:rFonts w:ascii="ARIAL" w:hAnsi="ARIAL"/>
                <w:sz w:val="20"/>
              </w:rPr>
            </w:pPr>
            <w:r>
              <w:rPr>
                <w:rFonts w:ascii="ARIAL" w:hAnsi="ARIAL"/>
                <w:sz w:val="20"/>
              </w:rPr>
              <w:t>Increase per ADS attributable to new investors purchasing ADSs in this offering</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0.27</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56"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56" w:type="dxa"/>
            <w:tcBorders/>
          </w:tcPr>
          <w:p>
            <w:pPr>
              <w:pStyle w:val="TableContents"/>
              <w:bidi w:val="0"/>
              <w:spacing w:before="0" w:after="0"/>
              <w:jc w:val="left"/>
              <w:rPr>
                <w:rFonts w:ascii="ARIAL" w:hAnsi="ARIAL"/>
                <w:sz w:val="20"/>
              </w:rPr>
            </w:pPr>
            <w:r>
              <w:rPr>
                <w:rFonts w:ascii="ARIAL" w:hAnsi="ARIAL"/>
                <w:sz w:val="20"/>
              </w:rPr>
              <w:t>As adjusted net tangible book value per ADS after giving effect to this offering</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0.57</w:t>
            </w:r>
          </w:p>
        </w:tc>
        <w:tc>
          <w:tcPr>
            <w:tcW w:w="63" w:type="dxa"/>
            <w:tcBorders/>
            <w:vAlign w:val="bottom"/>
          </w:tcPr>
          <w:p>
            <w:pPr>
              <w:pStyle w:val="TableContents"/>
              <w:bidi w:val="0"/>
              <w:spacing w:before="0" w:after="283"/>
              <w:jc w:val="left"/>
              <w:rPr/>
            </w:pPr>
            <w:r>
              <w:rPr/>
              <w:t> </w:t>
            </w:r>
          </w:p>
        </w:tc>
      </w:tr>
      <w:tr>
        <w:trPr/>
        <w:tc>
          <w:tcPr>
            <w:tcW w:w="8456"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56" w:type="dxa"/>
            <w:tcBorders/>
            <w:shd w:fill="CCEEFF" w:val="clear"/>
          </w:tcPr>
          <w:p>
            <w:pPr>
              <w:pStyle w:val="TableContents"/>
              <w:bidi w:val="0"/>
              <w:spacing w:before="0" w:after="0"/>
              <w:jc w:val="left"/>
              <w:rPr>
                <w:rFonts w:ascii="ARIAL" w:hAnsi="ARIAL"/>
                <w:sz w:val="20"/>
              </w:rPr>
            </w:pPr>
            <w:r>
              <w:rPr>
                <w:rFonts w:ascii="ARIAL" w:hAnsi="ARIAL"/>
                <w:sz w:val="20"/>
              </w:rPr>
              <w:t>Dilution per ADS to new investors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3.42</w:t>
            </w:r>
          </w:p>
        </w:tc>
        <w:tc>
          <w:tcPr>
            <w:tcW w:w="63" w:type="dxa"/>
            <w:tcBorders/>
            <w:shd w:fill="CCEEFF" w:val="clear"/>
            <w:vAlign w:val="bottom"/>
          </w:tcPr>
          <w:p>
            <w:pPr>
              <w:pStyle w:val="TableContents"/>
              <w:bidi w:val="0"/>
              <w:spacing w:before="0" w:after="283"/>
              <w:jc w:val="left"/>
              <w:rPr/>
            </w:pPr>
            <w:r>
              <w:rPr/>
              <w:t> </w:t>
            </w:r>
          </w:p>
        </w:tc>
      </w:tr>
      <w:tr>
        <w:trPr/>
        <w:tc>
          <w:tcPr>
            <w:tcW w:w="8456"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Unless indicated otherwise, the above discussion and table are based on 701,349,434 ordinary shares issued as of March 31, 2024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88,532,810 ordinary shares issuable upon exercise of outstanding awards under our equity plans as of March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25,944,272 ordinary shares issuable upon the exercise of warrants, convertible notes and other committed equity outstanding as of March 31, 2024. </w:t>
            </w:r>
          </w:p>
        </w:tc>
      </w:tr>
    </w:tbl>
    <w:p>
      <w:pPr>
        <w:pStyle w:val="TextBody"/>
        <w:bidi w:val="0"/>
        <w:spacing w:before="240" w:after="0"/>
        <w:jc w:val="left"/>
        <w:rPr>
          <w:rFonts w:ascii="ARIAL" w:hAnsi="ARIAL"/>
          <w:sz w:val="20"/>
        </w:rPr>
      </w:pPr>
      <w:r>
        <w:rPr>
          <w:rFonts w:ascii="ARIAL" w:hAnsi="ARIAL"/>
          <w:sz w:val="20"/>
        </w:rPr>
        <w:t xml:space="preserve">To the extent that outstanding equity incentive awards or warrants are exercised or convertible notes converted,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may result in further dilution to our shareholders.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1" w:name="srom852004_8"/>
      <w:bookmarkEnd w:id="11"/>
      <w:r>
        <w:rPr>
          <w:rFonts w:ascii="ARIAL" w:hAnsi="ARIAL"/>
          <w:b/>
          <w:sz w:val="20"/>
        </w:rPr>
        <w:t xml:space="preserve">MATERIAL TAX CONSIDERATIONS </w:t>
      </w:r>
    </w:p>
    <w:p>
      <w:pPr>
        <w:pStyle w:val="TextBody"/>
        <w:bidi w:val="0"/>
        <w:spacing w:before="240" w:after="0"/>
        <w:jc w:val="left"/>
        <w:rPr>
          <w:rFonts w:ascii="ARIAL" w:hAnsi="ARIAL"/>
          <w:b/>
          <w:sz w:val="20"/>
        </w:rPr>
      </w:pPr>
      <w:r>
        <w:rPr>
          <w:rFonts w:ascii="ARIAL" w:hAnsi="ARIAL"/>
          <w:b/>
          <w:sz w:val="20"/>
        </w:rPr>
        <w:t xml:space="preserve">Material U.S. Federal Income Tax Considerations </w:t>
      </w:r>
    </w:p>
    <w:p>
      <w:pPr>
        <w:pStyle w:val="TextBody"/>
        <w:bidi w:val="0"/>
        <w:spacing w:before="120" w:after="0"/>
        <w:jc w:val="left"/>
        <w:rPr>
          <w:rFonts w:ascii="ARIAL" w:hAnsi="ARIAL"/>
          <w:sz w:val="20"/>
        </w:rPr>
      </w:pPr>
      <w:r>
        <w:rPr>
          <w:rFonts w:ascii="ARIAL" w:hAnsi="ARIAL"/>
          <w:sz w:val="20"/>
        </w:rPr>
        <w:t xml:space="preserve">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dealers or traders in securities that use a mark-to 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persons holding our ADSs or ordinary shares as part of a straddle, integrated transaction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entities or arrangements treated as partnerships for U.S. federal income tax purposes and their partners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tax-exempt entities, individual retirement accounts or Roth IRAs;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former citizens or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 person that is subject to special tax accounting rules under section 451(b) of the U.S. Internal Revenue Code of 1986, as amended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persons that own or are deemed to own 10% or more of our stock by vote or value;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persons holding our ADSs or ordinary shares in connection with a trade or business outside the United States. </w:t>
            </w:r>
          </w:p>
        </w:tc>
      </w:tr>
    </w:tbl>
    <w:p>
      <w:pPr>
        <w:pStyle w:val="TextBody"/>
        <w:bidi w:val="0"/>
        <w:spacing w:before="240" w:after="0"/>
        <w:jc w:val="left"/>
        <w:rPr>
          <w:rFonts w:ascii="ARIAL" w:hAnsi="ARIAL"/>
          <w:sz w:val="20"/>
        </w:rPr>
      </w:pPr>
      <w:r>
        <w:rPr>
          <w:rFonts w:ascii="ARIAL" w:hAnsi="ARIAL"/>
          <w:sz w:val="20"/>
        </w:rPr>
        <w:t xml:space="preserve">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 </w:t>
      </w:r>
    </w:p>
    <w:p>
      <w:pPr>
        <w:pStyle w:val="TextBody"/>
        <w:bidi w:val="0"/>
        <w:spacing w:before="240" w:after="0"/>
        <w:jc w:val="left"/>
        <w:rPr>
          <w:rFonts w:ascii="ARIAL" w:hAnsi="ARIAL"/>
          <w:sz w:val="20"/>
        </w:rPr>
      </w:pPr>
      <w:r>
        <w:rPr>
          <w:rFonts w:ascii="ARIAL" w:hAnsi="ARIAL"/>
          <w:sz w:val="20"/>
        </w:rPr>
        <w:t xml:space="preserve">Persons that own or are deemed to own 10% or more of our stock by vote or value should consult their tax advisers regarding the application of the controlled foreign corporation rules to their ownership of our ADSs or ordinary shares. </w:t>
      </w:r>
    </w:p>
    <w:p>
      <w:pPr>
        <w:pStyle w:val="TextBody"/>
        <w:bidi w:val="0"/>
        <w:spacing w:before="240" w:after="0"/>
        <w:jc w:val="left"/>
        <w:rPr>
          <w:rFonts w:ascii="ARIAL" w:hAnsi="ARIAL"/>
          <w:sz w:val="20"/>
        </w:rPr>
      </w:pPr>
      <w:r>
        <w:rPr>
          <w:rFonts w:ascii="ARIAL" w:hAnsi="ARIAL"/>
          <w:sz w:val="20"/>
        </w:rPr>
        <w:t xml:space="preserve">This discussion is based on the Code, administrative pronouncements, judicial decisions, and final, temporary and proposed Treasury regulations, all as of the date hereof, any of which is subject to change, possibly with retroactive effect. </w:t>
      </w:r>
    </w:p>
    <w:p>
      <w:pPr>
        <w:pStyle w:val="TextBody"/>
        <w:bidi w:val="0"/>
        <w:spacing w:before="240" w:after="0"/>
        <w:jc w:val="left"/>
        <w:rPr>
          <w:rFonts w:ascii="ARIAL" w:hAnsi="ARIAL"/>
          <w:sz w:val="20"/>
        </w:rPr>
      </w:pPr>
      <w:r>
        <w:rPr>
          <w:rFonts w:ascii="ARIAL" w:hAnsi="ARIAL"/>
          <w:sz w:val="20"/>
        </w:rPr>
        <w:t xml:space="preserve">We have not sought and do not intend to seek any ruling from the Internal Revenue Service (the IRS) with respect to the U.S. federal income tax consequences described herein and there can be no assurance that the IRS or a court will not take a contrary position.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As used herein, a U.S. Holder is a person that, for U.S. federal income tax purposes, is a beneficial owner of our ADSs or ordinary shares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a corporation, or other entity taxable as a corporation,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trust that (i) is subject to the primary supervision of a court within the United States and subject to the control of one or more U.S. persons for all substantial decisions or (ii) has a valid election in effect under applicable U.S. Treasury regulations to be treated as a U.S. person. </w:t>
            </w:r>
          </w:p>
        </w:tc>
      </w:tr>
    </w:tbl>
    <w:p>
      <w:pPr>
        <w:pStyle w:val="TextBody"/>
        <w:bidi w:val="0"/>
        <w:spacing w:before="240" w:after="0"/>
        <w:jc w:val="left"/>
        <w:rPr>
          <w:rFonts w:ascii="ARIAL" w:hAnsi="ARIAL"/>
          <w:sz w:val="20"/>
        </w:rPr>
      </w:pPr>
      <w:r>
        <w:rPr>
          <w:rFonts w:ascii="ARIAL" w:hAnsi="ARIAL"/>
          <w:sz w:val="20"/>
        </w:rPr>
        <w:t xml:space="preserve">U.S. Holders should consult their tax advisers concerning the U.S. federal, state, local and non-U.S. tax consequences of owning and disposing of our ADSs or ordinary shares in their particular circumstances. </w:t>
      </w:r>
    </w:p>
    <w:p>
      <w:pPr>
        <w:pStyle w:val="TextBody"/>
        <w:bidi w:val="0"/>
        <w:spacing w:before="240" w:after="0"/>
        <w:jc w:val="left"/>
        <w:rPr>
          <w:rFonts w:ascii="ARIAL" w:hAnsi="ARIAL"/>
          <w:sz w:val="20"/>
        </w:rPr>
      </w:pPr>
      <w:r>
        <w:rPr>
          <w:rFonts w:ascii="ARIAL" w:hAnsi="ARIAL"/>
          <w:sz w:val="20"/>
        </w:rPr>
        <w:t xml:space="preserve">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 </w:t>
      </w:r>
    </w:p>
    <w:p>
      <w:pPr>
        <w:pStyle w:val="TextBody"/>
        <w:bidi w:val="0"/>
        <w:spacing w:before="240" w:after="0"/>
        <w:jc w:val="left"/>
        <w:rPr>
          <w:rFonts w:ascii="ARIAL" w:hAnsi="ARIAL"/>
          <w:b/>
          <w:i/>
          <w:sz w:val="20"/>
        </w:rPr>
      </w:pPr>
      <w:r>
        <w:rPr>
          <w:rFonts w:ascii="ARIAL" w:hAnsi="ARIAL"/>
          <w:b/>
          <w:i/>
          <w:sz w:val="20"/>
        </w:rPr>
        <w:t xml:space="preserve">Passive Foreign Investment Company Rules </w:t>
      </w:r>
    </w:p>
    <w:p>
      <w:pPr>
        <w:pStyle w:val="TextBody"/>
        <w:bidi w:val="0"/>
        <w:spacing w:before="120" w:after="0"/>
        <w:jc w:val="left"/>
        <w:rPr>
          <w:rFonts w:ascii="ARIAL" w:hAnsi="ARIAL"/>
          <w:sz w:val="20"/>
        </w:rPr>
      </w:pPr>
      <w:r>
        <w:rPr>
          <w:rFonts w:ascii="ARIAL" w:hAnsi="ARIAL"/>
          <w:sz w:val="20"/>
        </w:rPr>
        <w:t xml:space="preserve">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 </w:t>
      </w:r>
    </w:p>
    <w:p>
      <w:pPr>
        <w:pStyle w:val="TextBody"/>
        <w:bidi w:val="0"/>
        <w:spacing w:before="240" w:after="0"/>
        <w:jc w:val="left"/>
        <w:rPr>
          <w:rFonts w:ascii="ARIAL" w:hAnsi="ARIAL"/>
          <w:sz w:val="20"/>
        </w:rPr>
      </w:pPr>
      <w:r>
        <w:rPr>
          <w:rFonts w:ascii="ARIAL" w:hAnsi="ARIAL"/>
          <w:sz w:val="20"/>
        </w:rPr>
        <w:t xml:space="preserve">Although we believe we have been treated as a PFIC in the past, based on our gross income, the average value of our assets, including goodwill, and the nature of the current state of our business, we do not believe we were a PFIC for the year ended December 31, 2023. There can be no assurance regarding our PFIC status for the current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 </w:t>
      </w:r>
    </w:p>
    <w:p>
      <w:pPr>
        <w:pStyle w:val="TextBody"/>
        <w:bidi w:val="0"/>
        <w:spacing w:before="240" w:after="0"/>
        <w:jc w:val="left"/>
        <w:rPr>
          <w:rFonts w:ascii="ARIAL" w:hAnsi="ARIAL"/>
          <w:sz w:val="20"/>
        </w:rPr>
      </w:pPr>
      <w:r>
        <w:rPr>
          <w:rFonts w:ascii="ARIAL" w:hAnsi="ARIAL"/>
          <w:sz w:val="20"/>
        </w:rPr>
        <w:t xml:space="preserve">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 </w:t>
      </w:r>
    </w:p>
    <w:p>
      <w:pPr>
        <w:pStyle w:val="TextBody"/>
        <w:bidi w:val="0"/>
        <w:spacing w:before="240" w:after="0"/>
        <w:jc w:val="left"/>
        <w:rPr>
          <w:rFonts w:ascii="ARIAL" w:hAnsi="ARIAL"/>
          <w:sz w:val="20"/>
        </w:rPr>
      </w:pPr>
      <w:r>
        <w:rPr>
          <w:rFonts w:ascii="ARIAL" w:hAnsi="ARIAL"/>
          <w:sz w:val="20"/>
        </w:rPr>
        <w:t xml:space="preserve">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 </w:t>
      </w:r>
    </w:p>
    <w:p>
      <w:pPr>
        <w:pStyle w:val="TextBody"/>
        <w:bidi w:val="0"/>
        <w:spacing w:before="240" w:after="0"/>
        <w:jc w:val="left"/>
        <w:rPr>
          <w:rFonts w:ascii="ARIAL" w:hAnsi="ARIAL"/>
          <w:sz w:val="20"/>
        </w:rPr>
      </w:pPr>
      <w:r>
        <w:rPr>
          <w:rFonts w:ascii="ARIAL" w:hAnsi="ARIAL"/>
          <w:sz w:val="20"/>
        </w:rPr>
        <w:t xml:space="preserve">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 </w:t>
      </w:r>
    </w:p>
    <w:p>
      <w:pPr>
        <w:pStyle w:val="TextBody"/>
        <w:bidi w:val="0"/>
        <w:spacing w:before="240" w:after="0"/>
        <w:jc w:val="left"/>
        <w:rPr>
          <w:rFonts w:ascii="ARIAL" w:hAnsi="ARIAL"/>
          <w:sz w:val="20"/>
        </w:rPr>
      </w:pPr>
      <w:r>
        <w:rPr>
          <w:rFonts w:ascii="ARIAL" w:hAnsi="ARIAL"/>
          <w:sz w:val="20"/>
        </w:rPr>
        <w:t>If a U.S. Holder makes a QEF Election with respect to a PFIC, the U.S. Holder will be taxed on its </w:t>
      </w:r>
      <w:r>
        <w:rPr>
          <w:rFonts w:ascii="ARIAL" w:hAnsi="ARIAL"/>
          <w:i/>
          <w:sz w:val="20"/>
        </w:rPr>
        <w:t>pro rata</w:t>
      </w:r>
      <w:r>
        <w:rPr>
          <w:rFonts w:ascii="ARIAL" w:hAnsi="ARIAL"/>
          <w:sz w:val="20"/>
        </w:rPr>
        <w:t xml:space="preserve"> share of the PFICs ordinary earnings and net capital gain (at ordinary income and capital gain rates, respectively) for each taxable year that the entity is a PFIC. If a U.S. Holder makes a QEF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 </w:t>
      </w:r>
    </w:p>
    <w:p>
      <w:pPr>
        <w:pStyle w:val="TextBody"/>
        <w:bidi w:val="0"/>
        <w:spacing w:before="240" w:after="0"/>
        <w:jc w:val="left"/>
        <w:rPr>
          <w:rFonts w:ascii="ARIAL" w:hAnsi="ARIAL"/>
          <w:sz w:val="20"/>
        </w:rPr>
      </w:pPr>
      <w:r>
        <w:rPr>
          <w:rFonts w:ascii="ARIAL" w:hAnsi="ARIAL"/>
          <w:sz w:val="20"/>
        </w:rPr>
        <w:t xml:space="preserve">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 </w:t>
      </w:r>
    </w:p>
    <w:p>
      <w:pPr>
        <w:pStyle w:val="TextBody"/>
        <w:bidi w:val="0"/>
        <w:spacing w:before="240" w:after="0"/>
        <w:jc w:val="left"/>
        <w:rPr>
          <w:rFonts w:ascii="ARIAL" w:hAnsi="ARIAL"/>
          <w:sz w:val="20"/>
        </w:rPr>
      </w:pPr>
      <w:r>
        <w:rPr>
          <w:rFonts w:ascii="ARIAL" w:hAnsi="ARIAL"/>
          <w:sz w:val="20"/>
        </w:rPr>
        <w:t>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hAnsi="ARIAL"/>
          <w:i/>
          <w:sz w:val="20"/>
        </w:rPr>
        <w:t>de minimis</w:t>
      </w:r>
      <w:r>
        <w:rPr>
          <w:rFonts w:ascii="ARIAL" w:hAnsi="ARIAL"/>
          <w:sz w:val="20"/>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 </w:t>
      </w:r>
    </w:p>
    <w:p>
      <w:pPr>
        <w:pStyle w:val="TextBody"/>
        <w:bidi w:val="0"/>
        <w:spacing w:before="240" w:after="0"/>
        <w:jc w:val="left"/>
        <w:rPr>
          <w:rFonts w:ascii="ARIAL" w:hAnsi="ARIAL"/>
          <w:sz w:val="20"/>
        </w:rPr>
      </w:pPr>
      <w:r>
        <w:rPr>
          <w:rFonts w:ascii="ARIAL" w:hAnsi="ARIAL"/>
          <w:sz w:val="20"/>
        </w:rPr>
        <w:t xml:space="preserve">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Taxation of Distributions </w:t>
      </w:r>
    </w:p>
    <w:p>
      <w:pPr>
        <w:pStyle w:val="TextBody"/>
        <w:bidi w:val="0"/>
        <w:spacing w:before="120" w:after="0"/>
        <w:jc w:val="left"/>
        <w:rPr>
          <w:rFonts w:ascii="ARIAL" w:hAnsi="ARIAL"/>
          <w:sz w:val="20"/>
        </w:rPr>
      </w:pPr>
      <w:r>
        <w:rPr>
          <w:rFonts w:ascii="ARIAL" w:hAnsi="ARIAL"/>
          <w:sz w:val="20"/>
        </w:rPr>
        <w:t xml:space="preserve">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 </w:t>
      </w:r>
    </w:p>
    <w:p>
      <w:pPr>
        <w:pStyle w:val="TextBody"/>
        <w:bidi w:val="0"/>
        <w:spacing w:before="240" w:after="0"/>
        <w:jc w:val="left"/>
        <w:rPr>
          <w:rFonts w:ascii="ARIAL" w:hAnsi="ARIAL"/>
          <w:sz w:val="20"/>
        </w:rPr>
      </w:pPr>
      <w:r>
        <w:rPr>
          <w:rFonts w:ascii="ARIAL" w:hAnsi="ARIAL"/>
          <w:sz w:val="20"/>
        </w:rPr>
        <w:t xml:space="preserve">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 </w:t>
      </w:r>
    </w:p>
    <w:p>
      <w:pPr>
        <w:pStyle w:val="TextBody"/>
        <w:bidi w:val="0"/>
        <w:spacing w:before="240" w:after="0"/>
        <w:jc w:val="left"/>
        <w:rPr>
          <w:rFonts w:ascii="ARIAL" w:hAnsi="ARIAL"/>
          <w:sz w:val="20"/>
        </w:rPr>
      </w:pPr>
      <w:r>
        <w:rPr>
          <w:rFonts w:ascii="ARIAL" w:hAnsi="ARIAL"/>
          <w:sz w:val="20"/>
        </w:rPr>
        <w:t xml:space="preserve">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 </w:t>
      </w:r>
    </w:p>
    <w:p>
      <w:pPr>
        <w:pStyle w:val="TextBody"/>
        <w:bidi w:val="0"/>
        <w:spacing w:before="240" w:after="0"/>
        <w:jc w:val="left"/>
        <w:rPr>
          <w:rFonts w:ascii="ARIAL" w:hAnsi="ARIAL"/>
          <w:b/>
          <w:i/>
          <w:sz w:val="20"/>
        </w:rPr>
      </w:pPr>
      <w:r>
        <w:rPr>
          <w:rFonts w:ascii="ARIAL" w:hAnsi="ARIAL"/>
          <w:b/>
          <w:i/>
          <w:sz w:val="20"/>
        </w:rPr>
        <w:t xml:space="preserve">Sale or Other Taxable Disposition </w:t>
      </w:r>
    </w:p>
    <w:p>
      <w:pPr>
        <w:pStyle w:val="TextBody"/>
        <w:bidi w:val="0"/>
        <w:spacing w:before="120" w:after="0"/>
        <w:jc w:val="left"/>
        <w:rPr>
          <w:rFonts w:ascii="ARIAL" w:hAnsi="ARIAL"/>
          <w:sz w:val="20"/>
        </w:rPr>
      </w:pPr>
      <w:r>
        <w:rPr>
          <w:rFonts w:ascii="ARIAL" w:hAnsi="ARIAL"/>
          <w:sz w:val="20"/>
        </w:rPr>
        <w:t xml:space="preserve">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 </w:t>
      </w:r>
    </w:p>
    <w:p>
      <w:pPr>
        <w:pStyle w:val="TextBody"/>
        <w:bidi w:val="0"/>
        <w:spacing w:before="240" w:after="0"/>
        <w:jc w:val="left"/>
        <w:rPr>
          <w:rFonts w:ascii="ARIAL" w:hAnsi="ARIAL"/>
          <w:b/>
          <w:i/>
          <w:sz w:val="20"/>
        </w:rPr>
      </w:pPr>
      <w:r>
        <w:rPr>
          <w:rFonts w:ascii="ARIAL" w:hAnsi="ARIAL"/>
          <w:b/>
          <w:i/>
          <w:sz w:val="20"/>
        </w:rPr>
        <w:t xml:space="preserve">Information Reporting and Backup Withholding </w:t>
      </w:r>
    </w:p>
    <w:p>
      <w:pPr>
        <w:pStyle w:val="TextBody"/>
        <w:bidi w:val="0"/>
        <w:spacing w:before="120" w:after="0"/>
        <w:jc w:val="left"/>
        <w:rPr>
          <w:rFonts w:ascii="ARIAL" w:hAnsi="ARIAL"/>
          <w:sz w:val="20"/>
        </w:rPr>
      </w:pPr>
      <w:r>
        <w:rPr>
          <w:rFonts w:ascii="ARIAL" w:hAnsi="ARIAL"/>
          <w:sz w:val="20"/>
        </w:rPr>
        <w:t xml:space="preserve">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 </w:t>
      </w:r>
    </w:p>
    <w:p>
      <w:pPr>
        <w:pStyle w:val="TextBody"/>
        <w:bidi w:val="0"/>
        <w:spacing w:before="240" w:after="0"/>
        <w:jc w:val="left"/>
        <w:rPr>
          <w:rFonts w:ascii="ARIAL" w:hAnsi="ARIAL"/>
          <w:b/>
          <w:i/>
          <w:sz w:val="20"/>
        </w:rPr>
      </w:pPr>
      <w:r>
        <w:rPr>
          <w:rFonts w:ascii="ARIAL" w:hAnsi="ARIAL"/>
          <w:b/>
          <w:i/>
          <w:sz w:val="20"/>
        </w:rPr>
        <w:t xml:space="preserve">Information with Respect to Foreign Financial Assets </w:t>
      </w:r>
    </w:p>
    <w:p>
      <w:pPr>
        <w:pStyle w:val="TextBody"/>
        <w:bidi w:val="0"/>
        <w:spacing w:before="120" w:after="0"/>
        <w:jc w:val="left"/>
        <w:rPr>
          <w:rFonts w:ascii="ARIAL" w:hAnsi="ARIAL"/>
          <w:sz w:val="20"/>
        </w:rPr>
      </w:pPr>
      <w:r>
        <w:rPr>
          <w:rFonts w:ascii="ARIAL" w:hAnsi="ARIAL"/>
          <w:sz w:val="20"/>
        </w:rPr>
        <w:t xml:space="preserve">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 </w:t>
      </w:r>
    </w:p>
    <w:p>
      <w:pPr>
        <w:pStyle w:val="TextBody"/>
        <w:bidi w:val="0"/>
        <w:spacing w:before="360" w:after="0"/>
        <w:jc w:val="left"/>
        <w:rPr>
          <w:rFonts w:ascii="ARIAL" w:hAnsi="ARIAL"/>
          <w:b/>
          <w:sz w:val="20"/>
        </w:rPr>
      </w:pPr>
      <w:r>
        <w:rPr>
          <w:rFonts w:ascii="ARIAL" w:hAnsi="ARIAL"/>
          <w:b/>
          <w:sz w:val="20"/>
        </w:rPr>
        <w:t xml:space="preserve">Material United Kingdom Tax Considerations </w:t>
      </w:r>
    </w:p>
    <w:p>
      <w:pPr>
        <w:pStyle w:val="TextBody"/>
        <w:bidi w:val="0"/>
        <w:spacing w:before="120" w:after="0"/>
        <w:jc w:val="left"/>
        <w:rPr>
          <w:rFonts w:ascii="ARIAL" w:hAnsi="ARIAL"/>
          <w:sz w:val="20"/>
        </w:rPr>
      </w:pPr>
      <w:r>
        <w:rPr>
          <w:rFonts w:ascii="ARIAL" w:hAnsi="ARIAL"/>
          <w:sz w:val="20"/>
        </w:rPr>
        <w:t xml:space="preserve">The following paragraphs are intended as a general guide to current U.K. tax law and HM Revenue &amp; Customs published practice applying as at the date of this prospectus supplement (both of which are subject to change at any time, possibly with retrospective effect) relating to the holding of ADSs. They do not constitute legal or tax advice and do not purport to be a complete analysis of all U.K. tax considerations relating to the holding of ADSs. They relate only to persons who are absolute beneficial owners of ADSs (and where the ADSs are not held through an Individual Savings Account or a Self-Invested Personal Pension) and who are resident for tax purposes in (and only in) the U.K. and do not have a permanent establishment, branch, agency (or equivalent) or fixed base in any other jurisdiction with which the holding of the ADSs is connected (U.K. Holders) (except to the extent that the position of non-U.K. resident persons is expressly referred to). These paragraphs are written on the basis that the Company does not (and will not) directly or indirectly derive 75% or more of its qualifying asset value from U.K. land, and that the Company is and remains solely resident in the U.K for tax purposes. </w:t>
      </w:r>
    </w:p>
    <w:p>
      <w:pPr>
        <w:pStyle w:val="TextBody"/>
        <w:bidi w:val="0"/>
        <w:spacing w:before="240" w:after="0"/>
        <w:jc w:val="left"/>
        <w:rPr>
          <w:rFonts w:ascii="ARIAL" w:hAnsi="ARIAL"/>
          <w:sz w:val="20"/>
        </w:rPr>
      </w:pPr>
      <w:r>
        <w:rPr>
          <w:rFonts w:ascii="ARIAL" w:hAnsi="ARIAL"/>
          <w:sz w:val="20"/>
        </w:rPr>
        <w:t xml:space="preserve">These paragraphs may not relate to certain classes of U.K. Holders, such as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persons who are connected with the Company;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charities;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collective investment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pension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brokers or dealers in securities or persons who hold ADSs otherwise than as an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persons who have (or are deemed to have) acquired their ADSs by virtue of an office or employment or who are or have been officers or employees of the Company or any of its affiliates; and individuals who are subject to U.K. taxation on a remittance basis. </w:t>
            </w:r>
          </w:p>
        </w:tc>
      </w:tr>
    </w:tbl>
    <w:p>
      <w:pPr>
        <w:pStyle w:val="TextBody"/>
        <w:bidi w:val="0"/>
        <w:spacing w:before="240" w:after="0"/>
        <w:jc w:val="left"/>
        <w:rPr>
          <w:rFonts w:ascii="ARIAL" w:hAnsi="ARIAL"/>
          <w:sz w:val="20"/>
        </w:rPr>
      </w:pPr>
      <w:r>
        <w:rPr>
          <w:rFonts w:ascii="ARIAL" w:hAnsi="ARIAL"/>
          <w:sz w:val="20"/>
        </w:rPr>
        <w:t xml:space="preserve">These paragraphs do not describe all of the circumstances in which holders of ADSs may benefit from an exemption or relief from U.K. taxation. It is recommended that all holders of ADSs obtain their own tax advice. In particular, non-U.K. resident or domiciled persons are advised to consider the potential impact of any relevant double tax agreements. </w:t>
      </w:r>
    </w:p>
    <w:p>
      <w:pPr>
        <w:pStyle w:val="TextBody"/>
        <w:bidi w:val="0"/>
        <w:spacing w:before="240" w:after="0"/>
        <w:jc w:val="left"/>
        <w:rPr>
          <w:rFonts w:ascii="ARIAL" w:hAnsi="ARIAL"/>
          <w:sz w:val="20"/>
        </w:rPr>
      </w:pPr>
      <w:r>
        <w:rPr>
          <w:rFonts w:ascii="ARIAL" w:hAnsi="ARIAL"/>
          <w:sz w:val="20"/>
        </w:rPr>
        <w:t xml:space="preserve">These paragraphs assume that a holder of ADSs is the beneficial owner of the underlying ordinary shares and any dividends paid in respect of the underlying ordinary shares (where the dividends are regarded for U.K. purposes as that persons own income) for U.K. direct tax purposes. </w:t>
      </w:r>
    </w:p>
    <w:p>
      <w:pPr>
        <w:pStyle w:val="TextBody"/>
        <w:bidi w:val="0"/>
        <w:spacing w:before="360" w:after="0"/>
        <w:jc w:val="left"/>
        <w:rPr>
          <w:rFonts w:ascii="ARIAL" w:hAnsi="ARIAL"/>
          <w:sz w:val="20"/>
        </w:rPr>
      </w:pPr>
      <w:r>
        <w:rPr>
          <w:rFonts w:ascii="ARIAL" w:hAnsi="ARIAL"/>
          <w:b/>
          <w:i/>
          <w:sz w:val="20"/>
        </w:rPr>
        <w:t>Dividends</w:t>
      </w:r>
      <w:r>
        <w:rPr>
          <w:rFonts w:ascii="ARIAL" w:hAnsi="ARIAL"/>
          <w:sz w:val="20"/>
        </w:rPr>
        <w:t xml:space="preserve"> </w:t>
      </w:r>
    </w:p>
    <w:p>
      <w:pPr>
        <w:pStyle w:val="TextBody"/>
        <w:bidi w:val="0"/>
        <w:spacing w:before="120" w:after="0"/>
        <w:jc w:val="left"/>
        <w:rPr>
          <w:rFonts w:ascii="ARIAL" w:hAnsi="ARIAL"/>
          <w:i/>
          <w:sz w:val="20"/>
        </w:rPr>
      </w:pPr>
      <w:r>
        <w:rPr>
          <w:rFonts w:ascii="ARIAL" w:hAnsi="ARIAL"/>
          <w:i/>
          <w:sz w:val="20"/>
        </w:rPr>
        <w:t xml:space="preserve">Withholding Tax </w:t>
      </w:r>
    </w:p>
    <w:p>
      <w:pPr>
        <w:pStyle w:val="TextBody"/>
        <w:bidi w:val="0"/>
        <w:spacing w:before="120" w:after="0"/>
        <w:jc w:val="left"/>
        <w:rPr>
          <w:rFonts w:ascii="ARIAL" w:hAnsi="ARIAL"/>
          <w:sz w:val="20"/>
        </w:rPr>
      </w:pPr>
      <w:r>
        <w:rPr>
          <w:rFonts w:ascii="ARIAL" w:hAnsi="ARIAL"/>
          <w:sz w:val="20"/>
        </w:rPr>
        <w:t xml:space="preserve">Dividends paid by the Company will not be subject to any withholding or deduction for or on account of U.K. tax, irrespective of the residence or particular circumstances of the holders of ordinary shares or ADSs. </w:t>
      </w:r>
    </w:p>
    <w:p>
      <w:pPr>
        <w:pStyle w:val="TextBody"/>
        <w:bidi w:val="0"/>
        <w:spacing w:before="360" w:after="0"/>
        <w:jc w:val="left"/>
        <w:rPr>
          <w:rFonts w:ascii="ARIAL" w:hAnsi="ARIAL"/>
          <w:i/>
          <w:sz w:val="20"/>
        </w:rPr>
      </w:pPr>
      <w:r>
        <w:rPr>
          <w:rFonts w:ascii="ARIAL" w:hAnsi="ARIAL"/>
          <w:i/>
          <w:sz w:val="20"/>
        </w:rPr>
        <w:t xml:space="preserve">Income Tax </w:t>
      </w:r>
    </w:p>
    <w:p>
      <w:pPr>
        <w:pStyle w:val="TextBody"/>
        <w:bidi w:val="0"/>
        <w:spacing w:before="120" w:after="0"/>
        <w:jc w:val="left"/>
        <w:rPr>
          <w:rFonts w:ascii="ARIAL" w:hAnsi="ARIAL"/>
          <w:sz w:val="20"/>
        </w:rPr>
      </w:pPr>
      <w:r>
        <w:rPr>
          <w:rFonts w:ascii="ARIAL" w:hAnsi="ARIAL"/>
          <w:sz w:val="20"/>
        </w:rPr>
        <w:t xml:space="preserve">An individual U.K. Holder may, depending on his or her particular circumstances, be subject to U.K. tax on dividends received from the Company. An individual holder of ADSs who is not resident for tax purposes in the U.K. should not be chargeable to U.K. income tax on dividends received from the Company unless he or she carries on (whether solely or in partnership) any trade, profession or vocation in the U.K. through a branch or agency to which the ADSs are attributable (subject to certain exceptions for trading through independent agents, such as some brokers and investment managers). </w:t>
      </w:r>
    </w:p>
    <w:p>
      <w:pPr>
        <w:pStyle w:val="TextBody"/>
        <w:bidi w:val="0"/>
        <w:spacing w:before="240" w:after="0"/>
        <w:jc w:val="left"/>
        <w:rPr>
          <w:rFonts w:ascii="ARIAL" w:hAnsi="ARIAL"/>
          <w:sz w:val="20"/>
        </w:rPr>
      </w:pPr>
      <w:r>
        <w:rPr>
          <w:rFonts w:ascii="ARIAL" w:hAnsi="ARIAL"/>
          <w:sz w:val="20"/>
        </w:rPr>
        <w:t xml:space="preserve">All individual U.K. Holders will receive a tax-free allowance of £500 per annum (for tax year 2024/2025). Dividend income in excess of this tax-free allowance will be charged at 8.75% for basic rate taxpayers, 33.75% for higher rate taxpayers, and 39.35% for additional rate taxpayers (for tax year 2024/2025). Dividend income is treated as the top slice of the total income chargeable to U.K. income tax. </w:t>
      </w:r>
    </w:p>
    <w:p>
      <w:pPr>
        <w:pStyle w:val="TextBody"/>
        <w:bidi w:val="0"/>
        <w:spacing w:before="360" w:after="0"/>
        <w:jc w:val="left"/>
        <w:rPr>
          <w:rFonts w:ascii="ARIAL" w:hAnsi="ARIAL"/>
          <w:i/>
          <w:sz w:val="20"/>
        </w:rPr>
      </w:pPr>
      <w:r>
        <w:rPr>
          <w:rFonts w:ascii="ARIAL" w:hAnsi="ARIAL"/>
          <w:i/>
          <w:sz w:val="20"/>
        </w:rPr>
        <w:t xml:space="preserve">Corporation Tax </w:t>
      </w:r>
    </w:p>
    <w:p>
      <w:pPr>
        <w:pStyle w:val="TextBody"/>
        <w:bidi w:val="0"/>
        <w:spacing w:before="120" w:after="0"/>
        <w:jc w:val="left"/>
        <w:rPr>
          <w:rFonts w:ascii="ARIAL" w:hAnsi="ARIAL"/>
          <w:sz w:val="20"/>
        </w:rPr>
      </w:pPr>
      <w:r>
        <w:rPr>
          <w:rFonts w:ascii="ARIAL" w:hAnsi="ARIAL"/>
          <w:sz w:val="20"/>
        </w:rPr>
        <w:t xml:space="preserve">Corporate U.K. Holders should not be subject to U.K. corporation tax on any dividend received from the Company so long as the dividends qualify for exemption, which should be the case, although certain conditions must be met (including anti-avoidance conditions). </w:t>
      </w:r>
    </w:p>
    <w:p>
      <w:pPr>
        <w:pStyle w:val="TextBody"/>
        <w:bidi w:val="0"/>
        <w:spacing w:before="360" w:after="0"/>
        <w:jc w:val="left"/>
        <w:rPr>
          <w:rFonts w:ascii="ARIAL" w:hAnsi="ARIAL"/>
          <w:b/>
          <w:i/>
          <w:sz w:val="20"/>
        </w:rPr>
      </w:pPr>
      <w:r>
        <w:rPr>
          <w:rFonts w:ascii="ARIAL" w:hAnsi="ARIAL"/>
          <w:b/>
          <w:i/>
          <w:sz w:val="20"/>
        </w:rPr>
        <w:t xml:space="preserve">Chargeable Gains </w:t>
      </w:r>
    </w:p>
    <w:p>
      <w:pPr>
        <w:pStyle w:val="TextBody"/>
        <w:bidi w:val="0"/>
        <w:spacing w:before="120" w:after="0"/>
        <w:jc w:val="left"/>
        <w:rPr>
          <w:rFonts w:ascii="ARIAL" w:hAnsi="ARIAL"/>
          <w:sz w:val="20"/>
        </w:rPr>
      </w:pPr>
      <w:r>
        <w:rPr>
          <w:rFonts w:ascii="ARIAL" w:hAnsi="ARIAL"/>
          <w:sz w:val="20"/>
        </w:rPr>
        <w:t xml:space="preserve">A disposal of ADSs by a U.K. Holder may, depending on the U.K. Holders circumstances and subject to any available exemptions or reliefs, give rise to a chargeable gain or an allowable loss for the purposes of U.K. capital gains tax and corporation tax on chargeable gains.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If an individual U.K. Holder who is subject to U.K. income tax at either the higher or the additional rate becomes liable to U.K. capital gains tax on the disposal of ADSs, the current applicable rate would be 20%. For an individual U.K. Holder who is subject to U.K. income tax at the basic rate and liable to U.K. capital gains tax on such disposal, the current applicable rate would be 10%, save to the extent that any capital gains exceed the unused basic rate tax band. In that case, the current rate applicable to the excess would be 20%. </w:t>
      </w:r>
    </w:p>
    <w:p>
      <w:pPr>
        <w:pStyle w:val="TextBody"/>
        <w:bidi w:val="0"/>
        <w:spacing w:before="240" w:after="0"/>
        <w:jc w:val="left"/>
        <w:rPr>
          <w:rFonts w:ascii="ARIAL" w:hAnsi="ARIAL"/>
          <w:sz w:val="20"/>
        </w:rPr>
      </w:pPr>
      <w:r>
        <w:rPr>
          <w:rFonts w:ascii="ARIAL" w:hAnsi="ARIAL"/>
          <w:sz w:val="20"/>
        </w:rPr>
        <w:t xml:space="preserve">If a corporate U.K. Holder becomes liable to U.K. corporation tax on the disposal of ADSs, U.K. corporation tax would apply at the rate applicable to the relevant corporate U.K. Holder (the main rate is 25% for financial year 2024/2025). </w:t>
      </w:r>
    </w:p>
    <w:p>
      <w:pPr>
        <w:pStyle w:val="TextBody"/>
        <w:bidi w:val="0"/>
        <w:spacing w:before="240" w:after="0"/>
        <w:jc w:val="left"/>
        <w:rPr>
          <w:rFonts w:ascii="ARIAL" w:hAnsi="ARIAL"/>
          <w:sz w:val="20"/>
        </w:rPr>
      </w:pPr>
      <w:r>
        <w:rPr>
          <w:rFonts w:ascii="ARIAL" w:hAnsi="ARIAL"/>
          <w:sz w:val="20"/>
        </w:rPr>
        <w:t xml:space="preserve">A holder of ADSs which is not resident for tax purposes in the U.K. should not normally be liable to U.K. capital gains tax or corporation tax on chargeable gains on a disposal of ADSs. However, an individual holder of ADSs who has ceased to be resident for tax purposes in the U.K. for a period of less than five years and who disposes of ADSs during that period may be liable on his or her return to the U.K. to U.K. tax on any capital gain realized (subject to any available exemption or relief). </w:t>
      </w:r>
    </w:p>
    <w:p>
      <w:pPr>
        <w:pStyle w:val="TextBody"/>
        <w:bidi w:val="0"/>
        <w:spacing w:before="240" w:after="0"/>
        <w:jc w:val="left"/>
        <w:rPr>
          <w:rFonts w:ascii="ARIAL" w:hAnsi="ARIAL"/>
          <w:sz w:val="20"/>
        </w:rPr>
      </w:pPr>
      <w:r>
        <w:rPr>
          <w:rFonts w:ascii="ARIAL" w:hAnsi="ARIAL"/>
          <w:sz w:val="20"/>
        </w:rPr>
        <w:t xml:space="preserve">Any gains or losses in respect of currency fluctuations relating to the ADSs would be brought into account on the disposal. </w:t>
      </w:r>
    </w:p>
    <w:p>
      <w:pPr>
        <w:pStyle w:val="TextBody"/>
        <w:bidi w:val="0"/>
        <w:spacing w:before="360" w:after="0"/>
        <w:jc w:val="left"/>
        <w:rPr>
          <w:rFonts w:ascii="ARIAL" w:hAnsi="ARIAL"/>
          <w:b/>
          <w:i/>
          <w:sz w:val="20"/>
        </w:rPr>
      </w:pPr>
      <w:r>
        <w:rPr>
          <w:rFonts w:ascii="ARIAL" w:hAnsi="ARIAL"/>
          <w:b/>
          <w:i/>
          <w:sz w:val="20"/>
        </w:rPr>
        <w:t xml:space="preserve">Stamp Duty and Stamp Duty Reserve Tax (SDRT) </w:t>
      </w:r>
    </w:p>
    <w:p>
      <w:pPr>
        <w:pStyle w:val="TextBody"/>
        <w:bidi w:val="0"/>
        <w:spacing w:before="120" w:after="0"/>
        <w:jc w:val="left"/>
        <w:rPr>
          <w:rFonts w:ascii="ARIAL" w:hAnsi="ARIAL"/>
          <w:sz w:val="20"/>
        </w:rPr>
      </w:pPr>
      <w:r>
        <w:rPr>
          <w:rFonts w:ascii="ARIAL" w:hAnsi="ARIAL"/>
          <w:sz w:val="20"/>
        </w:rPr>
        <w:t xml:space="preserve">The discussion below is intended as a general guide to the current position relating to U.K. stamp duty and SDRT and applies to holders of ordinary shares or ADSs wherever resident. Certain categories of person, including intermediaries, brokers, dealers and persons connected with depositary receipt arrangements and clearance services, may not be liable to U.K. stamp duty or SDRT or may be liable at a higher rate. </w:t>
      </w:r>
    </w:p>
    <w:p>
      <w:pPr>
        <w:pStyle w:val="TextBody"/>
        <w:bidi w:val="0"/>
        <w:spacing w:before="360" w:after="0"/>
        <w:jc w:val="left"/>
        <w:rPr>
          <w:rFonts w:ascii="ARIAL" w:hAnsi="ARIAL"/>
          <w:i/>
          <w:sz w:val="20"/>
        </w:rPr>
      </w:pPr>
      <w:r>
        <w:rPr>
          <w:rFonts w:ascii="ARIAL" w:hAnsi="ARIAL"/>
          <w:i/>
          <w:sz w:val="20"/>
        </w:rPr>
        <w:t xml:space="preserve">Issue and transfers of ordinary shares </w:t>
      </w:r>
    </w:p>
    <w:p>
      <w:pPr>
        <w:pStyle w:val="TextBody"/>
        <w:bidi w:val="0"/>
        <w:spacing w:before="120" w:after="0"/>
        <w:jc w:val="left"/>
        <w:rPr>
          <w:rFonts w:ascii="ARIAL" w:hAnsi="ARIAL"/>
          <w:sz w:val="20"/>
        </w:rPr>
      </w:pPr>
      <w:r>
        <w:rPr>
          <w:rFonts w:ascii="ARIAL" w:hAnsi="ARIAL"/>
          <w:sz w:val="20"/>
        </w:rPr>
        <w:t xml:space="preserve">No U.K. stamp duty or SDRT is payable on the issue of our ordinary shares. </w:t>
      </w:r>
    </w:p>
    <w:p>
      <w:pPr>
        <w:pStyle w:val="TextBody"/>
        <w:bidi w:val="0"/>
        <w:spacing w:before="240" w:after="0"/>
        <w:jc w:val="left"/>
        <w:rPr>
          <w:rFonts w:ascii="ARIAL" w:hAnsi="ARIAL"/>
          <w:sz w:val="20"/>
        </w:rPr>
      </w:pPr>
      <w:r>
        <w:rPr>
          <w:rFonts w:ascii="ARIAL" w:hAnsi="ARIAL"/>
          <w:sz w:val="20"/>
        </w:rPr>
        <w:t xml:space="preserve">Transfers of our ordinary shares to, or to a nominee or agent for, a person whose business is or includes issuing depositary receipts or to, or to a nominee or agent for, a person whose business is or includes the provision of clearance services, will generally be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 U.K. stamp duty and SDRT will not, however, arise on a transfer of our ordinary shares to a depositary receipt issuer or to a clearance service to the extent that such transfer is an exempt capital-raising transfer or an exempt listing transfer, as defined in Finance Act 2024. </w:t>
      </w:r>
    </w:p>
    <w:p>
      <w:pPr>
        <w:pStyle w:val="TextBody"/>
        <w:bidi w:val="0"/>
        <w:spacing w:before="240" w:after="0"/>
        <w:jc w:val="left"/>
        <w:rPr>
          <w:rFonts w:ascii="ARIAL" w:hAnsi="ARIAL"/>
          <w:sz w:val="20"/>
        </w:rPr>
      </w:pPr>
      <w:r>
        <w:rPr>
          <w:rFonts w:ascii="ARIAL" w:hAnsi="ARIAL"/>
          <w:sz w:val="20"/>
        </w:rPr>
        <w:t xml:space="preserve">The transfer on sale of ordinary shares by a written instrument of transfer will generally be liable to U.K. stamp duty at the rate of 0.5% of the amount or value of the consideration for the transfer. The purchaser normally pays the stamp duty. </w:t>
      </w:r>
    </w:p>
    <w:p>
      <w:pPr>
        <w:pStyle w:val="TextBody"/>
        <w:bidi w:val="0"/>
        <w:spacing w:before="240" w:after="0"/>
        <w:jc w:val="left"/>
        <w:rPr>
          <w:rFonts w:ascii="ARIAL" w:hAnsi="ARIAL"/>
          <w:sz w:val="20"/>
        </w:rPr>
      </w:pPr>
      <w:r>
        <w:rPr>
          <w:rFonts w:ascii="ARIAL" w:hAnsi="ARIAL"/>
          <w:sz w:val="20"/>
        </w:rPr>
        <w:t xml:space="preserve">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i/>
          <w:sz w:val="20"/>
        </w:rPr>
      </w:pPr>
      <w:r>
        <w:rPr>
          <w:rFonts w:ascii="ARIAL" w:hAnsi="ARIAL"/>
          <w:i/>
          <w:sz w:val="20"/>
        </w:rPr>
        <w:t xml:space="preserve">Issue and transfers of ADSs </w:t>
      </w:r>
    </w:p>
    <w:p>
      <w:pPr>
        <w:pStyle w:val="TextBody"/>
        <w:bidi w:val="0"/>
        <w:spacing w:before="120" w:after="0"/>
        <w:jc w:val="left"/>
        <w:rPr>
          <w:rFonts w:ascii="ARIAL" w:hAnsi="ARIAL"/>
          <w:sz w:val="20"/>
        </w:rPr>
      </w:pPr>
      <w:r>
        <w:rPr>
          <w:rFonts w:ascii="ARIAL" w:hAnsi="ARIAL"/>
          <w:sz w:val="20"/>
        </w:rPr>
        <w:t xml:space="preserve">No U.K. stamp duty or SDRT is payable on the issue of ADSs in the Company. </w:t>
      </w:r>
    </w:p>
    <w:p>
      <w:pPr>
        <w:pStyle w:val="TextBody"/>
        <w:bidi w:val="0"/>
        <w:spacing w:before="240" w:after="0"/>
        <w:jc w:val="left"/>
        <w:rPr>
          <w:rFonts w:ascii="ARIAL" w:hAnsi="ARIAL"/>
          <w:sz w:val="20"/>
        </w:rPr>
      </w:pPr>
      <w:r>
        <w:rPr>
          <w:rFonts w:ascii="ARIAL" w:hAnsi="ARIAL"/>
          <w:sz w:val="20"/>
        </w:rPr>
        <w:t>No U.K. stamp duty is in practice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of the value of the consideration.</w:t>
      </w:r>
    </w:p>
    <w:p>
      <w:pPr>
        <w:pStyle w:val="TextBody"/>
        <w:bidi w:val="0"/>
        <w:spacing w:before="240" w:after="0"/>
        <w:jc w:val="left"/>
        <w:rPr>
          <w:rFonts w:ascii="ARIAL" w:hAnsi="ARIAL"/>
          <w:sz w:val="20"/>
        </w:rPr>
      </w:pPr>
      <w:r>
        <w:rPr>
          <w:rFonts w:ascii="ARIAL" w:hAnsi="ARIAL"/>
          <w:sz w:val="20"/>
        </w:rPr>
        <w:t xml:space="preserve">No SDRT is payable in respect of agreement to transfer an ADS (assuming where an ADS is transferred through the clearance service facilities of the Depository Trust Company (DTC) that DTC has not made an election under section 97A of the U.K. Finance Act 1986 and that such ADS is held through DTC at the time of any agreement for its transfer).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2" w:name="srom852004_9"/>
      <w:bookmarkEnd w:id="12"/>
      <w:r>
        <w:rPr>
          <w:rFonts w:ascii="ARIAL" w:hAnsi="ARIAL"/>
          <w:b/>
          <w:sz w:val="20"/>
        </w:rPr>
        <w:t xml:space="preserve">UNDERWRITING </w:t>
      </w:r>
    </w:p>
    <w:p>
      <w:pPr>
        <w:pStyle w:val="TextBody"/>
        <w:bidi w:val="0"/>
        <w:spacing w:before="240" w:after="0"/>
        <w:jc w:val="left"/>
        <w:rPr>
          <w:rFonts w:ascii="ARIAL" w:hAnsi="ARIAL"/>
          <w:sz w:val="20"/>
        </w:rPr>
      </w:pPr>
      <w:r>
        <w:rPr>
          <w:rFonts w:ascii="ARIAL" w:hAnsi="ARIAL"/>
          <w:sz w:val="20"/>
        </w:rPr>
        <w:t xml:space="preserve">Subject to the terms and conditions set forth in the underwriting agreement, dated June 14, 2024, between us and Jefferies LLC, Leerink Partners LLC and Cantor Fitzgerald &amp; Co., as the representatives of the underwriters named below and as the joint book-running managers of this offering, we have agreed to sell to the underwriters, and each of the underwriters has agreed, severally and not jointly, to purchase from us, the respective number of ADSs shown opposite its name below: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5330"/>
        <w:gridCol w:w="260"/>
        <w:gridCol w:w="87"/>
        <w:gridCol w:w="1607"/>
        <w:gridCol w:w="63"/>
      </w:tblGrid>
      <w:tr>
        <w:trPr/>
        <w:tc>
          <w:tcPr>
            <w:tcW w:w="533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Underwriters</w:t>
            </w:r>
          </w:p>
        </w:tc>
        <w:tc>
          <w:tcPr>
            <w:tcW w:w="260" w:type="dxa"/>
            <w:tcBorders/>
            <w:vAlign w:val="bottom"/>
          </w:tcPr>
          <w:p>
            <w:pPr>
              <w:pStyle w:val="TableContents"/>
              <w:bidi w:val="0"/>
              <w:spacing w:before="0" w:after="283"/>
              <w:jc w:val="left"/>
              <w:rPr/>
            </w:pPr>
            <w:r>
              <w:rPr/>
              <w:t> </w:t>
            </w:r>
          </w:p>
        </w:tc>
        <w:tc>
          <w:tcPr>
            <w:tcW w:w="1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ADS</w:t>
            </w:r>
          </w:p>
        </w:tc>
        <w:tc>
          <w:tcPr>
            <w:tcW w:w="63" w:type="dxa"/>
            <w:tcBorders/>
            <w:vAlign w:val="bottom"/>
          </w:tcPr>
          <w:p>
            <w:pPr>
              <w:pStyle w:val="TableContents"/>
              <w:bidi w:val="0"/>
              <w:spacing w:before="0" w:after="283"/>
              <w:jc w:val="left"/>
              <w:rPr/>
            </w:pPr>
            <w:r>
              <w:rPr/>
              <w:t> </w:t>
            </w:r>
          </w:p>
        </w:tc>
      </w:tr>
      <w:tr>
        <w:trPr/>
        <w:tc>
          <w:tcPr>
            <w:tcW w:w="5330" w:type="dxa"/>
            <w:tcBorders/>
            <w:shd w:fill="CCEEFF" w:val="clear"/>
          </w:tcPr>
          <w:p>
            <w:pPr>
              <w:pStyle w:val="TableContents"/>
              <w:bidi w:val="0"/>
              <w:spacing w:before="0" w:after="0"/>
              <w:jc w:val="left"/>
              <w:rPr>
                <w:rFonts w:ascii="ARIAL" w:hAnsi="ARIAL"/>
                <w:sz w:val="20"/>
              </w:rPr>
            </w:pPr>
            <w:r>
              <w:rPr>
                <w:rFonts w:ascii="ARIAL" w:hAnsi="ARIAL"/>
                <w:sz w:val="20"/>
              </w:rPr>
              <w:t>Jefferies LLC</w:t>
            </w:r>
          </w:p>
        </w:tc>
        <w:tc>
          <w:tcPr>
            <w:tcW w:w="2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5,263,146</w:t>
            </w:r>
          </w:p>
        </w:tc>
        <w:tc>
          <w:tcPr>
            <w:tcW w:w="63" w:type="dxa"/>
            <w:tcBorders/>
            <w:shd w:fill="CCEEFF" w:val="clear"/>
            <w:vAlign w:val="bottom"/>
          </w:tcPr>
          <w:p>
            <w:pPr>
              <w:pStyle w:val="TableContents"/>
              <w:bidi w:val="0"/>
              <w:spacing w:before="0" w:after="283"/>
              <w:jc w:val="left"/>
              <w:rPr/>
            </w:pPr>
            <w:r>
              <w:rPr/>
              <w:t> </w:t>
            </w:r>
          </w:p>
        </w:tc>
      </w:tr>
      <w:tr>
        <w:trPr/>
        <w:tc>
          <w:tcPr>
            <w:tcW w:w="5330" w:type="dxa"/>
            <w:tcBorders/>
          </w:tcPr>
          <w:p>
            <w:pPr>
              <w:pStyle w:val="TableContents"/>
              <w:bidi w:val="0"/>
              <w:spacing w:before="0" w:after="0"/>
              <w:jc w:val="left"/>
              <w:rPr>
                <w:rFonts w:ascii="ARIAL" w:hAnsi="ARIAL"/>
                <w:sz w:val="20"/>
              </w:rPr>
            </w:pPr>
            <w:r>
              <w:rPr>
                <w:rFonts w:ascii="ARIAL" w:hAnsi="ARIAL"/>
                <w:sz w:val="20"/>
              </w:rPr>
              <w:t>Leerink Partners LLC</w:t>
            </w:r>
          </w:p>
        </w:tc>
        <w:tc>
          <w:tcPr>
            <w:tcW w:w="2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4,636,581</w:t>
            </w:r>
          </w:p>
        </w:tc>
        <w:tc>
          <w:tcPr>
            <w:tcW w:w="63" w:type="dxa"/>
            <w:tcBorders/>
            <w:vAlign w:val="bottom"/>
          </w:tcPr>
          <w:p>
            <w:pPr>
              <w:pStyle w:val="TableContents"/>
              <w:bidi w:val="0"/>
              <w:spacing w:before="0" w:after="283"/>
              <w:jc w:val="left"/>
              <w:rPr/>
            </w:pPr>
            <w:r>
              <w:rPr/>
              <w:t> </w:t>
            </w:r>
          </w:p>
        </w:tc>
      </w:tr>
      <w:tr>
        <w:trPr/>
        <w:tc>
          <w:tcPr>
            <w:tcW w:w="5330" w:type="dxa"/>
            <w:tcBorders/>
            <w:shd w:fill="CCEEFF" w:val="clear"/>
          </w:tcPr>
          <w:p>
            <w:pPr>
              <w:pStyle w:val="TableContents"/>
              <w:bidi w:val="0"/>
              <w:spacing w:before="0" w:after="0"/>
              <w:jc w:val="left"/>
              <w:rPr>
                <w:rFonts w:ascii="ARIAL" w:hAnsi="ARIAL"/>
                <w:sz w:val="20"/>
              </w:rPr>
            </w:pPr>
            <w:r>
              <w:rPr>
                <w:rFonts w:ascii="ARIAL" w:hAnsi="ARIAL"/>
                <w:sz w:val="20"/>
              </w:rPr>
              <w:t>Cantor Fitzgerald &amp; Co.</w:t>
            </w:r>
          </w:p>
        </w:tc>
        <w:tc>
          <w:tcPr>
            <w:tcW w:w="2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2,631,573</w:t>
            </w:r>
          </w:p>
        </w:tc>
        <w:tc>
          <w:tcPr>
            <w:tcW w:w="63" w:type="dxa"/>
            <w:tcBorders/>
            <w:shd w:fill="CCEEFF" w:val="clear"/>
            <w:vAlign w:val="bottom"/>
          </w:tcPr>
          <w:p>
            <w:pPr>
              <w:pStyle w:val="TableContents"/>
              <w:bidi w:val="0"/>
              <w:spacing w:before="0" w:after="283"/>
              <w:jc w:val="left"/>
              <w:rPr/>
            </w:pPr>
            <w:r>
              <w:rPr/>
              <w:t> </w:t>
            </w:r>
          </w:p>
        </w:tc>
      </w:tr>
      <w:tr>
        <w:trPr/>
        <w:tc>
          <w:tcPr>
            <w:tcW w:w="533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60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30" w:type="dxa"/>
            <w:tcBorders/>
          </w:tcPr>
          <w:p>
            <w:pPr>
              <w:pStyle w:val="TableContents"/>
              <w:bidi w:val="0"/>
              <w:spacing w:before="0" w:after="0"/>
              <w:jc w:val="left"/>
              <w:rPr>
                <w:rFonts w:ascii="ARIAL" w:hAnsi="ARIAL"/>
                <w:sz w:val="20"/>
              </w:rPr>
            </w:pPr>
            <w:r>
              <w:rPr>
                <w:rFonts w:ascii="ARIAL" w:hAnsi="ARIAL"/>
                <w:sz w:val="20"/>
              </w:rPr>
              <w:t>Total</w:t>
            </w:r>
          </w:p>
        </w:tc>
        <w:tc>
          <w:tcPr>
            <w:tcW w:w="2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12,531,300</w:t>
            </w:r>
          </w:p>
        </w:tc>
        <w:tc>
          <w:tcPr>
            <w:tcW w:w="63" w:type="dxa"/>
            <w:tcBorders/>
            <w:vAlign w:val="bottom"/>
          </w:tcPr>
          <w:p>
            <w:pPr>
              <w:pStyle w:val="TableContents"/>
              <w:bidi w:val="0"/>
              <w:spacing w:before="0" w:after="283"/>
              <w:jc w:val="left"/>
              <w:rPr/>
            </w:pPr>
            <w:r>
              <w:rPr/>
              <w:t> </w:t>
            </w:r>
          </w:p>
        </w:tc>
      </w:tr>
      <w:tr>
        <w:trPr/>
        <w:tc>
          <w:tcPr>
            <w:tcW w:w="533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60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ADSs if any of them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ARIAL" w:hAnsi="ARIAL"/>
          <w:sz w:val="20"/>
        </w:rPr>
      </w:pPr>
      <w:r>
        <w:rPr>
          <w:rFonts w:ascii="ARIAL" w:hAnsi="ARIAL"/>
          <w:sz w:val="20"/>
        </w:rPr>
        <w:t xml:space="preserve">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240" w:after="0"/>
        <w:jc w:val="left"/>
        <w:rPr>
          <w:rFonts w:ascii="ARIAL" w:hAnsi="ARIAL"/>
          <w:sz w:val="20"/>
        </w:rPr>
      </w:pPr>
      <w:r>
        <w:rPr>
          <w:rFonts w:ascii="ARIAL" w:hAnsi="ARIAL"/>
          <w:sz w:val="20"/>
        </w:rPr>
        <w:t xml:space="preserve">The underwriters have advised us that, following the completion of this offering, they currently intend to make a market in the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ADSs, that you will be able to sell any of the ADSs held by you at a particular time or that the prices that you receive when you sell will be favorable. </w:t>
      </w:r>
    </w:p>
    <w:p>
      <w:pPr>
        <w:pStyle w:val="TextBody"/>
        <w:bidi w:val="0"/>
        <w:spacing w:before="240" w:after="0"/>
        <w:jc w:val="left"/>
        <w:rPr>
          <w:rFonts w:ascii="ARIAL" w:hAnsi="ARIAL"/>
          <w:sz w:val="20"/>
        </w:rPr>
      </w:pPr>
      <w:r>
        <w:rPr>
          <w:rFonts w:ascii="ARIAL" w:hAnsi="ARIAL"/>
          <w:sz w:val="20"/>
        </w:rPr>
        <w:t xml:space="preserve">The underwriters are offering the ADSs subject to their acceptance of the ADSs from us and subject to prior sale. The underwriters reserve the right to withdraw, cancel or modify offers to the investors and to reject orders in whole or in part. </w:t>
      </w:r>
    </w:p>
    <w:p>
      <w:pPr>
        <w:pStyle w:val="TextBody"/>
        <w:bidi w:val="0"/>
        <w:spacing w:before="240" w:after="0"/>
        <w:jc w:val="left"/>
        <w:rPr>
          <w:rFonts w:ascii="ARIAL" w:hAnsi="ARIAL"/>
          <w:b/>
          <w:i/>
          <w:sz w:val="20"/>
        </w:rPr>
      </w:pPr>
      <w:r>
        <w:rPr>
          <w:rFonts w:ascii="ARIAL" w:hAnsi="ARIAL"/>
          <w:b/>
          <w:i/>
          <w:sz w:val="20"/>
        </w:rPr>
        <w:t xml:space="preserve">Commission and Expenses </w:t>
      </w:r>
    </w:p>
    <w:p>
      <w:pPr>
        <w:pStyle w:val="TextBody"/>
        <w:bidi w:val="0"/>
        <w:spacing w:before="120" w:after="0"/>
        <w:jc w:val="left"/>
        <w:rPr>
          <w:rFonts w:ascii="ARIAL" w:hAnsi="ARIAL"/>
          <w:sz w:val="20"/>
        </w:rPr>
      </w:pPr>
      <w:r>
        <w:rPr>
          <w:rFonts w:ascii="ARIAL" w:hAnsi="ARIAL"/>
          <w:sz w:val="20"/>
        </w:rPr>
        <w:t xml:space="preserve">The underwriters have advised us that they propose to offer the ADSs to investors at the offering price set forth on the cover page of this prospectus supplement and to certain dealers, which may include the underwriters, at that price less a concession not in excess of $0.14364 per ADS. After the offering, the offering price, concession and reallowance to dealers may be reduced by the representatives. No such reduction will change the amount of proceeds to be received by us as set forth on the cover page of this prospectus supplement. </w:t>
      </w:r>
    </w:p>
    <w:p>
      <w:pPr>
        <w:pStyle w:val="TextBody"/>
        <w:bidi w:val="0"/>
        <w:spacing w:before="240" w:after="0"/>
        <w:jc w:val="left"/>
        <w:rPr>
          <w:rFonts w:ascii="ARIAL" w:hAnsi="ARIAL"/>
          <w:sz w:val="20"/>
        </w:rPr>
      </w:pPr>
      <w:r>
        <w:rPr>
          <w:rFonts w:ascii="ARIAL" w:hAnsi="ARIAL"/>
          <w:sz w:val="20"/>
        </w:rPr>
        <w:t xml:space="preserve">The following table shows the offering price, the underwriting discounts and commissions that we are to pay the underwriters and the proceeds, before expenses, to us in connection with this offering. </w:t>
      </w:r>
    </w:p>
    <w:p>
      <w:pPr>
        <w:pStyle w:val="TextBody"/>
        <w:bidi w:val="0"/>
        <w:spacing w:before="0" w:after="0"/>
        <w:jc w:val="left"/>
        <w:rPr/>
      </w:pPr>
      <w:r>
        <w:rPr/>
        <w:t> </w:t>
      </w:r>
    </w:p>
    <w:tbl>
      <w:tblPr>
        <w:tblW w:w="4000" w:type="pct"/>
        <w:jc w:val="center"/>
        <w:tblInd w:w="0" w:type="dxa"/>
        <w:tblLayout w:type="fixed"/>
        <w:tblCellMar>
          <w:top w:w="0" w:type="dxa"/>
          <w:left w:w="0" w:type="dxa"/>
          <w:bottom w:w="0" w:type="dxa"/>
          <w:right w:w="0" w:type="dxa"/>
        </w:tblCellMar>
      </w:tblPr>
      <w:tblGrid>
        <w:gridCol w:w="4416"/>
        <w:gridCol w:w="207"/>
        <w:gridCol w:w="160"/>
        <w:gridCol w:w="1102"/>
        <w:gridCol w:w="60"/>
        <w:gridCol w:w="302"/>
        <w:gridCol w:w="147"/>
        <w:gridCol w:w="1704"/>
        <w:gridCol w:w="66"/>
      </w:tblGrid>
      <w:tr>
        <w:trPr/>
        <w:tc>
          <w:tcPr>
            <w:tcW w:w="441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1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ADS</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416" w:type="dxa"/>
            <w:tcBorders/>
            <w:shd w:fill="CCEEFF" w:val="clear"/>
          </w:tcPr>
          <w:p>
            <w:pPr>
              <w:pStyle w:val="TableContents"/>
              <w:bidi w:val="0"/>
              <w:spacing w:before="0" w:after="0"/>
              <w:jc w:val="left"/>
              <w:rPr>
                <w:rFonts w:ascii="ARIAL" w:hAnsi="ARIAL"/>
                <w:sz w:val="20"/>
              </w:rPr>
            </w:pPr>
            <w:r>
              <w:rPr>
                <w:rFonts w:ascii="ARIAL" w:hAnsi="ARIAL"/>
                <w:sz w:val="20"/>
              </w:rPr>
              <w:t>Offering price</w:t>
            </w:r>
          </w:p>
        </w:tc>
        <w:tc>
          <w:tcPr>
            <w:tcW w:w="20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3.99</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704" w:type="dxa"/>
            <w:tcBorders/>
            <w:shd w:fill="CCEEFF" w:val="clear"/>
            <w:vAlign w:val="bottom"/>
          </w:tcPr>
          <w:p>
            <w:pPr>
              <w:pStyle w:val="TableContents"/>
              <w:bidi w:val="0"/>
              <w:spacing w:before="0" w:after="283"/>
              <w:jc w:val="right"/>
              <w:rPr/>
            </w:pPr>
            <w:r>
              <w:rPr/>
              <w:t>49,999,887.00</w:t>
            </w:r>
          </w:p>
        </w:tc>
        <w:tc>
          <w:tcPr>
            <w:tcW w:w="66" w:type="dxa"/>
            <w:tcBorders/>
            <w:shd w:fill="CCEEFF" w:val="clear"/>
            <w:vAlign w:val="bottom"/>
          </w:tcPr>
          <w:p>
            <w:pPr>
              <w:pStyle w:val="TableContents"/>
              <w:bidi w:val="0"/>
              <w:spacing w:before="0" w:after="283"/>
              <w:jc w:val="left"/>
              <w:rPr/>
            </w:pPr>
            <w:r>
              <w:rPr/>
              <w:t> </w:t>
            </w:r>
          </w:p>
        </w:tc>
      </w:tr>
      <w:tr>
        <w:trPr/>
        <w:tc>
          <w:tcPr>
            <w:tcW w:w="4416" w:type="dxa"/>
            <w:tcBorders/>
          </w:tcPr>
          <w:p>
            <w:pPr>
              <w:pStyle w:val="TableContents"/>
              <w:bidi w:val="0"/>
              <w:spacing w:before="0" w:after="0"/>
              <w:jc w:val="left"/>
              <w:rPr>
                <w:rFonts w:ascii="ARIAL" w:hAnsi="ARIAL"/>
                <w:sz w:val="20"/>
              </w:rPr>
            </w:pPr>
            <w:r>
              <w:rPr>
                <w:rFonts w:ascii="ARIAL" w:hAnsi="ARIAL"/>
                <w:sz w:val="20"/>
              </w:rPr>
              <w:t>Underwriting discounts and commissions</w:t>
            </w:r>
          </w:p>
        </w:tc>
        <w:tc>
          <w:tcPr>
            <w:tcW w:w="20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0.2394</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704" w:type="dxa"/>
            <w:tcBorders/>
            <w:vAlign w:val="bottom"/>
          </w:tcPr>
          <w:p>
            <w:pPr>
              <w:pStyle w:val="TableContents"/>
              <w:bidi w:val="0"/>
              <w:spacing w:before="0" w:after="283"/>
              <w:jc w:val="right"/>
              <w:rPr/>
            </w:pPr>
            <w:r>
              <w:rPr/>
              <w:t>2,999,993.22</w:t>
            </w:r>
          </w:p>
        </w:tc>
        <w:tc>
          <w:tcPr>
            <w:tcW w:w="66" w:type="dxa"/>
            <w:tcBorders/>
            <w:vAlign w:val="bottom"/>
          </w:tcPr>
          <w:p>
            <w:pPr>
              <w:pStyle w:val="TableContents"/>
              <w:bidi w:val="0"/>
              <w:spacing w:before="0" w:after="283"/>
              <w:jc w:val="left"/>
              <w:rPr/>
            </w:pPr>
            <w:r>
              <w:rPr/>
              <w:t> </w:t>
            </w:r>
          </w:p>
        </w:tc>
      </w:tr>
      <w:tr>
        <w:trPr/>
        <w:tc>
          <w:tcPr>
            <w:tcW w:w="4416" w:type="dxa"/>
            <w:tcBorders/>
            <w:shd w:fill="CCEEFF" w:val="clear"/>
          </w:tcPr>
          <w:p>
            <w:pPr>
              <w:pStyle w:val="TableContents"/>
              <w:bidi w:val="0"/>
              <w:spacing w:before="0" w:after="0"/>
              <w:jc w:val="left"/>
              <w:rPr>
                <w:rFonts w:ascii="ARIAL" w:hAnsi="ARIAL"/>
                <w:sz w:val="20"/>
              </w:rPr>
            </w:pPr>
            <w:r>
              <w:rPr>
                <w:rFonts w:ascii="ARIAL" w:hAnsi="ARIAL"/>
                <w:sz w:val="20"/>
              </w:rPr>
              <w:t>Proceeds to us, before expenses</w:t>
            </w:r>
          </w:p>
        </w:tc>
        <w:tc>
          <w:tcPr>
            <w:tcW w:w="20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3.75060</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704" w:type="dxa"/>
            <w:tcBorders/>
            <w:shd w:fill="CCEEFF" w:val="clear"/>
            <w:vAlign w:val="bottom"/>
          </w:tcPr>
          <w:p>
            <w:pPr>
              <w:pStyle w:val="TableContents"/>
              <w:bidi w:val="0"/>
              <w:spacing w:before="0" w:after="283"/>
              <w:jc w:val="right"/>
              <w:rPr/>
            </w:pPr>
            <w:r>
              <w:rPr/>
              <w:t>46,999,893.78</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We estimate expenses payable by us in connection with this offering, other than the underwriting discounts and commissions referred to above, will be approximately $1.1 million. We also have agreed to reimburse the underwriters for up to $25,000 for their FINRA counsel fee. In accordance with FINRA Rule 5110, this reimbursed fee is deemed underwriting compensation for this offering. </w:t>
      </w:r>
    </w:p>
    <w:p>
      <w:pPr>
        <w:pStyle w:val="TextBody"/>
        <w:bidi w:val="0"/>
        <w:spacing w:before="240" w:after="0"/>
        <w:jc w:val="left"/>
        <w:rPr>
          <w:rFonts w:ascii="ARIAL" w:hAnsi="ARIAL"/>
          <w:b/>
          <w:i/>
          <w:sz w:val="20"/>
        </w:rPr>
      </w:pPr>
      <w:r>
        <w:rPr>
          <w:rFonts w:ascii="ARIAL" w:hAnsi="ARIAL"/>
          <w:b/>
          <w:i/>
          <w:sz w:val="20"/>
        </w:rPr>
        <w:t xml:space="preserve">Listing </w:t>
      </w:r>
    </w:p>
    <w:p>
      <w:pPr>
        <w:pStyle w:val="TextBody"/>
        <w:bidi w:val="0"/>
        <w:spacing w:before="120" w:after="0"/>
        <w:jc w:val="left"/>
        <w:rPr>
          <w:rFonts w:ascii="ARIAL" w:hAnsi="ARIAL"/>
          <w:sz w:val="20"/>
        </w:rPr>
      </w:pPr>
      <w:r>
        <w:rPr>
          <w:rFonts w:ascii="ARIAL" w:hAnsi="ARIAL"/>
          <w:sz w:val="20"/>
        </w:rPr>
        <w:t xml:space="preserve">The ADSs are listed on The Nasdaq Capital Market under the trading symbol MREO. </w:t>
      </w:r>
    </w:p>
    <w:p>
      <w:pPr>
        <w:pStyle w:val="TextBody"/>
        <w:bidi w:val="0"/>
        <w:spacing w:before="240" w:after="0"/>
        <w:jc w:val="left"/>
        <w:rPr>
          <w:rFonts w:ascii="ARIAL" w:hAnsi="ARIAL"/>
          <w:b/>
          <w:i/>
          <w:sz w:val="20"/>
        </w:rPr>
      </w:pPr>
      <w:r>
        <w:rPr>
          <w:rFonts w:ascii="ARIAL" w:hAnsi="ARIAL"/>
          <w:b/>
          <w:i/>
          <w:sz w:val="20"/>
        </w:rPr>
        <w:t xml:space="preserve">Stamp Taxes </w:t>
      </w:r>
    </w:p>
    <w:p>
      <w:pPr>
        <w:pStyle w:val="TextBody"/>
        <w:bidi w:val="0"/>
        <w:spacing w:before="120" w:after="0"/>
        <w:jc w:val="left"/>
        <w:rPr>
          <w:rFonts w:ascii="ARIAL" w:hAnsi="ARIAL"/>
          <w:sz w:val="20"/>
        </w:rPr>
      </w:pPr>
      <w:r>
        <w:rPr>
          <w:rFonts w:ascii="ARIAL" w:hAnsi="ARIAL"/>
          <w:sz w:val="20"/>
        </w:rPr>
        <w:t xml:space="preserve">If you purchase ADSs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before="240" w:after="0"/>
        <w:jc w:val="left"/>
        <w:rPr>
          <w:rFonts w:ascii="ARIAL" w:hAnsi="ARIAL"/>
          <w:b/>
          <w:i/>
          <w:sz w:val="20"/>
        </w:rPr>
      </w:pPr>
      <w:r>
        <w:rPr>
          <w:rFonts w:ascii="ARIAL" w:hAnsi="ARIAL"/>
          <w:b/>
          <w:i/>
          <w:sz w:val="20"/>
        </w:rPr>
        <w:t xml:space="preserve">No Sales of Similar Securities </w:t>
      </w:r>
    </w:p>
    <w:p>
      <w:pPr>
        <w:pStyle w:val="TextBody"/>
        <w:bidi w:val="0"/>
        <w:spacing w:before="120" w:after="0"/>
        <w:jc w:val="left"/>
        <w:rPr>
          <w:rFonts w:ascii="ARIAL" w:hAnsi="ARIAL"/>
          <w:sz w:val="20"/>
        </w:rPr>
      </w:pPr>
      <w:r>
        <w:rPr>
          <w:rFonts w:ascii="ARIAL" w:hAnsi="ARIAL"/>
          <w:sz w:val="20"/>
        </w:rPr>
        <w:t xml:space="preserve">We, our officers, directors and one of our shareholders have agreed, subject to specified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sell, offer, contract or grant any option to sell (including any short sale), pledge, transfer, establish an open put equivalent position within the meaning of Rule 16a-l(h) under the Securities Exchange Act of 1934, as amended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otherwise dispose of any ordinary shares or ADSs, options or warrants to acquire ordinary shares or ADSs, or securities exchangeable or exercisable for or convertible into ordinary shares or ADSs currently or hereafter owned either of record or beneficially,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publicly announce an intention to do any of the foregoing for a period of 60 days after the date of this prospectus supplement without the prior written consent of the representatives. </w:t>
            </w:r>
          </w:p>
        </w:tc>
      </w:tr>
    </w:tbl>
    <w:p>
      <w:pPr>
        <w:pStyle w:val="TextBody"/>
        <w:bidi w:val="0"/>
        <w:spacing w:before="240" w:after="0"/>
        <w:jc w:val="left"/>
        <w:rPr>
          <w:rFonts w:ascii="ARIAL" w:hAnsi="ARIAL"/>
          <w:sz w:val="20"/>
        </w:rPr>
      </w:pPr>
      <w:r>
        <w:rPr>
          <w:rFonts w:ascii="ARIAL" w:hAnsi="ARIAL"/>
          <w:sz w:val="20"/>
        </w:rPr>
        <w:t xml:space="preserve">These restrictions terminate after the close of trading of the ADSs on and including the 60th day after the date of this prospectus supplement (the Lock-up Period). The restrictions described above do not apply to transfers or dispositions of our ordinary shares or ADSs: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transfer or surrender of ordinary shares or ADSs (1) pursuant to any contractual arrangement that provides the Company with an option to repurchase such securities in connection with the termination of the employment or other service relationship with the Company of the party subject to the lock-up restrictions, (2) to cover tax withholding obligations of the party subject to the lock-up restrictions or in connection with a vesting event of the Companys securities or (3) upon the exercise of options to purchase the Companys securities on a cashless or net exercise basis pursuant to any share option, share bonus or other share plan or arrangement or to cover tax withholding obligations of the party subject to the lock-up restrictions in connection with such exercise, provided, however, that any filing under Section 16(a) of the Exchange Act shall clearly indicate in the footnotes thereto that the filing relates to the respective circumstance described above and, provided further however, that Companys directors and officers may file a notice on Form 144 in connection with any sales of securities under the respective circumstances described above during the Lock-up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and sales of our ADSs pursuant to our existing ATM sale agreement with Jefferies LLC. </w:t>
            </w:r>
          </w:p>
        </w:tc>
      </w:tr>
    </w:tbl>
    <w:p>
      <w:pPr>
        <w:pStyle w:val="TextBody"/>
        <w:bidi w:val="0"/>
        <w:spacing w:before="240" w:after="0"/>
        <w:jc w:val="left"/>
        <w:rPr>
          <w:rFonts w:ascii="ARIAL" w:hAnsi="ARIAL"/>
          <w:sz w:val="20"/>
        </w:rPr>
      </w:pPr>
      <w:r>
        <w:rPr>
          <w:rFonts w:ascii="ARIAL" w:hAnsi="ARIAL"/>
          <w:sz w:val="20"/>
        </w:rPr>
        <w:t xml:space="preserve">The representatives may, in their sole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 capital prior to the expiration of the lock-up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Stabilization </w:t>
      </w:r>
    </w:p>
    <w:p>
      <w:pPr>
        <w:pStyle w:val="TextBody"/>
        <w:bidi w:val="0"/>
        <w:spacing w:before="120" w:after="0"/>
        <w:jc w:val="left"/>
        <w:rPr>
          <w:rFonts w:ascii="ARIAL" w:hAnsi="ARIAL"/>
          <w:sz w:val="20"/>
        </w:rPr>
      </w:pPr>
      <w:r>
        <w:rPr>
          <w:rFonts w:ascii="ARIAL" w:hAnsi="ARIAL"/>
          <w:sz w:val="20"/>
        </w:rPr>
        <w:t xml:space="preserve">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ADSs at a level above that which might otherwise prevail in the open market. Establishing short sales positions may involve either covered short sales or naked short sales. </w:t>
      </w:r>
    </w:p>
    <w:p>
      <w:pPr>
        <w:pStyle w:val="TextBody"/>
        <w:bidi w:val="0"/>
        <w:spacing w:before="240" w:after="0"/>
        <w:jc w:val="left"/>
        <w:rPr>
          <w:rFonts w:ascii="ARIAL" w:hAnsi="ARIAL"/>
          <w:sz w:val="20"/>
        </w:rPr>
      </w:pPr>
      <w:r>
        <w:rPr>
          <w:rFonts w:ascii="ARIAL" w:hAnsi="ARIAL"/>
          <w:sz w:val="20"/>
        </w:rPr>
        <w:t xml:space="preserve">A stabilizing bid is a bid for the purchase of ADSs on behalf of the underwriters for the purpose of fixing or maintaining the price of the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A penalty bid is an arrangement permitting the underwriters to reclaim the selling concession otherwise accruing to a syndicate member in connection with the offering if the ADSs originally sold by such syndicate member are purchased in a syndicate covering transaction and therefore have not been effectively placed by such syndicate member. </w:t>
      </w:r>
    </w:p>
    <w:p>
      <w:pPr>
        <w:pStyle w:val="TextBody"/>
        <w:bidi w:val="0"/>
        <w:spacing w:before="240" w:after="0"/>
        <w:jc w:val="left"/>
        <w:rPr>
          <w:rFonts w:ascii="ARIAL" w:hAnsi="ARIAL"/>
          <w:sz w:val="20"/>
        </w:rPr>
      </w:pPr>
      <w:r>
        <w:rPr>
          <w:rFonts w:ascii="ARIAL" w:hAnsi="ARIAL"/>
          <w:sz w:val="20"/>
        </w:rPr>
        <w:t xml:space="preserve">Neither we, nor any of the underwriters make any representation or prediction as to the direction or magnitude of any effect that the transactions described above may have on the price of our ADSs. The underwriters are not obligated to engage in these activities and, if commenced, any of the activities may be discontinued at any time. </w:t>
      </w:r>
    </w:p>
    <w:p>
      <w:pPr>
        <w:pStyle w:val="TextBody"/>
        <w:bidi w:val="0"/>
        <w:spacing w:before="240" w:after="0"/>
        <w:jc w:val="left"/>
        <w:rPr>
          <w:rFonts w:ascii="ARIAL" w:hAnsi="ARIAL"/>
          <w:sz w:val="20"/>
        </w:rPr>
      </w:pPr>
      <w:r>
        <w:rPr>
          <w:rFonts w:ascii="ARIAL" w:hAnsi="ARIAL"/>
          <w:sz w:val="20"/>
        </w:rPr>
        <w:t xml:space="preserve">The underwriters may also engage in passive market making transactions in our ADSs on The Nasdaq Capital Market in accordance with Rule 103 of Regulation M during a period before the commencement of offers or sales of our ADSs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240" w:after="0"/>
        <w:jc w:val="left"/>
        <w:rPr>
          <w:rFonts w:ascii="ARIAL" w:hAnsi="ARIAL"/>
          <w:b/>
          <w:i/>
          <w:sz w:val="20"/>
        </w:rPr>
      </w:pPr>
      <w:r>
        <w:rPr>
          <w:rFonts w:ascii="ARIAL" w:hAnsi="ARIAL"/>
          <w:b/>
          <w:i/>
          <w:sz w:val="20"/>
        </w:rPr>
        <w:t xml:space="preserve">Electronic Distribution </w:t>
      </w:r>
    </w:p>
    <w:p>
      <w:pPr>
        <w:pStyle w:val="TextBody"/>
        <w:bidi w:val="0"/>
        <w:spacing w:before="120" w:after="0"/>
        <w:jc w:val="left"/>
        <w:rPr>
          <w:rFonts w:ascii="ARIAL" w:hAnsi="ARIAL"/>
          <w:sz w:val="20"/>
        </w:rPr>
      </w:pPr>
      <w:r>
        <w:rPr>
          <w:rFonts w:ascii="ARIAL" w:hAnsi="ARIAL"/>
          <w:sz w:val="20"/>
        </w:rPr>
        <w:t xml:space="preserve">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 </w:t>
      </w:r>
    </w:p>
    <w:p>
      <w:pPr>
        <w:pStyle w:val="TextBody"/>
        <w:bidi w:val="0"/>
        <w:spacing w:before="240" w:after="0"/>
        <w:jc w:val="left"/>
        <w:rPr>
          <w:rFonts w:ascii="ARIAL" w:hAnsi="ARIAL"/>
          <w:b/>
          <w:i/>
          <w:sz w:val="20"/>
        </w:rPr>
      </w:pPr>
      <w:r>
        <w:rPr>
          <w:rFonts w:ascii="ARIAL" w:hAnsi="ARIAL"/>
          <w:b/>
          <w:i/>
          <w:sz w:val="20"/>
        </w:rPr>
        <w:t xml:space="preserve">Other Activities and Relationships </w:t>
      </w:r>
    </w:p>
    <w:p>
      <w:pPr>
        <w:pStyle w:val="TextBody"/>
        <w:bidi w:val="0"/>
        <w:spacing w:before="120" w:after="0"/>
        <w:jc w:val="left"/>
        <w:rPr>
          <w:rFonts w:ascii="ARIAL" w:hAnsi="ARIAL"/>
          <w:sz w:val="20"/>
        </w:rPr>
      </w:pPr>
      <w:r>
        <w:rPr>
          <w:rFonts w:ascii="ARIAL" w:hAnsi="ARIAL"/>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For example, Jefferies LLC is the sales agent under an Open Market Sale AgreementSM dated as of May 15, 2024, with us. Under the Open Market Sale AgreementSM, we may offer and sell, from time to time, ADSs through Jefferies LLC through an at the market offering as defined in Rule 415(a)(4) promulgated under the Securities Act. </w:t>
      </w:r>
    </w:p>
    <w:p>
      <w:pPr>
        <w:pStyle w:val="TextBody"/>
        <w:bidi w:val="0"/>
        <w:spacing w:before="240" w:after="0"/>
        <w:jc w:val="left"/>
        <w:rPr>
          <w:rFonts w:ascii="ARIAL" w:hAnsi="ARIAL"/>
          <w:sz w:val="20"/>
        </w:rPr>
      </w:pPr>
      <w:r>
        <w:rPr>
          <w:rFonts w:ascii="ARIAL" w:hAnsi="ARIAL"/>
          <w:sz w:val="20"/>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offered hereby. Any such short positions could adversely affect future 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240" w:after="0"/>
        <w:jc w:val="left"/>
        <w:rPr>
          <w:rFonts w:ascii="ARIAL" w:hAnsi="ARIAL"/>
          <w:b/>
          <w:sz w:val="20"/>
        </w:rPr>
      </w:pPr>
      <w:r>
        <w:rPr>
          <w:rFonts w:ascii="ARIAL" w:hAnsi="ARIAL"/>
          <w:b/>
          <w:sz w:val="20"/>
        </w:rPr>
        <w:t xml:space="preserve">Notice to Investors </w:t>
      </w:r>
    </w:p>
    <w:p>
      <w:pPr>
        <w:pStyle w:val="TextBody"/>
        <w:bidi w:val="0"/>
        <w:spacing w:before="120" w:after="0"/>
        <w:jc w:val="left"/>
        <w:rPr>
          <w:rFonts w:ascii="ARIAL" w:hAnsi="ARIAL"/>
          <w:b/>
          <w:i/>
          <w:sz w:val="20"/>
        </w:rPr>
      </w:pPr>
      <w:r>
        <w:rPr>
          <w:rFonts w:ascii="ARIAL" w:hAnsi="ARIAL"/>
          <w:b/>
          <w:i/>
          <w:sz w:val="20"/>
        </w:rPr>
        <w:t xml:space="preserve">Australia </w:t>
      </w:r>
    </w:p>
    <w:p>
      <w:pPr>
        <w:pStyle w:val="TextBody"/>
        <w:bidi w:val="0"/>
        <w:spacing w:before="120" w:after="0"/>
        <w:jc w:val="left"/>
        <w:rPr>
          <w:rFonts w:ascii="ARIAL" w:hAnsi="ARIAL"/>
          <w:sz w:val="20"/>
        </w:rPr>
      </w:pPr>
      <w:r>
        <w:rPr>
          <w:rFonts w:ascii="ARIAL" w:hAnsi="ARIAL"/>
          <w:sz w:val="20"/>
        </w:rPr>
        <w:t xml:space="preserve">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w:t>
      </w:r>
    </w:p>
    <w:p>
      <w:pPr>
        <w:pStyle w:val="TextBody"/>
        <w:bidi w:val="0"/>
        <w:spacing w:before="240" w:after="0"/>
        <w:jc w:val="left"/>
        <w:rPr>
          <w:rFonts w:ascii="ARIAL" w:hAnsi="ARIAL"/>
          <w:sz w:val="20"/>
        </w:rPr>
      </w:pPr>
      <w:r>
        <w:rPr>
          <w:rFonts w:ascii="ARIAL" w:hAnsi="ARIAL"/>
          <w:sz w:val="20"/>
        </w:rPr>
        <w:t xml:space="preserve">Accordingly, if you receive this prospectus supplement in Australia, 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professional investor within the meaning of section 708(11)(a) or (b) of the Corporations Act. </w:t>
            </w:r>
          </w:p>
        </w:tc>
      </w:tr>
    </w:tbl>
    <w:p>
      <w:pPr>
        <w:pStyle w:val="TextBody"/>
        <w:bidi w:val="0"/>
        <w:spacing w:before="240" w:after="0"/>
        <w:jc w:val="left"/>
        <w:rPr>
          <w:rFonts w:ascii="ARIAL" w:hAnsi="ARIAL"/>
          <w:sz w:val="20"/>
        </w:rPr>
      </w:pPr>
      <w:r>
        <w:rPr>
          <w:rFonts w:ascii="ARIAL" w:hAnsi="ARIAL"/>
          <w:sz w:val="20"/>
        </w:rPr>
        <w:t xml:space="preserve">To the extent that you are unable to confirm or warrant that you are an exempt sophisticated investor or professional investor under the Corporations Act any offer made to you under this prospectus supplement is void and incapable of acceptance. </w:t>
      </w:r>
    </w:p>
    <w:p>
      <w:pPr>
        <w:pStyle w:val="TextBody"/>
        <w:bidi w:val="0"/>
        <w:spacing w:before="240" w:after="0"/>
        <w:jc w:val="left"/>
        <w:rPr>
          <w:rFonts w:ascii="ARIAL" w:hAnsi="ARIAL"/>
          <w:sz w:val="20"/>
        </w:rPr>
      </w:pPr>
      <w:r>
        <w:rPr>
          <w:rFonts w:ascii="ARIAL" w:hAnsi="ARIAL"/>
          <w:sz w:val="20"/>
        </w:rPr>
        <w:t xml:space="preserve">You warrant and agree that you will not offer any of the shares issued to you pursuant to this prospectus supplement for resale in Australia within 12 months of those securities being issued unless any such resale offer is exempt from the requirement to issue a disclosure document under section 708 of the Corporations Act. </w:t>
      </w:r>
    </w:p>
    <w:p>
      <w:pPr>
        <w:pStyle w:val="TextBody"/>
        <w:bidi w:val="0"/>
        <w:spacing w:before="240" w:after="0"/>
        <w:jc w:val="left"/>
        <w:rPr>
          <w:rFonts w:ascii="ARIAL" w:hAnsi="ARIAL"/>
          <w:b/>
          <w:i/>
          <w:sz w:val="20"/>
        </w:rPr>
      </w:pPr>
      <w:r>
        <w:rPr>
          <w:rFonts w:ascii="ARIAL" w:hAnsi="ARIAL"/>
          <w:b/>
          <w:i/>
          <w:sz w:val="20"/>
        </w:rPr>
        <w:t xml:space="preserve">Canada </w:t>
      </w:r>
    </w:p>
    <w:p>
      <w:pPr>
        <w:pStyle w:val="TextBody"/>
        <w:bidi w:val="0"/>
        <w:spacing w:before="120" w:after="0"/>
        <w:jc w:val="left"/>
        <w:rPr>
          <w:rFonts w:ascii="ARIAL" w:hAnsi="ARIAL"/>
          <w:sz w:val="20"/>
        </w:rPr>
      </w:pPr>
      <w:r>
        <w:rPr>
          <w:rFonts w:ascii="ARIAL" w:hAnsi="ARIAL"/>
          <w:sz w:val="20"/>
        </w:rPr>
        <w:t xml:space="preserve">The securities may be sold only to purchasers purchasing, or deemed to be purchasing, as principal that are accredited investors, as defined in National Instrument 45-106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240" w:after="0"/>
        <w:jc w:val="left"/>
        <w:rPr>
          <w:rFonts w:ascii="ARIAL" w:hAnsi="ARIAL"/>
          <w:b/>
          <w:i/>
          <w:sz w:val="20"/>
        </w:rPr>
      </w:pPr>
      <w:r>
        <w:rPr>
          <w:rFonts w:ascii="ARIAL" w:hAnsi="ARIAL"/>
          <w:b/>
          <w:i/>
          <w:sz w:val="20"/>
        </w:rPr>
        <w:t xml:space="preserve">European Economic Area </w:t>
      </w:r>
    </w:p>
    <w:p>
      <w:pPr>
        <w:pStyle w:val="TextBody"/>
        <w:bidi w:val="0"/>
        <w:spacing w:before="120" w:after="0"/>
        <w:jc w:val="left"/>
        <w:rPr>
          <w:rFonts w:ascii="ARIAL" w:hAnsi="ARIAL"/>
          <w:sz w:val="20"/>
        </w:rPr>
      </w:pPr>
      <w:r>
        <w:rPr>
          <w:rFonts w:ascii="ARIAL" w:hAnsi="ARIAL"/>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in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Article 1(4) of the Prospectus Regulation, </w:t>
            </w:r>
          </w:p>
        </w:tc>
      </w:tr>
    </w:tbl>
    <w:p>
      <w:pPr>
        <w:pStyle w:val="TextBody"/>
        <w:bidi w:val="0"/>
        <w:spacing w:before="240" w:after="0"/>
        <w:jc w:val="left"/>
        <w:rPr>
          <w:rFonts w:ascii="ARIAL" w:hAnsi="ARIAL"/>
          <w:sz w:val="20"/>
        </w:rPr>
      </w:pPr>
      <w:r>
        <w:rPr>
          <w:rFonts w:ascii="ARIAL" w:hAnsi="ARIAL"/>
          <w:sz w:val="20"/>
        </w:rPr>
        <w:t xml:space="preserve">provided that no such offer of the securities shall require us or any underwriter to publish a prospectus pursuant to Article 3 of the Prospectus Regulation or supplement a prospectus pursuant to Article 23 of the Prospectus Regulation. </w:t>
      </w:r>
    </w:p>
    <w:p>
      <w:pPr>
        <w:pStyle w:val="TextBody"/>
        <w:bidi w:val="0"/>
        <w:spacing w:before="240" w:after="0"/>
        <w:jc w:val="left"/>
        <w:rPr>
          <w:rFonts w:ascii="ARIAL" w:hAnsi="ARIAL"/>
          <w:sz w:val="20"/>
        </w:rPr>
      </w:pPr>
      <w:r>
        <w:rPr>
          <w:rFonts w:ascii="ARIAL" w:hAnsi="ARIAL"/>
          <w:sz w:val="20"/>
        </w:rPr>
        <w:t xml:space="preserve">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240" w:after="0"/>
        <w:jc w:val="left"/>
        <w:rPr>
          <w:rFonts w:ascii="ARIAL" w:hAnsi="ARIAL"/>
          <w:sz w:val="20"/>
        </w:rPr>
      </w:pPr>
      <w:r>
        <w:rPr>
          <w:rFonts w:ascii="ARIAL" w:hAnsi="ARIAL"/>
          <w:sz w:val="20"/>
        </w:rPr>
        <w:t xml:space="preserve">This prospectus supplement has been prepared on the basis that any offer of ADSs in any Relevant State will be made pursuant to an exemption under the Prospectus Regulation from the requirement to publish a prospectus for offers of securities. Accordingly any person making or intending to make an offer in any Relevant State of securities which are the subject of the offering contemplated in this prospectus supplement may only do so in circumstances in which no obligation arises for us or any of the underwriters to publish a prospectus pursuant to Article 3 of the Prospectus Regulation in relation to such offer. Neither we nor the underwriters have authorized, nor do they authorize, the making of any offer of ADSs in circumstances in which an obligation arises for us or the underwriters to publish a prospectus for such offer.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Hong Kong </w:t>
      </w:r>
    </w:p>
    <w:p>
      <w:pPr>
        <w:pStyle w:val="TextBody"/>
        <w:bidi w:val="0"/>
        <w:spacing w:before="120" w:after="0"/>
        <w:jc w:val="left"/>
        <w:rPr>
          <w:rFonts w:ascii="ARIAL" w:hAnsi="ARIAL"/>
          <w:sz w:val="20"/>
        </w:rPr>
      </w:pPr>
      <w:r>
        <w:rPr>
          <w:rFonts w:ascii="ARIAL" w:hAnsi="ARIAL"/>
          <w:sz w:val="20"/>
        </w:rPr>
        <w:t xml:space="preserve">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within the meaning of the Companies Ordinance (Cap.32) of Hong Kong.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of Hong Kong and any rules made under that Ordinance. </w:t>
      </w:r>
    </w:p>
    <w:p>
      <w:pPr>
        <w:pStyle w:val="TextBody"/>
        <w:bidi w:val="0"/>
        <w:spacing w:before="240" w:after="0"/>
        <w:jc w:val="left"/>
        <w:rPr>
          <w:rFonts w:ascii="ARIAL" w:hAnsi="ARIAL"/>
          <w:sz w:val="20"/>
        </w:rPr>
      </w:pPr>
      <w:r>
        <w:rPr>
          <w:rFonts w:ascii="ARIAL" w:hAnsi="ARIAL"/>
          <w:sz w:val="20"/>
        </w:rPr>
        <w:t xml:space="preserve">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 </w:t>
      </w:r>
    </w:p>
    <w:p>
      <w:pPr>
        <w:pStyle w:val="TextBody"/>
        <w:bidi w:val="0"/>
        <w:spacing w:before="240" w:after="0"/>
        <w:jc w:val="left"/>
        <w:rPr>
          <w:rFonts w:ascii="ARIAL" w:hAnsi="ARIAL"/>
          <w:b/>
          <w:i/>
          <w:sz w:val="20"/>
        </w:rPr>
      </w:pPr>
      <w:r>
        <w:rPr>
          <w:rFonts w:ascii="ARIAL" w:hAnsi="ARIAL"/>
          <w:b/>
          <w:i/>
          <w:sz w:val="20"/>
        </w:rPr>
        <w:t xml:space="preserve">Japan </w:t>
      </w:r>
    </w:p>
    <w:p>
      <w:pPr>
        <w:pStyle w:val="TextBody"/>
        <w:bidi w:val="0"/>
        <w:spacing w:before="120" w:after="0"/>
        <w:jc w:val="left"/>
        <w:rPr>
          <w:rFonts w:ascii="ARIAL" w:hAnsi="ARIAL"/>
          <w:sz w:val="20"/>
        </w:rPr>
      </w:pPr>
      <w:r>
        <w:rPr>
          <w:rFonts w:ascii="ARIAL" w:hAnsi="ARIAL"/>
          <w:sz w:val="20"/>
        </w:rPr>
        <w:t xml:space="preserve">The offering has not been and will not be registered under the Financial Instruments and Exchange Law of Japan (Law No. 25 of 1948 of Japan, as amended) (the FIEL), and will not offer or sell any securities, directly or indirectly, in Japan or to, or for the benefit of, any resident of Japan (which term as the underwriters used herein means any person resident in Japan, including any corporation or other entity organized under the laws of Japan), or to others for re-offering or resale, directly or indirectly, in Japan,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before="240" w:after="0"/>
        <w:jc w:val="left"/>
        <w:rPr>
          <w:rFonts w:ascii="ARIAL" w:hAnsi="ARIAL"/>
          <w:b/>
          <w:i/>
          <w:sz w:val="20"/>
        </w:rPr>
      </w:pPr>
      <w:r>
        <w:rPr>
          <w:rFonts w:ascii="ARIAL" w:hAnsi="ARIAL"/>
          <w:b/>
          <w:i/>
          <w:sz w:val="20"/>
        </w:rPr>
        <w:t xml:space="preserve">Notice to Prospective Investors in Singapore </w:t>
      </w:r>
    </w:p>
    <w:p>
      <w:pPr>
        <w:pStyle w:val="TextBody"/>
        <w:bidi w:val="0"/>
        <w:spacing w:before="120" w:after="0"/>
        <w:jc w:val="left"/>
        <w:rPr>
          <w:rFonts w:ascii="ARIAL" w:hAnsi="ARIAL"/>
          <w:sz w:val="20"/>
        </w:rPr>
      </w:pPr>
      <w:r>
        <w:rPr>
          <w:rFonts w:ascii="ARIAL" w:hAnsi="ARIAL"/>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ARIAL" w:hAnsi="ARIAL"/>
          <w:sz w:val="20"/>
        </w:rPr>
      </w:pPr>
      <w:r>
        <w:rPr>
          <w:rFonts w:ascii="ARIAL" w:hAnsi="ARIAL"/>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as specified in Regulation 32 of the Securities and Futures (Offers of Investments) (Shares and Debentures) Regulations 2005 of Singapore. </w:t>
            </w:r>
          </w:p>
        </w:tc>
      </w:tr>
    </w:tbl>
    <w:p>
      <w:pPr>
        <w:pStyle w:val="TextBody"/>
        <w:bidi w:val="0"/>
        <w:spacing w:before="240" w:after="0"/>
        <w:jc w:val="left"/>
        <w:rPr>
          <w:rFonts w:ascii="ARIAL" w:hAnsi="ARIAL"/>
          <w:b/>
          <w:i/>
          <w:sz w:val="20"/>
        </w:rPr>
      </w:pPr>
      <w:r>
        <w:rPr>
          <w:rFonts w:ascii="ARIAL" w:hAnsi="ARIAL"/>
          <w:b/>
          <w:i/>
          <w:sz w:val="20"/>
        </w:rPr>
        <w:t xml:space="preserve">Notice to Prospective Investors in Switzerland </w:t>
      </w:r>
    </w:p>
    <w:p>
      <w:pPr>
        <w:pStyle w:val="TextBody"/>
        <w:bidi w:val="0"/>
        <w:spacing w:before="120" w:after="0"/>
        <w:jc w:val="left"/>
        <w:rPr>
          <w:rFonts w:ascii="ARIAL" w:hAnsi="ARIAL"/>
          <w:sz w:val="20"/>
        </w:rPr>
      </w:pPr>
      <w:r>
        <w:rPr>
          <w:rFonts w:ascii="ARIAL" w:hAnsi="ARIAL"/>
          <w:sz w:val="20"/>
        </w:rPr>
        <w:t xml:space="preserve">The securities may not be publicly offered in Switzerland and will not be listed on the SIX Swiss Exchange (the SIX), or on any other stock exchange or regulated trading facility in Switzerland. This prospectus supplement and the accompanying prospectus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have nor any other offering or marketing material relating to the securities or the offering may be publicly distributed or otherwise made publicly available in Switzerland. </w:t>
      </w:r>
    </w:p>
    <w:p>
      <w:pPr>
        <w:pStyle w:val="TextBody"/>
        <w:bidi w:val="0"/>
        <w:spacing w:before="240" w:after="0"/>
        <w:jc w:val="left"/>
        <w:rPr>
          <w:rFonts w:ascii="ARIAL" w:hAnsi="ARIAL"/>
          <w:sz w:val="20"/>
        </w:rPr>
      </w:pPr>
      <w:r>
        <w:rPr>
          <w:rFonts w:ascii="ARIAL" w:hAnsi="ARIAL"/>
          <w:sz w:val="20"/>
        </w:rPr>
        <w:t xml:space="preserve">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the securities will not be supervised by, the Swiss Financial Market Supervisory Authority FINMA (the FINMA), and the offer of the securities has not been and will not be authorized under the Swiss Federal Act on Collective Investment Schemes (the CISA). The investor protection afforded to acquirers of interests in collective investment schemes under the CISA does not extend to acquirers of securities. </w:t>
      </w:r>
    </w:p>
    <w:p>
      <w:pPr>
        <w:pStyle w:val="TextBody"/>
        <w:bidi w:val="0"/>
        <w:spacing w:before="240" w:after="0"/>
        <w:jc w:val="left"/>
        <w:rPr>
          <w:rFonts w:ascii="ARIAL" w:hAnsi="ARIAL"/>
          <w:b/>
          <w:i/>
          <w:sz w:val="20"/>
        </w:rPr>
      </w:pPr>
      <w:r>
        <w:rPr>
          <w:rFonts w:ascii="ARIAL" w:hAnsi="ARIAL"/>
          <w:b/>
          <w:i/>
          <w:sz w:val="20"/>
        </w:rPr>
        <w:t xml:space="preserve">United Kingdom </w:t>
      </w:r>
    </w:p>
    <w:p>
      <w:pPr>
        <w:pStyle w:val="TextBody"/>
        <w:bidi w:val="0"/>
        <w:spacing w:before="120" w:after="0"/>
        <w:jc w:val="left"/>
        <w:rPr>
          <w:rFonts w:ascii="ARIAL" w:hAnsi="ARIAL"/>
          <w:sz w:val="20"/>
        </w:rPr>
      </w:pPr>
      <w:r>
        <w:rPr>
          <w:rFonts w:ascii="ARIAL" w:hAnsi="ARIAL"/>
          <w:sz w:val="20"/>
        </w:rPr>
        <w:t xml:space="preserve">No securities have been offered or will be offered pursuant to the offering to the public in the U.K. prior to the publication of a prospectus in relation to the securities which has been approved by the Financial Conduct Authority, except that the securities may be offered to the public in the U.K.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Section 86 of the FSMA, </w:t>
            </w:r>
          </w:p>
        </w:tc>
      </w:tr>
    </w:tbl>
    <w:p>
      <w:pPr>
        <w:pStyle w:val="TextBody"/>
        <w:bidi w:val="0"/>
        <w:spacing w:before="240" w:after="0"/>
        <w:jc w:val="left"/>
        <w:rPr>
          <w:rFonts w:ascii="ARIAL" w:hAnsi="ARIAL"/>
          <w:sz w:val="20"/>
        </w:rPr>
      </w:pPr>
      <w:r>
        <w:rPr>
          <w:rFonts w:ascii="ARIAL" w:hAnsi="ARIAL"/>
          <w:sz w:val="20"/>
        </w:rPr>
        <w:t xml:space="preserve">provided that no such offer of the securities shall require the Company or any underwriter to publish a prospectus pursuant to Section 85 of the FSMA or supplement a prospectus pursuant to Article 23 of the UK Prospectus Regulation. For the purposes of this provision, the expression an offer to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public in relation to the securities in the U.K.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and FSMA means the Financial Services and Markets Act 2000. </w:t>
      </w:r>
    </w:p>
    <w:p>
      <w:pPr>
        <w:pStyle w:val="TextBody"/>
        <w:bidi w:val="0"/>
        <w:spacing w:before="240" w:after="0"/>
        <w:jc w:val="left"/>
        <w:rPr>
          <w:rFonts w:ascii="ARIAL" w:hAnsi="ARIAL"/>
          <w:sz w:val="20"/>
        </w:rPr>
      </w:pPr>
      <w:r>
        <w:rPr>
          <w:rFonts w:ascii="ARIAL" w:hAnsi="ARIAL"/>
          <w:sz w:val="20"/>
        </w:rPr>
        <w:t xml:space="preserve">In addition, in the U.K., this prospectus supplement is only being distributed to, and is only directed at, persons in the U.K. that are qualified investors within the meaning of the U.K. Prospectus Regulation and that are also (i) investment professionals falling within Article 19(5) of the Financial Services and Markets Act 2000 (Financial Promotion) Order 2005, as amended, referred to herein as the Order, and/or (ii)high net worth entities falling within Article 49(2)(a) to (d)of the Order and/or (iii) other persons to whom it may lawfully be communicated. Each such person is referred to herein as a Relevant Person. </w:t>
      </w:r>
    </w:p>
    <w:p>
      <w:pPr>
        <w:pStyle w:val="TextBody"/>
        <w:bidi w:val="0"/>
        <w:spacing w:before="240" w:after="0"/>
        <w:jc w:val="left"/>
        <w:rPr>
          <w:rFonts w:ascii="ARIAL" w:hAnsi="ARIAL"/>
          <w:sz w:val="20"/>
        </w:rPr>
      </w:pPr>
      <w:r>
        <w:rPr>
          <w:rFonts w:ascii="ARIAL" w:hAnsi="ARIAL"/>
          <w:sz w:val="20"/>
        </w:rPr>
        <w:t xml:space="preserve">This prospectus supplement and its contents are confidential and should not be distributed, published or reproduced (in whole or in part) or disclosed by recipients to any other persons in the U.K. Any person in the U.K. that is not a Relevant Person should not act or rely on this document or any of its contents, or use it as a basis for taking any action. In the U.K., any investment or investment activity to which this prospectus supplement relates may be made or taken only by a Relevant Person. </w:t>
      </w:r>
    </w:p>
    <w:p>
      <w:pPr>
        <w:pStyle w:val="TextBody"/>
        <w:bidi w:val="0"/>
        <w:spacing w:before="240" w:after="0"/>
        <w:jc w:val="left"/>
        <w:rPr>
          <w:rFonts w:ascii="ARIAL" w:hAnsi="ARIAL"/>
          <w:sz w:val="20"/>
        </w:rPr>
      </w:pPr>
      <w:r>
        <w:rPr>
          <w:rFonts w:ascii="ARIAL" w:hAnsi="ARIAL"/>
          <w:sz w:val="20"/>
        </w:rPr>
        <w:t xml:space="preserve">This prospectus supplement has been prepared on the basis that any offer of ADSs in the U.K. will be made pursuant to an exemption under Section 86 of the FSMA from the requirement to publish a prospectus for offers of securities. Accordingly, any person making or intending to make an offer in the United Kingdom of securities which are the subject of the offering contemplated in this prospectus supplement may only do so in circumstances in which no obligation arises for us or any of the underwriters to publish a prospectus pursuant to Section 85 of the FSMA in relation to such offer. Neither we nor the underwriters have authorized, nor do they authorize, the making of any offer of ADSs in circumstances in which an obligation arises for us or the underwriters to publish a prospectus for such offer. </w:t>
      </w:r>
    </w:p>
    <w:p>
      <w:pPr>
        <w:pStyle w:val="TextBody"/>
        <w:bidi w:val="0"/>
        <w:spacing w:before="480" w:after="0"/>
        <w:jc w:val="center"/>
        <w:rPr>
          <w:rFonts w:ascii="ARIAL" w:hAnsi="ARIAL"/>
          <w:b/>
          <w:sz w:val="20"/>
        </w:rPr>
      </w:pPr>
      <w:bookmarkStart w:id="13" w:name="srom852004_10"/>
      <w:bookmarkEnd w:id="13"/>
      <w:r>
        <w:rPr>
          <w:rFonts w:ascii="ARIAL" w:hAnsi="ARIAL"/>
          <w:b/>
          <w:sz w:val="20"/>
        </w:rPr>
        <w:t xml:space="preserve">LEGAL MATTERS </w:t>
      </w:r>
    </w:p>
    <w:p>
      <w:pPr>
        <w:pStyle w:val="TextBody"/>
        <w:bidi w:val="0"/>
        <w:spacing w:before="240" w:after="0"/>
        <w:jc w:val="left"/>
        <w:rPr>
          <w:rFonts w:ascii="ARIAL" w:hAnsi="ARIAL"/>
          <w:sz w:val="20"/>
        </w:rPr>
      </w:pPr>
      <w:r>
        <w:rPr>
          <w:rFonts w:ascii="ARIAL" w:hAnsi="ARIAL"/>
          <w:sz w:val="20"/>
        </w:rPr>
        <w:t xml:space="preserve">Certain legal matters of U.S. federal law and New York State law will be passed upon for us by Mayer Brown LLP. The validity of the ordinary shares represented by ADSs and certain other matters as to English law will be passed upon for us by Latham &amp; Watkins (London) LLP. Cooley LLP, New York, New York, and Cooley (UK) LLP, London, United Kingdom are counsel to the underwriters in connection with this offering. </w:t>
      </w:r>
    </w:p>
    <w:p>
      <w:pPr>
        <w:pStyle w:val="TextBody"/>
        <w:bidi w:val="0"/>
        <w:spacing w:before="480" w:after="0"/>
        <w:jc w:val="center"/>
        <w:rPr>
          <w:rFonts w:ascii="ARIAL" w:hAnsi="ARIAL"/>
          <w:b/>
          <w:sz w:val="20"/>
        </w:rPr>
      </w:pPr>
      <w:bookmarkStart w:id="14" w:name="srom852004_11"/>
      <w:bookmarkEnd w:id="14"/>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ARIAL" w:hAnsi="ARIAL"/>
          <w:sz w:val="20"/>
        </w:rPr>
      </w:pPr>
      <w:r>
        <w:rPr>
          <w:rFonts w:ascii="ARIAL" w:hAnsi="ARIAL"/>
          <w:sz w:val="20"/>
        </w:rPr>
        <w:t xml:space="preserve">The registered business address of PricewaterhouseCoopers LLP is 1 Embankment Place, London, WC2N 6RH, United Kingdom.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5" w:name="srom852004_12"/>
      <w:bookmarkEnd w:id="15"/>
      <w:r>
        <w:rPr>
          <w:rFonts w:ascii="ARIAL" w:hAnsi="ARIAL"/>
          <w:b/>
          <w:sz w:val="20"/>
        </w:rPr>
        <w:t xml:space="preserve">SERVICE OF PROCESS AND ENFORCEMENT OF LIABILITIES </w:t>
      </w:r>
    </w:p>
    <w:p>
      <w:pPr>
        <w:pStyle w:val="TextBody"/>
        <w:bidi w:val="0"/>
        <w:spacing w:before="240" w:after="0"/>
        <w:jc w:val="left"/>
        <w:rPr>
          <w:rFonts w:ascii="ARIAL" w:hAnsi="ARIAL"/>
          <w:sz w:val="20"/>
        </w:rPr>
      </w:pPr>
      <w:r>
        <w:rPr>
          <w:rFonts w:ascii="ARIAL" w:hAnsi="ARIAL"/>
          <w:sz w:val="20"/>
        </w:rPr>
        <w:t xml:space="preserve">We are incorporated and currently existing under the laws of England and Wales. In addition, most of our directors and officers reside outside of the United States and most of our assets are located outside of the U.S. As a result, it may be difficult or impossible for investors to effect service of process in the U.S. on us or those persons or to enforce in the U.S. judgments obtained in U.S. courts against us or those persons based on the civil liability or other provisions of the U.S. securities laws or other laws. </w:t>
      </w:r>
    </w:p>
    <w:p>
      <w:pPr>
        <w:pStyle w:val="TextBody"/>
        <w:bidi w:val="0"/>
        <w:spacing w:before="240" w:after="0"/>
        <w:jc w:val="left"/>
        <w:rPr>
          <w:rFonts w:ascii="ARIAL" w:hAnsi="ARIAL"/>
          <w:sz w:val="20"/>
        </w:rPr>
      </w:pPr>
      <w:r>
        <w:rPr>
          <w:rFonts w:ascii="ARIAL" w:hAnsi="ARIAL"/>
          <w:sz w:val="20"/>
        </w:rPr>
        <w:t xml:space="preserve">In addition, uncertainty exists as to whether the courts of England and Wales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recognize or enforce judgments of U.S. courts obtained against us or our directors or officers predicated upon the civil liabilities provisions of the securities laws of the U.S. or any state in the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entertain original actions brought in England and Wales against us or our directors or officers predicated upon the securities laws of the U.S. or any state in the U.S. </w:t>
            </w:r>
          </w:p>
        </w:tc>
      </w:tr>
    </w:tbl>
    <w:p>
      <w:pPr>
        <w:pStyle w:val="TextBody"/>
        <w:bidi w:val="0"/>
        <w:spacing w:before="240" w:after="0"/>
        <w:jc w:val="left"/>
        <w:rPr>
          <w:rFonts w:ascii="ARIAL" w:hAnsi="ARIAL"/>
          <w:sz w:val="20"/>
        </w:rPr>
      </w:pPr>
      <w:r>
        <w:rPr>
          <w:rFonts w:ascii="ARIAL" w:hAnsi="ARIAL"/>
          <w:sz w:val="20"/>
        </w:rPr>
        <w:t xml:space="preserve">There is currently no treaty between (i) the U.S. and (ii) England and Wales providing for reciprocal recognition and enforcement of judgments of U.S. courts in civil and commercial matters, although the U.S. and the U.K. are both parties to the New York Convention on the Recognition and Enforcement of Foreign Arbitral Awards. A final judgment for the payment of money rendered by any general or state court in the U.S. based on civil liability, whether or not predicated solely upon the U.S. securities laws, will not be automatically enforceable in England and Wales. Any final and conclusive monetary judgment for a definite sum obtained against us in U.S. courts will be treated by the courts of England and Wales as a cause of action in itself such that proceedings must be initiated. In such an action, the English court will not substantively re-examine the merits of the matter determined by the US court,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relevant U.S. court had jurisdiction over the original proceedings according to English conflicts of laws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U.S. judgment was final and conclusive in the sense of being final and unalterable in the court that pronounced it and being for a definite sum of money and it is currently enforceable in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judgment given by the courts was not in respect of penalties, taxes, fines, or similar fiscal or revenue obligations (or otherwise based on a U.S. law that an English court considers to relate to a penal, revenue or other public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judgment was not procured by fraud;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judgment was not obtained following a breach of a jurisdictional or arbitration clause, unless with the agreement of the defendant or the defendants subsequent submission to the jurisdiction of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recognition or enforcement of the judgment in England and Wales would not be contrary to public policy or the Human Rights Act 1998;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proceedings pursuant to which judgment was obtained were not contrary to natural justice;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there is not a prior conflicting decision of an English court or the court of another jurisdiction whose judgment the English court recognizes on the issues in question between the same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the English enforcements proceedings were commenced within the limitation period.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Whether these requirements are met in respect of a judgment based upon the civil liability provisions of the U.S. securities laws, including whether the award of monetary damages under such laws would constitute a penalty, is an issue for the English court making such decision. </w:t>
      </w:r>
    </w:p>
    <w:p>
      <w:pPr>
        <w:pStyle w:val="TextBody"/>
        <w:bidi w:val="0"/>
        <w:spacing w:before="240" w:after="0"/>
        <w:jc w:val="left"/>
        <w:rPr>
          <w:rFonts w:ascii="ARIAL" w:hAnsi="ARIAL"/>
          <w:sz w:val="20"/>
        </w:rPr>
      </w:pPr>
      <w:r>
        <w:rPr>
          <w:rFonts w:ascii="ARIAL" w:hAnsi="ARIAL"/>
          <w:sz w:val="20"/>
        </w:rPr>
        <w:t xml:space="preserve">Subject to the foregoing, investors may be able to enforce in England and Wales judgments in civil and commercial matters that have been obtained from U.S. federal or state courts. However, we cannot assure you that those judgments will be recognized or enforceable in England and Wales. </w:t>
      </w:r>
    </w:p>
    <w:p>
      <w:pPr>
        <w:pStyle w:val="TextBody"/>
        <w:bidi w:val="0"/>
        <w:spacing w:before="240" w:after="0"/>
        <w:jc w:val="left"/>
        <w:rPr>
          <w:rFonts w:ascii="ARIAL" w:hAnsi="ARIAL"/>
          <w:sz w:val="20"/>
        </w:rPr>
      </w:pPr>
      <w:r>
        <w:rPr>
          <w:rFonts w:ascii="ARIAL" w:hAnsi="ARIAL"/>
          <w:sz w:val="20"/>
        </w:rPr>
        <w:t xml:space="preserve">If an English court gives judgment for the sum payable under a U.S. judgment, the English judgment will be enforceable by methods generally available for this purpose.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w:t>
      </w:r>
    </w:p>
    <w:p>
      <w:pPr>
        <w:pStyle w:val="TextBody"/>
        <w:bidi w:val="0"/>
        <w:spacing w:before="480" w:after="0"/>
        <w:jc w:val="center"/>
        <w:rPr>
          <w:rFonts w:ascii="ARIAL" w:hAnsi="ARIAL"/>
          <w:b/>
          <w:sz w:val="20"/>
        </w:rPr>
      </w:pPr>
      <w:bookmarkStart w:id="16" w:name="srom852004_13"/>
      <w:bookmarkEnd w:id="16"/>
      <w:r>
        <w:rPr>
          <w:rFonts w:ascii="ARIAL" w:hAnsi="ARIAL"/>
          <w:b/>
          <w:sz w:val="20"/>
        </w:rPr>
        <w:t xml:space="preserve">WHERE YOU CAN FIND MORE INFORMATION </w:t>
      </w:r>
    </w:p>
    <w:p>
      <w:pPr>
        <w:pStyle w:val="TextBody"/>
        <w:bidi w:val="0"/>
        <w:spacing w:before="240" w:after="0"/>
        <w:jc w:val="left"/>
        <w:rPr>
          <w:rFonts w:ascii="ARIAL" w:hAnsi="ARIAL"/>
          <w:sz w:val="20"/>
        </w:rPr>
      </w:pPr>
      <w:r>
        <w:rPr>
          <w:rFonts w:ascii="ARIAL" w:hAnsi="ARIAL"/>
          <w:sz w:val="20"/>
        </w:rPr>
        <w:t xml:space="preserve">We have filed with the U.S. Securities and Exchange Commission a registration statement (including amendments and exhibits to the registration statement) on Form S-3 under the Securities Act of 1933, as amended.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 </w:t>
      </w:r>
    </w:p>
    <w:p>
      <w:pPr>
        <w:pStyle w:val="TextBody"/>
        <w:bidi w:val="0"/>
        <w:spacing w:before="240" w:after="0"/>
        <w:jc w:val="left"/>
        <w:rPr>
          <w:rFonts w:ascii="ARIAL" w:hAnsi="ARIAL"/>
          <w:sz w:val="20"/>
        </w:rPr>
      </w:pPr>
      <w:r>
        <w:rPr>
          <w:rFonts w:ascii="ARIAL" w:hAnsi="ARIAL"/>
          <w:sz w:val="20"/>
        </w:rPr>
        <w:t xml:space="preserve">We are subject to the informational requirements of the Exchange Act. Accordingly, we are required to file reports and other information with the SEC, including annual reports on Form 10-K and reports on Form 8-K. The SEC maintains an Internet website that contains reports, proxy and information statements, and other information about issuers, like us, that file electronically with the SEC. The address of that website is www.sec.gov. </w:t>
      </w:r>
    </w:p>
    <w:p>
      <w:pPr>
        <w:pStyle w:val="TextBody"/>
        <w:bidi w:val="0"/>
        <w:spacing w:before="240" w:after="0"/>
        <w:jc w:val="left"/>
        <w:rPr>
          <w:rFonts w:ascii="ARIAL" w:hAnsi="ARIAL"/>
          <w:sz w:val="20"/>
        </w:rPr>
      </w:pPr>
      <w:r>
        <w:rPr>
          <w:rFonts w:ascii="ARIAL" w:hAnsi="ARIAL"/>
          <w:sz w:val="20"/>
        </w:rPr>
        <w:t xml:space="preserve">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 </w:t>
      </w:r>
    </w:p>
    <w:p>
      <w:pPr>
        <w:pStyle w:val="TextBody"/>
        <w:bidi w:val="0"/>
        <w:spacing w:before="480" w:after="0"/>
        <w:jc w:val="center"/>
        <w:rPr>
          <w:rFonts w:ascii="ARIAL" w:hAnsi="ARIAL"/>
          <w:b/>
          <w:sz w:val="20"/>
        </w:rPr>
      </w:pPr>
      <w:bookmarkStart w:id="17" w:name="srom852004_14"/>
      <w:bookmarkEnd w:id="17"/>
      <w:r>
        <w:rPr>
          <w:rFonts w:ascii="ARIAL" w:hAnsi="ARIAL"/>
          <w:b/>
          <w:sz w:val="20"/>
        </w:rPr>
        <w:t xml:space="preserve">INCORPORATION BY REFERENCE </w:t>
      </w:r>
    </w:p>
    <w:p>
      <w:pPr>
        <w:pStyle w:val="TextBody"/>
        <w:bidi w:val="0"/>
        <w:spacing w:before="240" w:after="0"/>
        <w:jc w:val="left"/>
        <w:rPr>
          <w:rFonts w:ascii="ARIAL" w:hAnsi="ARIAL"/>
          <w:sz w:val="20"/>
        </w:rPr>
      </w:pPr>
      <w:r>
        <w:rPr>
          <w:rFonts w:ascii="ARIAL" w:hAnsi="ARIAL"/>
          <w:sz w:val="20"/>
        </w:rPr>
        <w:t xml:space="preserve">The SEC allows us to incorporate by reference information into this prospectus supplement the information we have filed with the SEC. Incorporation by reference allows us to disclose important information to you by referring you to those other documents. The information incorporated by reference is an important part of this prospectus supplement, and information that we file later with the SEC will also be deemed to be incorporated by reference into this prospectus supplement and to be a part hereof from the date of filing of such documents and will automatically update and supersede previously filed information, including information contained in this document.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We incorporate by reference the following documents or information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Our Annual Report on </w:t>
            </w:r>
            <w:hyperlink r:id="rId3">
              <w:r>
                <w:rPr>
                  <w:rStyle w:val="InternetLink"/>
                  <w:rFonts w:ascii="ARIAL" w:hAnsi="ARIAL"/>
                  <w:sz w:val="20"/>
                </w:rPr>
                <w:t>Form 10-K</w:t>
              </w:r>
            </w:hyperlink>
            <w:r>
              <w:rPr>
                <w:rFonts w:ascii="ARIAL" w:hAnsi="ARIAL"/>
                <w:sz w:val="20"/>
              </w:rPr>
              <w:t xml:space="preserve"> for the year ended December 31, 2023, filed with the SEC on March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rFonts w:ascii="ARIAL" w:hAnsi="ARIAL"/>
                <w:sz w:val="20"/>
              </w:rPr>
              <w:t xml:space="preserve">Our Quarterly Report on </w:t>
            </w:r>
            <w:hyperlink r:id="rId4">
              <w:r>
                <w:rPr>
                  <w:rStyle w:val="InternetLink"/>
                  <w:rFonts w:ascii="ARIAL" w:hAnsi="ARIAL"/>
                  <w:sz w:val="20"/>
                </w:rPr>
                <w:t>Form 10-Q</w:t>
              </w:r>
            </w:hyperlink>
            <w:r>
              <w:rPr>
                <w:rFonts w:ascii="ARIAL" w:hAnsi="ARIAL"/>
                <w:sz w:val="20"/>
              </w:rPr>
              <w:t xml:space="preserve"> for the quarter ended March 31, 2024, filed with the SEC on May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Our Current Reports on Form 8-K filed on </w:t>
            </w:r>
            <w:hyperlink r:id="rId5">
              <w:r>
                <w:rPr>
                  <w:rStyle w:val="InternetLink"/>
                  <w:rFonts w:ascii="ARIAL" w:hAnsi="ARIAL"/>
                  <w:sz w:val="20"/>
                </w:rPr>
                <w:t>April 15, 2024</w:t>
              </w:r>
            </w:hyperlink>
            <w:r>
              <w:rPr>
                <w:rFonts w:ascii="ARIAL" w:hAnsi="ARIAL"/>
                <w:sz w:val="20"/>
              </w:rPr>
              <w:t xml:space="preserve">, </w:t>
            </w:r>
            <w:hyperlink r:id="rId6">
              <w:r>
                <w:rPr>
                  <w:rStyle w:val="InternetLink"/>
                  <w:rFonts w:ascii="ARIAL" w:hAnsi="ARIAL"/>
                  <w:sz w:val="20"/>
                </w:rPr>
                <w:t>May  23, 2024</w:t>
              </w:r>
            </w:hyperlink>
            <w:r>
              <w:rPr>
                <w:rFonts w:ascii="ARIAL" w:hAnsi="ARIAL"/>
                <w:sz w:val="20"/>
              </w:rPr>
              <w:t xml:space="preserve"> and </w:t>
            </w:r>
            <w:hyperlink r:id="rId7">
              <w:r>
                <w:rPr>
                  <w:rStyle w:val="InternetLink"/>
                  <w:rFonts w:ascii="ARIAL" w:hAnsi="ARIAL"/>
                  <w:sz w:val="20"/>
                </w:rPr>
                <w:t>June 11, 2024</w:t>
              </w:r>
            </w:hyperlink>
            <w:r>
              <w:rPr>
                <w:rFonts w:ascii="ARIAL" w:hAnsi="ARIAL"/>
                <w:sz w:val="20"/>
              </w:rPr>
              <w:t xml:space="preserve"> (Item 8.01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The description of our ordinary shares and ADSs contained in our amended registration statement on </w:t>
            </w:r>
            <w:hyperlink r:id="rId8">
              <w:r>
                <w:rPr>
                  <w:rStyle w:val="InternetLink"/>
                  <w:rFonts w:ascii="ARIAL" w:hAnsi="ARIAL"/>
                  <w:sz w:val="20"/>
                </w:rPr>
                <w:t>Form 8-A</w:t>
              </w:r>
            </w:hyperlink>
            <w:r>
              <w:rPr>
                <w:rFonts w:ascii="ARIAL" w:hAnsi="ARIAL"/>
                <w:sz w:val="20"/>
              </w:rPr>
              <w:t xml:space="preserve"> filed with the SEC on December  18, 2023 and any amendment or report filed with the SEC for the purpose of updating the description including without limitation, </w:t>
            </w:r>
            <w:hyperlink r:id="rId9">
              <w:r>
                <w:rPr>
                  <w:rStyle w:val="InternetLink"/>
                  <w:rFonts w:ascii="ARIAL" w:hAnsi="ARIAL"/>
                  <w:sz w:val="20"/>
                </w:rPr>
                <w:t>Exhibit 4.2</w:t>
              </w:r>
            </w:hyperlink>
            <w:r>
              <w:rPr>
                <w:rFonts w:ascii="ARIAL" w:hAnsi="ARIAL"/>
                <w:sz w:val="20"/>
              </w:rPr>
              <w:t xml:space="preserve"> of our Annual Report on Form 10-K for the year ended December 31, 2023, filed with the SEC on March 27, 2024. </w:t>
            </w:r>
          </w:p>
        </w:tc>
      </w:tr>
    </w:tbl>
    <w:p>
      <w:pPr>
        <w:pStyle w:val="TextBody"/>
        <w:bidi w:val="0"/>
        <w:spacing w:before="240" w:after="0"/>
        <w:jc w:val="left"/>
        <w:rPr>
          <w:rFonts w:ascii="ARIAL" w:hAnsi="ARIAL"/>
          <w:sz w:val="20"/>
        </w:rPr>
      </w:pPr>
      <w:r>
        <w:rPr>
          <w:rFonts w:ascii="ARIAL" w:hAnsi="ARIAL"/>
          <w:sz w:val="20"/>
        </w:rPr>
        <w:t xml:space="preserve">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but prior to the termination of the offering. </w:t>
      </w:r>
    </w:p>
    <w:p>
      <w:pPr>
        <w:pStyle w:val="TextBody"/>
        <w:bidi w:val="0"/>
        <w:spacing w:before="240" w:after="0"/>
        <w:jc w:val="left"/>
        <w:rPr>
          <w:rFonts w:ascii="ARIAL" w:hAnsi="ARIAL"/>
          <w:sz w:val="20"/>
        </w:rPr>
      </w:pPr>
      <w:r>
        <w:rPr>
          <w:rFonts w:ascii="ARIAL" w:hAnsi="ARIAL"/>
          <w:sz w:val="20"/>
        </w:rPr>
        <w:t xml:space="preserve">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 </w:t>
      </w:r>
    </w:p>
    <w:p>
      <w:pPr>
        <w:pStyle w:val="TextBody"/>
        <w:bidi w:val="0"/>
        <w:spacing w:before="240" w:after="0"/>
        <w:jc w:val="center"/>
        <w:rPr>
          <w:rFonts w:ascii="ARIAL" w:hAnsi="ARIAL"/>
          <w:sz w:val="20"/>
        </w:rPr>
      </w:pPr>
      <w:r>
        <w:rPr>
          <w:rFonts w:ascii="ARIAL" w:hAnsi="ARIAL"/>
          <w:sz w:val="20"/>
        </w:rPr>
        <w:t xml:space="preserve">Mereo BioPharma Group plc </w:t>
      </w:r>
    </w:p>
    <w:p>
      <w:pPr>
        <w:pStyle w:val="TextBody"/>
        <w:bidi w:val="0"/>
        <w:spacing w:before="0" w:after="0"/>
        <w:jc w:val="center"/>
        <w:rPr>
          <w:rFonts w:ascii="ARIAL" w:hAnsi="ARIAL"/>
          <w:sz w:val="20"/>
        </w:rPr>
      </w:pPr>
      <w:r>
        <w:rPr>
          <w:rFonts w:ascii="ARIAL" w:hAnsi="ARIAL"/>
          <w:sz w:val="20"/>
        </w:rPr>
        <w:t xml:space="preserve">One Cavendish Place </w:t>
      </w:r>
    </w:p>
    <w:p>
      <w:pPr>
        <w:pStyle w:val="TextBody"/>
        <w:bidi w:val="0"/>
        <w:spacing w:before="0" w:after="0"/>
        <w:jc w:val="center"/>
        <w:rPr>
          <w:rFonts w:ascii="ARIAL" w:hAnsi="ARIAL"/>
          <w:sz w:val="20"/>
        </w:rPr>
      </w:pPr>
      <w:r>
        <w:rPr>
          <w:rFonts w:ascii="ARIAL" w:hAnsi="ARIAL"/>
          <w:sz w:val="20"/>
        </w:rPr>
        <w:t xml:space="preserve">4th Floor </w:t>
      </w:r>
    </w:p>
    <w:p>
      <w:pPr>
        <w:pStyle w:val="TextBody"/>
        <w:bidi w:val="0"/>
        <w:spacing w:before="0" w:after="0"/>
        <w:jc w:val="center"/>
        <w:rPr>
          <w:rFonts w:ascii="ARIAL" w:hAnsi="ARIAL"/>
          <w:sz w:val="20"/>
        </w:rPr>
      </w:pPr>
      <w:r>
        <w:rPr>
          <w:rFonts w:ascii="ARIAL" w:hAnsi="ARIAL"/>
          <w:sz w:val="20"/>
        </w:rPr>
        <w:t xml:space="preserve">London, W1G 0QF </w:t>
      </w:r>
    </w:p>
    <w:p>
      <w:pPr>
        <w:pStyle w:val="TextBody"/>
        <w:bidi w:val="0"/>
        <w:spacing w:before="0" w:after="0"/>
        <w:jc w:val="center"/>
        <w:rPr>
          <w:rFonts w:ascii="ARIAL" w:hAnsi="ARIAL"/>
          <w:sz w:val="20"/>
        </w:rPr>
      </w:pPr>
      <w:r>
        <w:rPr>
          <w:rFonts w:ascii="ARIAL" w:hAnsi="ARIAL"/>
          <w:sz w:val="20"/>
        </w:rPr>
        <w:t xml:space="preserve">United Kingdom </w:t>
      </w:r>
    </w:p>
    <w:p>
      <w:pPr>
        <w:pStyle w:val="TextBody"/>
        <w:bidi w:val="0"/>
        <w:spacing w:before="0" w:after="0"/>
        <w:jc w:val="center"/>
        <w:rPr>
          <w:rFonts w:ascii="ARIAL" w:hAnsi="ARIAL"/>
          <w:sz w:val="20"/>
        </w:rPr>
      </w:pPr>
      <w:r>
        <w:rPr>
          <w:rFonts w:ascii="ARIAL" w:hAnsi="ARIAL"/>
          <w:sz w:val="20"/>
        </w:rPr>
        <w:t xml:space="preserve">Tel: +44-333-023-7300 </w:t>
      </w:r>
    </w:p>
    <w:p>
      <w:pPr>
        <w:pStyle w:val="TextBody"/>
        <w:bidi w:val="0"/>
        <w:spacing w:before="240" w:after="0"/>
        <w:jc w:val="left"/>
        <w:rPr/>
      </w:pPr>
      <w:r>
        <w:rPr/>
        <w:t> </w:t>
      </w:r>
      <w:r>
        <w:rPr>
          <w:rFonts w:ascii="ARIAL" w:hAnsi="ARIAL"/>
          <w:sz w:val="20"/>
        </w:rPr>
        <w:t xml:space="preserve">You may also access these documents on our website, www.mereobiopharma.com. The information contained on, or that can be accessed through, our website is not a part of this prospectus supplement. We have included our website address in this prospectus supplement solely as an inactive textual reference. </w:t>
      </w:r>
    </w:p>
    <w:p>
      <w:pPr>
        <w:pStyle w:val="TextBody"/>
        <w:bidi w:val="0"/>
        <w:spacing w:before="240" w:after="0"/>
        <w:jc w:val="left"/>
        <w:rPr>
          <w:rFonts w:ascii="ARIAL" w:hAnsi="ARIAL"/>
          <w:sz w:val="20"/>
        </w:rPr>
      </w:pPr>
      <w:r>
        <w:rPr>
          <w:rFonts w:ascii="ARIAL" w:hAnsi="ARIAL"/>
          <w:sz w:val="20"/>
        </w:rPr>
        <w:t xml:space="preserve">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PROSPECTUS </w:t>
      </w:r>
    </w:p>
    <w:p>
      <w:pPr>
        <w:pStyle w:val="TextBody"/>
        <w:bidi w:val="0"/>
        <w:spacing w:before="0" w:after="0"/>
        <w:jc w:val="left"/>
        <w:rPr/>
      </w:pPr>
      <w:r>
        <w:rPr/>
        <w:t> </w:t>
      </w:r>
    </w:p>
    <w:p>
      <w:pPr>
        <w:pStyle w:val="TextBody"/>
        <w:pBdr>
          <w:bottom w:val="single" w:sz="24" w:space="1" w:color="334998"/>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63725" cy="5518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863725" cy="551815"/>
                    </a:xfrm>
                    <a:prstGeom prst="rect">
                      <a:avLst/>
                    </a:prstGeom>
                  </pic:spPr>
                </pic:pic>
              </a:graphicData>
            </a:graphic>
          </wp:inline>
        </w:drawing>
      </w:r>
      <w:r>
        <w:rPr/>
        <w:t xml:space="preserve"> </w:t>
      </w:r>
    </w:p>
    <w:p>
      <w:pPr>
        <w:pStyle w:val="TextBody"/>
        <w:bidi w:val="0"/>
        <w:spacing w:before="360" w:after="0"/>
        <w:jc w:val="center"/>
        <w:rPr>
          <w:rFonts w:ascii="ARIAL" w:hAnsi="ARIAL"/>
          <w:b/>
          <w:sz w:val="28"/>
        </w:rPr>
      </w:pPr>
      <w:r>
        <w:rPr>
          <w:rFonts w:ascii="ARIAL" w:hAnsi="ARIAL"/>
          <w:b/>
          <w:sz w:val="28"/>
        </w:rPr>
        <w:t xml:space="preserve">Mereo BioPharma Group plc </w:t>
      </w:r>
    </w:p>
    <w:p>
      <w:pPr>
        <w:pStyle w:val="TextBody"/>
        <w:bidi w:val="0"/>
        <w:spacing w:before="360" w:after="0"/>
        <w:jc w:val="center"/>
        <w:rPr>
          <w:rFonts w:ascii="ARIAL" w:hAnsi="ARIAL"/>
          <w:b/>
          <w:sz w:val="28"/>
        </w:rPr>
      </w:pPr>
      <w:r>
        <w:rPr>
          <w:rFonts w:ascii="ARIAL" w:hAnsi="ARIAL"/>
          <w:b/>
          <w:sz w:val="28"/>
        </w:rPr>
        <w:t xml:space="preserve">$175,000,000 </w:t>
      </w:r>
    </w:p>
    <w:p>
      <w:pPr>
        <w:pStyle w:val="TextBody"/>
        <w:bidi w:val="0"/>
        <w:spacing w:before="360" w:after="0"/>
        <w:jc w:val="center"/>
        <w:rPr>
          <w:rFonts w:ascii="ARIAL" w:hAnsi="ARIAL"/>
          <w:b/>
          <w:sz w:val="28"/>
        </w:rPr>
      </w:pPr>
      <w:r>
        <w:rPr>
          <w:rFonts w:ascii="ARIAL" w:hAnsi="ARIAL"/>
          <w:b/>
          <w:sz w:val="28"/>
        </w:rPr>
        <w:t xml:space="preserve">American Depositary Shares Representing Ordinary Shares </w:t>
      </w:r>
    </w:p>
    <w:p>
      <w:pPr>
        <w:pStyle w:val="TextBody"/>
        <w:bidi w:val="0"/>
        <w:spacing w:before="360" w:after="0"/>
        <w:jc w:val="left"/>
        <w:rPr>
          <w:rFonts w:ascii="ARIAL" w:hAnsi="ARIAL"/>
          <w:sz w:val="20"/>
        </w:rPr>
      </w:pPr>
      <w:r>
        <w:rPr>
          <w:rFonts w:ascii="ARIAL" w:hAnsi="ARIAL"/>
          <w:sz w:val="20"/>
        </w:rPr>
        <w:t xml:space="preserve">We may offer and sell, from time to time, the American Depositary Shares (ADSs) described in this prospectus for an aggregate offering price of up to $175,000,000 in one or more offerings. This prospectus provides you with a general description of the ADSs. </w:t>
      </w:r>
    </w:p>
    <w:p>
      <w:pPr>
        <w:pStyle w:val="TextBody"/>
        <w:bidi w:val="0"/>
        <w:spacing w:before="360" w:after="0"/>
        <w:jc w:val="left"/>
        <w:rPr>
          <w:rFonts w:ascii="ARIAL" w:hAnsi="ARIAL"/>
          <w:sz w:val="20"/>
        </w:rPr>
      </w:pPr>
      <w:r>
        <w:rPr>
          <w:rFonts w:ascii="ARIAL" w:hAnsi="ARIAL"/>
          <w:sz w:val="20"/>
        </w:rPr>
        <w:t xml:space="preserve">Each time we offer and sell the ADSs, we will provide a supplement to this prospectus that contains specific information about the offering and the amounts, prices and terms of the ADSs. The supplement may also add, update or change information contained in this prospectus with respect to that offering. You should carefully read this prospectus and the applicable prospectus supplement before you invest in any of our ADSs. </w:t>
      </w:r>
    </w:p>
    <w:p>
      <w:pPr>
        <w:pStyle w:val="TextBody"/>
        <w:bidi w:val="0"/>
        <w:spacing w:before="360" w:after="0"/>
        <w:jc w:val="left"/>
        <w:rPr>
          <w:rFonts w:ascii="ARIAL" w:hAnsi="ARIAL"/>
          <w:sz w:val="20"/>
        </w:rPr>
      </w:pPr>
      <w:r>
        <w:rPr>
          <w:rFonts w:ascii="ARIAL" w:hAnsi="ARIAL"/>
          <w:sz w:val="20"/>
        </w:rPr>
        <w:t xml:space="preserve">We may offer and sell the ADSs described in this prospectus and any prospectus supplement to or through one or more underwriters, dealers and agents, or directly to purchasers, or through a combination of these methods. If any underwriters, dealers or agents are involved in the sale of any of the ADSs,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ADSs. </w:t>
      </w:r>
    </w:p>
    <w:p>
      <w:pPr>
        <w:pStyle w:val="TextBody"/>
        <w:bidi w:val="0"/>
        <w:spacing w:before="360" w:after="0"/>
        <w:jc w:val="left"/>
        <w:rPr>
          <w:rFonts w:ascii="ARIAL" w:hAnsi="ARIAL"/>
          <w:sz w:val="20"/>
        </w:rPr>
      </w:pPr>
      <w:r>
        <w:rPr>
          <w:rFonts w:ascii="ARIAL" w:hAnsi="ARIAL"/>
          <w:sz w:val="20"/>
        </w:rPr>
        <w:t xml:space="preserve">Our ADSs, each representing five ordinary shares, are listed on The Nasdaq Capital Market under the symbol MREO. On May 13, 2024, the last reported sale price of our ADSs on The Nasdaq Capital Market was $2.97 per ADS. </w:t>
      </w:r>
    </w:p>
    <w:p>
      <w:pPr>
        <w:pStyle w:val="TextBody"/>
        <w:bidi w:val="0"/>
        <w:spacing w:before="360" w:after="0"/>
        <w:jc w:val="left"/>
        <w:rPr>
          <w:rFonts w:ascii="ARIAL" w:hAnsi="ARIAL"/>
          <w:sz w:val="20"/>
        </w:rPr>
      </w:pPr>
      <w:r>
        <w:rPr>
          <w:rFonts w:ascii="ARIAL" w:hAnsi="ARIAL"/>
          <w:sz w:val="20"/>
        </w:rPr>
        <w:t xml:space="preserve">We are an emerging growth company and a smaller reporting company under applicable Securities and Exchange Commission rules and are eligible for reduced public company disclosure requirements. </w:t>
      </w:r>
    </w:p>
    <w:p>
      <w:pPr>
        <w:pStyle w:val="TextBody"/>
        <w:bidi w:val="0"/>
        <w:spacing w:before="360" w:after="0"/>
        <w:jc w:val="left"/>
        <w:rPr/>
      </w:pPr>
      <w:r>
        <w:rPr>
          <w:rFonts w:ascii="ARIAL" w:hAnsi="ARIAL"/>
          <w:b/>
          <w:sz w:val="20"/>
        </w:rPr>
        <w:t>Investing in our ADSs involve significant risks. See </w:t>
      </w:r>
      <w:hyperlink w:anchor="rom852004_4">
        <w:r>
          <w:rPr>
            <w:rStyle w:val="InternetLink"/>
            <w:rFonts w:ascii="ARIAL" w:hAnsi="ARIAL"/>
            <w:b/>
            <w:sz w:val="20"/>
          </w:rPr>
          <w:t>Risk Factors</w:t>
        </w:r>
      </w:hyperlink>
      <w:r>
        <w:rPr>
          <w:rFonts w:ascii="ARIAL" w:hAnsi="ARIAL"/>
          <w:b/>
          <w:sz w:val="20"/>
        </w:rPr>
        <w:t xml:space="preserve"> beginning on page 5 of this prospectus and the documents incorporated by reference in this prospectus concerning factors you should consider before investing in our ADSs. </w:t>
      </w:r>
    </w:p>
    <w:p>
      <w:pPr>
        <w:pStyle w:val="TextBody"/>
        <w:bidi w:val="0"/>
        <w:spacing w:before="36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center"/>
        <w:rPr>
          <w:rFonts w:ascii="ARIAL" w:hAnsi="ARIAL"/>
          <w:b/>
          <w:sz w:val="20"/>
        </w:rPr>
      </w:pPr>
      <w:r>
        <w:rPr>
          <w:rFonts w:ascii="ARIAL" w:hAnsi="ARIAL"/>
          <w:b/>
          <w:sz w:val="20"/>
        </w:rPr>
        <w:t xml:space="preserve">The date of this prospectus is May 22,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91"/>
        <w:gridCol w:w="129"/>
        <w:gridCol w:w="60"/>
        <w:gridCol w:w="263"/>
        <w:gridCol w:w="62"/>
      </w:tblGrid>
      <w:tr>
        <w:trPr/>
        <w:tc>
          <w:tcPr>
            <w:tcW w:w="969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1">
              <w:r>
                <w:rPr>
                  <w:rStyle w:val="InternetLink"/>
                  <w:rFonts w:ascii="ARIAL" w:hAnsi="ARIAL"/>
                  <w:sz w:val="20"/>
                </w:rPr>
                <w:t>ABOUT THIS PROSPECTUS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2">
              <w:r>
                <w:rPr>
                  <w:rStyle w:val="InternetLink"/>
                  <w:rFonts w:ascii="ARIAL" w:hAnsi="ARIAL"/>
                  <w:sz w:val="20"/>
                </w:rPr>
                <w:t>WHERE YOU CAN FIND MORE INFORMATION; INCORPORATION BY REFERENCE</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3">
              <w:r>
                <w:rPr>
                  <w:rStyle w:val="InternetLink"/>
                  <w:rFonts w:ascii="ARIAL" w:hAnsi="ARIAL"/>
                  <w:sz w:val="20"/>
                </w:rPr>
                <w:t>THE COMPANY</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4">
              <w:r>
                <w:rPr>
                  <w:rStyle w:val="InternetLink"/>
                  <w:rFonts w:ascii="ARIAL" w:hAnsi="ARIAL"/>
                  <w:sz w:val="20"/>
                </w:rPr>
                <w:t>RISK FACTORS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5">
              <w:r>
                <w:rPr>
                  <w:rStyle w:val="InternetLink"/>
                  <w:rFonts w:ascii="ARIAL" w:hAnsi="ARIAL"/>
                  <w:sz w:val="20"/>
                </w:rPr>
                <w:t>USE OF PROCEEDS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6">
              <w:r>
                <w:rPr>
                  <w:rStyle w:val="InternetLink"/>
                  <w:rFonts w:ascii="ARIAL" w:hAnsi="ARIAL"/>
                  <w:sz w:val="20"/>
                </w:rPr>
                <w:t>DESCRIPTION OF SHARE CAPITAL AND ARTICLES OF ASSOCIATION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7">
              <w:r>
                <w:rPr>
                  <w:rStyle w:val="InternetLink"/>
                  <w:rFonts w:ascii="ARIAL" w:hAnsi="ARIAL"/>
                  <w:sz w:val="20"/>
                </w:rPr>
                <w:t>DESCRIPTION OF AMERICAN DEPOSITARY SHARES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8">
              <w:r>
                <w:rPr>
                  <w:rStyle w:val="InternetLink"/>
                  <w:rFonts w:ascii="ARIAL" w:hAnsi="ARIAL"/>
                  <w:sz w:val="20"/>
                </w:rPr>
                <w:t>PLAN OF DISTRIBUTION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9">
              <w:r>
                <w:rPr>
                  <w:rStyle w:val="InternetLink"/>
                  <w:rFonts w:ascii="ARIAL" w:hAnsi="ARIAL"/>
                  <w:sz w:val="20"/>
                </w:rPr>
                <w:t>LEGAL MATTERS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30" w:hRule="atLeast"/>
        </w:trPr>
        <w:tc>
          <w:tcPr>
            <w:tcW w:w="9691" w:type="dxa"/>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tcBorders/>
          </w:tcPr>
          <w:p>
            <w:pPr>
              <w:pStyle w:val="TableContents"/>
              <w:bidi w:val="0"/>
              <w:spacing w:before="0" w:after="0"/>
              <w:jc w:val="left"/>
              <w:rPr/>
            </w:pPr>
            <w:hyperlink w:anchor="rom852004_10">
              <w:r>
                <w:rPr>
                  <w:rStyle w:val="InternetLink"/>
                  <w:rFonts w:ascii="ARIAL" w:hAnsi="ARIAL"/>
                  <w:sz w:val="20"/>
                </w:rPr>
                <w:t>EXPERTS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2" w:space="1" w:color="000000"/>
        </w:rPr>
      </w:pPr>
      <w:bookmarkStart w:id="18" w:name="rom852004_1"/>
      <w:bookmarkEnd w:id="18"/>
      <w:r>
        <w:rPr>
          <w:rFonts w:ascii="ARIAL" w:hAnsi="ARIAL"/>
          <w:b/>
          <w:sz w:val="20"/>
          <w:bdr w:val="single" w:sz="2" w:space="1" w:color="000000"/>
        </w:rPr>
        <w:t xml:space="preserve">ABOUT THIS PROSPECTUS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This prospectus is part of a shelf registration statement that we filed with the Securities and Exchange Commission, or the SEC, using a shelf registration process. Under this shelf registration statement, we may, over time, offer and sell the ADSs described in this prospectus in one or more offerings, up to a total dollar amount of $175,000,000. This prospectus provides you with a general description of the securities that may be offered. Each time we offer and sell securities under this prospectus, we will provide a prospectus supplement that will contain specific information about the terms of that offering. We may also add, update or change information contained in this prospectus by means of a prospectus supplement or by incorporating by reference information that we file or furnish to the SEC.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Incorporation by Reference, before purchasing any securities.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 </w:t>
      </w:r>
    </w:p>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Mereo BioPharma Ireland Limited, Mereo US Holdings Inc. and NAVI Subsidiary, Inc. Mereo, the Mereo logo and other trademarks, trade names or service marks of Mereo appearing in this prospectus and the documents incorporated by reference are the property of Mereo.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9" w:name="rom852004_2"/>
      <w:bookmarkEnd w:id="19"/>
      <w:r>
        <w:rPr>
          <w:rFonts w:ascii="ARIAL" w:hAnsi="ARIAL"/>
          <w:b/>
          <w:sz w:val="20"/>
        </w:rPr>
        <w:t xml:space="preserve">WHERE YOU CAN FIND MORE INFORMATION; INCORPORATION BY REFERENCE </w:t>
      </w:r>
    </w:p>
    <w:p>
      <w:pPr>
        <w:pStyle w:val="TextBody"/>
        <w:bidi w:val="0"/>
        <w:spacing w:before="240" w:after="0"/>
        <w:jc w:val="left"/>
        <w:rPr>
          <w:rFonts w:ascii="ARIAL" w:hAnsi="ARIAL"/>
          <w:b/>
          <w:sz w:val="20"/>
        </w:rPr>
      </w:pPr>
      <w:r>
        <w:rPr>
          <w:rFonts w:ascii="ARIAL" w:hAnsi="ARIAL"/>
          <w:b/>
          <w:sz w:val="20"/>
        </w:rPr>
        <w:t xml:space="preserve">Available Information </w:t>
      </w:r>
    </w:p>
    <w:p>
      <w:pPr>
        <w:pStyle w:val="TextBody"/>
        <w:bidi w:val="0"/>
        <w:spacing w:before="120" w:after="0"/>
        <w:jc w:val="left"/>
        <w:rPr>
          <w:rFonts w:ascii="ARIAL" w:hAnsi="ARIAL"/>
          <w:sz w:val="20"/>
        </w:rPr>
      </w:pPr>
      <w:r>
        <w:rPr>
          <w:rFonts w:ascii="ARIAL" w:hAnsi="ARIAL"/>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 </w:t>
      </w:r>
    </w:p>
    <w:p>
      <w:pPr>
        <w:pStyle w:val="TextBody"/>
        <w:bidi w:val="0"/>
        <w:spacing w:before="240" w:after="0"/>
        <w:jc w:val="left"/>
        <w:rPr>
          <w:rFonts w:ascii="ARIAL" w:hAnsi="ARIAL"/>
          <w:sz w:val="20"/>
        </w:rPr>
      </w:pPr>
      <w:r>
        <w:rPr>
          <w:rFonts w:ascii="ARIAL" w:hAnsi="ARIAL"/>
          <w:sz w:val="20"/>
        </w:rPr>
        <w:t xml:space="preserve">Our web site address is </w:t>
      </w:r>
      <w:r>
        <w:rPr>
          <w:rFonts w:ascii="ARIAL" w:hAnsi="ARIAL"/>
          <w:i/>
          <w:sz w:val="20"/>
        </w:rPr>
        <w:t>www.mereobiopharma.com</w:t>
      </w:r>
      <w:r>
        <w:rPr>
          <w:rFonts w:ascii="ARIAL" w:hAnsi="ARIAL"/>
          <w:sz w:val="20"/>
        </w:rPr>
        <w:t xml:space="preserve">. The information on our web site, however, is not, and should not be deemed to be, a part of this prospectus. </w:t>
      </w:r>
    </w:p>
    <w:p>
      <w:pPr>
        <w:pStyle w:val="TextBody"/>
        <w:bidi w:val="0"/>
        <w:spacing w:before="240" w:after="0"/>
        <w:jc w:val="left"/>
        <w:rPr>
          <w:rFonts w:ascii="ARIAL" w:hAnsi="ARIAL"/>
          <w:sz w:val="20"/>
        </w:rPr>
      </w:pPr>
      <w:r>
        <w:rPr>
          <w:rFonts w:ascii="ARIAL" w:hAnsi="ARIAL"/>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240" w:after="0"/>
        <w:jc w:val="left"/>
        <w:rPr>
          <w:rFonts w:ascii="ARIAL" w:hAnsi="ARIAL"/>
          <w:b/>
          <w:sz w:val="20"/>
        </w:rPr>
      </w:pPr>
      <w:r>
        <w:rPr>
          <w:rFonts w:ascii="ARIAL" w:hAnsi="ARIAL"/>
          <w:b/>
          <w:sz w:val="20"/>
        </w:rPr>
        <w:t xml:space="preserve">Incorporation by Reference </w:t>
      </w:r>
    </w:p>
    <w:p>
      <w:pPr>
        <w:pStyle w:val="TextBody"/>
        <w:bidi w:val="0"/>
        <w:spacing w:before="120" w:after="0"/>
        <w:jc w:val="left"/>
        <w:rPr>
          <w:rFonts w:ascii="ARIAL" w:hAnsi="ARIAL"/>
          <w:sz w:val="20"/>
        </w:rPr>
      </w:pPr>
      <w:r>
        <w:rPr>
          <w:rFonts w:ascii="ARIAL" w:hAnsi="ARIAL"/>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ARIAL" w:hAnsi="ARIAL"/>
          <w:sz w:val="20"/>
        </w:rPr>
      </w:pPr>
      <w:r>
        <w:rPr>
          <w:rFonts w:ascii="ARIAL" w:hAnsi="ARIAL"/>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Our Annual Report on </w:t>
            </w:r>
            <w:hyperlink r:id="rId11">
              <w:r>
                <w:rPr>
                  <w:rStyle w:val="InternetLink"/>
                  <w:rFonts w:ascii="ARIAL" w:hAnsi="ARIAL"/>
                  <w:sz w:val="20"/>
                </w:rPr>
                <w:t>Form 10-K</w:t>
              </w:r>
            </w:hyperlink>
            <w:r>
              <w:rPr>
                <w:rFonts w:ascii="ARIAL" w:hAnsi="ARIAL"/>
                <w:sz w:val="20"/>
              </w:rPr>
              <w:t xml:space="preserve"> for the year ended December 31, 2023, filed with the SEC on March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rFonts w:ascii="ARIAL" w:hAnsi="ARIAL"/>
                <w:sz w:val="20"/>
              </w:rPr>
              <w:t xml:space="preserve">Our Quarterly Report on </w:t>
            </w:r>
            <w:hyperlink r:id="rId12">
              <w:r>
                <w:rPr>
                  <w:rStyle w:val="InternetLink"/>
                  <w:rFonts w:ascii="ARIAL" w:hAnsi="ARIAL"/>
                  <w:sz w:val="20"/>
                </w:rPr>
                <w:t>Form 10-Q</w:t>
              </w:r>
            </w:hyperlink>
            <w:r>
              <w:rPr>
                <w:rFonts w:ascii="ARIAL" w:hAnsi="ARIAL"/>
                <w:sz w:val="20"/>
              </w:rPr>
              <w:t xml:space="preserve"> for the quarter ended March 31, 2024, filed with the SEC on May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Our Current Report on </w:t>
            </w:r>
            <w:hyperlink r:id="rId13">
              <w:r>
                <w:rPr>
                  <w:rStyle w:val="InternetLink"/>
                  <w:rFonts w:ascii="ARIAL" w:hAnsi="ARIAL"/>
                  <w:sz w:val="20"/>
                </w:rPr>
                <w:t>Form 8-K</w:t>
              </w:r>
            </w:hyperlink>
            <w:r>
              <w:rPr>
                <w:rFonts w:ascii="ARIAL" w:hAnsi="ARIAL"/>
                <w:sz w:val="20"/>
              </w:rPr>
              <w:t xml:space="preserve"> filed on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The description of our ordinary shares and ADSs contained in our amended registration statement on </w:t>
            </w:r>
            <w:hyperlink r:id="rId14">
              <w:r>
                <w:rPr>
                  <w:rStyle w:val="InternetLink"/>
                  <w:rFonts w:ascii="ARIAL" w:hAnsi="ARIAL"/>
                  <w:sz w:val="20"/>
                </w:rPr>
                <w:t>Form 8-A</w:t>
              </w:r>
            </w:hyperlink>
            <w:r>
              <w:rPr>
                <w:rFonts w:ascii="ARIAL" w:hAnsi="ARIAL"/>
                <w:sz w:val="20"/>
              </w:rPr>
              <w:t xml:space="preserve"> filed with the SEC on December  18, 2023 and any amendment or report filed with the SEC for the purpose of updating the description including without limitation, </w:t>
            </w:r>
            <w:hyperlink r:id="rId15">
              <w:r>
                <w:rPr>
                  <w:rStyle w:val="InternetLink"/>
                  <w:rFonts w:ascii="ARIAL" w:hAnsi="ARIAL"/>
                  <w:sz w:val="20"/>
                </w:rPr>
                <w:t>Exhibit 4.2</w:t>
              </w:r>
            </w:hyperlink>
            <w:r>
              <w:rPr>
                <w:rFonts w:ascii="ARIAL" w:hAnsi="ARIAL"/>
                <w:sz w:val="20"/>
              </w:rPr>
              <w:t xml:space="preserve"> of our Annual Report on Form 10-K for the year ended December 31, 2023, filed with the SEC on March 27, 2024. </w:t>
            </w:r>
          </w:p>
        </w:tc>
      </w:tr>
    </w:tbl>
    <w:p>
      <w:pPr>
        <w:pStyle w:val="TextBody"/>
        <w:bidi w:val="0"/>
        <w:spacing w:before="240" w:after="0"/>
        <w:jc w:val="left"/>
        <w:rPr>
          <w:rFonts w:ascii="ARIAL" w:hAnsi="ARIAL"/>
          <w:sz w:val="20"/>
        </w:rPr>
      </w:pPr>
      <w:r>
        <w:rPr>
          <w:rFonts w:ascii="ARIAL" w:hAnsi="ARIAL"/>
          <w:sz w:val="20"/>
        </w:rPr>
        <w:t xml:space="preserve">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You may request a free copy of any of the documents incorporated by reference in this prospectus by writing or telephoning us at: </w:t>
      </w:r>
    </w:p>
    <w:p>
      <w:pPr>
        <w:pStyle w:val="TextBody"/>
        <w:bidi w:val="0"/>
        <w:spacing w:before="240" w:after="0"/>
        <w:jc w:val="center"/>
        <w:rPr>
          <w:rFonts w:ascii="ARIAL" w:hAnsi="ARIAL"/>
          <w:sz w:val="20"/>
        </w:rPr>
      </w:pPr>
      <w:r>
        <w:rPr>
          <w:rFonts w:ascii="ARIAL" w:hAnsi="ARIAL"/>
          <w:sz w:val="20"/>
        </w:rPr>
        <w:t xml:space="preserve">Mereo BioPharma Group plc </w:t>
      </w:r>
    </w:p>
    <w:p>
      <w:pPr>
        <w:pStyle w:val="TextBody"/>
        <w:bidi w:val="0"/>
        <w:spacing w:before="0" w:after="0"/>
        <w:jc w:val="center"/>
        <w:rPr>
          <w:rFonts w:ascii="ARIAL" w:hAnsi="ARIAL"/>
          <w:sz w:val="20"/>
        </w:rPr>
      </w:pPr>
      <w:r>
        <w:rPr>
          <w:rFonts w:ascii="ARIAL" w:hAnsi="ARIAL"/>
          <w:sz w:val="20"/>
        </w:rPr>
        <w:t xml:space="preserve">One Cavendish Place, 4th Floor </w:t>
      </w:r>
    </w:p>
    <w:p>
      <w:pPr>
        <w:pStyle w:val="TextBody"/>
        <w:bidi w:val="0"/>
        <w:spacing w:before="0" w:after="0"/>
        <w:jc w:val="center"/>
        <w:rPr>
          <w:rFonts w:ascii="ARIAL" w:hAnsi="ARIAL"/>
          <w:sz w:val="20"/>
        </w:rPr>
      </w:pPr>
      <w:r>
        <w:rPr>
          <w:rFonts w:ascii="ARIAL" w:hAnsi="ARIAL"/>
          <w:sz w:val="20"/>
        </w:rPr>
        <w:t xml:space="preserve">London, W1G 0QF </w:t>
      </w:r>
    </w:p>
    <w:p>
      <w:pPr>
        <w:pStyle w:val="TextBody"/>
        <w:bidi w:val="0"/>
        <w:spacing w:before="0" w:after="0"/>
        <w:jc w:val="center"/>
        <w:rPr>
          <w:rFonts w:ascii="ARIAL" w:hAnsi="ARIAL"/>
          <w:sz w:val="20"/>
        </w:rPr>
      </w:pPr>
      <w:r>
        <w:rPr>
          <w:rFonts w:ascii="ARIAL" w:hAnsi="ARIAL"/>
          <w:sz w:val="20"/>
        </w:rPr>
        <w:t xml:space="preserve">United Kingdom </w:t>
      </w:r>
    </w:p>
    <w:p>
      <w:pPr>
        <w:pStyle w:val="TextBody"/>
        <w:bidi w:val="0"/>
        <w:spacing w:before="0" w:after="0"/>
        <w:jc w:val="center"/>
        <w:rPr>
          <w:rFonts w:ascii="ARIAL" w:hAnsi="ARIAL"/>
          <w:sz w:val="20"/>
        </w:rPr>
      </w:pPr>
      <w:r>
        <w:rPr>
          <w:rFonts w:ascii="ARIAL" w:hAnsi="ARIAL"/>
          <w:sz w:val="20"/>
        </w:rPr>
        <w:t xml:space="preserve">+44 333 023 7300 </w:t>
      </w:r>
    </w:p>
    <w:p>
      <w:pPr>
        <w:pStyle w:val="TextBody"/>
        <w:bidi w:val="0"/>
        <w:spacing w:before="240" w:after="0"/>
        <w:jc w:val="left"/>
        <w:rPr>
          <w:rFonts w:ascii="ARIAL" w:hAnsi="ARIAL"/>
          <w:sz w:val="20"/>
        </w:rPr>
      </w:pPr>
      <w:r>
        <w:rPr>
          <w:rFonts w:ascii="ARIAL" w:hAnsi="ARIAL"/>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0" w:name="rom852004_3"/>
      <w:bookmarkEnd w:id="20"/>
      <w:r>
        <w:rPr>
          <w:rFonts w:ascii="ARIAL" w:hAnsi="ARIAL"/>
          <w:b/>
          <w:sz w:val="20"/>
        </w:rPr>
        <w:t xml:space="preserve">THE COMPANY </w:t>
      </w:r>
    </w:p>
    <w:p>
      <w:pPr>
        <w:pStyle w:val="TextBody"/>
        <w:bidi w:val="0"/>
        <w:spacing w:before="240" w:after="0"/>
        <w:jc w:val="left"/>
        <w:rPr>
          <w:rFonts w:ascii="ARIAL" w:hAnsi="ARIAL"/>
          <w:b/>
          <w:sz w:val="20"/>
        </w:rPr>
      </w:pPr>
      <w:r>
        <w:rPr>
          <w:rFonts w:ascii="ARIAL" w:hAnsi="ARIAL"/>
          <w:b/>
          <w:sz w:val="20"/>
        </w:rPr>
        <w:t xml:space="preserve">Overview </w:t>
      </w:r>
    </w:p>
    <w:p>
      <w:pPr>
        <w:pStyle w:val="TextBody"/>
        <w:bidi w:val="0"/>
        <w:spacing w:before="120" w:after="0"/>
        <w:jc w:val="left"/>
        <w:rPr>
          <w:rFonts w:ascii="ARIAL" w:hAnsi="ARIAL"/>
          <w:sz w:val="20"/>
        </w:rPr>
      </w:pPr>
      <w:r>
        <w:rPr>
          <w:rFonts w:ascii="ARIAL" w:hAnsi="ARIAL"/>
          <w:sz w:val="20"/>
        </w:rPr>
        <w:t xml:space="preserve">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from the FDA. Alvelestat has received U.S. Orphan Drug Designation for the treatment of AATD and Fast Track designation for the treatment of AATD-LD. </w:t>
      </w:r>
    </w:p>
    <w:p>
      <w:pPr>
        <w:pStyle w:val="TextBody"/>
        <w:bidi w:val="0"/>
        <w:spacing w:before="240" w:after="0"/>
        <w:jc w:val="left"/>
        <w:rPr>
          <w:rFonts w:ascii="ARIAL" w:hAnsi="ARIAL"/>
          <w:sz w:val="20"/>
        </w:rPr>
      </w:pPr>
      <w:r>
        <w:rPr>
          <w:rFonts w:ascii="ARIAL" w:hAnsi="ARIAL"/>
          <w:sz w:val="20"/>
        </w:rPr>
        <w:t xml:space="preserve">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the Merger. We have successfully completed large, randomized Phase 2 clinical trials for four of our product candidates and the Phase 1b portion of a Phase 1b/2 for a fifth product candidate. </w:t>
      </w:r>
    </w:p>
    <w:p>
      <w:pPr>
        <w:pStyle w:val="TextBody"/>
        <w:bidi w:val="0"/>
        <w:spacing w:before="240" w:after="0"/>
        <w:jc w:val="left"/>
        <w:rPr>
          <w:rFonts w:ascii="ARIAL" w:hAnsi="ARIAL"/>
          <w:sz w:val="20"/>
        </w:rPr>
      </w:pPr>
      <w:r>
        <w:rPr>
          <w:rFonts w:ascii="ARIAL" w:hAnsi="ARIAL"/>
          <w:sz w:val="20"/>
        </w:rPr>
        <w:t xml:space="preserve">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 </w:t>
      </w:r>
    </w:p>
    <w:p>
      <w:pPr>
        <w:pStyle w:val="TextBody"/>
        <w:bidi w:val="0"/>
        <w:spacing w:before="240" w:after="0"/>
        <w:jc w:val="left"/>
        <w:rPr>
          <w:rFonts w:ascii="ARIAL" w:hAnsi="ARIAL"/>
          <w:b/>
          <w:sz w:val="20"/>
        </w:rPr>
      </w:pPr>
      <w:r>
        <w:rPr>
          <w:rFonts w:ascii="ARIAL" w:hAnsi="ARIAL"/>
          <w:b/>
          <w:sz w:val="20"/>
        </w:rPr>
        <w:t xml:space="preserve">Corporate Information </w:t>
      </w:r>
    </w:p>
    <w:p>
      <w:pPr>
        <w:pStyle w:val="TextBody"/>
        <w:bidi w:val="0"/>
        <w:spacing w:before="120" w:after="0"/>
        <w:jc w:val="left"/>
        <w:rPr>
          <w:rFonts w:ascii="ARIAL" w:hAnsi="ARIAL"/>
          <w:sz w:val="20"/>
        </w:rPr>
      </w:pPr>
      <w:r>
        <w:rPr>
          <w:rFonts w:ascii="ARIAL" w:hAnsi="ARIAL"/>
          <w:sz w:val="20"/>
        </w:rPr>
        <w:t xml:space="preserve">Our registered office address is One Cavendish Place, 4th Floor, London, W1G 0QF, United Kingdom and our telephone number is +44 333 023 7300. Our website address is www.mereobiopharma.com. The information contained on, or that can be accessed from, our website does not form part of this prospectus. Our agent for service of process in the United States is Mereo US Holdings Inc.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1" w:name="rom852004_4"/>
      <w:bookmarkEnd w:id="21"/>
      <w:r>
        <w:rPr>
          <w:rFonts w:ascii="ARIAL" w:hAnsi="ARIAL"/>
          <w:b/>
          <w:sz w:val="20"/>
        </w:rPr>
        <w:t xml:space="preserve">RISK FACTORS </w:t>
      </w:r>
    </w:p>
    <w:p>
      <w:pPr>
        <w:pStyle w:val="TextBody"/>
        <w:bidi w:val="0"/>
        <w:spacing w:before="240" w:after="0"/>
        <w:jc w:val="left"/>
        <w:rPr>
          <w:rFonts w:ascii="ARIAL" w:hAnsi="ARIAL"/>
          <w:sz w:val="20"/>
        </w:rPr>
      </w:pPr>
      <w:r>
        <w:rPr>
          <w:rFonts w:ascii="ARIAL" w:hAnsi="ARIAL"/>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2" w:name="rom852004_5"/>
      <w:bookmarkEnd w:id="22"/>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We intend to use the net proceeds from the sale of the ADSs as set forth in the applicable prospectus supplement.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3" w:name="rom852004_6"/>
      <w:bookmarkEnd w:id="23"/>
      <w:r>
        <w:rPr>
          <w:rFonts w:ascii="ARIAL" w:hAnsi="ARIAL"/>
          <w:b/>
          <w:sz w:val="20"/>
        </w:rPr>
        <w:t xml:space="preserve">DESCRIPTION OF SHARE CAPITAL AND ARTICLES OF ASSOCIATION </w:t>
      </w:r>
    </w:p>
    <w:p>
      <w:pPr>
        <w:pStyle w:val="TextBody"/>
        <w:bidi w:val="0"/>
        <w:spacing w:before="240" w:after="0"/>
        <w:jc w:val="left"/>
        <w:rPr>
          <w:rFonts w:ascii="ARIAL" w:hAnsi="ARIAL"/>
          <w:i/>
          <w:sz w:val="20"/>
        </w:rPr>
      </w:pPr>
      <w:r>
        <w:rPr>
          <w:rFonts w:ascii="ARIAL" w:hAnsi="ARIAL"/>
          <w:i/>
          <w:sz w:val="20"/>
        </w:rPr>
        <w:t xml:space="preserve">The following is a description of the ordinary shares, par value £0.003 per share, of Mereo BioPharma Group plc (the Company, we or us) which are represented by American Depositary Shares (ADSs) with each ADS representing five of our ordinary shares registered under Section 12 of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3.1 to the Annual Report on Form 10-K of the Company for the fiscal year ended December 31, 2023. We encourage you to read the articles and the applicable provisions of English law for additional information. </w:t>
      </w:r>
    </w:p>
    <w:p>
      <w:pPr>
        <w:pStyle w:val="TextBody"/>
        <w:bidi w:val="0"/>
        <w:spacing w:before="240" w:after="0"/>
        <w:jc w:val="left"/>
        <w:rPr>
          <w:rFonts w:ascii="ARIAL" w:hAnsi="ARIAL"/>
          <w:b/>
          <w:sz w:val="20"/>
        </w:rPr>
      </w:pPr>
      <w:r>
        <w:rPr>
          <w:rFonts w:ascii="ARIAL" w:hAnsi="ARIAL"/>
          <w:b/>
          <w:sz w:val="20"/>
        </w:rPr>
        <w:t xml:space="preserve">General </w:t>
      </w:r>
    </w:p>
    <w:p>
      <w:pPr>
        <w:pStyle w:val="TextBody"/>
        <w:bidi w:val="0"/>
        <w:spacing w:before="120" w:after="0"/>
        <w:jc w:val="left"/>
        <w:rPr>
          <w:rFonts w:ascii="ARIAL" w:hAnsi="ARIAL"/>
          <w:sz w:val="20"/>
        </w:rPr>
      </w:pPr>
      <w:r>
        <w:rPr>
          <w:rFonts w:ascii="ARIAL" w:hAnsi="ARIAL"/>
          <w:sz w:val="20"/>
        </w:rPr>
        <w:t xml:space="preserve">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 </w:t>
      </w:r>
    </w:p>
    <w:p>
      <w:pPr>
        <w:pStyle w:val="TextBody"/>
        <w:bidi w:val="0"/>
        <w:spacing w:before="240" w:after="0"/>
        <w:jc w:val="left"/>
        <w:rPr>
          <w:rFonts w:ascii="ARIAL" w:hAnsi="ARIAL"/>
          <w:b/>
          <w:sz w:val="20"/>
        </w:rPr>
      </w:pPr>
      <w:r>
        <w:rPr>
          <w:rFonts w:ascii="ARIAL" w:hAnsi="ARIAL"/>
          <w:b/>
          <w:sz w:val="20"/>
        </w:rPr>
        <w:t xml:space="preserve">Share Capital </w:t>
      </w:r>
    </w:p>
    <w:p>
      <w:pPr>
        <w:pStyle w:val="TextBody"/>
        <w:bidi w:val="0"/>
        <w:spacing w:before="120" w:after="0"/>
        <w:jc w:val="left"/>
        <w:rPr>
          <w:rFonts w:ascii="ARIAL" w:hAnsi="ARIAL"/>
          <w:sz w:val="20"/>
        </w:rPr>
      </w:pPr>
      <w:r>
        <w:rPr>
          <w:rFonts w:ascii="ARIAL" w:hAnsi="ARIAL"/>
          <w:sz w:val="20"/>
        </w:rPr>
        <w:t xml:space="preserve">As of May 13, 2024, our issued share capital was £2,104,090, equivalent to 701,363,484 ordinary shares. The nominal value of our ordinary shares, including ordinary shares in the form of ADSs, is £0.003 per ordinary share. Each issued ordinary share is fully paid. </w:t>
      </w:r>
    </w:p>
    <w:p>
      <w:pPr>
        <w:pStyle w:val="TextBody"/>
        <w:bidi w:val="0"/>
        <w:spacing w:before="240" w:after="0"/>
        <w:jc w:val="left"/>
        <w:rPr>
          <w:rFonts w:ascii="ARIAL" w:hAnsi="ARIAL"/>
          <w:b/>
          <w:sz w:val="20"/>
        </w:rPr>
      </w:pPr>
      <w:r>
        <w:rPr>
          <w:rFonts w:ascii="ARIAL" w:hAnsi="ARIAL"/>
          <w:b/>
          <w:sz w:val="20"/>
        </w:rPr>
        <w:t xml:space="preserve">Registered Shares </w:t>
      </w:r>
    </w:p>
    <w:p>
      <w:pPr>
        <w:pStyle w:val="TextBody"/>
        <w:bidi w:val="0"/>
        <w:spacing w:before="120" w:after="0"/>
        <w:jc w:val="left"/>
        <w:rPr>
          <w:rFonts w:ascii="ARIAL" w:hAnsi="ARIAL"/>
          <w:sz w:val="20"/>
        </w:rPr>
      </w:pPr>
      <w:r>
        <w:rPr>
          <w:rFonts w:ascii="ARIAL" w:hAnsi="ARIAL"/>
          <w:sz w:val="20"/>
        </w:rPr>
        <w:t xml:space="preserve">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 </w:t>
      </w:r>
    </w:p>
    <w:p>
      <w:pPr>
        <w:pStyle w:val="TextBody"/>
        <w:bidi w:val="0"/>
        <w:spacing w:before="240" w:after="0"/>
        <w:jc w:val="left"/>
        <w:rPr>
          <w:rFonts w:ascii="ARIAL" w:hAnsi="ARIAL"/>
          <w:sz w:val="20"/>
        </w:rPr>
      </w:pPr>
      <w:r>
        <w:rPr>
          <w:rFonts w:ascii="ARIAL" w:hAnsi="ARIAL"/>
          <w:sz w:val="20"/>
        </w:rPr>
        <w:t xml:space="preserve">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 </w:t>
      </w:r>
    </w:p>
    <w:p>
      <w:pPr>
        <w:pStyle w:val="TextBody"/>
        <w:bidi w:val="0"/>
        <w:spacing w:before="240" w:after="0"/>
        <w:jc w:val="left"/>
        <w:rPr>
          <w:rFonts w:ascii="ARIAL" w:hAnsi="ARIAL"/>
          <w:sz w:val="20"/>
        </w:rPr>
      </w:pPr>
      <w:r>
        <w:rPr>
          <w:rFonts w:ascii="ARIAL" w:hAnsi="ARIAL"/>
          <w:sz w:val="20"/>
        </w:rPr>
        <w:t xml:space="preserve">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 </w:t>
      </w:r>
    </w:p>
    <w:p>
      <w:pPr>
        <w:pStyle w:val="TextBody"/>
        <w:bidi w:val="0"/>
        <w:spacing w:before="240" w:after="0"/>
        <w:jc w:val="left"/>
        <w:rPr>
          <w:rFonts w:ascii="ARIAL" w:hAnsi="ARIAL"/>
          <w:sz w:val="20"/>
        </w:rPr>
      </w:pPr>
      <w:r>
        <w:rPr>
          <w:rFonts w:ascii="ARIAL" w:hAnsi="ARIAL"/>
          <w:sz w:val="20"/>
        </w:rPr>
        <w:t xml:space="preserve">We, any of our shareholders or any other affected person may apply to the court for rectification of the share register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the name of any person, without sufficient cause, is entered in or omitted from our register of members;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default is made or unnecessary delay takes place in entering on the register the fact of any person having ceased to be a member or on which we have a lien, provided that such refusal does not prevent dealings in the shares taking place on an open and proper basis. </w:t>
            </w:r>
          </w:p>
        </w:tc>
      </w:tr>
    </w:tbl>
    <w:p>
      <w:pPr>
        <w:pStyle w:val="TextBody"/>
        <w:bidi w:val="0"/>
        <w:spacing w:before="360" w:after="0"/>
        <w:jc w:val="left"/>
        <w:rPr>
          <w:rFonts w:ascii="ARIAL" w:hAnsi="ARIAL"/>
          <w:b/>
          <w:sz w:val="20"/>
        </w:rPr>
      </w:pPr>
      <w:r>
        <w:rPr>
          <w:rFonts w:ascii="ARIAL" w:hAnsi="ARIAL"/>
          <w:b/>
          <w:sz w:val="20"/>
        </w:rPr>
        <w:t xml:space="preserve">Pre-emptive Rights </w:t>
      </w:r>
    </w:p>
    <w:p>
      <w:pPr>
        <w:pStyle w:val="TextBody"/>
        <w:bidi w:val="0"/>
        <w:spacing w:before="120" w:after="0"/>
        <w:jc w:val="left"/>
        <w:rPr>
          <w:rFonts w:ascii="ARIAL" w:hAnsi="ARIAL"/>
          <w:sz w:val="20"/>
        </w:rPr>
      </w:pPr>
      <w:r>
        <w:rPr>
          <w:rFonts w:ascii="ARIAL" w:hAnsi="ARIAL"/>
          <w:sz w:val="20"/>
        </w:rPr>
        <w:t xml:space="preserve">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w:t>
      </w:r>
    </w:p>
    <w:p>
      <w:pPr>
        <w:pStyle w:val="TextBody"/>
        <w:bidi w:val="0"/>
        <w:spacing w:before="240" w:after="0"/>
        <w:jc w:val="left"/>
        <w:rPr>
          <w:rFonts w:ascii="ARIAL" w:hAnsi="ARIAL"/>
          <w:sz w:val="20"/>
        </w:rPr>
      </w:pPr>
      <w:r>
        <w:rPr>
          <w:rFonts w:ascii="ARIAL" w:hAnsi="ARIAL"/>
          <w:sz w:val="20"/>
        </w:rPr>
        <w:t xml:space="preserve">On May 22, 2023 our shareholders authorized our Board to disapply pre-emptive rights for a period until June 30, 2026 in respect of the allotment of ordinary shares or the grant of rights to subscribe for or convert securities into ordinary shares up to a maximum aggregate nominal amount of £2,494,456.76. The nominal value of our ordinary shares is £0.003 per ordinary share. </w:t>
      </w:r>
    </w:p>
    <w:p>
      <w:pPr>
        <w:pStyle w:val="TextBody"/>
        <w:bidi w:val="0"/>
        <w:spacing w:before="240" w:after="0"/>
        <w:jc w:val="left"/>
        <w:rPr>
          <w:rFonts w:ascii="ARIAL" w:hAnsi="ARIAL"/>
          <w:sz w:val="20"/>
        </w:rPr>
      </w:pPr>
      <w:r>
        <w:rPr>
          <w:rFonts w:ascii="ARIAL" w:hAnsi="ARIAL"/>
          <w:sz w:val="20"/>
        </w:rPr>
        <w:t xml:space="preserve">As of May 13, 2024, non-preemptive authorization up to a maximum nominal amount of £2,342,038.57 remained available to the Company. </w:t>
      </w:r>
    </w:p>
    <w:p>
      <w:pPr>
        <w:pStyle w:val="TextBody"/>
        <w:bidi w:val="0"/>
        <w:spacing w:before="360" w:after="0"/>
        <w:jc w:val="left"/>
        <w:rPr>
          <w:rFonts w:ascii="ARIAL" w:hAnsi="ARIAL"/>
          <w:b/>
          <w:sz w:val="20"/>
        </w:rPr>
      </w:pPr>
      <w:r>
        <w:rPr>
          <w:rFonts w:ascii="ARIAL" w:hAnsi="ARIAL"/>
          <w:b/>
          <w:sz w:val="20"/>
        </w:rPr>
        <w:t xml:space="preserve">Articles of Association </w:t>
      </w:r>
    </w:p>
    <w:p>
      <w:pPr>
        <w:pStyle w:val="TextBody"/>
        <w:bidi w:val="0"/>
        <w:spacing w:before="120" w:after="0"/>
        <w:jc w:val="left"/>
        <w:rPr>
          <w:rFonts w:ascii="ARIAL" w:hAnsi="ARIAL"/>
          <w:sz w:val="20"/>
        </w:rPr>
      </w:pPr>
      <w:r>
        <w:rPr>
          <w:rFonts w:ascii="ARIAL" w:hAnsi="ARIAL"/>
          <w:sz w:val="20"/>
        </w:rPr>
        <w:t xml:space="preserve">The following is a description of our Articles as at the date hereof. </w:t>
      </w:r>
    </w:p>
    <w:p>
      <w:pPr>
        <w:pStyle w:val="TextBody"/>
        <w:bidi w:val="0"/>
        <w:spacing w:before="360" w:after="0"/>
        <w:jc w:val="left"/>
        <w:rPr>
          <w:rFonts w:ascii="ARIAL" w:hAnsi="ARIAL"/>
          <w:b/>
          <w:sz w:val="20"/>
        </w:rPr>
      </w:pPr>
      <w:r>
        <w:rPr>
          <w:rFonts w:ascii="ARIAL" w:hAnsi="ARIAL"/>
          <w:b/>
          <w:sz w:val="20"/>
        </w:rPr>
        <w:t xml:space="preserve">Shares and Rights Attaching to Them </w:t>
      </w:r>
    </w:p>
    <w:p>
      <w:pPr>
        <w:pStyle w:val="TextBody"/>
        <w:bidi w:val="0"/>
        <w:spacing w:before="120" w:after="0"/>
        <w:jc w:val="left"/>
        <w:rPr>
          <w:rFonts w:ascii="ARIAL" w:hAnsi="ARIAL"/>
          <w:i/>
          <w:sz w:val="20"/>
        </w:rPr>
      </w:pPr>
      <w:r>
        <w:rPr>
          <w:rFonts w:ascii="ARIAL" w:hAnsi="ARIAL"/>
          <w:i/>
          <w:sz w:val="20"/>
        </w:rPr>
        <w:t xml:space="preserve">Objects </w:t>
      </w:r>
    </w:p>
    <w:p>
      <w:pPr>
        <w:pStyle w:val="TextBody"/>
        <w:bidi w:val="0"/>
        <w:spacing w:before="120" w:after="0"/>
        <w:jc w:val="left"/>
        <w:rPr>
          <w:rFonts w:ascii="ARIAL" w:hAnsi="ARIAL"/>
          <w:sz w:val="20"/>
        </w:rPr>
      </w:pPr>
      <w:r>
        <w:rPr>
          <w:rFonts w:ascii="ARIAL" w:hAnsi="ARIAL"/>
          <w:sz w:val="20"/>
        </w:rPr>
        <w:t xml:space="preserve">The objects of our Company are unrestricted. </w:t>
      </w:r>
    </w:p>
    <w:p>
      <w:pPr>
        <w:pStyle w:val="TextBody"/>
        <w:bidi w:val="0"/>
        <w:spacing w:before="360" w:after="0"/>
        <w:jc w:val="left"/>
        <w:rPr>
          <w:rFonts w:ascii="ARIAL" w:hAnsi="ARIAL"/>
          <w:i/>
          <w:sz w:val="20"/>
        </w:rPr>
      </w:pPr>
      <w:r>
        <w:rPr>
          <w:rFonts w:ascii="ARIAL" w:hAnsi="ARIAL"/>
          <w:i/>
          <w:sz w:val="20"/>
        </w:rPr>
        <w:t xml:space="preserve">Share Rights </w:t>
      </w:r>
    </w:p>
    <w:p>
      <w:pPr>
        <w:pStyle w:val="TextBody"/>
        <w:bidi w:val="0"/>
        <w:spacing w:before="120" w:after="0"/>
        <w:jc w:val="left"/>
        <w:rPr>
          <w:rFonts w:ascii="ARIAL" w:hAnsi="ARIAL"/>
          <w:sz w:val="20"/>
        </w:rPr>
      </w:pPr>
      <w:r>
        <w:rPr>
          <w:rFonts w:ascii="ARIAL" w:hAnsi="ARIAL"/>
          <w:sz w:val="20"/>
        </w:rPr>
        <w:t xml:space="preserve">Subject to any special rights attaching to shares already in issue, our shares may be issued with or have attached to them any rights or restrictions as we may resolve by ordinary resolution of the shareholders or, failing such determination, as the board may determine. </w:t>
      </w:r>
    </w:p>
    <w:p>
      <w:pPr>
        <w:pStyle w:val="TextBody"/>
        <w:bidi w:val="0"/>
        <w:spacing w:before="360" w:after="0"/>
        <w:jc w:val="left"/>
        <w:rPr>
          <w:rFonts w:ascii="ARIAL" w:hAnsi="ARIAL"/>
          <w:i/>
          <w:sz w:val="20"/>
        </w:rPr>
      </w:pPr>
      <w:r>
        <w:rPr>
          <w:rFonts w:ascii="ARIAL" w:hAnsi="ARIAL"/>
          <w:i/>
          <w:sz w:val="20"/>
        </w:rPr>
        <w:t xml:space="preserve">Voting Rights </w:t>
      </w:r>
    </w:p>
    <w:p>
      <w:pPr>
        <w:pStyle w:val="TextBody"/>
        <w:bidi w:val="0"/>
        <w:spacing w:before="120" w:after="0"/>
        <w:jc w:val="left"/>
        <w:rPr>
          <w:rFonts w:ascii="ARIAL" w:hAnsi="ARIAL"/>
          <w:sz w:val="20"/>
        </w:rPr>
      </w:pPr>
      <w:r>
        <w:rPr>
          <w:rFonts w:ascii="ARIAL" w:hAnsi="ARIAL"/>
          <w:sz w:val="20"/>
        </w:rPr>
        <w:t xml:space="preserve">Without prejudice to any special rights, privileges or restrictions as to voting rights attached to any shares forming part of our share capital from time to time, the voting rights attaching to shares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on a show of hands, every shareholder who (being an individual) is present in person and (being a corporation) is present by a duly authorized representative shall have one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on a show of hands, each proxy present in person has one vote for and one vote against a resolution if the proxy has been duly appointed by more than one shareholder entitled to vote on the resolution and either: (1) the proxy has been instructed by one or more of those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vAlign w:val="center"/>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on a poll every shareholder who is present in person or by proxy shall have one vote for each share of which he or she is the holder. </w:t>
            </w:r>
          </w:p>
        </w:tc>
      </w:tr>
    </w:tbl>
    <w:p>
      <w:pPr>
        <w:pStyle w:val="TextBody"/>
        <w:bidi w:val="0"/>
        <w:spacing w:before="240" w:after="0"/>
        <w:jc w:val="left"/>
        <w:rPr>
          <w:rFonts w:ascii="ARIAL" w:hAnsi="ARIAL"/>
          <w:sz w:val="20"/>
        </w:rPr>
      </w:pPr>
      <w:r>
        <w:rPr>
          <w:rFonts w:ascii="ARIAL" w:hAnsi="ARIAL"/>
          <w:sz w:val="20"/>
        </w:rPr>
        <w:t xml:space="preserve">At any general meeting a resolution put to the vote of the meeting shall be decided on a show of hands unless a poll is demanded. Subject to the provisions of the U.K. Companies Act 2006, a poll may be demanded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chairman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two or more persons having the right to vote on the resolution;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person or persons representing not less than 10% of the total voting rights of all shareholders having the right to vote on the resolution. </w:t>
            </w:r>
          </w:p>
        </w:tc>
      </w:tr>
    </w:tbl>
    <w:p>
      <w:pPr>
        <w:pStyle w:val="TextBody"/>
        <w:bidi w:val="0"/>
        <w:spacing w:before="360" w:after="0"/>
        <w:jc w:val="left"/>
        <w:rPr>
          <w:rFonts w:ascii="ARIAL" w:hAnsi="ARIAL"/>
          <w:i/>
          <w:sz w:val="20"/>
        </w:rPr>
      </w:pPr>
      <w:r>
        <w:rPr>
          <w:rFonts w:ascii="ARIAL" w:hAnsi="ARIAL"/>
          <w:i/>
          <w:sz w:val="20"/>
        </w:rPr>
        <w:t xml:space="preserve">Restrictions on Voting </w:t>
      </w:r>
    </w:p>
    <w:p>
      <w:pPr>
        <w:pStyle w:val="TextBody"/>
        <w:bidi w:val="0"/>
        <w:spacing w:before="120" w:after="0"/>
        <w:jc w:val="left"/>
        <w:rPr>
          <w:rFonts w:ascii="ARIAL" w:hAnsi="ARIAL"/>
          <w:sz w:val="20"/>
        </w:rPr>
      </w:pPr>
      <w:r>
        <w:rPr>
          <w:rFonts w:ascii="ARIAL" w:hAnsi="ARIAL"/>
          <w:sz w:val="20"/>
        </w:rPr>
        <w:t xml:space="preserve">No shareholder shall (unless the Directors otherwise determine) be entitled to vote at any general meeting in respect of any share held by him or her unless all sums payable by him or her in respect of that share have been paid. </w:t>
      </w:r>
    </w:p>
    <w:p>
      <w:pPr>
        <w:pStyle w:val="TextBody"/>
        <w:bidi w:val="0"/>
        <w:spacing w:before="240" w:after="0"/>
        <w:jc w:val="left"/>
        <w:rPr>
          <w:rFonts w:ascii="ARIAL" w:hAnsi="ARIAL"/>
          <w:sz w:val="20"/>
        </w:rPr>
      </w:pPr>
      <w:r>
        <w:rPr>
          <w:rFonts w:ascii="ARIAL" w:hAnsi="ARIAL"/>
          <w:sz w:val="20"/>
        </w:rPr>
        <w:t xml:space="preserve">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 </w:t>
      </w:r>
    </w:p>
    <w:p>
      <w:pPr>
        <w:pStyle w:val="TextBody"/>
        <w:bidi w:val="0"/>
        <w:spacing w:before="360" w:after="0"/>
        <w:jc w:val="left"/>
        <w:rPr>
          <w:rFonts w:ascii="ARIAL" w:hAnsi="ARIAL"/>
          <w:i/>
          <w:sz w:val="20"/>
        </w:rPr>
      </w:pPr>
      <w:r>
        <w:rPr>
          <w:rFonts w:ascii="ARIAL" w:hAnsi="ARIAL"/>
          <w:i/>
          <w:sz w:val="20"/>
        </w:rPr>
        <w:t xml:space="preserve">Dividends </w:t>
      </w:r>
    </w:p>
    <w:p>
      <w:pPr>
        <w:pStyle w:val="TextBody"/>
        <w:bidi w:val="0"/>
        <w:spacing w:before="120" w:after="0"/>
        <w:jc w:val="left"/>
        <w:rPr>
          <w:rFonts w:ascii="ARIAL" w:hAnsi="ARIAL"/>
          <w:sz w:val="20"/>
        </w:rPr>
      </w:pPr>
      <w:r>
        <w:rPr>
          <w:rFonts w:ascii="ARIAL" w:hAnsi="ARIAL"/>
          <w:sz w:val="20"/>
        </w:rPr>
        <w:t xml:space="preserve">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 </w:t>
      </w:r>
    </w:p>
    <w:p>
      <w:pPr>
        <w:pStyle w:val="TextBody"/>
        <w:bidi w:val="0"/>
        <w:spacing w:before="240" w:after="0"/>
        <w:jc w:val="left"/>
        <w:rPr>
          <w:rFonts w:ascii="ARIAL" w:hAnsi="ARIAL"/>
          <w:sz w:val="20"/>
        </w:rPr>
      </w:pPr>
      <w:r>
        <w:rPr>
          <w:rFonts w:ascii="ARIAL" w:hAnsi="ARIAL"/>
          <w:sz w:val="20"/>
        </w:rPr>
        <w:t xml:space="preserve">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 </w:t>
      </w:r>
    </w:p>
    <w:p>
      <w:pPr>
        <w:pStyle w:val="TextBody"/>
        <w:bidi w:val="0"/>
        <w:spacing w:before="240" w:after="0"/>
        <w:jc w:val="left"/>
        <w:rPr>
          <w:rFonts w:ascii="ARIAL" w:hAnsi="ARIAL"/>
          <w:sz w:val="20"/>
        </w:rPr>
      </w:pPr>
      <w:r>
        <w:rPr>
          <w:rFonts w:ascii="ARIAL" w:hAnsi="ARIAL"/>
          <w:sz w:val="20"/>
        </w:rPr>
        <w:t xml:space="preserve">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 </w:t>
      </w:r>
    </w:p>
    <w:p>
      <w:pPr>
        <w:pStyle w:val="TextBody"/>
        <w:bidi w:val="0"/>
        <w:spacing w:before="240" w:after="0"/>
        <w:jc w:val="left"/>
        <w:rPr>
          <w:rFonts w:ascii="ARIAL" w:hAnsi="ARIAL"/>
          <w:sz w:val="20"/>
        </w:rPr>
      </w:pPr>
      <w:r>
        <w:rPr>
          <w:rFonts w:ascii="ARIAL" w:hAnsi="ARIAL"/>
          <w:sz w:val="20"/>
        </w:rPr>
        <w:t xml:space="preserve">Dividends may be declared or paid in any currency and the board may decide the rate of exchange for any currency conversions that may be required, and how any costs involved are to be met, in relation to the currency of any dividend.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 </w:t>
      </w:r>
    </w:p>
    <w:p>
      <w:pPr>
        <w:pStyle w:val="TextBody"/>
        <w:bidi w:val="0"/>
        <w:spacing w:before="240" w:after="0"/>
        <w:jc w:val="left"/>
        <w:rPr>
          <w:rFonts w:ascii="ARIAL" w:hAnsi="ARIAL"/>
          <w:sz w:val="20"/>
        </w:rPr>
      </w:pPr>
      <w:r>
        <w:rPr>
          <w:rFonts w:ascii="ARIAL" w:hAnsi="ARIAL"/>
          <w:sz w:val="20"/>
        </w:rPr>
        <w:t xml:space="preserve">The directors may, if authorized by an ordinary resolution of shareholders, offer any holders of ordinary shares the right to elect to receive in lieu of a dividend, or part of a dividend, an allotment of ordinary shares credited as fully paid up. </w:t>
      </w:r>
    </w:p>
    <w:p>
      <w:pPr>
        <w:pStyle w:val="TextBody"/>
        <w:bidi w:val="0"/>
        <w:spacing w:before="360" w:after="0"/>
        <w:jc w:val="left"/>
        <w:rPr>
          <w:rFonts w:ascii="ARIAL" w:hAnsi="ARIAL"/>
          <w:i/>
          <w:sz w:val="20"/>
        </w:rPr>
      </w:pPr>
      <w:r>
        <w:rPr>
          <w:rFonts w:ascii="ARIAL" w:hAnsi="ARIAL"/>
          <w:i/>
          <w:sz w:val="20"/>
        </w:rPr>
        <w:t xml:space="preserve">Change of Control </w:t>
      </w:r>
    </w:p>
    <w:p>
      <w:pPr>
        <w:pStyle w:val="TextBody"/>
        <w:bidi w:val="0"/>
        <w:spacing w:before="120" w:after="0"/>
        <w:jc w:val="left"/>
        <w:rPr>
          <w:rFonts w:ascii="ARIAL" w:hAnsi="ARIAL"/>
          <w:sz w:val="20"/>
        </w:rPr>
      </w:pPr>
      <w:r>
        <w:rPr>
          <w:rFonts w:ascii="ARIAL" w:hAnsi="ARIAL"/>
          <w:sz w:val="20"/>
        </w:rPr>
        <w:t xml:space="preserve">There is no specific provision in our Articles that would have the effect of delaying, deferring, or preventing a change of control. </w:t>
      </w:r>
    </w:p>
    <w:p>
      <w:pPr>
        <w:pStyle w:val="TextBody"/>
        <w:bidi w:val="0"/>
        <w:spacing w:before="360" w:after="0"/>
        <w:jc w:val="left"/>
        <w:rPr>
          <w:rFonts w:ascii="ARIAL" w:hAnsi="ARIAL"/>
          <w:i/>
          <w:sz w:val="20"/>
        </w:rPr>
      </w:pPr>
      <w:r>
        <w:rPr>
          <w:rFonts w:ascii="ARIAL" w:hAnsi="ARIAL"/>
          <w:i/>
          <w:sz w:val="20"/>
        </w:rPr>
        <w:t xml:space="preserve">Distributions on Winding Up </w:t>
      </w:r>
    </w:p>
    <w:p>
      <w:pPr>
        <w:pStyle w:val="TextBody"/>
        <w:bidi w:val="0"/>
        <w:spacing w:before="120" w:after="0"/>
        <w:jc w:val="left"/>
        <w:rPr>
          <w:rFonts w:ascii="ARIAL" w:hAnsi="ARIAL"/>
          <w:sz w:val="20"/>
        </w:rPr>
      </w:pPr>
      <w:r>
        <w:rPr>
          <w:rFonts w:ascii="ARIAL" w:hAnsi="ARIAL"/>
          <w:sz w:val="20"/>
        </w:rPr>
        <w:t xml:space="preserve">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 </w:t>
      </w:r>
    </w:p>
    <w:p>
      <w:pPr>
        <w:pStyle w:val="TextBody"/>
        <w:bidi w:val="0"/>
        <w:spacing w:before="360" w:after="0"/>
        <w:jc w:val="left"/>
        <w:rPr>
          <w:rFonts w:ascii="ARIAL" w:hAnsi="ARIAL"/>
          <w:i/>
          <w:sz w:val="20"/>
        </w:rPr>
      </w:pPr>
      <w:r>
        <w:rPr>
          <w:rFonts w:ascii="ARIAL" w:hAnsi="ARIAL"/>
          <w:i/>
          <w:sz w:val="20"/>
        </w:rPr>
        <w:t xml:space="preserve">Variation of Rights </w:t>
      </w:r>
    </w:p>
    <w:p>
      <w:pPr>
        <w:pStyle w:val="TextBody"/>
        <w:bidi w:val="0"/>
        <w:spacing w:before="120" w:after="0"/>
        <w:jc w:val="left"/>
        <w:rPr>
          <w:rFonts w:ascii="ARIAL" w:hAnsi="ARIAL"/>
          <w:sz w:val="20"/>
        </w:rPr>
      </w:pPr>
      <w:r>
        <w:rPr>
          <w:rFonts w:ascii="ARIAL" w:hAnsi="ARIAL"/>
          <w:sz w:val="20"/>
        </w:rPr>
        <w:t xml:space="preserve">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 </w:t>
      </w:r>
    </w:p>
    <w:p>
      <w:pPr>
        <w:pStyle w:val="TextBody"/>
        <w:bidi w:val="0"/>
        <w:spacing w:before="360" w:after="0"/>
        <w:jc w:val="left"/>
        <w:rPr>
          <w:rFonts w:ascii="ARIAL" w:hAnsi="ARIAL"/>
          <w:i/>
          <w:sz w:val="20"/>
        </w:rPr>
      </w:pPr>
      <w:r>
        <w:rPr>
          <w:rFonts w:ascii="ARIAL" w:hAnsi="ARIAL"/>
          <w:i/>
          <w:sz w:val="20"/>
        </w:rPr>
        <w:t xml:space="preserve">Alteration to Share Capital </w:t>
      </w:r>
    </w:p>
    <w:p>
      <w:pPr>
        <w:pStyle w:val="TextBody"/>
        <w:bidi w:val="0"/>
        <w:spacing w:before="120" w:after="0"/>
        <w:jc w:val="left"/>
        <w:rPr>
          <w:rFonts w:ascii="ARIAL" w:hAnsi="ARIAL"/>
          <w:sz w:val="20"/>
        </w:rPr>
      </w:pPr>
      <w:r>
        <w:rPr>
          <w:rFonts w:ascii="ARIAL" w:hAnsi="ARIAL"/>
          <w:sz w:val="20"/>
        </w:rPr>
        <w:t xml:space="preserve">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 </w:t>
      </w:r>
    </w:p>
    <w:p>
      <w:pPr>
        <w:pStyle w:val="TextBody"/>
        <w:bidi w:val="0"/>
        <w:spacing w:before="360" w:after="0"/>
        <w:jc w:val="left"/>
        <w:rPr>
          <w:rFonts w:ascii="ARIAL" w:hAnsi="ARIAL"/>
          <w:i/>
          <w:sz w:val="20"/>
        </w:rPr>
      </w:pPr>
      <w:r>
        <w:rPr>
          <w:rFonts w:ascii="ARIAL" w:hAnsi="ARIAL"/>
          <w:i/>
          <w:sz w:val="20"/>
        </w:rPr>
        <w:t xml:space="preserve">Preemption Rights </w:t>
      </w:r>
    </w:p>
    <w:p>
      <w:pPr>
        <w:pStyle w:val="TextBody"/>
        <w:bidi w:val="0"/>
        <w:spacing w:before="120" w:after="0"/>
        <w:jc w:val="left"/>
        <w:rPr>
          <w:rFonts w:ascii="ARIAL" w:hAnsi="ARIAL"/>
          <w:sz w:val="20"/>
        </w:rPr>
      </w:pPr>
      <w:r>
        <w:rPr>
          <w:rFonts w:ascii="ARIAL" w:hAnsi="ARIAL"/>
          <w:sz w:val="20"/>
        </w:rPr>
        <w:t xml:space="preserve">In certain circumstances, our shareholders may have statutory preemption rights under the U.K. Companies Act 2006 in respect of the allotment of new shares as described in Pre-emptive Rights and Differences in Corporate LawPre-emptive Rights in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Transfer of Shares </w:t>
      </w:r>
    </w:p>
    <w:p>
      <w:pPr>
        <w:pStyle w:val="TextBody"/>
        <w:bidi w:val="0"/>
        <w:spacing w:before="120" w:after="0"/>
        <w:jc w:val="left"/>
        <w:rPr>
          <w:rFonts w:ascii="ARIAL" w:hAnsi="ARIAL"/>
          <w:sz w:val="20"/>
        </w:rPr>
      </w:pPr>
      <w:r>
        <w:rPr>
          <w:rFonts w:ascii="ARIAL" w:hAnsi="ARIAL"/>
          <w:sz w:val="20"/>
        </w:rPr>
        <w:t xml:space="preserve">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 </w:t>
      </w:r>
    </w:p>
    <w:p>
      <w:pPr>
        <w:pStyle w:val="TextBody"/>
        <w:bidi w:val="0"/>
        <w:spacing w:before="240" w:after="0"/>
        <w:jc w:val="left"/>
        <w:rPr>
          <w:rFonts w:ascii="ARIAL" w:hAnsi="ARIAL"/>
          <w:sz w:val="20"/>
        </w:rPr>
      </w:pPr>
      <w:r>
        <w:rPr>
          <w:rFonts w:ascii="ARIAL" w:hAnsi="ARIAL"/>
          <w:sz w:val="20"/>
        </w:rPr>
        <w:t xml:space="preserve">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 </w:t>
      </w:r>
    </w:p>
    <w:p>
      <w:pPr>
        <w:pStyle w:val="TextBody"/>
        <w:bidi w:val="0"/>
        <w:spacing w:before="240" w:after="0"/>
        <w:jc w:val="left"/>
        <w:rPr>
          <w:rFonts w:ascii="ARIAL" w:hAnsi="ARIAL"/>
          <w:sz w:val="20"/>
        </w:rPr>
      </w:pPr>
      <w:r>
        <w:rPr>
          <w:rFonts w:ascii="ARIAL" w:hAnsi="ARIAL"/>
          <w:sz w:val="20"/>
        </w:rPr>
        <w:t xml:space="preserve">The board may decline to register any transfer of any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which is not a fully paid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where the transfer is not lodged at our registered office or such other place as the directors have appointed;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where the transfer is in respect of more than one class of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where the number of joint holders to whom the share is to be transferred exceeds four. </w:t>
            </w:r>
          </w:p>
        </w:tc>
      </w:tr>
    </w:tbl>
    <w:p>
      <w:pPr>
        <w:pStyle w:val="TextBody"/>
        <w:bidi w:val="0"/>
        <w:spacing w:before="240" w:after="0"/>
        <w:jc w:val="left"/>
        <w:rPr>
          <w:rFonts w:ascii="ARIAL" w:hAnsi="ARIAL"/>
          <w:sz w:val="20"/>
        </w:rPr>
      </w:pPr>
      <w:r>
        <w:rPr>
          <w:rFonts w:ascii="ARIAL" w:hAnsi="ARIAL"/>
          <w:sz w:val="20"/>
        </w:rPr>
        <w:t xml:space="preserve">If the board declines to register a transfer, it must return to the transferee the instrument of transfer together with notice of the refusal, unless the board suspects that the proposed transfer may be fraudulent. </w:t>
      </w:r>
    </w:p>
    <w:p>
      <w:pPr>
        <w:pStyle w:val="TextBody"/>
        <w:bidi w:val="0"/>
        <w:spacing w:before="360" w:after="0"/>
        <w:jc w:val="left"/>
        <w:rPr>
          <w:rFonts w:ascii="ARIAL" w:hAnsi="ARIAL"/>
          <w:b/>
          <w:i/>
          <w:sz w:val="20"/>
        </w:rPr>
      </w:pPr>
      <w:r>
        <w:rPr>
          <w:rFonts w:ascii="ARIAL" w:hAnsi="ARIAL"/>
          <w:b/>
          <w:i/>
          <w:sz w:val="20"/>
        </w:rPr>
        <w:t xml:space="preserve">Shareholder Meetings </w:t>
      </w:r>
    </w:p>
    <w:p>
      <w:pPr>
        <w:pStyle w:val="TextBody"/>
        <w:bidi w:val="0"/>
        <w:spacing w:before="120" w:after="0"/>
        <w:jc w:val="left"/>
        <w:rPr>
          <w:rFonts w:ascii="ARIAL" w:hAnsi="ARIAL"/>
          <w:i/>
          <w:sz w:val="20"/>
        </w:rPr>
      </w:pPr>
      <w:r>
        <w:rPr>
          <w:rFonts w:ascii="ARIAL" w:hAnsi="ARIAL"/>
          <w:i/>
          <w:sz w:val="20"/>
        </w:rPr>
        <w:t xml:space="preserve">Annual General Meetings </w:t>
      </w:r>
    </w:p>
    <w:p>
      <w:pPr>
        <w:pStyle w:val="TextBody"/>
        <w:bidi w:val="0"/>
        <w:spacing w:before="120" w:after="0"/>
        <w:jc w:val="left"/>
        <w:rPr>
          <w:rFonts w:ascii="ARIAL" w:hAnsi="ARIAL"/>
          <w:sz w:val="20"/>
        </w:rPr>
      </w:pPr>
      <w:r>
        <w:rPr>
          <w:rFonts w:ascii="ARIAL" w:hAnsi="ARIAL"/>
          <w:sz w:val="20"/>
        </w:rPr>
        <w:t xml:space="preserve">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Differences in Corporate LawAnnual General Meeting and Differences in Corporate Law Notice of General Meetings in this prospectus. </w:t>
      </w:r>
    </w:p>
    <w:p>
      <w:pPr>
        <w:pStyle w:val="TextBody"/>
        <w:bidi w:val="0"/>
        <w:spacing w:before="360" w:after="0"/>
        <w:jc w:val="left"/>
        <w:rPr>
          <w:rFonts w:ascii="ARIAL" w:hAnsi="ARIAL"/>
          <w:i/>
          <w:sz w:val="20"/>
        </w:rPr>
      </w:pPr>
      <w:r>
        <w:rPr>
          <w:rFonts w:ascii="ARIAL" w:hAnsi="ARIAL"/>
          <w:i/>
          <w:sz w:val="20"/>
        </w:rPr>
        <w:t xml:space="preserve">Notice of General Meetings </w:t>
      </w:r>
    </w:p>
    <w:p>
      <w:pPr>
        <w:pStyle w:val="TextBody"/>
        <w:bidi w:val="0"/>
        <w:spacing w:before="120" w:after="0"/>
        <w:jc w:val="left"/>
        <w:rPr>
          <w:rFonts w:ascii="ARIAL" w:hAnsi="ARIAL"/>
          <w:sz w:val="20"/>
        </w:rPr>
      </w:pPr>
      <w:r>
        <w:rPr>
          <w:rFonts w:ascii="ARIAL" w:hAnsi="ARIAL"/>
          <w:sz w:val="20"/>
        </w:rPr>
        <w:t xml:space="preserve">The arrangements for the calling of general meetings are described in Differences in Corporate LawNotice of General Meetings in this prospectus. </w:t>
      </w:r>
    </w:p>
    <w:p>
      <w:pPr>
        <w:pStyle w:val="TextBody"/>
        <w:bidi w:val="0"/>
        <w:spacing w:before="360" w:after="0"/>
        <w:jc w:val="left"/>
        <w:rPr>
          <w:rFonts w:ascii="ARIAL" w:hAnsi="ARIAL"/>
          <w:i/>
          <w:sz w:val="20"/>
        </w:rPr>
      </w:pPr>
      <w:r>
        <w:rPr>
          <w:rFonts w:ascii="ARIAL" w:hAnsi="ARIAL"/>
          <w:i/>
          <w:sz w:val="20"/>
        </w:rPr>
        <w:t xml:space="preserve">Quorum of General Meetings </w:t>
      </w:r>
    </w:p>
    <w:p>
      <w:pPr>
        <w:pStyle w:val="TextBody"/>
        <w:bidi w:val="0"/>
        <w:spacing w:before="120" w:after="0"/>
        <w:jc w:val="left"/>
        <w:rPr>
          <w:rFonts w:ascii="ARIAL" w:hAnsi="ARIAL"/>
          <w:sz w:val="20"/>
        </w:rPr>
      </w:pPr>
      <w:r>
        <w:rPr>
          <w:rFonts w:ascii="ARIAL" w:hAnsi="ARIAL"/>
          <w:sz w:val="20"/>
        </w:rPr>
        <w:t xml:space="preserve">No business, other than the appointment of the chair of the meeting, shall be transacted at any general meeting unless a quorum is present. Subject to the paragraph below, at least two shareholders present in person or by proxy and entitled to vote shall be a quorum for all purposes. </w:t>
      </w:r>
    </w:p>
    <w:p>
      <w:pPr>
        <w:pStyle w:val="TextBody"/>
        <w:bidi w:val="0"/>
        <w:spacing w:before="240" w:after="0"/>
        <w:jc w:val="left"/>
        <w:rPr>
          <w:rFonts w:ascii="ARIAL" w:hAnsi="ARIAL"/>
          <w:sz w:val="20"/>
        </w:rPr>
      </w:pPr>
      <w:r>
        <w:rPr>
          <w:rFonts w:ascii="ARIAL" w:hAnsi="ARIAL"/>
          <w:sz w:val="20"/>
        </w:rPr>
        <w:t xml:space="preserve">If and for so long as we are subject to the rules and requirements of a securities exchange and such securities exchange requires us to have a quorum for general meetings then, in addition to the requisite quorum requirement stated in the preceding paragraph, in order for such general meeting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be quorate at least 33 1/3 per cent. of our issued and outstanding ordinary shares (or such other amount as may be specified by such rules and requirements) must be present at such general meeting, whether represented in person (including, in the case of a corporate shareholder, by duly authorized representative) or by duly appointed proxy. </w:t>
      </w:r>
    </w:p>
    <w:p>
      <w:pPr>
        <w:pStyle w:val="TextBody"/>
        <w:bidi w:val="0"/>
        <w:spacing w:before="360" w:after="0"/>
        <w:jc w:val="left"/>
        <w:rPr>
          <w:rFonts w:ascii="ARIAL" w:hAnsi="ARIAL"/>
          <w:i/>
          <w:sz w:val="20"/>
        </w:rPr>
      </w:pPr>
      <w:r>
        <w:rPr>
          <w:rFonts w:ascii="ARIAL" w:hAnsi="ARIAL"/>
          <w:i/>
          <w:sz w:val="20"/>
        </w:rPr>
        <w:t xml:space="preserve">Class Meetings </w:t>
      </w:r>
    </w:p>
    <w:p>
      <w:pPr>
        <w:pStyle w:val="TextBody"/>
        <w:bidi w:val="0"/>
        <w:spacing w:before="120" w:after="0"/>
        <w:jc w:val="left"/>
        <w:rPr>
          <w:rFonts w:ascii="ARIAL" w:hAnsi="ARIAL"/>
          <w:sz w:val="20"/>
        </w:rPr>
      </w:pPr>
      <w:r>
        <w:rPr>
          <w:rFonts w:ascii="ARIAL" w:hAnsi="ARIAL"/>
          <w:sz w:val="20"/>
        </w:rPr>
        <w:t xml:space="preserve">The provisions in the Articles relating to general meetings apply to every separate general meeting of the holders of a class of shares. </w:t>
      </w:r>
    </w:p>
    <w:p>
      <w:pPr>
        <w:pStyle w:val="TextBody"/>
        <w:bidi w:val="0"/>
        <w:spacing w:before="360" w:after="0"/>
        <w:jc w:val="left"/>
        <w:rPr>
          <w:rFonts w:ascii="ARIAL" w:hAnsi="ARIAL"/>
          <w:b/>
          <w:sz w:val="20"/>
        </w:rPr>
      </w:pPr>
      <w:r>
        <w:rPr>
          <w:rFonts w:ascii="ARIAL" w:hAnsi="ARIAL"/>
          <w:b/>
          <w:sz w:val="20"/>
        </w:rPr>
        <w:t xml:space="preserve">Directors </w:t>
      </w:r>
    </w:p>
    <w:p>
      <w:pPr>
        <w:pStyle w:val="TextBody"/>
        <w:bidi w:val="0"/>
        <w:spacing w:before="120" w:after="0"/>
        <w:jc w:val="left"/>
        <w:rPr>
          <w:rFonts w:ascii="ARIAL" w:hAnsi="ARIAL"/>
          <w:i/>
          <w:sz w:val="20"/>
        </w:rPr>
      </w:pPr>
      <w:r>
        <w:rPr>
          <w:rFonts w:ascii="ARIAL" w:hAnsi="ARIAL"/>
          <w:i/>
          <w:sz w:val="20"/>
        </w:rPr>
        <w:t xml:space="preserve">Number of Directors </w:t>
      </w:r>
    </w:p>
    <w:p>
      <w:pPr>
        <w:pStyle w:val="TextBody"/>
        <w:bidi w:val="0"/>
        <w:spacing w:before="120" w:after="0"/>
        <w:jc w:val="left"/>
        <w:rPr>
          <w:rFonts w:ascii="ARIAL" w:hAnsi="ARIAL"/>
          <w:sz w:val="20"/>
        </w:rPr>
      </w:pPr>
      <w:r>
        <w:rPr>
          <w:rFonts w:ascii="ARIAL" w:hAnsi="ARIAL"/>
          <w:sz w:val="20"/>
        </w:rPr>
        <w:t xml:space="preserve">We may not have less than two directors on the Board and not more than ten. We may, by ordinary resolution of the shareholders, vary the minimum and maximum number of directors from time to time. </w:t>
      </w:r>
    </w:p>
    <w:p>
      <w:pPr>
        <w:pStyle w:val="TextBody"/>
        <w:bidi w:val="0"/>
        <w:spacing w:before="360" w:after="0"/>
        <w:jc w:val="left"/>
        <w:rPr>
          <w:rFonts w:ascii="ARIAL" w:hAnsi="ARIAL"/>
          <w:i/>
          <w:sz w:val="20"/>
        </w:rPr>
      </w:pPr>
      <w:r>
        <w:rPr>
          <w:rFonts w:ascii="ARIAL" w:hAnsi="ARIAL"/>
          <w:i/>
          <w:sz w:val="20"/>
        </w:rPr>
        <w:t xml:space="preserve">Appointment of Directors </w:t>
      </w:r>
    </w:p>
    <w:p>
      <w:pPr>
        <w:pStyle w:val="TextBody"/>
        <w:bidi w:val="0"/>
        <w:spacing w:before="120" w:after="0"/>
        <w:jc w:val="left"/>
        <w:rPr>
          <w:rFonts w:ascii="ARIAL" w:hAnsi="ARIAL"/>
          <w:sz w:val="20"/>
        </w:rPr>
      </w:pPr>
      <w:r>
        <w:rPr>
          <w:rFonts w:ascii="ARIAL" w:hAnsi="ARIAL"/>
          <w:sz w:val="20"/>
        </w:rPr>
        <w:t xml:space="preserve">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 </w:t>
      </w:r>
    </w:p>
    <w:p>
      <w:pPr>
        <w:pStyle w:val="TextBody"/>
        <w:bidi w:val="0"/>
        <w:spacing w:before="240" w:after="0"/>
        <w:jc w:val="left"/>
        <w:rPr>
          <w:rFonts w:ascii="ARIAL" w:hAnsi="ARIAL"/>
          <w:sz w:val="20"/>
        </w:rPr>
      </w:pPr>
      <w:r>
        <w:rPr>
          <w:rFonts w:ascii="ARIAL" w:hAnsi="ARIAL"/>
          <w:sz w:val="20"/>
        </w:rPr>
        <w:t xml:space="preserve">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 </w:t>
      </w:r>
    </w:p>
    <w:p>
      <w:pPr>
        <w:pStyle w:val="TextBody"/>
        <w:bidi w:val="0"/>
        <w:spacing w:before="240" w:after="0"/>
        <w:jc w:val="left"/>
        <w:rPr>
          <w:rFonts w:ascii="ARIAL" w:hAnsi="ARIAL"/>
          <w:sz w:val="20"/>
        </w:rPr>
      </w:pPr>
      <w:r>
        <w:rPr>
          <w:rFonts w:ascii="ARIAL" w:hAnsi="ARIAL"/>
          <w:sz w:val="20"/>
        </w:rPr>
        <w:t xml:space="preserve">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 </w:t>
      </w:r>
    </w:p>
    <w:p>
      <w:pPr>
        <w:pStyle w:val="TextBody"/>
        <w:bidi w:val="0"/>
        <w:spacing w:before="360" w:after="0"/>
        <w:jc w:val="left"/>
        <w:rPr>
          <w:rFonts w:ascii="ARIAL" w:hAnsi="ARIAL"/>
          <w:b/>
          <w:i/>
          <w:sz w:val="20"/>
        </w:rPr>
      </w:pPr>
      <w:r>
        <w:rPr>
          <w:rFonts w:ascii="ARIAL" w:hAnsi="ARIAL"/>
          <w:b/>
          <w:i/>
          <w:sz w:val="20"/>
        </w:rPr>
        <w:t xml:space="preserve">Other U.K. Law Considerations </w:t>
      </w:r>
    </w:p>
    <w:p>
      <w:pPr>
        <w:pStyle w:val="TextBody"/>
        <w:bidi w:val="0"/>
        <w:spacing w:before="120" w:after="0"/>
        <w:jc w:val="left"/>
        <w:rPr>
          <w:rFonts w:ascii="ARIAL" w:hAnsi="ARIAL"/>
          <w:i/>
          <w:sz w:val="20"/>
        </w:rPr>
      </w:pPr>
      <w:r>
        <w:rPr>
          <w:rFonts w:ascii="ARIAL" w:hAnsi="ARIAL"/>
          <w:i/>
          <w:sz w:val="20"/>
        </w:rPr>
        <w:t xml:space="preserve">Mandatory Purchases and Acquisitions </w:t>
      </w:r>
    </w:p>
    <w:p>
      <w:pPr>
        <w:pStyle w:val="TextBody"/>
        <w:bidi w:val="0"/>
        <w:spacing w:before="120" w:after="0"/>
        <w:jc w:val="left"/>
        <w:rPr>
          <w:rFonts w:ascii="ARIAL" w:hAnsi="ARIAL"/>
          <w:sz w:val="20"/>
        </w:rPr>
      </w:pPr>
      <w:r>
        <w:rPr>
          <w:rFonts w:ascii="ARIAL" w:hAnsi="ARIAL"/>
          <w:sz w:val="20"/>
        </w:rPr>
        <w:t xml:space="preserve">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 </w:t>
      </w:r>
    </w:p>
    <w:p>
      <w:pPr>
        <w:pStyle w:val="TextBody"/>
        <w:bidi w:val="0"/>
        <w:spacing w:before="360" w:after="0"/>
        <w:jc w:val="left"/>
        <w:rPr>
          <w:rFonts w:ascii="ARIAL" w:hAnsi="ARIAL"/>
          <w:i/>
          <w:sz w:val="20"/>
        </w:rPr>
      </w:pPr>
      <w:r>
        <w:rPr>
          <w:rFonts w:ascii="ARIAL" w:hAnsi="ARIAL"/>
          <w:i/>
          <w:sz w:val="20"/>
        </w:rPr>
        <w:t xml:space="preserve">Sell Out </w:t>
      </w:r>
    </w:p>
    <w:p>
      <w:pPr>
        <w:pStyle w:val="TextBody"/>
        <w:bidi w:val="0"/>
        <w:spacing w:before="120" w:after="0"/>
        <w:jc w:val="left"/>
        <w:rPr>
          <w:rFonts w:ascii="ARIAL" w:hAnsi="ARIAL"/>
          <w:sz w:val="20"/>
        </w:rPr>
      </w:pPr>
      <w:r>
        <w:rPr>
          <w:rFonts w:ascii="ARIAL" w:hAnsi="ARIAL"/>
          <w:sz w:val="20"/>
        </w:rPr>
        <w:t xml:space="preserve">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 </w:t>
      </w:r>
    </w:p>
    <w:p>
      <w:pPr>
        <w:pStyle w:val="TextBody"/>
        <w:bidi w:val="0"/>
        <w:spacing w:before="360" w:after="0"/>
        <w:jc w:val="left"/>
        <w:rPr>
          <w:rFonts w:ascii="ARIAL" w:hAnsi="ARIAL"/>
          <w:i/>
          <w:sz w:val="20"/>
        </w:rPr>
      </w:pPr>
      <w:r>
        <w:rPr>
          <w:rFonts w:ascii="ARIAL" w:hAnsi="ARIAL"/>
          <w:i/>
          <w:sz w:val="20"/>
        </w:rPr>
        <w:t xml:space="preserve">Disclosure of Interest in Shares </w:t>
      </w:r>
    </w:p>
    <w:p>
      <w:pPr>
        <w:pStyle w:val="TextBody"/>
        <w:bidi w:val="0"/>
        <w:spacing w:before="120" w:after="0"/>
        <w:jc w:val="left"/>
        <w:rPr>
          <w:rFonts w:ascii="ARIAL" w:hAnsi="ARIAL"/>
          <w:sz w:val="20"/>
        </w:rPr>
      </w:pPr>
      <w:r>
        <w:rPr>
          <w:rFonts w:ascii="ARIAL" w:hAnsi="ARIAL"/>
          <w:sz w:val="20"/>
        </w:rPr>
        <w:t xml:space="preserve">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 </w:t>
      </w:r>
    </w:p>
    <w:p>
      <w:pPr>
        <w:pStyle w:val="TextBody"/>
        <w:bidi w:val="0"/>
        <w:spacing w:before="240" w:after="0"/>
        <w:jc w:val="left"/>
        <w:rPr>
          <w:rFonts w:ascii="ARIAL" w:hAnsi="ARIAL"/>
          <w:sz w:val="20"/>
        </w:rPr>
      </w:pPr>
      <w:r>
        <w:rPr>
          <w:rFonts w:ascii="ARIAL" w:hAnsi="ARIAL"/>
          <w:sz w:val="20"/>
        </w:rPr>
        <w:t xml:space="preserve">Under our Articles, if a person defaults in supplying us with the required particulars in relation to the shares in question (default shares), within the prescribed period, the directors may by notice direct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in respect of the default shares, the relevant shareholder shall not be entitled to vote (either in person or by proxy) at any general meeting or to exercise any other right conferred by a shareholding in relation to general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i/>
          <w:sz w:val="20"/>
        </w:rPr>
      </w:pPr>
      <w:r>
        <w:rPr>
          <w:rFonts w:ascii="ARIAL" w:hAnsi="ARIAL"/>
          <w:i/>
          <w:sz w:val="20"/>
        </w:rPr>
        <w:t xml:space="preserve">Purchase of Own Shares </w:t>
      </w:r>
    </w:p>
    <w:p>
      <w:pPr>
        <w:pStyle w:val="TextBody"/>
        <w:bidi w:val="0"/>
        <w:spacing w:before="120" w:after="0"/>
        <w:jc w:val="left"/>
        <w:rPr>
          <w:rFonts w:ascii="ARIAL" w:hAnsi="ARIAL"/>
          <w:sz w:val="20"/>
        </w:rPr>
      </w:pPr>
      <w:r>
        <w:rPr>
          <w:rFonts w:ascii="ARIAL" w:hAnsi="ARIAL"/>
          <w:sz w:val="20"/>
        </w:rPr>
        <w:t xml:space="preserve">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 </w:t>
      </w:r>
    </w:p>
    <w:p>
      <w:pPr>
        <w:pStyle w:val="TextBody"/>
        <w:bidi w:val="0"/>
        <w:spacing w:before="240" w:after="0"/>
        <w:jc w:val="left"/>
        <w:rPr>
          <w:rFonts w:ascii="ARIAL" w:hAnsi="ARIAL"/>
          <w:sz w:val="20"/>
        </w:rPr>
      </w:pPr>
      <w:r>
        <w:rPr>
          <w:rFonts w:ascii="ARIAL" w:hAnsi="ARIAL"/>
          <w:sz w:val="20"/>
        </w:rPr>
        <w:t xml:space="preserve">Subject to the above, we may purchase our own shares in the manner prescribed below. We may make a market purchase on a recognized investment exchange of our own fully paid shares pursuant to an ordinary resolution of shareholders. The resolution authorizing the purchase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specify the maximum number of shares authorized to be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determine the maximum and minimum prices that may be paid for the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specify a date, not being later than five years after the passing of the resolution, on which the authority to purchase is to expire. </w:t>
            </w:r>
          </w:p>
        </w:tc>
      </w:tr>
    </w:tbl>
    <w:p>
      <w:pPr>
        <w:pStyle w:val="TextBody"/>
        <w:bidi w:val="0"/>
        <w:spacing w:before="240" w:after="0"/>
        <w:jc w:val="left"/>
        <w:rPr>
          <w:rFonts w:ascii="ARIAL" w:hAnsi="ARIAL"/>
          <w:sz w:val="20"/>
        </w:rPr>
      </w:pPr>
      <w:r>
        <w:rPr>
          <w:rFonts w:ascii="ARIAL" w:hAnsi="ARIAL"/>
          <w:sz w:val="20"/>
        </w:rPr>
        <w:t xml:space="preserve">The Nasdaq Capital Market (Nasdaq) is not a recognized investment exchange on which we may make market purchases. 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 </w:t>
      </w:r>
    </w:p>
    <w:p>
      <w:pPr>
        <w:pStyle w:val="TextBody"/>
        <w:bidi w:val="0"/>
        <w:spacing w:before="360" w:after="0"/>
        <w:jc w:val="left"/>
        <w:rPr>
          <w:rFonts w:ascii="ARIAL" w:hAnsi="ARIAL"/>
          <w:i/>
          <w:sz w:val="20"/>
        </w:rPr>
      </w:pPr>
      <w:r>
        <w:rPr>
          <w:rFonts w:ascii="ARIAL" w:hAnsi="ARIAL"/>
          <w:i/>
          <w:sz w:val="20"/>
        </w:rPr>
        <w:t xml:space="preserve">Distributions and Dividends </w:t>
      </w:r>
    </w:p>
    <w:p>
      <w:pPr>
        <w:pStyle w:val="TextBody"/>
        <w:bidi w:val="0"/>
        <w:spacing w:before="120" w:after="0"/>
        <w:jc w:val="left"/>
        <w:rPr>
          <w:rFonts w:ascii="ARIAL" w:hAnsi="ARIAL"/>
          <w:sz w:val="20"/>
        </w:rPr>
      </w:pPr>
      <w:r>
        <w:rPr>
          <w:rFonts w:ascii="ARIAL" w:hAnsi="ARIAL"/>
          <w:sz w:val="20"/>
        </w:rPr>
        <w:t xml:space="preserve">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 </w:t>
      </w:r>
    </w:p>
    <w:p>
      <w:pPr>
        <w:pStyle w:val="TextBody"/>
        <w:bidi w:val="0"/>
        <w:spacing w:before="240" w:after="0"/>
        <w:jc w:val="left"/>
        <w:rPr>
          <w:rFonts w:ascii="ARIAL" w:hAnsi="ARIAL"/>
          <w:sz w:val="20"/>
        </w:rPr>
      </w:pPr>
      <w:r>
        <w:rPr>
          <w:rFonts w:ascii="ARIAL" w:hAnsi="ARIAL"/>
          <w:sz w:val="20"/>
        </w:rPr>
        <w:t xml:space="preserve">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if, at the time that the distribution is made, the amount of its net assets (that is, the total excess of assets over liabilities) is not less than the total of its called up share capital and undistributable reserves;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if, and to the extent that, the distribution itself, at the time that it is made, does not reduce the amount of the net assets to less than that total. </w:t>
            </w:r>
          </w:p>
        </w:tc>
      </w:tr>
    </w:tbl>
    <w:p>
      <w:pPr>
        <w:pStyle w:val="TextBody"/>
        <w:bidi w:val="0"/>
        <w:spacing w:before="360" w:after="0"/>
        <w:jc w:val="left"/>
        <w:rPr>
          <w:rFonts w:ascii="ARIAL" w:hAnsi="ARIAL"/>
          <w:i/>
          <w:sz w:val="20"/>
        </w:rPr>
      </w:pPr>
      <w:r>
        <w:rPr>
          <w:rFonts w:ascii="ARIAL" w:hAnsi="ARIAL"/>
          <w:i/>
          <w:sz w:val="20"/>
        </w:rPr>
        <w:t xml:space="preserve">City Code on Takeovers and Mergers </w:t>
      </w:r>
    </w:p>
    <w:p>
      <w:pPr>
        <w:pStyle w:val="TextBody"/>
        <w:bidi w:val="0"/>
        <w:spacing w:before="120" w:after="0"/>
        <w:jc w:val="left"/>
        <w:rPr>
          <w:rFonts w:ascii="ARIAL" w:hAnsi="ARIAL"/>
          <w:sz w:val="20"/>
        </w:rPr>
      </w:pPr>
      <w:r>
        <w:rPr>
          <w:rFonts w:ascii="ARIAL" w:hAnsi="ARIAL"/>
          <w:sz w:val="20"/>
        </w:rPr>
        <w:t xml:space="preserve">Following the cancellation of admission of our ordinary shares to trading on the AIM market of London Stock Exchange plc on December 18, 2020, the U.K. Panel on Takeovers and Mergers (the Panel) confirmed to us that the U.K. City Code on Takeovers and Mergers (the City Code) will not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 </w:t>
      </w:r>
    </w:p>
    <w:p>
      <w:pPr>
        <w:pStyle w:val="TextBody"/>
        <w:bidi w:val="0"/>
        <w:spacing w:before="240" w:after="0"/>
        <w:jc w:val="left"/>
        <w:rPr>
          <w:rFonts w:ascii="ARIAL" w:hAnsi="ARIAL"/>
          <w:sz w:val="20"/>
        </w:rPr>
      </w:pPr>
      <w:r>
        <w:rPr>
          <w:rFonts w:ascii="ARIAL" w:hAnsi="ARIAL"/>
          <w:sz w:val="20"/>
        </w:rPr>
        <w:t xml:space="preserve">Notwithstanding the above, we may become subject to the City Code in the future if any changes to the Board composition result in the majority of the Directors being resident in the United Kingdom, Channel Islands or the Isle of Man. </w:t>
      </w:r>
    </w:p>
    <w:p>
      <w:pPr>
        <w:pStyle w:val="TextBody"/>
        <w:bidi w:val="0"/>
        <w:spacing w:before="360" w:after="0"/>
        <w:jc w:val="left"/>
        <w:rPr>
          <w:rFonts w:ascii="ARIAL" w:hAnsi="ARIAL"/>
          <w:i/>
          <w:sz w:val="20"/>
        </w:rPr>
      </w:pPr>
      <w:r>
        <w:rPr>
          <w:rFonts w:ascii="ARIAL" w:hAnsi="ARIAL"/>
          <w:i/>
          <w:sz w:val="20"/>
        </w:rPr>
        <w:t xml:space="preserve">Exchange Controls </w:t>
      </w:r>
    </w:p>
    <w:p>
      <w:pPr>
        <w:pStyle w:val="TextBody"/>
        <w:bidi w:val="0"/>
        <w:spacing w:before="120" w:after="0"/>
        <w:jc w:val="left"/>
        <w:rPr>
          <w:rFonts w:ascii="ARIAL" w:hAnsi="ARIAL"/>
          <w:sz w:val="20"/>
        </w:rPr>
      </w:pPr>
      <w:r>
        <w:rPr>
          <w:rFonts w:ascii="ARIAL" w:hAnsi="ARIAL"/>
          <w:sz w:val="20"/>
        </w:rPr>
        <w:t xml:space="preserve">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 </w:t>
      </w:r>
    </w:p>
    <w:p>
      <w:pPr>
        <w:pStyle w:val="TextBody"/>
        <w:bidi w:val="0"/>
        <w:spacing w:before="360" w:after="0"/>
        <w:jc w:val="left"/>
        <w:rPr>
          <w:rFonts w:ascii="ARIAL" w:hAnsi="ARIAL"/>
          <w:b/>
          <w:sz w:val="20"/>
        </w:rPr>
      </w:pPr>
      <w:r>
        <w:rPr>
          <w:rFonts w:ascii="ARIAL" w:hAnsi="ARIAL"/>
          <w:b/>
          <w:sz w:val="20"/>
        </w:rPr>
        <w:t xml:space="preserve">Differences in Corporate Law </w:t>
      </w:r>
    </w:p>
    <w:p>
      <w:pPr>
        <w:pStyle w:val="TextBody"/>
        <w:bidi w:val="0"/>
        <w:spacing w:before="120" w:after="0"/>
        <w:jc w:val="left"/>
        <w:rPr>
          <w:rFonts w:ascii="ARIAL" w:hAnsi="ARIAL"/>
          <w:i/>
          <w:sz w:val="20"/>
        </w:rPr>
      </w:pPr>
      <w:r>
        <w:rPr>
          <w:rFonts w:ascii="ARIAL" w:hAnsi="ARIAL"/>
          <w:i/>
          <w:sz w:val="20"/>
        </w:rPr>
        <w:t xml:space="preserve">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4"/>
        <w:gridCol w:w="107"/>
        <w:gridCol w:w="3353"/>
        <w:gridCol w:w="120"/>
        <w:gridCol w:w="3221"/>
      </w:tblGrid>
      <w:tr>
        <w:trPr/>
        <w:tc>
          <w:tcPr>
            <w:tcW w:w="340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340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353"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0" w:type="dxa"/>
            <w:tcBorders/>
            <w:vAlign w:val="bottom"/>
          </w:tcPr>
          <w:p>
            <w:pPr>
              <w:pStyle w:val="TableContents"/>
              <w:bidi w:val="0"/>
              <w:spacing w:before="0" w:after="283"/>
              <w:jc w:val="left"/>
              <w:rPr/>
            </w:pPr>
            <w:r>
              <w:rPr/>
              <w:t>  </w:t>
            </w:r>
          </w:p>
        </w:tc>
        <w:tc>
          <w:tcPr>
            <w:tcW w:w="3221"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404" w:type="dxa"/>
            <w:tcBorders/>
          </w:tcPr>
          <w:p>
            <w:pPr>
              <w:pStyle w:val="TableContents"/>
              <w:bidi w:val="0"/>
              <w:spacing w:before="0" w:after="283"/>
              <w:jc w:val="left"/>
              <w:rPr/>
            </w:pPr>
            <w:r>
              <w:rPr/>
              <w:t>Number of Directors</w:t>
            </w:r>
          </w:p>
        </w:tc>
        <w:tc>
          <w:tcPr>
            <w:tcW w:w="107"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Under the U.K. Companies Act 2006, a public limited company must have at least two directors. Our Articles further provide that, unless otherwise determined by an ordinary resolution, the number of our directors shall be not less than two nor more than ten in number.</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pPr>
            <w:r>
              <w:rPr/>
              <w:t>Under Delaware law, a corporation must have at least one director and the number of directors shall be fixed by or in the manner provided in the bylaws.</w:t>
            </w:r>
          </w:p>
        </w:tc>
      </w:tr>
      <w:tr>
        <w:trPr>
          <w:trHeight w:val="120" w:hRule="atLeast"/>
        </w:trPr>
        <w:tc>
          <w:tcPr>
            <w:tcW w:w="3404"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Our board of directors currently consists of ten members.</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sz w:val="4"/>
                <w:szCs w:val="4"/>
              </w:rPr>
            </w:pPr>
            <w:r>
              <w:rPr>
                <w:sz w:val="4"/>
                <w:szCs w:val="4"/>
              </w:rPr>
            </w:r>
          </w:p>
        </w:tc>
      </w:tr>
      <w:tr>
        <w:trPr>
          <w:trHeight w:val="120" w:hRule="atLeast"/>
        </w:trPr>
        <w:tc>
          <w:tcPr>
            <w:tcW w:w="3404"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For as long as Novartis holds not less than one percent of our issued share capital, Novartis may appoint one observer who may attend, but not participate or vote in, any meeting of our board of directors.</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sz w:val="4"/>
                <w:szCs w:val="4"/>
              </w:rPr>
            </w:pPr>
            <w:r>
              <w:rPr>
                <w:sz w:val="4"/>
                <w:szCs w:val="4"/>
              </w:rPr>
            </w:r>
          </w:p>
        </w:tc>
      </w:tr>
      <w:tr>
        <w:trPr>
          <w:trHeight w:val="120" w:hRule="atLeast"/>
        </w:trPr>
        <w:tc>
          <w:tcPr>
            <w:tcW w:w="3404"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04" w:type="dxa"/>
            <w:tcBorders/>
          </w:tcPr>
          <w:p>
            <w:pPr>
              <w:pStyle w:val="TableContents"/>
              <w:bidi w:val="0"/>
              <w:spacing w:before="0" w:after="283"/>
              <w:jc w:val="left"/>
              <w:rPr/>
            </w:pPr>
            <w:r>
              <w:rPr/>
              <w:t>Removal of Directors</w:t>
            </w:r>
          </w:p>
        </w:tc>
        <w:tc>
          <w:tcPr>
            <w:tcW w:w="107"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Under the U.K. Companies Act 2006, a company may remove a director without cause at a general meeting by way of an ordinary resolution of</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pPr>
            <w:r>
              <w:rPr/>
              <w:t>Under Delaware law, unless otherwise provided in the certificate of incorporation, any director or the entire board of directors may be removed, with</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92"/>
        <w:gridCol w:w="106"/>
        <w:gridCol w:w="3402"/>
        <w:gridCol w:w="120"/>
        <w:gridCol w:w="3185"/>
      </w:tblGrid>
      <w:tr>
        <w:trPr/>
        <w:tc>
          <w:tcPr>
            <w:tcW w:w="339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39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3402"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02" w:type="dxa"/>
            <w:tcBorders/>
          </w:tcPr>
          <w:p>
            <w:pPr>
              <w:pStyle w:val="TableContents"/>
              <w:bidi w:val="0"/>
              <w:spacing w:before="0" w:after="283"/>
              <w:jc w:val="left"/>
              <w:rPr/>
            </w:pPr>
            <w:r>
              <w:rPr/>
              <w:t>shareholders (which is passed by a simple majority of those voting in person or by proxy at a general meeting),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pPr>
            <w:r>
              <w:rPr/>
              <w:t>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02" w:type="dxa"/>
            <w:tcBorders/>
          </w:tcPr>
          <w:p>
            <w:pPr>
              <w:pStyle w:val="TableContents"/>
              <w:bidi w:val="0"/>
              <w:spacing w:before="0" w:after="283"/>
              <w:jc w:val="left"/>
              <w:rPr/>
            </w:pPr>
            <w:r>
              <w:rPr/>
              <w:t>In addition to any power of removal under the U.K. Companies Act 2006, under our Articles, we may, by special resolution or ordinary resolution (of which special notice has been given in accordance with section 312 of the U.K. Companies Act 2006) remove any director from office (but without prejudice to any claim he or she may have for damages for breach of any agreement between us and the relevant director) and, by ordinary resolution, appoint another person to act as director in his or her place.</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Vacancies on the Board of Directors</w:t>
            </w:r>
          </w:p>
        </w:tc>
        <w:tc>
          <w:tcPr>
            <w:tcW w:w="106" w:type="dxa"/>
            <w:tcBorders/>
            <w:vAlign w:val="bottom"/>
          </w:tcPr>
          <w:p>
            <w:pPr>
              <w:pStyle w:val="TableContents"/>
              <w:bidi w:val="0"/>
              <w:spacing w:before="0" w:after="283"/>
              <w:jc w:val="left"/>
              <w:rPr/>
            </w:pPr>
            <w:r>
              <w:rPr/>
              <w:t> </w:t>
            </w:r>
          </w:p>
        </w:tc>
        <w:tc>
          <w:tcPr>
            <w:tcW w:w="3402" w:type="dxa"/>
            <w:tcBorders/>
          </w:tcPr>
          <w:p>
            <w:pPr>
              <w:pStyle w:val="TableContents"/>
              <w:bidi w:val="0"/>
              <w:spacing w:before="0" w:after="283"/>
              <w:jc w:val="left"/>
              <w:rPr/>
            </w:pPr>
            <w:r>
              <w:rPr/>
              <w:t>Under our Articles, we may by ordinary resolution appoint a person who is willing to act to be a director, either to fill a vacancy or as an additional director and our board of directors may appoint a person who is willing to act to be a director, either to fill a</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pPr>
            <w:r>
              <w:rPr/>
              <w:t>Under Delaware law, vacancies and newly created directorships may be filled by a majority of the directors then in office (even though less than a quorum) or by a sole remaining director unless (a) otherwise provided in the certificate of incorporation or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84"/>
        <w:gridCol w:w="107"/>
        <w:gridCol w:w="3385"/>
        <w:gridCol w:w="120"/>
        <w:gridCol w:w="3209"/>
      </w:tblGrid>
      <w:tr>
        <w:trPr/>
        <w:tc>
          <w:tcPr>
            <w:tcW w:w="338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338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385"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0" w:type="dxa"/>
            <w:tcBorders/>
            <w:vAlign w:val="bottom"/>
          </w:tcPr>
          <w:p>
            <w:pPr>
              <w:pStyle w:val="TableContents"/>
              <w:bidi w:val="0"/>
              <w:spacing w:before="0" w:after="283"/>
              <w:jc w:val="left"/>
              <w:rPr/>
            </w:pPr>
            <w:r>
              <w:rPr/>
              <w:t>  </w:t>
            </w:r>
          </w:p>
        </w:tc>
        <w:tc>
          <w:tcPr>
            <w:tcW w:w="3209"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8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pPr>
            <w:r>
              <w:rPr/>
              <w:t>vacancy or as an additional director, provided in each case that the appointment does not cause the number of directors to exceed the number fixed by or in accordance with our Articles as the maximum number of directors.</w:t>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pPr>
            <w:r>
              <w:rPr/>
              <w:t>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tc>
      </w:tr>
      <w:tr>
        <w:trPr>
          <w:trHeight w:val="120" w:hRule="atLeast"/>
        </w:trPr>
        <w:tc>
          <w:tcPr>
            <w:tcW w:w="3384"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3384" w:type="dxa"/>
            <w:tcBorders/>
          </w:tcPr>
          <w:p>
            <w:pPr>
              <w:pStyle w:val="TableContents"/>
              <w:bidi w:val="0"/>
              <w:spacing w:before="0" w:after="283"/>
              <w:jc w:val="left"/>
              <w:rPr/>
            </w:pPr>
            <w:r>
              <w:rPr/>
              <w:t>Annual General Meeting</w:t>
            </w:r>
          </w:p>
        </w:tc>
        <w:tc>
          <w:tcPr>
            <w:tcW w:w="107"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pPr>
            <w:r>
              <w:rPr/>
              <w:t>Under the U.K. Companies Act 2006, a public limited company must hold an annual general meeting in each six-month period following the companys annual accounting reference date.</w:t>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pPr>
            <w:r>
              <w:rPr/>
              <w:t>Under Delaware law, the annual meeting of stockholders shall be held at such place, on such date and at such time as may be designated from time to time by the board of directors or as provided in the certificate of incorporation or by the bylaws.</w:t>
            </w:r>
          </w:p>
        </w:tc>
      </w:tr>
      <w:tr>
        <w:trPr>
          <w:trHeight w:val="120" w:hRule="atLeast"/>
        </w:trPr>
        <w:tc>
          <w:tcPr>
            <w:tcW w:w="3384"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3384" w:type="dxa"/>
            <w:tcBorders/>
          </w:tcPr>
          <w:p>
            <w:pPr>
              <w:pStyle w:val="TableContents"/>
              <w:bidi w:val="0"/>
              <w:spacing w:before="0" w:after="283"/>
              <w:jc w:val="left"/>
              <w:rPr/>
            </w:pPr>
            <w:r>
              <w:rPr/>
              <w:t>General Meeting</w:t>
            </w:r>
          </w:p>
        </w:tc>
        <w:tc>
          <w:tcPr>
            <w:tcW w:w="107"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pPr>
            <w:r>
              <w:rPr/>
              <w:t>Under the U.K. Companies Act 2006, a general meeting of the shareholders of a public limited company may be called by the directors.</w:t>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pPr>
            <w:r>
              <w:rPr/>
              <w:t>Under Delaware law, special meetings of the stockholders may be called by the board of directors or by such person or persons as may be authorized by the certificate of incorporation or by the bylaws.</w:t>
            </w:r>
          </w:p>
        </w:tc>
      </w:tr>
      <w:tr>
        <w:trPr>
          <w:trHeight w:val="120" w:hRule="atLeast"/>
        </w:trPr>
        <w:tc>
          <w:tcPr>
            <w:tcW w:w="3384"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338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pPr>
            <w:r>
              <w:rPr/>
              <w:t>Subject to the notice requirements of the U.K. Companies Act 2006 outlined below and subject to our Articles, a general meeting of our shareholders may be called by our board of directors whenever and at such times and places as it shall determine.</w:t>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sz w:val="4"/>
                <w:szCs w:val="4"/>
              </w:rPr>
            </w:pPr>
            <w:r>
              <w:rPr>
                <w:sz w:val="4"/>
                <w:szCs w:val="4"/>
              </w:rPr>
            </w:r>
          </w:p>
        </w:tc>
      </w:tr>
      <w:tr>
        <w:trPr>
          <w:trHeight w:val="120" w:hRule="atLeast"/>
        </w:trPr>
        <w:tc>
          <w:tcPr>
            <w:tcW w:w="3384"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338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pPr>
            <w:r>
              <w:rPr/>
              <w:t>A general meeting may also be convened by our board of directors on the requisition of not less than two of our shareholders who hold at least 5% of our voting share capital.</w:t>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sz w:val="4"/>
                <w:szCs w:val="4"/>
              </w:rPr>
            </w:pPr>
            <w:r>
              <w:rPr>
                <w:sz w:val="4"/>
                <w:szCs w:val="4"/>
              </w:rPr>
            </w:r>
          </w:p>
        </w:tc>
      </w:tr>
      <w:tr>
        <w:trPr>
          <w:trHeight w:val="120" w:hRule="atLeast"/>
        </w:trPr>
        <w:tc>
          <w:tcPr>
            <w:tcW w:w="3384"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338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pPr>
            <w:r>
              <w:rPr/>
              <w:t>General meetings at which special resolutions are proposed and passed generally involve proposals to change the name of the company, permit the company to issue new shares for cash without the shareholders pre-emptive right, amend the</w:t>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78"/>
        <w:gridCol w:w="106"/>
        <w:gridCol w:w="3407"/>
        <w:gridCol w:w="120"/>
        <w:gridCol w:w="3194"/>
      </w:tblGrid>
      <w:tr>
        <w:trPr/>
        <w:tc>
          <w:tcPr>
            <w:tcW w:w="337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r>
      <w:tr>
        <w:trPr/>
        <w:tc>
          <w:tcPr>
            <w:tcW w:w="33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3407"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0" w:type="dxa"/>
            <w:tcBorders/>
            <w:vAlign w:val="bottom"/>
          </w:tcPr>
          <w:p>
            <w:pPr>
              <w:pStyle w:val="TableContents"/>
              <w:bidi w:val="0"/>
              <w:spacing w:before="0" w:after="283"/>
              <w:jc w:val="left"/>
              <w:rPr/>
            </w:pPr>
            <w:r>
              <w:rPr/>
              <w:t>  </w:t>
            </w:r>
          </w:p>
        </w:tc>
        <w:tc>
          <w:tcPr>
            <w:tcW w:w="3194"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7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companys articles of association, or carry out other matters where either the companys articles of association or the U.K. Companies Act 2006 prescribe that a special resolution is required.</w:t>
            </w:r>
          </w:p>
        </w:tc>
        <w:tc>
          <w:tcPr>
            <w:tcW w:w="120"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left"/>
              <w:rPr>
                <w:sz w:val="4"/>
                <w:szCs w:val="4"/>
              </w:rPr>
            </w:pPr>
            <w:r>
              <w:rPr>
                <w:sz w:val="4"/>
                <w:szCs w:val="4"/>
              </w:rPr>
            </w:r>
          </w:p>
        </w:tc>
      </w:tr>
      <w:tr>
        <w:trPr>
          <w:trHeight w:val="120" w:hRule="atLeast"/>
        </w:trPr>
        <w:tc>
          <w:tcPr>
            <w:tcW w:w="3378" w:type="dxa"/>
            <w:tcBorders/>
            <w:vAlign w:val="center"/>
          </w:tcPr>
          <w:p>
            <w:pPr>
              <w:pStyle w:val="TableContents"/>
              <w:bidi w:val="0"/>
              <w:spacing w:before="0" w:after="283"/>
              <w:jc w:val="left"/>
              <w:rPr>
                <w:sz w:val="4"/>
                <w:szCs w:val="4"/>
              </w:rPr>
            </w:pPr>
            <w:r>
              <w:rPr>
                <w:sz w:val="4"/>
                <w:szCs w:val="4"/>
              </w:rPr>
            </w:r>
          </w:p>
        </w:tc>
        <w:tc>
          <w:tcPr>
            <w:tcW w:w="3513" w:type="dxa"/>
            <w:gridSpan w:val="2"/>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337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Other proposals relating to the ordinary course of the companys business, such as the election of directors, would generally be the subject of an ordinary resolution and subject to our Articles.</w:t>
            </w:r>
          </w:p>
        </w:tc>
        <w:tc>
          <w:tcPr>
            <w:tcW w:w="120"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left"/>
              <w:rPr>
                <w:sz w:val="4"/>
                <w:szCs w:val="4"/>
              </w:rPr>
            </w:pPr>
            <w:r>
              <w:rPr>
                <w:sz w:val="4"/>
                <w:szCs w:val="4"/>
              </w:rPr>
            </w:r>
          </w:p>
        </w:tc>
      </w:tr>
      <w:tr>
        <w:trPr>
          <w:trHeight w:val="120" w:hRule="atLeast"/>
        </w:trPr>
        <w:tc>
          <w:tcPr>
            <w:tcW w:w="3378" w:type="dxa"/>
            <w:tcBorders/>
            <w:vAlign w:val="center"/>
          </w:tcPr>
          <w:p>
            <w:pPr>
              <w:pStyle w:val="TableContents"/>
              <w:bidi w:val="0"/>
              <w:spacing w:before="0" w:after="283"/>
              <w:jc w:val="left"/>
              <w:rPr>
                <w:sz w:val="4"/>
                <w:szCs w:val="4"/>
              </w:rPr>
            </w:pPr>
            <w:r>
              <w:rPr>
                <w:sz w:val="4"/>
                <w:szCs w:val="4"/>
              </w:rPr>
            </w:r>
          </w:p>
        </w:tc>
        <w:tc>
          <w:tcPr>
            <w:tcW w:w="3513" w:type="dxa"/>
            <w:gridSpan w:val="2"/>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3378" w:type="dxa"/>
            <w:tcBorders/>
          </w:tcPr>
          <w:p>
            <w:pPr>
              <w:pStyle w:val="TableContents"/>
              <w:bidi w:val="0"/>
              <w:spacing w:before="0" w:after="283"/>
              <w:jc w:val="left"/>
              <w:rPr/>
            </w:pPr>
            <w:r>
              <w:rPr/>
              <w:t>Notice of General Meetings</w:t>
            </w:r>
          </w:p>
        </w:tc>
        <w:tc>
          <w:tcPr>
            <w:tcW w:w="106"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Under the U.K. Companies Act 2006, at least 21 clear days notice must be given for an annual general meeting and any resolutions to be proposed at that meeting. At least 14 clear days notice is required for any other general meeting.</w:t>
            </w:r>
          </w:p>
        </w:tc>
        <w:tc>
          <w:tcPr>
            <w:tcW w:w="120"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left"/>
              <w:rPr/>
            </w:pPr>
            <w:r>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tc>
      </w:tr>
      <w:tr>
        <w:trPr>
          <w:trHeight w:val="120" w:hRule="atLeast"/>
        </w:trPr>
        <w:tc>
          <w:tcPr>
            <w:tcW w:w="3378" w:type="dxa"/>
            <w:tcBorders/>
            <w:vAlign w:val="center"/>
          </w:tcPr>
          <w:p>
            <w:pPr>
              <w:pStyle w:val="TableContents"/>
              <w:bidi w:val="0"/>
              <w:spacing w:before="0" w:after="283"/>
              <w:jc w:val="left"/>
              <w:rPr>
                <w:sz w:val="4"/>
                <w:szCs w:val="4"/>
              </w:rPr>
            </w:pPr>
            <w:r>
              <w:rPr>
                <w:sz w:val="4"/>
                <w:szCs w:val="4"/>
              </w:rPr>
            </w:r>
          </w:p>
        </w:tc>
        <w:tc>
          <w:tcPr>
            <w:tcW w:w="3513" w:type="dxa"/>
            <w:gridSpan w:val="2"/>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337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In addition, certain matters, such as the removal of directors or auditors, require special notice, which is 28 clear days notice.</w:t>
            </w:r>
          </w:p>
        </w:tc>
        <w:tc>
          <w:tcPr>
            <w:tcW w:w="120"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left"/>
              <w:rPr>
                <w:sz w:val="4"/>
                <w:szCs w:val="4"/>
              </w:rPr>
            </w:pPr>
            <w:r>
              <w:rPr>
                <w:sz w:val="4"/>
                <w:szCs w:val="4"/>
              </w:rPr>
            </w:r>
          </w:p>
        </w:tc>
      </w:tr>
      <w:tr>
        <w:trPr>
          <w:trHeight w:val="120" w:hRule="atLeast"/>
        </w:trPr>
        <w:tc>
          <w:tcPr>
            <w:tcW w:w="3378" w:type="dxa"/>
            <w:tcBorders/>
            <w:vAlign w:val="center"/>
          </w:tcPr>
          <w:p>
            <w:pPr>
              <w:pStyle w:val="TableContents"/>
              <w:bidi w:val="0"/>
              <w:spacing w:before="0" w:after="283"/>
              <w:jc w:val="left"/>
              <w:rPr>
                <w:sz w:val="4"/>
                <w:szCs w:val="4"/>
              </w:rPr>
            </w:pPr>
            <w:r>
              <w:rPr>
                <w:sz w:val="4"/>
                <w:szCs w:val="4"/>
              </w:rPr>
            </w:r>
          </w:p>
        </w:tc>
        <w:tc>
          <w:tcPr>
            <w:tcW w:w="3513" w:type="dxa"/>
            <w:gridSpan w:val="2"/>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3378" w:type="dxa"/>
            <w:tcBorders/>
          </w:tcPr>
          <w:p>
            <w:pPr>
              <w:pStyle w:val="TableContents"/>
              <w:bidi w:val="0"/>
              <w:spacing w:before="0" w:after="283"/>
              <w:jc w:val="left"/>
              <w:rPr/>
            </w:pPr>
            <w:r>
              <w:rPr/>
              <w:t>Quorum</w:t>
            </w:r>
          </w:p>
        </w:tc>
        <w:tc>
          <w:tcPr>
            <w:tcW w:w="106"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Our Articles provide that no business shall be transacted at any general meeting unless a quorum is present. Two qualifying persons present at a meeting and entitled to vote on the business to be transacted shall be a quorum, unless (1) each is a qualifying person only because he or she is authorized under the U.K. Companies Act 2006 to act as a representative of a corporation in relation to the meeting, and they are representatives of the same corporation, or (2) each is a qualifying person only because he or she is appointed as proxy</w:t>
            </w:r>
          </w:p>
        </w:tc>
        <w:tc>
          <w:tcPr>
            <w:tcW w:w="120"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left"/>
              <w:rPr/>
            </w:pPr>
            <w:r>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34"/>
        <w:gridCol w:w="107"/>
        <w:gridCol w:w="3430"/>
        <w:gridCol w:w="121"/>
        <w:gridCol w:w="3213"/>
      </w:tblGrid>
      <w:tr>
        <w:trPr/>
        <w:tc>
          <w:tcPr>
            <w:tcW w:w="333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33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430"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1" w:type="dxa"/>
            <w:tcBorders/>
            <w:vAlign w:val="bottom"/>
          </w:tcPr>
          <w:p>
            <w:pPr>
              <w:pStyle w:val="TableContents"/>
              <w:bidi w:val="0"/>
              <w:spacing w:before="0" w:after="283"/>
              <w:jc w:val="left"/>
              <w:rPr/>
            </w:pPr>
            <w:r>
              <w:rPr/>
              <w:t>  </w:t>
            </w:r>
          </w:p>
        </w:tc>
        <w:tc>
          <w:tcPr>
            <w:tcW w:w="3213"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3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r>
              <w:rPr/>
              <w:t>of a shareholder in relation to the meeting, and they are proxies of the same shareholder.</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rHeight w:val="120" w:hRule="atLeast"/>
        </w:trPr>
        <w:tc>
          <w:tcPr>
            <w:tcW w:w="3334"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33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r>
              <w:rPr/>
              <w:t>A qualifying person means (1) a person who is one of our shareholders, (2) a person authorized under the U.K. Companies Act 2006 to act as a representative of the corporation in relation to the meeting, or (3) a person appointed as proxy of a shareholder in relation to the meeting.</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rHeight w:val="120" w:hRule="atLeast"/>
        </w:trPr>
        <w:tc>
          <w:tcPr>
            <w:tcW w:w="3334"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33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r>
              <w:rPr/>
              <w:t>In addition, if and for so long as we are subject to the rules and requirements of a securities exchange and such securities exchange requires us to have a quorum for general meetings then, in addition to the requisite quorum requirement stated in this paragraph, in order for such general meeting to be quorate at least 33 1/3 per cent. of our issued and outstanding ordinary shares (or such other amount as may be specified by such rules and requirements) must be present at such general meeting, whether represented in person (including, in the case of a corporate shareholder, by duly authorized representative) or by duly appointed proxy.</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rHeight w:val="120" w:hRule="atLeast"/>
        </w:trPr>
        <w:tc>
          <w:tcPr>
            <w:tcW w:w="3334"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334" w:type="dxa"/>
            <w:tcBorders/>
          </w:tcPr>
          <w:p>
            <w:pPr>
              <w:pStyle w:val="TableContents"/>
              <w:bidi w:val="0"/>
              <w:spacing w:before="0" w:after="283"/>
              <w:jc w:val="left"/>
              <w:rPr/>
            </w:pPr>
            <w:r>
              <w:rPr/>
              <w:t>Proxy</w:t>
            </w:r>
          </w:p>
        </w:tc>
        <w:tc>
          <w:tcPr>
            <w:tcW w:w="107"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r>
              <w:rPr/>
              <w:t>Under the U.K. Companies Act 2006, at any meeting of shareholders, a shareholder may designate another person to attend, speak and vote at the meeting on their behalf by proxy.</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422"/>
        <w:gridCol w:w="107"/>
        <w:gridCol w:w="3358"/>
        <w:gridCol w:w="122"/>
        <w:gridCol w:w="3196"/>
      </w:tblGrid>
      <w:tr>
        <w:trPr/>
        <w:tc>
          <w:tcPr>
            <w:tcW w:w="342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358"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2" w:type="dxa"/>
            <w:tcBorders/>
            <w:vAlign w:val="bottom"/>
          </w:tcPr>
          <w:p>
            <w:pPr>
              <w:pStyle w:val="TableContents"/>
              <w:bidi w:val="0"/>
              <w:spacing w:before="0" w:after="283"/>
              <w:jc w:val="left"/>
              <w:rPr/>
            </w:pPr>
            <w:r>
              <w:rPr/>
              <w:t>  </w:t>
            </w:r>
          </w:p>
        </w:tc>
        <w:tc>
          <w:tcPr>
            <w:tcW w:w="3196"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422" w:type="dxa"/>
            <w:tcBorders/>
          </w:tcPr>
          <w:p>
            <w:pPr>
              <w:pStyle w:val="TableContents"/>
              <w:bidi w:val="0"/>
              <w:spacing w:before="0" w:after="283"/>
              <w:jc w:val="left"/>
              <w:rPr/>
            </w:pPr>
            <w:r>
              <w:rPr/>
              <w:t>Issue of New Shares</w:t>
            </w:r>
          </w:p>
        </w:tc>
        <w:tc>
          <w:tcPr>
            <w:tcW w:w="107"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Under the U.K. Companies Act 2006, the directors of a company must not exercise any power to allot shares or grant rights to subscribe for, or to convert any security into, shares unless they are authorized to do so by the companys articles of association or by an ordinary resolution of the shareholders. Any authorization given must state the maximum amount of shares that may be allotted under it and specify the date on which it will expire, which must be not more than five years from the date the authorization was given. The authority can be renewed by a further resolution of the shareholders.</w:t>
            </w:r>
          </w:p>
        </w:tc>
        <w:tc>
          <w:tcPr>
            <w:tcW w:w="122"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tc>
      </w:tr>
      <w:tr>
        <w:trPr>
          <w:trHeight w:val="120" w:hRule="atLeast"/>
        </w:trPr>
        <w:tc>
          <w:tcPr>
            <w:tcW w:w="3422"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3422" w:type="dxa"/>
            <w:tcBorders/>
          </w:tcPr>
          <w:p>
            <w:pPr>
              <w:pStyle w:val="TableContents"/>
              <w:bidi w:val="0"/>
              <w:spacing w:before="0" w:after="283"/>
              <w:jc w:val="left"/>
              <w:rPr/>
            </w:pPr>
            <w:r>
              <w:rPr/>
              <w:t>Pre-emptive Rights</w:t>
            </w:r>
          </w:p>
        </w:tc>
        <w:tc>
          <w:tcPr>
            <w:tcW w:w="107"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Under the U.K. Companies Act 2006, equity securities, being (i) shares in 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U.K. Companies Act 2006.</w:t>
            </w:r>
          </w:p>
        </w:tc>
        <w:tc>
          <w:tcPr>
            <w:tcW w:w="122"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Under Delaware law, shareholders have no pre-emptive rights to subscribe to additional issues of stock or to any security convertible into such stock unless, and except to the extent that, such rights are expressly provided for in the certificate of incorporation.</w:t>
            </w:r>
          </w:p>
        </w:tc>
      </w:tr>
      <w:tr>
        <w:trPr>
          <w:trHeight w:val="120" w:hRule="atLeast"/>
        </w:trPr>
        <w:tc>
          <w:tcPr>
            <w:tcW w:w="3422"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3422" w:type="dxa"/>
            <w:tcBorders/>
          </w:tcPr>
          <w:p>
            <w:pPr>
              <w:pStyle w:val="TableContents"/>
              <w:bidi w:val="0"/>
              <w:spacing w:before="0" w:after="283"/>
              <w:jc w:val="left"/>
              <w:rPr/>
            </w:pPr>
            <w:r>
              <w:rPr/>
              <w:t>Authority to Allot</w:t>
            </w:r>
          </w:p>
        </w:tc>
        <w:tc>
          <w:tcPr>
            <w:tcW w:w="107"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Under the U.K. Companies Act 2006, the directors of a company must not allot shares or grant rights to subscribe for or to convert any security into shares unless those shares are allotted,</w:t>
            </w:r>
          </w:p>
        </w:tc>
        <w:tc>
          <w:tcPr>
            <w:tcW w:w="122"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Under Delaware law, if the corporations charter or certificate of incorporation so provides, the board of directors has the power to authorize the issuance of stock. The board of</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93"/>
        <w:gridCol w:w="107"/>
        <w:gridCol w:w="3375"/>
        <w:gridCol w:w="121"/>
        <w:gridCol w:w="3209"/>
      </w:tblGrid>
      <w:tr>
        <w:trPr/>
        <w:tc>
          <w:tcPr>
            <w:tcW w:w="339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339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375"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1" w:type="dxa"/>
            <w:tcBorders/>
            <w:vAlign w:val="bottom"/>
          </w:tcPr>
          <w:p>
            <w:pPr>
              <w:pStyle w:val="TableContents"/>
              <w:bidi w:val="0"/>
              <w:spacing w:before="0" w:after="283"/>
              <w:jc w:val="left"/>
              <w:rPr/>
            </w:pPr>
            <w:r>
              <w:rPr/>
              <w:t>  </w:t>
            </w:r>
          </w:p>
        </w:tc>
        <w:tc>
          <w:tcPr>
            <w:tcW w:w="3209"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pPr>
            <w:r>
              <w:rPr/>
              <w:t>or those rights to subscribe or convert any security into shares are granted (as applicable) pursuant to an employee share scheme, an ordinary resolution to the contrary has been passed by shareholders in a general meeting, or the articles of association provide otherwise, in each case, in accordance with the provisions of the U.K. Companies Act 2006.</w:t>
            </w:r>
          </w:p>
        </w:tc>
        <w:tc>
          <w:tcPr>
            <w:tcW w:w="121"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pPr>
            <w:r>
              <w:rPr/>
              <w:t>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tc>
      </w:tr>
      <w:tr>
        <w:trPr>
          <w:trHeight w:val="120" w:hRule="atLeast"/>
        </w:trPr>
        <w:tc>
          <w:tcPr>
            <w:tcW w:w="3393" w:type="dxa"/>
            <w:tcBorders/>
            <w:vAlign w:val="center"/>
          </w:tcPr>
          <w:p>
            <w:pPr>
              <w:pStyle w:val="TableContents"/>
              <w:bidi w:val="0"/>
              <w:spacing w:before="0" w:after="283"/>
              <w:jc w:val="left"/>
              <w:rPr>
                <w:sz w:val="4"/>
                <w:szCs w:val="4"/>
              </w:rPr>
            </w:pPr>
            <w:r>
              <w:rPr>
                <w:sz w:val="4"/>
                <w:szCs w:val="4"/>
              </w:rPr>
            </w:r>
          </w:p>
        </w:tc>
        <w:tc>
          <w:tcPr>
            <w:tcW w:w="348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3393" w:type="dxa"/>
            <w:tcBorders/>
          </w:tcPr>
          <w:p>
            <w:pPr>
              <w:pStyle w:val="TableContents"/>
              <w:bidi w:val="0"/>
              <w:spacing w:before="0" w:after="283"/>
              <w:jc w:val="left"/>
              <w:rPr/>
            </w:pPr>
            <w:r>
              <w:rPr/>
              <w:t>Liability of Directors and Officers</w:t>
            </w:r>
          </w:p>
        </w:tc>
        <w:tc>
          <w:tcPr>
            <w:tcW w:w="107"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pPr>
            <w:r>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tc>
        <w:tc>
          <w:tcPr>
            <w:tcW w:w="121"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pPr>
            <w:r>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tc>
      </w:tr>
      <w:tr>
        <w:trPr>
          <w:trHeight w:val="120" w:hRule="atLeast"/>
        </w:trPr>
        <w:tc>
          <w:tcPr>
            <w:tcW w:w="3393" w:type="dxa"/>
            <w:tcBorders/>
            <w:vAlign w:val="center"/>
          </w:tcPr>
          <w:p>
            <w:pPr>
              <w:pStyle w:val="TableContents"/>
              <w:bidi w:val="0"/>
              <w:spacing w:before="0" w:after="283"/>
              <w:jc w:val="left"/>
              <w:rPr>
                <w:sz w:val="4"/>
                <w:szCs w:val="4"/>
              </w:rPr>
            </w:pPr>
            <w:r>
              <w:rPr>
                <w:sz w:val="4"/>
                <w:szCs w:val="4"/>
              </w:rPr>
            </w:r>
          </w:p>
        </w:tc>
        <w:tc>
          <w:tcPr>
            <w:tcW w:w="348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3393" w:type="dxa"/>
            <w:tcBorders/>
          </w:tcPr>
          <w:p>
            <w:pPr>
              <w:pStyle w:val="TableContents"/>
              <w:bidi w:val="0"/>
              <w:spacing w:before="0" w:after="283"/>
              <w:jc w:val="left"/>
              <w:rPr>
                <w:sz w:val="4"/>
                <w:szCs w:val="4"/>
              </w:rPr>
            </w:pPr>
            <w:r>
              <w:rPr>
                <w:sz w:val="4"/>
                <w:szCs w:val="4"/>
              </w:rPr>
            </w:r>
          </w:p>
        </w:tc>
        <w:tc>
          <w:tcPr>
            <w:tcW w:w="107" w:type="dxa"/>
            <w:vMerge w:val="restart"/>
            <w:tcBorders/>
            <w:vAlign w:val="bottom"/>
          </w:tcPr>
          <w:p>
            <w:pPr>
              <w:pStyle w:val="TableContents"/>
              <w:bidi w:val="0"/>
              <w:spacing w:before="0" w:after="283"/>
              <w:jc w:val="left"/>
              <w:rPr/>
            </w:pPr>
            <w:r>
              <w:rPr/>
              <w:t> </w:t>
            </w:r>
          </w:p>
        </w:tc>
        <w:tc>
          <w:tcPr>
            <w:tcW w:w="3375" w:type="dxa"/>
            <w:vMerge w:val="restart"/>
            <w:tcBorders/>
          </w:tcPr>
          <w:p>
            <w:pPr>
              <w:pStyle w:val="TableContents"/>
              <w:bidi w:val="0"/>
              <w:spacing w:before="0" w:after="0"/>
              <w:jc w:val="left"/>
              <w:rPr>
                <w:rFonts w:ascii="ARIAL" w:hAnsi="ARIAL"/>
                <w:sz w:val="20"/>
              </w:rPr>
            </w:pPr>
            <w:r>
              <w:rPr>
                <w:rFonts w:ascii="ARIAL" w:hAnsi="ARIAL"/>
                <w:sz w:val="20"/>
              </w:rPr>
              <w:t>Any provision by which we directly or indirectly provide an indemnity (to any extent) for a director of the company or of an associated company (i.e., a company that is a parent, subsidiary or sister company of us) against any liability attaching to him or her in connection with any negligence, default, breach of duty or breach of trust in relation to the company of which he or she is a director is void except as permitted by the U.K. Companies Act 2006, which provides exceptions for us to:</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purchase and maintain director and officer insurance insuring our directors or the directors of an associated company against any liability attaching in connection with</w:t>
            </w:r>
          </w:p>
        </w:tc>
        <w:tc>
          <w:tcPr>
            <w:tcW w:w="121"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0"/>
              <w:jc w:val="left"/>
              <w:rPr/>
            </w:pPr>
            <w:r>
              <w:rPr/>
              <w:t>∎   </w:t>
            </w:r>
            <w:r>
              <w:rPr>
                <w:rFonts w:ascii="ARIAL" w:hAnsi="ARIAL"/>
                <w:sz w:val="20"/>
              </w:rPr>
              <w:t>any breach of the directors duty of loyalty to the corporation or its stockholders;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acts or omissions not in good faith or that involve intentional misconduct or a knowing violation of law;</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intentional or negligent payment of unlawful dividends or stock purchases or redemptions; or</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any transaction from which the director derives an improper personal benefit.</w:t>
            </w:r>
          </w:p>
        </w:tc>
      </w:tr>
      <w:tr>
        <w:trPr/>
        <w:tc>
          <w:tcPr>
            <w:tcW w:w="3393" w:type="dxa"/>
            <w:tcBorders/>
          </w:tcPr>
          <w:p>
            <w:pPr>
              <w:pStyle w:val="TableContents"/>
              <w:bidi w:val="0"/>
              <w:spacing w:before="0" w:after="283"/>
              <w:jc w:val="left"/>
              <w:rPr>
                <w:sz w:val="4"/>
                <w:szCs w:val="4"/>
              </w:rPr>
            </w:pPr>
            <w:r>
              <w:rPr>
                <w:sz w:val="4"/>
                <w:szCs w:val="4"/>
              </w:rPr>
            </w:r>
          </w:p>
        </w:tc>
        <w:tc>
          <w:tcPr>
            <w:tcW w:w="107" w:type="dxa"/>
            <w:vMerge w:val="continue"/>
            <w:tcBorders/>
            <w:vAlign w:val="bottom"/>
          </w:tcPr>
          <w:p>
            <w:pPr>
              <w:pStyle w:val="Normal"/>
              <w:bidi w:val="0"/>
              <w:jc w:val="left"/>
              <w:rPr/>
            </w:pPr>
            <w:r>
              <w:rPr/>
            </w:r>
          </w:p>
        </w:tc>
        <w:tc>
          <w:tcPr>
            <w:tcW w:w="3375"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03"/>
        <w:gridCol w:w="109"/>
        <w:gridCol w:w="3502"/>
        <w:gridCol w:w="123"/>
        <w:gridCol w:w="3168"/>
      </w:tblGrid>
      <w:tr>
        <w:trPr/>
        <w:tc>
          <w:tcPr>
            <w:tcW w:w="330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r>
      <w:tr>
        <w:trPr/>
        <w:tc>
          <w:tcPr>
            <w:tcW w:w="33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502"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3" w:type="dxa"/>
            <w:tcBorders/>
            <w:vAlign w:val="bottom"/>
          </w:tcPr>
          <w:p>
            <w:pPr>
              <w:pStyle w:val="TableContents"/>
              <w:bidi w:val="0"/>
              <w:spacing w:before="0" w:after="283"/>
              <w:jc w:val="left"/>
              <w:rPr/>
            </w:pPr>
            <w:r>
              <w:rPr/>
              <w:t>  </w:t>
            </w:r>
          </w:p>
        </w:tc>
        <w:tc>
          <w:tcPr>
            <w:tcW w:w="3168"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0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02" w:type="dxa"/>
            <w:tcBorders/>
          </w:tcPr>
          <w:p>
            <w:pPr>
              <w:pStyle w:val="TableContents"/>
              <w:bidi w:val="0"/>
              <w:spacing w:before="0" w:after="0"/>
              <w:jc w:val="left"/>
              <w:rPr>
                <w:rFonts w:ascii="ARIAL" w:hAnsi="ARIAL"/>
                <w:sz w:val="20"/>
              </w:rPr>
            </w:pPr>
            <w:r>
              <w:rPr>
                <w:rFonts w:ascii="ARIAL" w:hAnsi="ARIAL"/>
                <w:sz w:val="20"/>
              </w:rPr>
              <w:t>any negligence, default, breach of duty or breach of trust in relation to the company of which he or she is a director;</w:t>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r>
      <w:tr>
        <w:trPr>
          <w:trHeight w:val="120" w:hRule="atLeast"/>
        </w:trPr>
        <w:tc>
          <w:tcPr>
            <w:tcW w:w="3303"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r>
      <w:tr>
        <w:trPr/>
        <w:tc>
          <w:tcPr>
            <w:tcW w:w="330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02" w:type="dxa"/>
            <w:tcBorders/>
          </w:tcPr>
          <w:p>
            <w:pPr>
              <w:pStyle w:val="TableContents"/>
              <w:bidi w:val="0"/>
              <w:spacing w:before="0" w:after="0"/>
              <w:jc w:val="left"/>
              <w:rPr/>
            </w:pPr>
            <w:r>
              <w:rPr/>
              <w:t>∎   </w:t>
            </w:r>
            <w:r>
              <w:rPr>
                <w:rFonts w:ascii="ARIAL" w:hAnsi="ARIAL"/>
                <w:sz w:val="20"/>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r>
      <w:tr>
        <w:trPr>
          <w:trHeight w:val="120" w:hRule="atLeast"/>
        </w:trPr>
        <w:tc>
          <w:tcPr>
            <w:tcW w:w="3303"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r>
      <w:tr>
        <w:trPr/>
        <w:tc>
          <w:tcPr>
            <w:tcW w:w="330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02" w:type="dxa"/>
            <w:tcBorders/>
          </w:tcPr>
          <w:p>
            <w:pPr>
              <w:pStyle w:val="TableContents"/>
              <w:bidi w:val="0"/>
              <w:spacing w:before="0" w:after="0"/>
              <w:jc w:val="left"/>
              <w:rPr/>
            </w:pPr>
            <w:r>
              <w:rPr/>
              <w:t>∎   </w:t>
            </w:r>
            <w:r>
              <w:rPr>
                <w:rFonts w:ascii="ARIAL" w:hAnsi="ARIAL"/>
                <w:sz w:val="20"/>
              </w:rPr>
              <w:t>provide a qualifying pension scheme indemnity, which is an indemnity against liability incurred in connection</w:t>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r>
      <w:tr>
        <w:trPr>
          <w:trHeight w:val="120" w:hRule="atLeast"/>
        </w:trPr>
        <w:tc>
          <w:tcPr>
            <w:tcW w:w="3303"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r>
      <w:tr>
        <w:trPr/>
        <w:tc>
          <w:tcPr>
            <w:tcW w:w="330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02" w:type="dxa"/>
            <w:tcBorders/>
          </w:tcPr>
          <w:p>
            <w:pPr>
              <w:pStyle w:val="TableContents"/>
              <w:bidi w:val="0"/>
              <w:spacing w:before="0" w:after="0"/>
              <w:jc w:val="left"/>
              <w:rPr/>
            </w:pPr>
            <w:r>
              <w:rPr/>
              <w:t>∎   </w:t>
            </w:r>
            <w:r>
              <w:rPr>
                <w:rFonts w:ascii="ARIAL" w:hAnsi="ARIAL"/>
                <w:sz w:val="20"/>
              </w:rPr>
              <w:t>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414"/>
        <w:gridCol w:w="106"/>
        <w:gridCol w:w="3393"/>
        <w:gridCol w:w="120"/>
        <w:gridCol w:w="3172"/>
      </w:tblGrid>
      <w:tr>
        <w:trPr/>
        <w:tc>
          <w:tcPr>
            <w:tcW w:w="341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r>
      <w:tr>
        <w:trPr/>
        <w:tc>
          <w:tcPr>
            <w:tcW w:w="3414"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3393"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0" w:type="dxa"/>
            <w:tcBorders/>
            <w:vAlign w:val="bottom"/>
          </w:tcPr>
          <w:p>
            <w:pPr>
              <w:pStyle w:val="TableContents"/>
              <w:bidi w:val="0"/>
              <w:spacing w:before="0" w:after="283"/>
              <w:jc w:val="left"/>
              <w:rPr/>
            </w:pPr>
            <w:r>
              <w:rPr/>
              <w:t>  </w:t>
            </w:r>
          </w:p>
        </w:tc>
        <w:tc>
          <w:tcPr>
            <w:tcW w:w="3172"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41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Our Articles provide that it may indemnify each of our directors against:</w:t>
            </w:r>
          </w:p>
        </w:tc>
        <w:tc>
          <w:tcPr>
            <w:tcW w:w="120"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left"/>
              <w:rPr>
                <w:sz w:val="4"/>
                <w:szCs w:val="4"/>
              </w:rPr>
            </w:pPr>
            <w:r>
              <w:rPr>
                <w:sz w:val="4"/>
                <w:szCs w:val="4"/>
              </w:rPr>
            </w:r>
          </w:p>
        </w:tc>
      </w:tr>
      <w:tr>
        <w:trPr>
          <w:trHeight w:val="120" w:hRule="atLeast"/>
        </w:trPr>
        <w:tc>
          <w:tcPr>
            <w:tcW w:w="3414" w:type="dxa"/>
            <w:tcBorders/>
            <w:vAlign w:val="center"/>
          </w:tcPr>
          <w:p>
            <w:pPr>
              <w:pStyle w:val="TableContents"/>
              <w:bidi w:val="0"/>
              <w:spacing w:before="0" w:after="283"/>
              <w:jc w:val="left"/>
              <w:rPr>
                <w:sz w:val="4"/>
                <w:szCs w:val="4"/>
              </w:rPr>
            </w:pPr>
            <w:r>
              <w:rPr>
                <w:sz w:val="4"/>
                <w:szCs w:val="4"/>
              </w:rPr>
            </w:r>
          </w:p>
        </w:tc>
        <w:tc>
          <w:tcPr>
            <w:tcW w:w="3499" w:type="dxa"/>
            <w:gridSpan w:val="2"/>
            <w:tcBorders/>
            <w:vAlign w:val="center"/>
          </w:tcPr>
          <w:p>
            <w:pPr>
              <w:pStyle w:val="TableContents"/>
              <w:bidi w:val="0"/>
              <w:spacing w:before="0" w:after="283"/>
              <w:jc w:val="left"/>
              <w:rPr>
                <w:sz w:val="4"/>
                <w:szCs w:val="4"/>
              </w:rPr>
            </w:pPr>
            <w:r>
              <w:rPr>
                <w:sz w:val="4"/>
                <w:szCs w:val="4"/>
              </w:rPr>
            </w:r>
          </w:p>
        </w:tc>
        <w:tc>
          <w:tcPr>
            <w:tcW w:w="3292" w:type="dxa"/>
            <w:gridSpan w:val="2"/>
            <w:tcBorders/>
            <w:vAlign w:val="center"/>
          </w:tcPr>
          <w:p>
            <w:pPr>
              <w:pStyle w:val="TableContents"/>
              <w:bidi w:val="0"/>
              <w:spacing w:before="0" w:after="283"/>
              <w:jc w:val="left"/>
              <w:rPr>
                <w:sz w:val="4"/>
                <w:szCs w:val="4"/>
              </w:rPr>
            </w:pPr>
            <w:r>
              <w:rPr>
                <w:sz w:val="4"/>
                <w:szCs w:val="4"/>
              </w:rPr>
            </w:r>
          </w:p>
        </w:tc>
      </w:tr>
      <w:tr>
        <w:trPr/>
        <w:tc>
          <w:tcPr>
            <w:tcW w:w="341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The U.K. Companies Act 2006 also provides that we may lend each of our directors funds to meet expenditure incurred by him or her in defending any criminal or civil proceedings in connection with any alleged negligence, default, breach of duty or breach of trust by him or her in relation to us or an associated company, or in connection with an application for certain specified relief, subject to the requirement that the loan must be on terms that it is to be repaid if the defense or the application for relief is unsuccessful.</w:t>
            </w:r>
          </w:p>
        </w:tc>
        <w:tc>
          <w:tcPr>
            <w:tcW w:w="120"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left"/>
              <w:rPr>
                <w:sz w:val="4"/>
                <w:szCs w:val="4"/>
              </w:rPr>
            </w:pPr>
            <w:r>
              <w:rPr>
                <w:sz w:val="4"/>
                <w:szCs w:val="4"/>
              </w:rPr>
            </w:r>
          </w:p>
        </w:tc>
      </w:tr>
      <w:tr>
        <w:trPr>
          <w:trHeight w:val="120" w:hRule="atLeast"/>
        </w:trPr>
        <w:tc>
          <w:tcPr>
            <w:tcW w:w="3414" w:type="dxa"/>
            <w:tcBorders/>
            <w:vAlign w:val="center"/>
          </w:tcPr>
          <w:p>
            <w:pPr>
              <w:pStyle w:val="TableContents"/>
              <w:bidi w:val="0"/>
              <w:spacing w:before="0" w:after="283"/>
              <w:jc w:val="left"/>
              <w:rPr>
                <w:sz w:val="4"/>
                <w:szCs w:val="4"/>
              </w:rPr>
            </w:pPr>
            <w:r>
              <w:rPr>
                <w:sz w:val="4"/>
                <w:szCs w:val="4"/>
              </w:rPr>
            </w:r>
          </w:p>
        </w:tc>
        <w:tc>
          <w:tcPr>
            <w:tcW w:w="3499" w:type="dxa"/>
            <w:gridSpan w:val="2"/>
            <w:tcBorders/>
            <w:vAlign w:val="center"/>
          </w:tcPr>
          <w:p>
            <w:pPr>
              <w:pStyle w:val="TableContents"/>
              <w:bidi w:val="0"/>
              <w:spacing w:before="0" w:after="283"/>
              <w:jc w:val="left"/>
              <w:rPr>
                <w:sz w:val="4"/>
                <w:szCs w:val="4"/>
              </w:rPr>
            </w:pPr>
            <w:r>
              <w:rPr>
                <w:sz w:val="4"/>
                <w:szCs w:val="4"/>
              </w:rPr>
            </w:r>
          </w:p>
        </w:tc>
        <w:tc>
          <w:tcPr>
            <w:tcW w:w="3292" w:type="dxa"/>
            <w:gridSpan w:val="2"/>
            <w:tcBorders/>
            <w:vAlign w:val="center"/>
          </w:tcPr>
          <w:p>
            <w:pPr>
              <w:pStyle w:val="TableContents"/>
              <w:bidi w:val="0"/>
              <w:spacing w:before="0" w:after="283"/>
              <w:jc w:val="left"/>
              <w:rPr>
                <w:sz w:val="4"/>
                <w:szCs w:val="4"/>
              </w:rPr>
            </w:pPr>
            <w:r>
              <w:rPr>
                <w:sz w:val="4"/>
                <w:szCs w:val="4"/>
              </w:rPr>
            </w:r>
          </w:p>
        </w:tc>
      </w:tr>
      <w:tr>
        <w:trPr/>
        <w:tc>
          <w:tcPr>
            <w:tcW w:w="3414" w:type="dxa"/>
            <w:tcBorders/>
          </w:tcPr>
          <w:p>
            <w:pPr>
              <w:pStyle w:val="TableContents"/>
              <w:bidi w:val="0"/>
              <w:spacing w:before="0" w:after="283"/>
              <w:jc w:val="left"/>
              <w:rPr/>
            </w:pPr>
            <w:r>
              <w:rPr/>
              <w:t>Voting Rights</w:t>
            </w:r>
          </w:p>
        </w:tc>
        <w:tc>
          <w:tcPr>
            <w:tcW w:w="106"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For a description of the voting rights contained in our Articles see Description of the Share Capital and Articles of AssociationArticles of AssociationShares and Rights Attaching to ThemVoting Rights in this prospectus.</w:t>
            </w:r>
          </w:p>
        </w:tc>
        <w:tc>
          <w:tcPr>
            <w:tcW w:w="120"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left"/>
              <w:rPr/>
            </w:pPr>
            <w:r>
              <w:rPr/>
              <w:t>Delaware law provides that, unless otherwise provided in the certificate of incorporation, each stockholder is entitled to one vote for each share of capital stock held by such stockholder.</w:t>
            </w:r>
          </w:p>
        </w:tc>
      </w:tr>
      <w:tr>
        <w:trPr>
          <w:trHeight w:val="120" w:hRule="atLeast"/>
        </w:trPr>
        <w:tc>
          <w:tcPr>
            <w:tcW w:w="3414" w:type="dxa"/>
            <w:tcBorders/>
            <w:vAlign w:val="center"/>
          </w:tcPr>
          <w:p>
            <w:pPr>
              <w:pStyle w:val="TableContents"/>
              <w:bidi w:val="0"/>
              <w:spacing w:before="0" w:after="283"/>
              <w:jc w:val="left"/>
              <w:rPr>
                <w:sz w:val="4"/>
                <w:szCs w:val="4"/>
              </w:rPr>
            </w:pPr>
            <w:r>
              <w:rPr>
                <w:sz w:val="4"/>
                <w:szCs w:val="4"/>
              </w:rPr>
            </w:r>
          </w:p>
        </w:tc>
        <w:tc>
          <w:tcPr>
            <w:tcW w:w="3499" w:type="dxa"/>
            <w:gridSpan w:val="2"/>
            <w:tcBorders/>
            <w:vAlign w:val="center"/>
          </w:tcPr>
          <w:p>
            <w:pPr>
              <w:pStyle w:val="TableContents"/>
              <w:bidi w:val="0"/>
              <w:spacing w:before="0" w:after="283"/>
              <w:jc w:val="left"/>
              <w:rPr>
                <w:sz w:val="4"/>
                <w:szCs w:val="4"/>
              </w:rPr>
            </w:pPr>
            <w:r>
              <w:rPr>
                <w:sz w:val="4"/>
                <w:szCs w:val="4"/>
              </w:rPr>
            </w:r>
          </w:p>
        </w:tc>
        <w:tc>
          <w:tcPr>
            <w:tcW w:w="3292" w:type="dxa"/>
            <w:gridSpan w:val="2"/>
            <w:tcBorders/>
            <w:vAlign w:val="center"/>
          </w:tcPr>
          <w:p>
            <w:pPr>
              <w:pStyle w:val="TableContents"/>
              <w:bidi w:val="0"/>
              <w:spacing w:before="0" w:after="283"/>
              <w:jc w:val="left"/>
              <w:rPr>
                <w:sz w:val="4"/>
                <w:szCs w:val="4"/>
              </w:rPr>
            </w:pPr>
            <w:r>
              <w:rPr>
                <w:sz w:val="4"/>
                <w:szCs w:val="4"/>
              </w:rPr>
            </w:r>
          </w:p>
        </w:tc>
      </w:tr>
      <w:tr>
        <w:trPr/>
        <w:tc>
          <w:tcPr>
            <w:tcW w:w="3414" w:type="dxa"/>
            <w:tcBorders/>
          </w:tcPr>
          <w:p>
            <w:pPr>
              <w:pStyle w:val="TableContents"/>
              <w:bidi w:val="0"/>
              <w:spacing w:before="0" w:after="283"/>
              <w:jc w:val="left"/>
              <w:rPr/>
            </w:pPr>
            <w:r>
              <w:rPr/>
              <w:t>Shareholder Vote on Certain Transactions</w:t>
            </w:r>
          </w:p>
        </w:tc>
        <w:tc>
          <w:tcPr>
            <w:tcW w:w="106"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The U.K. Companies Act 2006 provides for schemes of arrangement, which are arrangements or compromises between a company and any class of shareholders or creditors and used in certain types of reconstructions, amalgamations, capital reorganizations or takeovers. These arrangements require:</w:t>
            </w:r>
          </w:p>
        </w:tc>
        <w:tc>
          <w:tcPr>
            <w:tcW w:w="120" w:type="dxa"/>
            <w:vMerge w:val="restart"/>
            <w:tcBorders/>
            <w:vAlign w:val="bottom"/>
          </w:tcPr>
          <w:p>
            <w:pPr>
              <w:pStyle w:val="TableContents"/>
              <w:bidi w:val="0"/>
              <w:spacing w:before="0" w:after="283"/>
              <w:jc w:val="left"/>
              <w:rPr/>
            </w:pPr>
            <w:r>
              <w:rPr/>
              <w:t>  </w:t>
            </w:r>
          </w:p>
        </w:tc>
        <w:tc>
          <w:tcPr>
            <w:tcW w:w="3172" w:type="dxa"/>
            <w:vMerge w:val="restart"/>
            <w:tcBorders/>
          </w:tcPr>
          <w:p>
            <w:pPr>
              <w:pStyle w:val="TableContents"/>
              <w:bidi w:val="0"/>
              <w:spacing w:before="0" w:after="0"/>
              <w:jc w:val="left"/>
              <w:rPr>
                <w:rFonts w:ascii="ARIAL" w:hAnsi="ARIAL"/>
                <w:sz w:val="20"/>
              </w:rPr>
            </w:pPr>
            <w:r>
              <w:rPr>
                <w:rFonts w:ascii="ARIAL" w:hAnsi="ARIAL"/>
                <w:sz w:val="20"/>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the approval of the board of directors; and</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the approval by the vote of the holders of a majority of the outstanding stock or, if the certificate of incorporation provides for more or less than one vote per share, a majority of the</w:t>
            </w:r>
          </w:p>
        </w:tc>
      </w:tr>
      <w:tr>
        <w:trPr/>
        <w:tc>
          <w:tcPr>
            <w:tcW w:w="341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93" w:type="dxa"/>
            <w:tcBorders/>
            <w:vAlign w:val="bottom"/>
          </w:tcPr>
          <w:p>
            <w:pPr>
              <w:pStyle w:val="TableContents"/>
              <w:bidi w:val="0"/>
              <w:spacing w:before="0" w:after="283"/>
              <w:jc w:val="left"/>
              <w:rPr/>
            </w:pPr>
            <w:r>
              <w:rPr/>
              <w:t>(1) the approval, at a shareholders or creditors meeting convened by order of a court of England and Wales, of a majority in number representing not less than 75% in value of the creditors or class of creditors or members or class of members (as the case may be)</w:t>
            </w:r>
          </w:p>
        </w:tc>
        <w:tc>
          <w:tcPr>
            <w:tcW w:w="120" w:type="dxa"/>
            <w:vMerge w:val="continue"/>
            <w:tcBorders/>
            <w:vAlign w:val="bottom"/>
          </w:tcPr>
          <w:p>
            <w:pPr>
              <w:pStyle w:val="Normal"/>
              <w:bidi w:val="0"/>
              <w:jc w:val="left"/>
              <w:rPr/>
            </w:pPr>
            <w:r>
              <w:rPr/>
            </w:r>
          </w:p>
        </w:tc>
        <w:tc>
          <w:tcPr>
            <w:tcW w:w="3172"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83"/>
        <w:gridCol w:w="107"/>
        <w:gridCol w:w="3359"/>
        <w:gridCol w:w="121"/>
        <w:gridCol w:w="3235"/>
      </w:tblGrid>
      <w:tr>
        <w:trPr/>
        <w:tc>
          <w:tcPr>
            <w:tcW w:w="338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r>
      <w:tr>
        <w:trPr/>
        <w:tc>
          <w:tcPr>
            <w:tcW w:w="338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359"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1" w:type="dxa"/>
            <w:tcBorders/>
            <w:vAlign w:val="bottom"/>
          </w:tcPr>
          <w:p>
            <w:pPr>
              <w:pStyle w:val="TableContents"/>
              <w:bidi w:val="0"/>
              <w:spacing w:before="0" w:after="283"/>
              <w:jc w:val="left"/>
              <w:rPr/>
            </w:pPr>
            <w:r>
              <w:rPr/>
              <w:t>  </w:t>
            </w:r>
          </w:p>
        </w:tc>
        <w:tc>
          <w:tcPr>
            <w:tcW w:w="3235"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8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0"/>
              <w:jc w:val="left"/>
              <w:rPr>
                <w:rFonts w:ascii="ARIAL" w:hAnsi="ARIAL"/>
                <w:sz w:val="20"/>
              </w:rPr>
            </w:pPr>
            <w:r>
              <w:rPr>
                <w:rFonts w:ascii="ARIAL" w:hAnsi="ARIAL"/>
                <w:sz w:val="20"/>
              </w:rPr>
              <w:t>present and voting, either in person or by proxy; and (2) the approval of a court of England and Wales.</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0"/>
              <w:jc w:val="left"/>
              <w:rPr>
                <w:rFonts w:ascii="ARIAL" w:hAnsi="ARIAL"/>
                <w:sz w:val="20"/>
              </w:rPr>
            </w:pPr>
            <w:r>
              <w:rPr>
                <w:rFonts w:ascii="ARIAL" w:hAnsi="ARIAL"/>
                <w:sz w:val="20"/>
              </w:rPr>
              <w:t>votes of the outstanding stock of a corporation entitled to vote on the matter.</w:t>
            </w:r>
          </w:p>
        </w:tc>
      </w:tr>
      <w:tr>
        <w:trPr>
          <w:trHeight w:val="120" w:hRule="atLeast"/>
        </w:trPr>
        <w:tc>
          <w:tcPr>
            <w:tcW w:w="3383"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c>
          <w:tcPr>
            <w:tcW w:w="3356" w:type="dxa"/>
            <w:gridSpan w:val="2"/>
            <w:tcBorders/>
            <w:vAlign w:val="center"/>
          </w:tcPr>
          <w:p>
            <w:pPr>
              <w:pStyle w:val="TableContents"/>
              <w:bidi w:val="0"/>
              <w:spacing w:before="0" w:after="283"/>
              <w:jc w:val="left"/>
              <w:rPr>
                <w:sz w:val="4"/>
                <w:szCs w:val="4"/>
              </w:rPr>
            </w:pPr>
            <w:r>
              <w:rPr>
                <w:sz w:val="4"/>
                <w:szCs w:val="4"/>
              </w:rPr>
            </w:r>
          </w:p>
        </w:tc>
      </w:tr>
      <w:tr>
        <w:trPr/>
        <w:tc>
          <w:tcPr>
            <w:tcW w:w="3383" w:type="dxa"/>
            <w:tcBorders/>
          </w:tcPr>
          <w:p>
            <w:pPr>
              <w:pStyle w:val="TableContents"/>
              <w:bidi w:val="0"/>
              <w:spacing w:before="0" w:after="0"/>
              <w:jc w:val="left"/>
              <w:rPr>
                <w:rFonts w:ascii="ARIAL" w:hAnsi="ARIAL"/>
                <w:sz w:val="20"/>
              </w:rPr>
            </w:pPr>
            <w:r>
              <w:rPr>
                <w:rFonts w:ascii="ARIAL" w:hAnsi="ARIAL"/>
                <w:sz w:val="20"/>
              </w:rPr>
              <w:t>Standard of Conduct for</w:t>
            </w:r>
          </w:p>
          <w:p>
            <w:pPr>
              <w:pStyle w:val="TableContents"/>
              <w:bidi w:val="0"/>
              <w:spacing w:before="0" w:after="20"/>
              <w:jc w:val="left"/>
              <w:rPr>
                <w:rFonts w:ascii="ARIAL" w:hAnsi="ARIAL"/>
                <w:sz w:val="20"/>
              </w:rPr>
            </w:pPr>
            <w:r>
              <w:rPr>
                <w:rFonts w:ascii="ARIAL" w:hAnsi="ARIAL"/>
                <w:sz w:val="20"/>
              </w:rPr>
              <w:t>Directors</w:t>
            </w:r>
          </w:p>
        </w:tc>
        <w:tc>
          <w:tcPr>
            <w:tcW w:w="107"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0"/>
              <w:jc w:val="left"/>
              <w:rPr/>
            </w:pPr>
            <w:r>
              <w:rPr/>
              <w:t>∎   </w:t>
            </w:r>
            <w:r>
              <w:rPr>
                <w:rFonts w:ascii="ARIAL" w:hAnsi="ARIAL"/>
                <w:sz w:val="20"/>
              </w:rPr>
              <w:t>Under English law, a director owes various statutory and fiduciary duties to the company, including: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to act in the way he or she considers, in good faith, would be most likely to promote the success of the company for the benefit of its members as a whole;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to avoid a situation in which he or she has, or can have, a direct or indirect interest that conflicts, or possibly conflicts, with the interests of the company;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to act in accordance with the companys constitution and only exercise his or her powers for the purposes for which they are conferred;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to exercise independent judgment;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to exercise reasonable care, skill, and diligence;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not to accept benefits from a third party conferred by reason of his or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her being a director or doing, or not doing, anything as a director; and</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a duty to declare any interest that he or she has, whether directly or indirectly, in a proposed or existing transaction or arrangement with the company.</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0"/>
              <w:jc w:val="left"/>
              <w:rPr>
                <w:rFonts w:ascii="ARIAL" w:hAnsi="ARIAL"/>
                <w:sz w:val="20"/>
              </w:rPr>
            </w:pPr>
            <w:r>
              <w:rPr>
                <w:rFonts w:ascii="ARIAL" w:hAnsi="ARIAL"/>
                <w:sz w:val="20"/>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415"/>
        <w:gridCol w:w="106"/>
        <w:gridCol w:w="3379"/>
        <w:gridCol w:w="120"/>
        <w:gridCol w:w="3185"/>
      </w:tblGrid>
      <w:tr>
        <w:trPr/>
        <w:tc>
          <w:tcPr>
            <w:tcW w:w="341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41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3379"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41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0"/>
              <w:jc w:val="left"/>
              <w:rPr>
                <w:rFonts w:ascii="ARIAL" w:hAnsi="ARIAL"/>
                <w:sz w:val="20"/>
              </w:rPr>
            </w:pPr>
            <w:r>
              <w:rPr>
                <w:rFonts w:ascii="ARIAL" w:hAnsi="ARIAL"/>
                <w:sz w:val="20"/>
              </w:rPr>
              <w:t>of the fiduciary duties. Delaware courts have also imposed a heightened standard of conduct upon directors of a Delaware corporation who take any action designed to defeat a threatened change in control of the corporation.</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tc>
      </w:tr>
      <w:tr>
        <w:trPr>
          <w:trHeight w:val="120" w:hRule="atLeast"/>
        </w:trPr>
        <w:tc>
          <w:tcPr>
            <w:tcW w:w="3415" w:type="dxa"/>
            <w:tcBorders/>
            <w:vAlign w:val="center"/>
          </w:tcPr>
          <w:p>
            <w:pPr>
              <w:pStyle w:val="TableContents"/>
              <w:bidi w:val="0"/>
              <w:spacing w:before="0" w:after="283"/>
              <w:jc w:val="left"/>
              <w:rPr>
                <w:sz w:val="4"/>
                <w:szCs w:val="4"/>
              </w:rPr>
            </w:pPr>
            <w:r>
              <w:rPr>
                <w:sz w:val="4"/>
                <w:szCs w:val="4"/>
              </w:rPr>
            </w:r>
          </w:p>
        </w:tc>
        <w:tc>
          <w:tcPr>
            <w:tcW w:w="3485" w:type="dxa"/>
            <w:gridSpan w:val="2"/>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3415" w:type="dxa"/>
            <w:tcBorders/>
          </w:tcPr>
          <w:p>
            <w:pPr>
              <w:pStyle w:val="TableContents"/>
              <w:bidi w:val="0"/>
              <w:spacing w:before="0" w:after="283"/>
              <w:jc w:val="left"/>
              <w:rPr/>
            </w:pPr>
            <w:r>
              <w:rPr/>
              <w:t>Shareholder Suits</w:t>
            </w:r>
          </w:p>
        </w:tc>
        <w:tc>
          <w:tcPr>
            <w:tcW w:w="106"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0"/>
              <w:jc w:val="left"/>
              <w:rPr>
                <w:rFonts w:ascii="ARIAL" w:hAnsi="ARIAL"/>
                <w:sz w:val="20"/>
              </w:rPr>
            </w:pPr>
            <w:r>
              <w:rPr>
                <w:rFonts w:ascii="ARIAL" w:hAnsi="ARIAL"/>
                <w:sz w:val="20"/>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 (2) 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U.K. Limitation Act 1980 imposes a limitation period, with</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0"/>
              <w:jc w:val="left"/>
              <w:rPr>
                <w:rFonts w:ascii="ARIAL" w:hAnsi="ARIAL"/>
                <w:sz w:val="20"/>
              </w:rPr>
            </w:pPr>
            <w:r>
              <w:rPr>
                <w:rFonts w:ascii="ARIAL" w:hAnsi="ARIAL"/>
                <w:sz w:val="20"/>
              </w:rPr>
              <w:t>Under Delaware law, a stockholder may initiate a derivative action to enforce a right of a corporation if the corporation fails to enforce the right itself. The complaint must: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state that the plaintiff was a stockholder at the time of the transaction of which the plaintiff complains or that the plaintiffs shares thereafter devolved on the plaintiff by operation of law; and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allege with particularity the efforts made by the plaintiff to obtain the action the plaintiff desires from the directors and the reasons for the plaintiffs failure to obtain the action; or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state the reasons for not making the effort.</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Additionally, the plaintiff must remain a stockholder through the duration of the derivative suit. The action will not be dismissed or compromised without the approval of the Delaware Court of Chancery.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45"/>
        <w:gridCol w:w="109"/>
        <w:gridCol w:w="3445"/>
        <w:gridCol w:w="120"/>
        <w:gridCol w:w="3186"/>
      </w:tblGrid>
      <w:tr>
        <w:trPr/>
        <w:tc>
          <w:tcPr>
            <w:tcW w:w="33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334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445"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England and Wales</w:t>
            </w:r>
          </w:p>
        </w:tc>
        <w:tc>
          <w:tcPr>
            <w:tcW w:w="120" w:type="dxa"/>
            <w:tcBorders/>
            <w:vAlign w:val="bottom"/>
          </w:tcPr>
          <w:p>
            <w:pPr>
              <w:pStyle w:val="TableContents"/>
              <w:bidi w:val="0"/>
              <w:spacing w:before="0" w:after="283"/>
              <w:jc w:val="left"/>
              <w:rPr/>
            </w:pPr>
            <w:r>
              <w:rPr/>
              <w:t>  </w:t>
            </w:r>
          </w:p>
        </w:tc>
        <w:tc>
          <w:tcPr>
            <w:tcW w:w="3186"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Delaware</w:t>
            </w:r>
          </w:p>
        </w:tc>
      </w:tr>
      <w:tr>
        <w:trPr/>
        <w:tc>
          <w:tcPr>
            <w:tcW w:w="33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445" w:type="dxa"/>
            <w:tcBorders/>
          </w:tcPr>
          <w:p>
            <w:pPr>
              <w:pStyle w:val="TableContents"/>
              <w:bidi w:val="0"/>
              <w:spacing w:before="0" w:after="283"/>
              <w:jc w:val="left"/>
              <w:rPr/>
            </w:pPr>
            <w:r>
              <w:rPr/>
              <w:t>certain exceptions, in respect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tc>
        <w:tc>
          <w:tcPr>
            <w:tcW w:w="120"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4" w:name="rom852004_7"/>
      <w:bookmarkEnd w:id="24"/>
      <w:r>
        <w:rPr>
          <w:rFonts w:ascii="ARIAL" w:hAnsi="ARIAL"/>
          <w:b/>
          <w:sz w:val="20"/>
        </w:rPr>
        <w:t xml:space="preserve">DESCRIPTION OF AMERICAN DEPOSITARY SHARES </w:t>
      </w:r>
    </w:p>
    <w:p>
      <w:pPr>
        <w:pStyle w:val="TextBody"/>
        <w:bidi w:val="0"/>
        <w:spacing w:before="240" w:after="0"/>
        <w:jc w:val="left"/>
        <w:rPr>
          <w:rFonts w:ascii="ARIAL" w:hAnsi="ARIAL"/>
          <w:b/>
          <w:sz w:val="20"/>
        </w:rPr>
      </w:pPr>
      <w:r>
        <w:rPr>
          <w:rFonts w:ascii="ARIAL" w:hAnsi="ARIAL"/>
          <w:b/>
          <w:sz w:val="20"/>
        </w:rPr>
        <w:t xml:space="preserve">American Depositary Shares </w:t>
      </w:r>
    </w:p>
    <w:p>
      <w:pPr>
        <w:pStyle w:val="TextBody"/>
        <w:bidi w:val="0"/>
        <w:spacing w:before="120" w:after="0"/>
        <w:jc w:val="left"/>
        <w:rPr>
          <w:rFonts w:ascii="ARIAL" w:hAnsi="ARIAL"/>
          <w:sz w:val="20"/>
        </w:rPr>
      </w:pPr>
      <w:r>
        <w:rPr>
          <w:rFonts w:ascii="ARIAL" w:hAnsi="ARIAL"/>
          <w:sz w:val="20"/>
        </w:rPr>
        <w:t xml:space="preserve">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 </w:t>
      </w:r>
    </w:p>
    <w:p>
      <w:pPr>
        <w:pStyle w:val="TextBody"/>
        <w:bidi w:val="0"/>
        <w:spacing w:before="240" w:after="0"/>
        <w:jc w:val="left"/>
        <w:rPr>
          <w:rFonts w:ascii="ARIAL" w:hAnsi="ARIAL"/>
          <w:sz w:val="20"/>
        </w:rPr>
      </w:pPr>
      <w:r>
        <w:rPr>
          <w:rFonts w:ascii="ARIAL" w:hAnsi="ARIAL"/>
          <w:sz w:val="20"/>
        </w:rPr>
        <w:t xml:space="preserve">We have appointed Citibank as depositary pursuant to a deposit agreement. A copy of the deposit agreement is on file with the SEC under cover of a registration statement on Form F-6. A copy of the deposit agreement is available from the SECs website (www.sec.gov). Please refer to registration number 333-223890, 333-249338 and 333-258824 when retrieving such copy. Holder means the person or persons in whose name an ADS is registered on the register maintained by the depository for such purpose. </w:t>
      </w:r>
    </w:p>
    <w:p>
      <w:pPr>
        <w:pStyle w:val="TextBody"/>
        <w:bidi w:val="0"/>
        <w:spacing w:before="240" w:after="0"/>
        <w:jc w:val="left"/>
        <w:rPr>
          <w:rFonts w:ascii="ARIAL" w:hAnsi="ARIAL"/>
          <w:sz w:val="20"/>
        </w:rPr>
      </w:pPr>
      <w:r>
        <w:rPr>
          <w:rFonts w:ascii="ARIAL" w:hAnsi="ARIAL"/>
          <w:sz w:val="20"/>
        </w:rPr>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 </w:t>
      </w:r>
    </w:p>
    <w:p>
      <w:pPr>
        <w:pStyle w:val="TextBody"/>
        <w:bidi w:val="0"/>
        <w:spacing w:before="240" w:after="0"/>
        <w:jc w:val="left"/>
        <w:rPr>
          <w:rFonts w:ascii="ARIAL" w:hAnsi="ARIAL"/>
          <w:sz w:val="20"/>
        </w:rPr>
      </w:pPr>
      <w:r>
        <w:rPr>
          <w:rFonts w:ascii="ARIAL" w:hAnsi="ARIAL"/>
          <w:sz w:val="20"/>
        </w:rPr>
        <w:t xml:space="preserve">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bidi w:val="0"/>
        <w:spacing w:before="240" w:after="0"/>
        <w:jc w:val="left"/>
        <w:rPr>
          <w:rFonts w:ascii="ARIAL" w:hAnsi="ARIAL"/>
          <w:sz w:val="20"/>
        </w:rPr>
      </w:pPr>
      <w:r>
        <w:rPr>
          <w:rFonts w:ascii="ARIAL" w:hAnsi="ARIAL"/>
          <w:sz w:val="20"/>
        </w:rPr>
        <w:t xml:space="preserve">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 </w:t>
      </w:r>
    </w:p>
    <w:p>
      <w:pPr>
        <w:pStyle w:val="TextBody"/>
        <w:bidi w:val="0"/>
        <w:spacing w:before="240" w:after="0"/>
        <w:jc w:val="left"/>
        <w:rPr>
          <w:rFonts w:ascii="ARIAL" w:hAnsi="ARIAL"/>
          <w:sz w:val="20"/>
        </w:rPr>
      </w:pPr>
      <w:r>
        <w:rPr>
          <w:rFonts w:ascii="ARIAL" w:hAnsi="ARIAL"/>
          <w:sz w:val="20"/>
        </w:rPr>
        <w:t xml:space="preserve">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bidi w:val="0"/>
        <w:spacing w:before="240" w:after="0"/>
        <w:jc w:val="left"/>
        <w:rPr>
          <w:rFonts w:ascii="ARIAL" w:hAnsi="ARIAL"/>
          <w:sz w:val="20"/>
        </w:rPr>
      </w:pPr>
      <w:r>
        <w:rPr>
          <w:rFonts w:ascii="ARIAL" w:hAnsi="ARIAL"/>
          <w:sz w:val="20"/>
        </w:rPr>
        <w:t xml:space="preserve">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t>
      </w:r>
    </w:p>
    <w:p>
      <w:pPr>
        <w:pStyle w:val="TextBody"/>
        <w:bidi w:val="0"/>
        <w:spacing w:before="240" w:after="0"/>
        <w:jc w:val="left"/>
        <w:rPr>
          <w:rFonts w:ascii="ARIAL" w:hAnsi="ARIAL"/>
          <w:sz w:val="20"/>
        </w:rPr>
      </w:pPr>
      <w:r>
        <w:rPr>
          <w:rFonts w:ascii="ARIAL" w:hAnsi="ARIAL"/>
          <w:sz w:val="20"/>
        </w:rPr>
        <w:t xml:space="preserve">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 </w:t>
      </w:r>
    </w:p>
    <w:p>
      <w:pPr>
        <w:pStyle w:val="TextBody"/>
        <w:bidi w:val="0"/>
        <w:spacing w:before="240" w:after="0"/>
        <w:jc w:val="left"/>
        <w:rPr>
          <w:rFonts w:ascii="ARIAL" w:hAnsi="ARIAL"/>
          <w:b/>
          <w:sz w:val="20"/>
        </w:rPr>
      </w:pPr>
      <w:r>
        <w:rPr>
          <w:rFonts w:ascii="ARIAL" w:hAnsi="ARIAL"/>
          <w:b/>
          <w:sz w:val="20"/>
        </w:rPr>
        <w:t xml:space="preserve">Dividends and Other Distributions </w:t>
      </w:r>
    </w:p>
    <w:p>
      <w:pPr>
        <w:pStyle w:val="TextBody"/>
        <w:bidi w:val="0"/>
        <w:spacing w:before="120" w:after="0"/>
        <w:jc w:val="left"/>
        <w:rPr>
          <w:rFonts w:ascii="ARIAL" w:hAnsi="ARIAL"/>
          <w:sz w:val="20"/>
        </w:rPr>
      </w:pPr>
      <w:r>
        <w:rPr>
          <w:rFonts w:ascii="ARIAL" w:hAnsi="ARIAL"/>
          <w:sz w:val="20"/>
        </w:rPr>
        <w:t xml:space="preserve">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 </w:t>
      </w:r>
    </w:p>
    <w:p>
      <w:pPr>
        <w:pStyle w:val="TextBody"/>
        <w:bidi w:val="0"/>
        <w:spacing w:before="240" w:after="0"/>
        <w:jc w:val="left"/>
        <w:rPr>
          <w:rFonts w:ascii="ARIAL" w:hAnsi="ARIAL"/>
          <w:b/>
          <w:i/>
          <w:sz w:val="20"/>
        </w:rPr>
      </w:pPr>
      <w:r>
        <w:rPr>
          <w:rFonts w:ascii="ARIAL" w:hAnsi="ARIAL"/>
          <w:b/>
          <w:i/>
          <w:sz w:val="20"/>
        </w:rPr>
        <w:t xml:space="preserve">Distributions of Cash </w:t>
      </w:r>
    </w:p>
    <w:p>
      <w:pPr>
        <w:pStyle w:val="TextBody"/>
        <w:bidi w:val="0"/>
        <w:spacing w:before="120" w:after="0"/>
        <w:jc w:val="left"/>
        <w:rPr>
          <w:rFonts w:ascii="ARIAL" w:hAnsi="ARIAL"/>
          <w:sz w:val="20"/>
        </w:rPr>
      </w:pPr>
      <w:r>
        <w:rPr>
          <w:rFonts w:ascii="ARIAL" w:hAnsi="ARIAL"/>
          <w:sz w:val="20"/>
        </w:rPr>
        <w:t xml:space="preserve">Whenever we make a cash distribution for the securities on deposit with the custodian, we will deposit the funds with the custodian. Upon receipt of confirmation of the deposit of the requisite funds,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depositary will arrange for the funds received in a currency other than U.S. dollars to be converted into U.S. dollars and for the distribution of the U.S. dollars to the holders, subject to the laws and regulations of England and Wales. </w:t>
      </w:r>
    </w:p>
    <w:p>
      <w:pPr>
        <w:pStyle w:val="TextBody"/>
        <w:bidi w:val="0"/>
        <w:spacing w:before="240" w:after="0"/>
        <w:jc w:val="left"/>
        <w:rPr>
          <w:rFonts w:ascii="ARIAL" w:hAnsi="ARIAL"/>
          <w:sz w:val="20"/>
        </w:rPr>
      </w:pPr>
      <w:r>
        <w:rPr>
          <w:rFonts w:ascii="ARIAL" w:hAnsi="ARIAL"/>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bidi w:val="0"/>
        <w:spacing w:before="240" w:after="0"/>
        <w:jc w:val="left"/>
        <w:rPr>
          <w:rFonts w:ascii="ARIAL" w:hAnsi="ARIAL"/>
          <w:sz w:val="20"/>
        </w:rPr>
      </w:pPr>
      <w:r>
        <w:rPr>
          <w:rFonts w:ascii="ARIAL" w:hAnsi="ARIAL"/>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bidi w:val="0"/>
        <w:spacing w:before="240" w:after="0"/>
        <w:jc w:val="left"/>
        <w:rPr>
          <w:rFonts w:ascii="ARIAL" w:hAnsi="ARIAL"/>
          <w:b/>
          <w:i/>
          <w:sz w:val="20"/>
        </w:rPr>
      </w:pPr>
      <w:r>
        <w:rPr>
          <w:rFonts w:ascii="ARIAL" w:hAnsi="ARIAL"/>
          <w:b/>
          <w:i/>
          <w:sz w:val="20"/>
        </w:rPr>
        <w:t xml:space="preserve">Distributions of Shares </w:t>
      </w:r>
    </w:p>
    <w:p>
      <w:pPr>
        <w:pStyle w:val="TextBody"/>
        <w:bidi w:val="0"/>
        <w:spacing w:before="120" w:after="0"/>
        <w:jc w:val="left"/>
        <w:rPr>
          <w:rFonts w:ascii="ARIAL" w:hAnsi="ARIAL"/>
          <w:sz w:val="20"/>
        </w:rPr>
      </w:pPr>
      <w:r>
        <w:rPr>
          <w:rFonts w:ascii="ARIAL" w:hAnsi="ARIAL"/>
          <w:sz w:val="20"/>
        </w:rPr>
        <w:t xml:space="preserve">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 </w:t>
      </w:r>
    </w:p>
    <w:p>
      <w:pPr>
        <w:pStyle w:val="TextBody"/>
        <w:bidi w:val="0"/>
        <w:spacing w:before="240" w:after="0"/>
        <w:jc w:val="left"/>
        <w:rPr>
          <w:rFonts w:ascii="ARIAL" w:hAnsi="ARIAL"/>
          <w:sz w:val="20"/>
        </w:rPr>
      </w:pPr>
      <w:r>
        <w:rPr>
          <w:rFonts w:ascii="ARIAL" w:hAnsi="ARIAL"/>
          <w:sz w:val="20"/>
        </w:rPr>
        <w:t xml:space="preserve">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 </w:t>
      </w:r>
    </w:p>
    <w:p>
      <w:pPr>
        <w:pStyle w:val="TextBody"/>
        <w:bidi w:val="0"/>
        <w:spacing w:before="240" w:after="0"/>
        <w:jc w:val="left"/>
        <w:rPr>
          <w:rFonts w:ascii="ARIAL" w:hAnsi="ARIAL"/>
          <w:sz w:val="20"/>
        </w:rPr>
      </w:pPr>
      <w:r>
        <w:rPr>
          <w:rFonts w:ascii="ARIAL" w:hAnsi="ARIAL"/>
          <w:sz w:val="20"/>
        </w:rPr>
        <w:t xml:space="preserve">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 </w:t>
      </w:r>
    </w:p>
    <w:p>
      <w:pPr>
        <w:pStyle w:val="TextBody"/>
        <w:bidi w:val="0"/>
        <w:spacing w:before="240" w:after="0"/>
        <w:jc w:val="left"/>
        <w:rPr>
          <w:rFonts w:ascii="ARIAL" w:hAnsi="ARIAL"/>
          <w:b/>
          <w:i/>
          <w:sz w:val="20"/>
        </w:rPr>
      </w:pPr>
      <w:r>
        <w:rPr>
          <w:rFonts w:ascii="ARIAL" w:hAnsi="ARIAL"/>
          <w:b/>
          <w:i/>
          <w:sz w:val="20"/>
        </w:rPr>
        <w:t xml:space="preserve">Distributions of Rights </w:t>
      </w:r>
    </w:p>
    <w:p>
      <w:pPr>
        <w:pStyle w:val="TextBody"/>
        <w:bidi w:val="0"/>
        <w:spacing w:before="120" w:after="0"/>
        <w:jc w:val="left"/>
        <w:rPr>
          <w:rFonts w:ascii="ARIAL" w:hAnsi="ARIAL"/>
          <w:sz w:val="20"/>
        </w:rPr>
      </w:pPr>
      <w:r>
        <w:rPr>
          <w:rFonts w:ascii="ARIAL" w:hAnsi="ARIAL"/>
          <w:sz w:val="20"/>
        </w:rPr>
        <w:t xml:space="preserve">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 </w:t>
      </w:r>
    </w:p>
    <w:p>
      <w:pPr>
        <w:pStyle w:val="TextBody"/>
        <w:bidi w:val="0"/>
        <w:spacing w:before="240" w:after="0"/>
        <w:jc w:val="left"/>
        <w:rPr>
          <w:rFonts w:ascii="ARIAL" w:hAnsi="ARIAL"/>
          <w:sz w:val="20"/>
        </w:rPr>
      </w:pPr>
      <w:r>
        <w:rPr>
          <w:rFonts w:ascii="ARIAL" w:hAnsi="ARIAL"/>
          <w:sz w:val="20"/>
        </w:rPr>
        <w:t xml:space="preserve">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depositary will </w:t>
      </w:r>
      <w:r>
        <w:rPr>
          <w:rFonts w:ascii="ARIAL" w:hAnsi="ARIAL"/>
          <w:i/>
          <w:sz w:val="20"/>
        </w:rPr>
        <w:t xml:space="preserve">not </w:t>
      </w:r>
      <w:r>
        <w:rPr>
          <w:rFonts w:ascii="ARIAL" w:hAnsi="ARIAL"/>
          <w:sz w:val="20"/>
        </w:rPr>
        <w:t xml:space="preserve">distribute the rights to a Holder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we do not timely request that the rights be distributed to such Holder or we request that the rights not be distributed to such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we fail to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 </w:t>
            </w:r>
          </w:p>
        </w:tc>
      </w:tr>
    </w:tbl>
    <w:p>
      <w:pPr>
        <w:pStyle w:val="TextBody"/>
        <w:bidi w:val="0"/>
        <w:spacing w:before="240" w:after="0"/>
        <w:jc w:val="left"/>
        <w:rPr>
          <w:rFonts w:ascii="ARIAL" w:hAnsi="ARIAL"/>
          <w:b/>
          <w:i/>
          <w:sz w:val="20"/>
        </w:rPr>
      </w:pPr>
      <w:r>
        <w:rPr>
          <w:rFonts w:ascii="ARIAL" w:hAnsi="ARIAL"/>
          <w:b/>
          <w:i/>
          <w:sz w:val="20"/>
        </w:rPr>
        <w:t xml:space="preserve">Elective Distributions </w:t>
      </w:r>
    </w:p>
    <w:p>
      <w:pPr>
        <w:pStyle w:val="TextBody"/>
        <w:bidi w:val="0"/>
        <w:spacing w:before="120" w:after="0"/>
        <w:jc w:val="left"/>
        <w:rPr>
          <w:rFonts w:ascii="ARIAL" w:hAnsi="ARIAL"/>
          <w:sz w:val="20"/>
        </w:rPr>
      </w:pPr>
      <w:r>
        <w:rPr>
          <w:rFonts w:ascii="ARIAL" w:hAnsi="ARIAL"/>
          <w:sz w:val="20"/>
        </w:rPr>
        <w:t xml:space="preserve">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 </w:t>
      </w:r>
    </w:p>
    <w:p>
      <w:pPr>
        <w:pStyle w:val="TextBody"/>
        <w:bidi w:val="0"/>
        <w:spacing w:before="240" w:after="0"/>
        <w:jc w:val="left"/>
        <w:rPr>
          <w:rFonts w:ascii="ARIAL" w:hAnsi="ARIAL"/>
          <w:sz w:val="20"/>
        </w:rPr>
      </w:pPr>
      <w:r>
        <w:rPr>
          <w:rFonts w:ascii="ARIAL" w:hAnsi="ARIAL"/>
          <w:sz w:val="20"/>
        </w:rPr>
        <w:t xml:space="preserve">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 </w:t>
      </w:r>
    </w:p>
    <w:p>
      <w:pPr>
        <w:pStyle w:val="TextBody"/>
        <w:bidi w:val="0"/>
        <w:spacing w:before="240" w:after="0"/>
        <w:jc w:val="left"/>
        <w:rPr>
          <w:rFonts w:ascii="ARIAL" w:hAnsi="ARIAL"/>
          <w:sz w:val="20"/>
        </w:rPr>
      </w:pPr>
      <w:r>
        <w:rPr>
          <w:rFonts w:ascii="ARIAL" w:hAnsi="ARIAL"/>
          <w:sz w:val="20"/>
        </w:rPr>
        <w:t xml:space="preserve">If the election is not made available to a Holder, such Holder will receive either cash or additional ADSs, depending on what a shareholder in England and Wales would receive upon failing to make an election, as more fully described in the deposit agreement. </w:t>
      </w:r>
    </w:p>
    <w:p>
      <w:pPr>
        <w:pStyle w:val="TextBody"/>
        <w:bidi w:val="0"/>
        <w:spacing w:before="240" w:after="0"/>
        <w:jc w:val="left"/>
        <w:rPr>
          <w:rFonts w:ascii="ARIAL" w:hAnsi="ARIAL"/>
          <w:b/>
          <w:i/>
          <w:sz w:val="20"/>
        </w:rPr>
      </w:pPr>
      <w:r>
        <w:rPr>
          <w:rFonts w:ascii="ARIAL" w:hAnsi="ARIAL"/>
          <w:b/>
          <w:i/>
          <w:sz w:val="20"/>
        </w:rPr>
        <w:t xml:space="preserve">Other Distributions </w:t>
      </w:r>
    </w:p>
    <w:p>
      <w:pPr>
        <w:pStyle w:val="TextBody"/>
        <w:bidi w:val="0"/>
        <w:spacing w:before="120" w:after="0"/>
        <w:jc w:val="left"/>
        <w:rPr>
          <w:rFonts w:ascii="ARIAL" w:hAnsi="ARIAL"/>
          <w:sz w:val="20"/>
        </w:rPr>
      </w:pPr>
      <w:r>
        <w:rPr>
          <w:rFonts w:ascii="ARIAL" w:hAnsi="ARIAL"/>
          <w:sz w:val="20"/>
        </w:rPr>
        <w:t xml:space="preserve">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 </w:t>
      </w:r>
    </w:p>
    <w:p>
      <w:pPr>
        <w:pStyle w:val="TextBody"/>
        <w:bidi w:val="0"/>
        <w:spacing w:before="240" w:after="0"/>
        <w:jc w:val="left"/>
        <w:rPr>
          <w:rFonts w:ascii="ARIAL" w:hAnsi="ARIAL"/>
          <w:sz w:val="20"/>
        </w:rPr>
      </w:pPr>
      <w:r>
        <w:rPr>
          <w:rFonts w:ascii="ARIAL" w:hAnsi="ARIAL"/>
          <w:sz w:val="20"/>
        </w:rPr>
        <w:t xml:space="preserve">If it is reasonably practicable to distribute such property to a Holder and if we provide to the depositary all of the documentation contemplated in the deposit agreement, the depositary will distribute the property to the holders in a manner it deems practicable. </w:t>
      </w:r>
    </w:p>
    <w:p>
      <w:pPr>
        <w:pStyle w:val="TextBody"/>
        <w:bidi w:val="0"/>
        <w:spacing w:before="240" w:after="0"/>
        <w:jc w:val="left"/>
        <w:rPr>
          <w:rFonts w:ascii="ARIAL" w:hAnsi="ARIAL"/>
          <w:sz w:val="20"/>
        </w:rPr>
      </w:pPr>
      <w:r>
        <w:rPr>
          <w:rFonts w:ascii="ARIAL" w:hAnsi="ARIAL"/>
          <w:sz w:val="20"/>
        </w:rPr>
        <w:t xml:space="preserve">The distribution will be made net of fees, expenses, taxes, and governmental charges payable by holders under the terms of the deposit agreement. In order to pay such taxes and governmental charges, the depositary may sell all or a portion of the property received. </w:t>
      </w:r>
    </w:p>
    <w:p>
      <w:pPr>
        <w:pStyle w:val="TextBody"/>
        <w:bidi w:val="0"/>
        <w:spacing w:before="240" w:after="0"/>
        <w:jc w:val="left"/>
        <w:rPr>
          <w:rFonts w:ascii="ARIAL" w:hAnsi="ARIAL"/>
          <w:sz w:val="20"/>
        </w:rPr>
      </w:pPr>
      <w:r>
        <w:rPr>
          <w:rFonts w:ascii="ARIAL" w:hAnsi="ARIAL"/>
          <w:sz w:val="20"/>
        </w:rPr>
        <w:t xml:space="preserve">The depositary will not distribute the property to a Holder and will sell the property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we do not request that the property be distributed to such Holder or if we request that the property not be distributed to such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we do not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depositary determines that all or a portion of the distribution to such Holder is not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proceeds of such a sale will be distributed to holders as in the case of a cash distribution.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Redemption </w:t>
      </w:r>
    </w:p>
    <w:p>
      <w:pPr>
        <w:pStyle w:val="TextBody"/>
        <w:bidi w:val="0"/>
        <w:spacing w:before="120" w:after="0"/>
        <w:jc w:val="left"/>
        <w:rPr>
          <w:rFonts w:ascii="ARIAL" w:hAnsi="ARIAL"/>
          <w:sz w:val="20"/>
        </w:rPr>
      </w:pPr>
      <w:r>
        <w:rPr>
          <w:rFonts w:ascii="ARIAL" w:hAnsi="ARIAL"/>
          <w:sz w:val="20"/>
        </w:rPr>
        <w:t xml:space="preserve">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 </w:t>
      </w:r>
    </w:p>
    <w:p>
      <w:pPr>
        <w:pStyle w:val="TextBody"/>
        <w:bidi w:val="0"/>
        <w:spacing w:before="240" w:after="0"/>
        <w:jc w:val="left"/>
        <w:rPr>
          <w:rFonts w:ascii="ARIAL" w:hAnsi="ARIAL"/>
          <w:sz w:val="20"/>
        </w:rPr>
      </w:pPr>
      <w:r>
        <w:rPr>
          <w:rFonts w:ascii="ARIAL" w:hAnsi="ARIAL"/>
          <w:sz w:val="20"/>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pro rata basis, as the depositary may determine. </w:t>
      </w:r>
    </w:p>
    <w:p>
      <w:pPr>
        <w:pStyle w:val="TextBody"/>
        <w:bidi w:val="0"/>
        <w:spacing w:before="240" w:after="0"/>
        <w:jc w:val="left"/>
        <w:rPr>
          <w:rFonts w:ascii="ARIAL" w:hAnsi="ARIAL"/>
          <w:b/>
          <w:sz w:val="20"/>
        </w:rPr>
      </w:pPr>
      <w:r>
        <w:rPr>
          <w:rFonts w:ascii="ARIAL" w:hAnsi="ARIAL"/>
          <w:b/>
          <w:sz w:val="20"/>
        </w:rPr>
        <w:t xml:space="preserve">Changes Affecting Ordinary Shares </w:t>
      </w:r>
    </w:p>
    <w:p>
      <w:pPr>
        <w:pStyle w:val="TextBody"/>
        <w:bidi w:val="0"/>
        <w:spacing w:before="120" w:after="0"/>
        <w:jc w:val="left"/>
        <w:rPr>
          <w:rFonts w:ascii="ARIAL" w:hAnsi="ARIAL"/>
          <w:sz w:val="20"/>
        </w:rPr>
      </w:pPr>
      <w:r>
        <w:rPr>
          <w:rFonts w:ascii="ARIAL" w:hAnsi="ARIAL"/>
          <w:sz w:val="20"/>
        </w:rPr>
        <w:t xml:space="preserve">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 </w:t>
      </w:r>
    </w:p>
    <w:p>
      <w:pPr>
        <w:pStyle w:val="TextBody"/>
        <w:bidi w:val="0"/>
        <w:spacing w:before="240" w:after="0"/>
        <w:jc w:val="left"/>
        <w:rPr>
          <w:rFonts w:ascii="ARIAL" w:hAnsi="ARIAL"/>
          <w:sz w:val="20"/>
        </w:rPr>
      </w:pPr>
      <w:r>
        <w:rPr>
          <w:rFonts w:ascii="ARIAL" w:hAnsi="ARIAL"/>
          <w:sz w:val="20"/>
        </w:rPr>
        <w:t xml:space="preserve">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 </w:t>
      </w:r>
    </w:p>
    <w:p>
      <w:pPr>
        <w:pStyle w:val="TextBody"/>
        <w:bidi w:val="0"/>
        <w:spacing w:before="240" w:after="0"/>
        <w:jc w:val="left"/>
        <w:rPr>
          <w:rFonts w:ascii="ARIAL" w:hAnsi="ARIAL"/>
          <w:b/>
          <w:sz w:val="20"/>
        </w:rPr>
      </w:pPr>
      <w:r>
        <w:rPr>
          <w:rFonts w:ascii="ARIAL" w:hAnsi="ARIAL"/>
          <w:b/>
          <w:sz w:val="20"/>
        </w:rPr>
        <w:t xml:space="preserve">Issuance of ADSs upon Deposit of Ordinary Shares </w:t>
      </w:r>
    </w:p>
    <w:p>
      <w:pPr>
        <w:pStyle w:val="TextBody"/>
        <w:bidi w:val="0"/>
        <w:spacing w:before="120" w:after="0"/>
        <w:jc w:val="left"/>
        <w:rPr>
          <w:rFonts w:ascii="ARIAL" w:hAnsi="ARIAL"/>
          <w:sz w:val="20"/>
        </w:rPr>
      </w:pPr>
      <w:r>
        <w:rPr>
          <w:rFonts w:ascii="ARIAL" w:hAnsi="ARIAL"/>
          <w:sz w:val="20"/>
        </w:rPr>
        <w:t xml:space="preserve">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 </w:t>
      </w:r>
    </w:p>
    <w:p>
      <w:pPr>
        <w:pStyle w:val="TextBody"/>
        <w:bidi w:val="0"/>
        <w:spacing w:before="240" w:after="0"/>
        <w:jc w:val="left"/>
        <w:rPr>
          <w:rFonts w:ascii="ARIAL" w:hAnsi="ARIAL"/>
          <w:sz w:val="20"/>
        </w:rPr>
      </w:pPr>
      <w:r>
        <w:rPr>
          <w:rFonts w:ascii="ARIAL" w:hAnsi="ARIAL"/>
          <w:sz w:val="20"/>
        </w:rPr>
        <w:t xml:space="preserve">The issuance of ADSs may be delayed until the depositary or the custodian receives confirmation that all required approvals have been given and that the ordinary shares have been duly transferred to the custodian. The depositary will only issue ADSs in whole numbers. </w:t>
      </w:r>
    </w:p>
    <w:p>
      <w:pPr>
        <w:pStyle w:val="TextBody"/>
        <w:bidi w:val="0"/>
        <w:spacing w:before="240" w:after="0"/>
        <w:jc w:val="left"/>
        <w:rPr>
          <w:rFonts w:ascii="ARIAL" w:hAnsi="ARIAL"/>
          <w:sz w:val="20"/>
        </w:rPr>
      </w:pPr>
      <w:r>
        <w:rPr>
          <w:rFonts w:ascii="ARIAL" w:hAnsi="ARIAL"/>
          <w:sz w:val="20"/>
        </w:rPr>
        <w:t xml:space="preserve">When a Holder makes a deposit of ordinary shares, such Holder will be responsible for transferring good and valid title to the depositary. As such, a Holder will be deemed to represent and warrant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the ordinary shares are duly authorized, validly allotted and issued, fully paid, not subject to any call for the payment of further capital, and legally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all pre-emptive (and similar) rights, if any, with respect to such ordinary shares have been validly waived, disapplied or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such Holder is duly authorized to deposit the ordinary shares;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ordinary shares presented for deposit are free and clear of any lien, encumbrance, security interest, charge, mortgage, or adverse claim, and are not, and the ADSs issuable upon such deposit will not be, Restricted Securities (as defined in the deposit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the ordinary shares presented for deposit have not been stripped of any rights or entitlements. </w:t>
            </w:r>
          </w:p>
        </w:tc>
      </w:tr>
    </w:tbl>
    <w:p>
      <w:pPr>
        <w:pStyle w:val="TextBody"/>
        <w:bidi w:val="0"/>
        <w:spacing w:before="240" w:after="0"/>
        <w:jc w:val="left"/>
        <w:rPr>
          <w:rFonts w:ascii="ARIAL" w:hAnsi="ARIAL"/>
          <w:sz w:val="20"/>
        </w:rPr>
      </w:pPr>
      <w:r>
        <w:rPr>
          <w:rFonts w:ascii="ARIAL" w:hAnsi="ARIAL"/>
          <w:sz w:val="20"/>
        </w:rPr>
        <w:t xml:space="preserve">If any of the representations or warranties is incorrect in any way, we and the depositary may, at such Holders cost and expense, take any and all actions necessary to correct the consequences of the misrepresentation. </w:t>
      </w:r>
    </w:p>
    <w:p>
      <w:pPr>
        <w:pStyle w:val="TextBody"/>
        <w:bidi w:val="0"/>
        <w:spacing w:before="240" w:after="0"/>
        <w:jc w:val="left"/>
        <w:rPr>
          <w:rFonts w:ascii="ARIAL" w:hAnsi="ARIAL"/>
          <w:b/>
          <w:sz w:val="20"/>
        </w:rPr>
      </w:pPr>
      <w:r>
        <w:rPr>
          <w:rFonts w:ascii="ARIAL" w:hAnsi="ARIAL"/>
          <w:b/>
          <w:sz w:val="20"/>
        </w:rPr>
        <w:t xml:space="preserve">Transfer, Combination and Split Up of ADRs </w:t>
      </w:r>
    </w:p>
    <w:p>
      <w:pPr>
        <w:pStyle w:val="TextBody"/>
        <w:bidi w:val="0"/>
        <w:spacing w:before="120" w:after="0"/>
        <w:jc w:val="left"/>
        <w:rPr>
          <w:rFonts w:ascii="ARIAL" w:hAnsi="ARIAL"/>
          <w:sz w:val="20"/>
        </w:rPr>
      </w:pPr>
      <w:r>
        <w:rPr>
          <w:rFonts w:ascii="ARIAL" w:hAnsi="ARIAL"/>
          <w:sz w:val="20"/>
        </w:rPr>
        <w:t xml:space="preserve">ADR holders will be entitled to transfer, combine, or split up such Holders ADRs and the ADSs evidenced thereby. For transfers of ADRs, a Holder will have to surrender the ADRs to be transferred to the depositary and also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ensure that the surrendered ADR is properly endorsed or otherwise in proper form for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provide such proof of identity and genuineness of signatures as the depositary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provide any transfer stamps required by the State of New York or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pay all applicable fees, charges, expenses, taxes, and other government charges payable by ADR holders pursuant to the terms of the deposit agreement, upon the transfer of ADRs. </w:t>
            </w:r>
          </w:p>
        </w:tc>
      </w:tr>
    </w:tbl>
    <w:p>
      <w:pPr>
        <w:pStyle w:val="TextBody"/>
        <w:bidi w:val="0"/>
        <w:spacing w:before="240" w:after="0"/>
        <w:jc w:val="left"/>
        <w:rPr>
          <w:rFonts w:ascii="ARIAL" w:hAnsi="ARIAL"/>
          <w:sz w:val="20"/>
        </w:rPr>
      </w:pPr>
      <w:r>
        <w:rPr>
          <w:rFonts w:ascii="ARIAL" w:hAnsi="ARIAL"/>
          <w:sz w:val="20"/>
        </w:rPr>
        <w:t xml:space="preserve">To have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 </w:t>
      </w:r>
    </w:p>
    <w:p>
      <w:pPr>
        <w:pStyle w:val="TextBody"/>
        <w:bidi w:val="0"/>
        <w:spacing w:before="240" w:after="0"/>
        <w:jc w:val="left"/>
        <w:rPr>
          <w:rFonts w:ascii="ARIAL" w:hAnsi="ARIAL"/>
          <w:b/>
          <w:sz w:val="20"/>
        </w:rPr>
      </w:pPr>
      <w:r>
        <w:rPr>
          <w:rFonts w:ascii="ARIAL" w:hAnsi="ARIAL"/>
          <w:b/>
          <w:sz w:val="20"/>
        </w:rPr>
        <w:t xml:space="preserve">Withdrawal of Ordinary Shares Upon Cancellation of ADSs </w:t>
      </w:r>
    </w:p>
    <w:p>
      <w:pPr>
        <w:pStyle w:val="TextBody"/>
        <w:bidi w:val="0"/>
        <w:spacing w:before="120" w:after="0"/>
        <w:jc w:val="left"/>
        <w:rPr>
          <w:rFonts w:ascii="ARIAL" w:hAnsi="ARIAL"/>
          <w:sz w:val="20"/>
        </w:rPr>
      </w:pPr>
      <w:r>
        <w:rPr>
          <w:rFonts w:ascii="ARIAL" w:hAnsi="ARIAL"/>
          <w:sz w:val="20"/>
        </w:rPr>
        <w:t xml:space="preserve">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 </w:t>
      </w:r>
    </w:p>
    <w:p>
      <w:pPr>
        <w:pStyle w:val="TextBody"/>
        <w:bidi w:val="0"/>
        <w:spacing w:before="240" w:after="0"/>
        <w:jc w:val="left"/>
        <w:rPr>
          <w:rFonts w:ascii="ARIAL" w:hAnsi="ARIAL"/>
          <w:sz w:val="20"/>
        </w:rPr>
      </w:pPr>
      <w:r>
        <w:rPr>
          <w:rFonts w:ascii="ARIAL" w:hAnsi="ARIAL"/>
          <w:sz w:val="20"/>
        </w:rPr>
        <w:t xml:space="preserve">A Holder assumes the risk for delivery of all funds and securities upon withdrawal. Once canceled, the ADSs will not have any rights under the deposit agreement. </w:t>
      </w:r>
    </w:p>
    <w:p>
      <w:pPr>
        <w:pStyle w:val="TextBody"/>
        <w:bidi w:val="0"/>
        <w:spacing w:before="240" w:after="0"/>
        <w:jc w:val="left"/>
        <w:rPr>
          <w:rFonts w:ascii="ARIAL" w:hAnsi="ARIAL"/>
          <w:sz w:val="20"/>
        </w:rPr>
      </w:pPr>
      <w:r>
        <w:rPr>
          <w:rFonts w:ascii="ARIAL" w:hAnsi="ARIAL"/>
          <w:sz w:val="20"/>
        </w:rPr>
        <w:t xml:space="preserve">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bidi w:val="0"/>
        <w:spacing w:before="240" w:after="0"/>
        <w:jc w:val="left"/>
        <w:rPr>
          <w:rFonts w:ascii="ARIAL" w:hAnsi="ARIAL"/>
          <w:sz w:val="20"/>
        </w:rPr>
      </w:pPr>
      <w:r>
        <w:rPr>
          <w:rFonts w:ascii="ARIAL" w:hAnsi="ARIAL"/>
          <w:sz w:val="20"/>
        </w:rPr>
        <w:t xml:space="preserve">Holders will have the right to withdraw the securities represented by their ADSs at any time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Temporary delays that may arise because (i) the transfer books for the ordinary shares or ADSs are closed, or (ii) ordinary shares are immobilized on account of a shareholders meeting or a payment of dividends.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Obligations to pay fees, taxes and similar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Restrictions imposed because of laws or regulations applicable to ADSs or the withdrawal of securities on deposit. </w:t>
            </w:r>
          </w:p>
        </w:tc>
      </w:tr>
    </w:tbl>
    <w:p>
      <w:pPr>
        <w:pStyle w:val="TextBody"/>
        <w:bidi w:val="0"/>
        <w:spacing w:before="240" w:after="0"/>
        <w:jc w:val="left"/>
        <w:rPr>
          <w:rFonts w:ascii="ARIAL" w:hAnsi="ARIAL"/>
          <w:sz w:val="20"/>
        </w:rPr>
      </w:pPr>
      <w:r>
        <w:rPr>
          <w:rFonts w:ascii="ARIAL" w:hAnsi="ARIAL"/>
          <w:sz w:val="20"/>
        </w:rPr>
        <w:t xml:space="preserve">The deposit agreement may not be modified to impair a Holders right to withdraw the securities represented by such Holders ADSs except to comply with mandatory provisions of law. </w:t>
      </w:r>
    </w:p>
    <w:p>
      <w:pPr>
        <w:pStyle w:val="TextBody"/>
        <w:bidi w:val="0"/>
        <w:spacing w:before="240" w:after="0"/>
        <w:jc w:val="left"/>
        <w:rPr>
          <w:rFonts w:ascii="ARIAL" w:hAnsi="ARIAL"/>
          <w:b/>
          <w:sz w:val="20"/>
        </w:rPr>
      </w:pPr>
      <w:r>
        <w:rPr>
          <w:rFonts w:ascii="ARIAL" w:hAnsi="ARIAL"/>
          <w:b/>
          <w:sz w:val="20"/>
        </w:rPr>
        <w:t xml:space="preserve">Voting Rights </w:t>
      </w:r>
    </w:p>
    <w:p>
      <w:pPr>
        <w:pStyle w:val="TextBody"/>
        <w:bidi w:val="0"/>
        <w:spacing w:before="120" w:after="0"/>
        <w:jc w:val="left"/>
        <w:rPr>
          <w:rFonts w:ascii="ARIAL" w:hAnsi="ARIAL"/>
          <w:sz w:val="20"/>
        </w:rPr>
      </w:pPr>
      <w:r>
        <w:rPr>
          <w:rFonts w:ascii="ARIAL" w:hAnsi="ARIAL"/>
          <w:sz w:val="20"/>
        </w:rPr>
        <w:t xml:space="preserve">Holders generally have the right under the deposit agreement to instruct the depositary to exercise the voting rights for the ordinary shares represented by your ADSs. The voting rights of Holders of ordinary shares are described in Description of Share CapitalArticles of Association in this prospectus. </w:t>
      </w:r>
    </w:p>
    <w:p>
      <w:pPr>
        <w:pStyle w:val="TextBody"/>
        <w:bidi w:val="0"/>
        <w:spacing w:before="240" w:after="0"/>
        <w:jc w:val="left"/>
        <w:rPr>
          <w:rFonts w:ascii="ARIAL" w:hAnsi="ARIAL"/>
          <w:sz w:val="20"/>
        </w:rPr>
      </w:pPr>
      <w:r>
        <w:rPr>
          <w:rFonts w:ascii="ARIAL" w:hAnsi="ARIAL"/>
          <w:sz w:val="20"/>
        </w:rPr>
        <w:t xml:space="preserve">At our request, the depositary will distribute to Holders any notice of shareholders meeting received from us together with information explaining how to instruct the depositary to exercise the voting rights of the securities represented by ADSs. </w:t>
      </w:r>
    </w:p>
    <w:p>
      <w:pPr>
        <w:pStyle w:val="TextBody"/>
        <w:bidi w:val="0"/>
        <w:spacing w:before="240" w:after="0"/>
        <w:jc w:val="left"/>
        <w:rPr>
          <w:rFonts w:ascii="ARIAL" w:hAnsi="ARIAL"/>
          <w:sz w:val="20"/>
        </w:rPr>
      </w:pPr>
      <w:r>
        <w:rPr>
          <w:rFonts w:ascii="ARIAL" w:hAnsi="ARIAL"/>
          <w:sz w:val="20"/>
        </w:rPr>
        <w:t xml:space="preserve">If the depositary timely receives voting instructions from a Holder of ADSs, it will endeavor to vote the securities (in person or by proxy) represented by the Holders ADSs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i/>
                <w:sz w:val="20"/>
              </w:rPr>
              <w:t>In the event of voting by show of hands</w:t>
            </w:r>
            <w:r>
              <w:rPr>
                <w:rFonts w:ascii="ARIAL" w:hAnsi="ARIAL"/>
                <w:sz w:val="20"/>
              </w:rPr>
              <w:t xml:space="preserve">, the depositary will vote (or cause the custodian to vote) all ordinary held on deposit at that time in accordance with the voting instructions received from a majority of Holders of ADSs who provide timely voting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i/>
                <w:sz w:val="20"/>
              </w:rPr>
              <w:t>In the event of voting by poll</w:t>
            </w:r>
            <w:r>
              <w:rPr>
                <w:rFonts w:ascii="ARIAL" w:hAnsi="ARIAL"/>
                <w:sz w:val="20"/>
              </w:rPr>
              <w:t xml:space="preserve">, the depositary will vote (or cause the custodian to vote) the ordinary shares held on deposit in 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 </w:t>
            </w:r>
          </w:p>
        </w:tc>
      </w:tr>
    </w:tbl>
    <w:p>
      <w:pPr>
        <w:pStyle w:val="TextBody"/>
        <w:bidi w:val="0"/>
        <w:spacing w:before="240" w:after="0"/>
        <w:jc w:val="left"/>
        <w:rPr>
          <w:rFonts w:ascii="ARIAL" w:hAnsi="ARIAL"/>
          <w:sz w:val="20"/>
        </w:rPr>
      </w:pPr>
      <w:r>
        <w:rPr>
          <w:rFonts w:ascii="ARIAL" w:hAnsi="ARIAL"/>
          <w:sz w:val="20"/>
        </w:rPr>
        <w:t xml:space="preserve">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 </w:t>
      </w:r>
    </w:p>
    <w:p>
      <w:pPr>
        <w:pStyle w:val="TextBody"/>
        <w:bidi w:val="0"/>
        <w:spacing w:before="360" w:after="0"/>
        <w:jc w:val="left"/>
        <w:rPr>
          <w:rFonts w:ascii="ARIAL" w:hAnsi="ARIAL"/>
          <w:b/>
          <w:sz w:val="20"/>
        </w:rPr>
      </w:pPr>
      <w:r>
        <w:rPr>
          <w:rFonts w:ascii="ARIAL" w:hAnsi="ARIAL"/>
          <w:b/>
          <w:sz w:val="20"/>
          <w:u w:val="single"/>
        </w:rPr>
        <w:t>Fees and Charges</w:t>
      </w:r>
      <w:r>
        <w:rPr>
          <w:rFonts w:ascii="ARIAL" w:hAnsi="ARIAL"/>
          <w:b/>
          <w:sz w:val="20"/>
        </w:rPr>
        <w:t xml:space="preserve"> </w:t>
      </w:r>
    </w:p>
    <w:p>
      <w:pPr>
        <w:pStyle w:val="TextBody"/>
        <w:bidi w:val="0"/>
        <w:spacing w:before="120" w:after="0"/>
        <w:jc w:val="left"/>
        <w:rPr>
          <w:rFonts w:ascii="ARIAL" w:hAnsi="ARIAL"/>
          <w:sz w:val="20"/>
        </w:rPr>
      </w:pPr>
      <w:r>
        <w:rPr>
          <w:rFonts w:ascii="ARIAL" w:hAnsi="ARIAL"/>
          <w:sz w:val="20"/>
        </w:rPr>
        <w:t xml:space="preserve">ADS Holders will be required to pay the following fees under the terms of the deposit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Service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Fees</w:t>
            </w:r>
          </w:p>
        </w:tc>
      </w:tr>
      <w:tr>
        <w:trPr/>
        <w:tc>
          <w:tcPr>
            <w:tcW w:w="5204" w:type="dxa"/>
            <w:tcBorders/>
          </w:tcPr>
          <w:p>
            <w:pPr>
              <w:pStyle w:val="TableContents"/>
              <w:bidi w:val="0"/>
              <w:spacing w:before="0" w:after="283"/>
              <w:jc w:val="left"/>
              <w:rPr/>
            </w:pPr>
            <w:r>
              <w:rPr/>
              <w:t>Issuance of ADSs (e.g., an issuance of ADS upon a deposit of ordinary shares, upon a change in the ADS(s)-to-ordinary share ratio, or for any other reason), excluding ADS issuances as a result of distributions of ordinary shares)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issued</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Cancellation of ADSs (e.g., a cancellation of ADSs for delivery of deposited property, upon a change in the ADS(s)-to-ordinary share ratio, or for any other reason)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cancelled</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Service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Fees</w:t>
            </w:r>
          </w:p>
        </w:tc>
      </w:tr>
      <w:tr>
        <w:trPr/>
        <w:tc>
          <w:tcPr>
            <w:tcW w:w="5204" w:type="dxa"/>
            <w:tcBorders/>
          </w:tcPr>
          <w:p>
            <w:pPr>
              <w:pStyle w:val="TableContents"/>
              <w:bidi w:val="0"/>
              <w:spacing w:before="0" w:after="283"/>
              <w:jc w:val="left"/>
              <w:rPr/>
            </w:pPr>
            <w:r>
              <w:rPr/>
              <w:t>Distribution of cash dividends or other cash distributions (e.g., upon a sale of rights and other entitlements)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ADSs pursuant to (i) stock dividends or other free stock distributions, or (ii) exercise of rights to purchase additional ADSs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securities other than ADSs or rights to purchase additional ADSs (e.g., upon a spin-off)</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ADS Services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 on the applicable record date(s) established by the depositary bank</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Registration of ADS transfers (e.g., upon a registration of the transfer of registered ownership of ADSs, upon a transfer of ADSs into DTC and vice versa, or for any other reason)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(or fraction thereof) transferred</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(or fraction thereof) converted</w:t>
            </w:r>
          </w:p>
        </w:tc>
      </w:tr>
    </w:tbl>
    <w:p>
      <w:pPr>
        <w:pStyle w:val="TextBody"/>
        <w:bidi w:val="0"/>
        <w:spacing w:before="240" w:after="0"/>
        <w:jc w:val="left"/>
        <w:rPr>
          <w:rFonts w:ascii="ARIAL" w:hAnsi="ARIAL"/>
          <w:sz w:val="20"/>
        </w:rPr>
      </w:pPr>
      <w:r>
        <w:rPr>
          <w:rFonts w:ascii="ARIAL" w:hAnsi="ARIAL"/>
          <w:sz w:val="20"/>
        </w:rPr>
        <w:t xml:space="preserve">ADS Holders will also be responsible to pay certain charges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taxes (including applicable interest and penalties) and other governmental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certain cable, telex, and facsimile transmission and delivery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expenses and charges incurred by the depositary in the conversion of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the fees and expenses incurred by the depositary in connection with compliance with exchange control regulations and other regulatory requirements applicable to ordinary shares, ADSs, and ADRs;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the fees, charges, costs and expenses incurred by the depositary, the custodian, or any nominee in connection with the ADR program. </w:t>
            </w:r>
          </w:p>
        </w:tc>
      </w:tr>
    </w:tbl>
    <w:p>
      <w:pPr>
        <w:pStyle w:val="TextBody"/>
        <w:bidi w:val="0"/>
        <w:spacing w:before="240" w:after="0"/>
        <w:jc w:val="left"/>
        <w:rPr>
          <w:rFonts w:ascii="ARIAL" w:hAnsi="ARIAL"/>
          <w:sz w:val="20"/>
        </w:rPr>
      </w:pPr>
      <w:r>
        <w:rPr>
          <w:rFonts w:ascii="ARIAL" w:hAnsi="ARIAL"/>
          <w:sz w:val="20"/>
        </w:rPr>
        <w:t xml:space="preserve">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before="240" w:after="0"/>
        <w:jc w:val="left"/>
        <w:rPr>
          <w:rFonts w:ascii="ARIAL" w:hAnsi="ARIAL"/>
          <w:sz w:val="20"/>
        </w:rPr>
      </w:pPr>
      <w:r>
        <w:rPr>
          <w:rFonts w:ascii="ARIAL" w:hAnsi="ARIAL"/>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 </w:t>
      </w:r>
    </w:p>
    <w:p>
      <w:pPr>
        <w:pStyle w:val="TextBody"/>
        <w:bidi w:val="0"/>
        <w:spacing w:before="240" w:after="0"/>
        <w:jc w:val="left"/>
        <w:rPr>
          <w:rFonts w:ascii="ARIAL" w:hAnsi="ARIAL"/>
          <w:b/>
          <w:sz w:val="20"/>
        </w:rPr>
      </w:pPr>
      <w:r>
        <w:rPr>
          <w:rFonts w:ascii="ARIAL" w:hAnsi="ARIAL"/>
          <w:b/>
          <w:sz w:val="20"/>
        </w:rPr>
        <w:t xml:space="preserve">Amendments </w:t>
      </w:r>
    </w:p>
    <w:p>
      <w:pPr>
        <w:pStyle w:val="TextBody"/>
        <w:bidi w:val="0"/>
        <w:spacing w:before="120" w:after="0"/>
        <w:jc w:val="left"/>
        <w:rPr>
          <w:rFonts w:ascii="ARIAL" w:hAnsi="ARIAL"/>
          <w:sz w:val="20"/>
        </w:rPr>
      </w:pPr>
      <w:r>
        <w:rPr>
          <w:rFonts w:ascii="ARIAL" w:hAnsi="ARIAL"/>
          <w:sz w:val="20"/>
        </w:rPr>
        <w:t xml:space="preserve">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 </w:t>
      </w:r>
    </w:p>
    <w:p>
      <w:pPr>
        <w:pStyle w:val="TextBody"/>
        <w:bidi w:val="0"/>
        <w:spacing w:before="240" w:after="0"/>
        <w:jc w:val="left"/>
        <w:rPr>
          <w:rFonts w:ascii="ARIAL" w:hAnsi="ARIAL"/>
          <w:sz w:val="20"/>
        </w:rPr>
      </w:pPr>
      <w:r>
        <w:rPr>
          <w:rFonts w:ascii="ARIAL" w:hAnsi="ARIAL"/>
          <w:sz w:val="20"/>
        </w:rPr>
        <w:t xml:space="preserve">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 </w:t>
      </w:r>
    </w:p>
    <w:p>
      <w:pPr>
        <w:pStyle w:val="TextBody"/>
        <w:bidi w:val="0"/>
        <w:spacing w:before="240" w:after="0"/>
        <w:jc w:val="left"/>
        <w:rPr>
          <w:rFonts w:ascii="ARIAL" w:hAnsi="ARIAL"/>
          <w:b/>
          <w:sz w:val="20"/>
        </w:rPr>
      </w:pPr>
      <w:r>
        <w:rPr>
          <w:rFonts w:ascii="ARIAL" w:hAnsi="ARIAL"/>
          <w:b/>
          <w:sz w:val="20"/>
        </w:rPr>
        <w:t xml:space="preserve">Termination </w:t>
      </w:r>
    </w:p>
    <w:p>
      <w:pPr>
        <w:pStyle w:val="TextBody"/>
        <w:bidi w:val="0"/>
        <w:spacing w:before="120" w:after="0"/>
        <w:jc w:val="left"/>
        <w:rPr>
          <w:rFonts w:ascii="ARIAL" w:hAnsi="ARIAL"/>
          <w:sz w:val="20"/>
        </w:rPr>
      </w:pPr>
      <w:r>
        <w:rPr>
          <w:rFonts w:ascii="ARIAL" w:hAnsi="ARIAL"/>
          <w:sz w:val="20"/>
        </w:rPr>
        <w:t xml:space="preserve">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 </w:t>
      </w:r>
    </w:p>
    <w:p>
      <w:pPr>
        <w:pStyle w:val="TextBody"/>
        <w:bidi w:val="0"/>
        <w:spacing w:before="240" w:after="0"/>
        <w:jc w:val="left"/>
        <w:rPr>
          <w:rFonts w:ascii="ARIAL" w:hAnsi="ARIAL"/>
          <w:sz w:val="20"/>
        </w:rPr>
      </w:pPr>
      <w:r>
        <w:rPr>
          <w:rFonts w:ascii="ARIAL" w:hAnsi="ARIAL"/>
          <w:sz w:val="20"/>
        </w:rPr>
        <w:t xml:space="preserve">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have no further obligations to holders other than to account for the funds then held for the holders of ADSs still outstanding (after deduction of applicable fees, taxes and expenses). </w:t>
      </w:r>
    </w:p>
    <w:p>
      <w:pPr>
        <w:pStyle w:val="TextBody"/>
        <w:bidi w:val="0"/>
        <w:spacing w:before="240" w:after="0"/>
        <w:jc w:val="left"/>
        <w:rPr>
          <w:rFonts w:ascii="ARIAL" w:hAnsi="ARIAL"/>
          <w:sz w:val="20"/>
        </w:rPr>
      </w:pPr>
      <w:r>
        <w:rPr>
          <w:rFonts w:ascii="ARIAL" w:hAnsi="ARIAL"/>
          <w:sz w:val="20"/>
        </w:rPr>
        <w:t xml:space="preserve">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 </w:t>
      </w:r>
    </w:p>
    <w:p>
      <w:pPr>
        <w:pStyle w:val="TextBody"/>
        <w:bidi w:val="0"/>
        <w:spacing w:before="240" w:after="0"/>
        <w:jc w:val="left"/>
        <w:rPr>
          <w:rFonts w:ascii="ARIAL" w:hAnsi="ARIAL"/>
          <w:b/>
          <w:sz w:val="20"/>
        </w:rPr>
      </w:pPr>
      <w:r>
        <w:rPr>
          <w:rFonts w:ascii="ARIAL" w:hAnsi="ARIAL"/>
          <w:b/>
          <w:sz w:val="20"/>
        </w:rPr>
        <w:t xml:space="preserve">Books of Depositary </w:t>
      </w:r>
    </w:p>
    <w:p>
      <w:pPr>
        <w:pStyle w:val="TextBody"/>
        <w:bidi w:val="0"/>
        <w:spacing w:before="120" w:after="0"/>
        <w:jc w:val="left"/>
        <w:rPr>
          <w:rFonts w:ascii="ARIAL" w:hAnsi="ARIAL"/>
          <w:sz w:val="20"/>
        </w:rPr>
      </w:pPr>
      <w:r>
        <w:rPr>
          <w:rFonts w:ascii="ARIAL" w:hAnsi="ARIAL"/>
          <w:sz w:val="20"/>
        </w:rPr>
        <w:t xml:space="preserve">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 </w:t>
      </w:r>
    </w:p>
    <w:p>
      <w:pPr>
        <w:pStyle w:val="TextBody"/>
        <w:bidi w:val="0"/>
        <w:spacing w:before="240" w:after="0"/>
        <w:jc w:val="left"/>
        <w:rPr>
          <w:rFonts w:ascii="ARIAL" w:hAnsi="ARIAL"/>
          <w:sz w:val="20"/>
        </w:rPr>
      </w:pPr>
      <w:r>
        <w:rPr>
          <w:rFonts w:ascii="ARIAL" w:hAnsi="ARIAL"/>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bidi w:val="0"/>
        <w:spacing w:before="240" w:after="0"/>
        <w:jc w:val="left"/>
        <w:rPr>
          <w:rFonts w:ascii="ARIAL" w:hAnsi="ARIAL"/>
          <w:b/>
          <w:sz w:val="20"/>
        </w:rPr>
      </w:pPr>
      <w:r>
        <w:rPr>
          <w:rFonts w:ascii="ARIAL" w:hAnsi="ARIAL"/>
          <w:b/>
          <w:sz w:val="20"/>
        </w:rPr>
        <w:t xml:space="preserve">Limitations on Obligations and Liabilities </w:t>
      </w:r>
    </w:p>
    <w:p>
      <w:pPr>
        <w:pStyle w:val="TextBody"/>
        <w:bidi w:val="0"/>
        <w:spacing w:before="120" w:after="0"/>
        <w:jc w:val="left"/>
        <w:rPr>
          <w:rFonts w:ascii="ARIAL" w:hAnsi="ARIAL"/>
          <w:sz w:val="20"/>
        </w:rPr>
      </w:pPr>
      <w:r>
        <w:rPr>
          <w:rFonts w:ascii="ARIAL" w:hAnsi="ARIAL"/>
          <w:sz w:val="20"/>
        </w:rPr>
        <w:t xml:space="preserve">The deposit agreement limits our obligations and the depositarys obligations to Holders. Please note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We and the depositary are obligated only to take the actions specifically stated in the deposit agreement without negligence or bad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We and the depositary will not be obligated to perform any act that is inconsistent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We and the depositary disclaim any liability by reason of any exercise of, or failure to exercise, any discretion provided for in the deposit agreement or in our Articles or in any provisions of or governing the securities on deposit.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We and the depositary also disclaim liability for the inability by a holder to benefit from any distribution, offering, right or other benefit that is made available to holders of ordinary shares but is not, under the terms of the deposit agreement, made available to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We and the depositary may rely without any liability upon any written notice, request or other document believed to be genuine and to have been signed or presented by the proper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We and the depositary also disclaim liability for any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No disclaimer of any Securities Act liability is intended by any provision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Nothing in the deposit agreement gives rise to a partnership or joint venture, or establishes a fiduciary relationship, among Mereo, the depositary and ADS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 </w:t>
            </w:r>
          </w:p>
        </w:tc>
      </w:tr>
    </w:tbl>
    <w:p>
      <w:pPr>
        <w:pStyle w:val="TextBody"/>
        <w:bidi w:val="0"/>
        <w:spacing w:before="240" w:after="0"/>
        <w:jc w:val="left"/>
        <w:rPr>
          <w:rFonts w:ascii="ARIAL" w:hAnsi="ARIAL"/>
          <w:b/>
          <w:sz w:val="20"/>
        </w:rPr>
      </w:pPr>
      <w:r>
        <w:rPr>
          <w:rFonts w:ascii="ARIAL" w:hAnsi="ARIAL"/>
          <w:b/>
          <w:sz w:val="20"/>
        </w:rPr>
        <w:t xml:space="preserve">Taxes </w:t>
      </w:r>
    </w:p>
    <w:p>
      <w:pPr>
        <w:pStyle w:val="TextBody"/>
        <w:bidi w:val="0"/>
        <w:spacing w:before="120" w:after="0"/>
        <w:jc w:val="left"/>
        <w:rPr>
          <w:rFonts w:ascii="ARIAL" w:hAnsi="ARIAL"/>
          <w:sz w:val="20"/>
        </w:rPr>
      </w:pPr>
      <w:r>
        <w:rPr>
          <w:rFonts w:ascii="ARIAL" w:hAnsi="ARIAL"/>
          <w:sz w:val="20"/>
        </w:rPr>
        <w:t xml:space="preserve">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 </w:t>
      </w:r>
    </w:p>
    <w:p>
      <w:pPr>
        <w:pStyle w:val="TextBody"/>
        <w:bidi w:val="0"/>
        <w:spacing w:before="240" w:after="0"/>
        <w:jc w:val="left"/>
        <w:rPr>
          <w:rFonts w:ascii="ARIAL" w:hAnsi="ARIAL"/>
          <w:sz w:val="20"/>
        </w:rPr>
      </w:pPr>
      <w:r>
        <w:rPr>
          <w:rFonts w:ascii="ARIAL" w:hAnsi="ARIAL"/>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 </w:t>
      </w:r>
    </w:p>
    <w:p>
      <w:pPr>
        <w:pStyle w:val="TextBody"/>
        <w:bidi w:val="0"/>
        <w:spacing w:before="240" w:after="0"/>
        <w:jc w:val="left"/>
        <w:rPr>
          <w:rFonts w:ascii="ARIAL" w:hAnsi="ARIAL"/>
          <w:b/>
          <w:sz w:val="20"/>
        </w:rPr>
      </w:pPr>
      <w:r>
        <w:rPr>
          <w:rFonts w:ascii="ARIAL" w:hAnsi="ARIAL"/>
          <w:b/>
          <w:sz w:val="20"/>
        </w:rPr>
        <w:t xml:space="preserve">Foreign Currency Conversion </w:t>
      </w:r>
    </w:p>
    <w:p>
      <w:pPr>
        <w:pStyle w:val="TextBody"/>
        <w:bidi w:val="0"/>
        <w:spacing w:before="120" w:after="0"/>
        <w:jc w:val="left"/>
        <w:rPr>
          <w:rFonts w:ascii="ARIAL" w:hAnsi="ARIAL"/>
          <w:sz w:val="20"/>
        </w:rPr>
      </w:pPr>
      <w:r>
        <w:rPr>
          <w:rFonts w:ascii="ARIAL" w:hAnsi="ARIAL"/>
          <w:sz w:val="20"/>
        </w:rPr>
        <w:t xml:space="preserve">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 </w:t>
      </w:r>
    </w:p>
    <w:p>
      <w:pPr>
        <w:pStyle w:val="TextBody"/>
        <w:bidi w:val="0"/>
        <w:spacing w:before="240" w:after="0"/>
        <w:jc w:val="left"/>
        <w:rPr>
          <w:rFonts w:ascii="ARIAL" w:hAnsi="ARIAL"/>
          <w:sz w:val="20"/>
        </w:rPr>
      </w:pPr>
      <w:r>
        <w:rPr>
          <w:rFonts w:ascii="ARIAL" w:hAnsi="ARIAL"/>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Convert the foreign currency to the extent practical and lawful and distribute the U.S. dollars to the holders for whom the conversion and distribution is lawful and practical.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Distribute the foreign currency to holders for whom the distribution is lawful and practical.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Hold the foreign currency (without liability for interest) for the applicable holders. </w:t>
            </w:r>
          </w:p>
        </w:tc>
      </w:tr>
    </w:tbl>
    <w:p>
      <w:pPr>
        <w:pStyle w:val="TextBody"/>
        <w:bidi w:val="0"/>
        <w:spacing w:before="240" w:after="0"/>
        <w:jc w:val="left"/>
        <w:rPr>
          <w:rFonts w:ascii="ARIAL" w:hAnsi="ARIAL"/>
          <w:b/>
          <w:sz w:val="20"/>
        </w:rPr>
      </w:pPr>
      <w:r>
        <w:rPr>
          <w:rFonts w:ascii="ARIAL" w:hAnsi="ARIAL"/>
          <w:b/>
          <w:sz w:val="20"/>
        </w:rPr>
        <w:t xml:space="preserve">Governing Law/Waiver of Jury Trial </w:t>
      </w:r>
    </w:p>
    <w:p>
      <w:pPr>
        <w:pStyle w:val="TextBody"/>
        <w:bidi w:val="0"/>
        <w:spacing w:before="120" w:after="0"/>
        <w:jc w:val="left"/>
        <w:rPr>
          <w:rFonts w:ascii="ARIAL" w:hAnsi="ARIAL"/>
          <w:sz w:val="20"/>
        </w:rPr>
      </w:pPr>
      <w:r>
        <w:rPr>
          <w:rFonts w:ascii="ARIAL" w:hAnsi="ARIAL"/>
          <w:sz w:val="20"/>
        </w:rPr>
        <w:t xml:space="preserve">The deposit agreement and the ADRs will be interpreted in accordance with the laws of the State of New York. The rights of holders of ordinary shares (including ordinary shares represented by ADSs) is governed by the laws of England and Wales. </w:t>
      </w:r>
    </w:p>
    <w:p>
      <w:pPr>
        <w:pStyle w:val="TextBody"/>
        <w:bidi w:val="0"/>
        <w:spacing w:before="240" w:after="0"/>
        <w:jc w:val="left"/>
        <w:rPr>
          <w:rFonts w:ascii="ARIAL" w:hAnsi="ARIAL"/>
          <w:sz w:val="20"/>
        </w:rPr>
      </w:pPr>
      <w:r>
        <w:rPr>
          <w:rFonts w:ascii="ARIAL" w:hAnsi="ARIAL"/>
          <w:sz w:val="20"/>
        </w:rPr>
        <w:t xml:space="preserve">As an owner of ADSs, you irrevocably agree that any legal action arising out of the Deposit Agreement, the ADSs or the ADRs, involving the Company or the Depositary, may only be instituted in a state or federal court in the city of New York. </w:t>
      </w:r>
    </w:p>
    <w:p>
      <w:pPr>
        <w:pStyle w:val="TextBody"/>
        <w:bidi w:val="0"/>
        <w:spacing w:before="240" w:after="0"/>
        <w:jc w:val="left"/>
        <w:rPr>
          <w:rFonts w:ascii="ARIAL" w:hAnsi="ARIAL"/>
          <w:sz w:val="20"/>
        </w:rPr>
      </w:pPr>
      <w:r>
        <w:rPr>
          <w:rFonts w:ascii="ARIAL" w:hAnsi="ARIAL"/>
          <w:sz w:val="20"/>
        </w:rPr>
        <w:t xml:space="preserve">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5" w:name="rom852004_8"/>
      <w:bookmarkEnd w:id="25"/>
      <w:r>
        <w:rPr>
          <w:rFonts w:ascii="ARIAL" w:hAnsi="ARIAL"/>
          <w:b/>
          <w:sz w:val="20"/>
        </w:rPr>
        <w:t xml:space="preserve">PLAN OF DISTRIBUTION </w:t>
      </w:r>
    </w:p>
    <w:p>
      <w:pPr>
        <w:pStyle w:val="TextBody"/>
        <w:bidi w:val="0"/>
        <w:spacing w:before="240" w:after="0"/>
        <w:jc w:val="left"/>
        <w:rPr>
          <w:rFonts w:ascii="ARIAL" w:hAnsi="ARIAL"/>
          <w:b/>
          <w:sz w:val="20"/>
        </w:rPr>
      </w:pPr>
      <w:r>
        <w:rPr>
          <w:rFonts w:ascii="ARIAL" w:hAnsi="ARIAL"/>
          <w:b/>
          <w:sz w:val="20"/>
        </w:rPr>
        <w:t xml:space="preserve">General </w:t>
      </w:r>
    </w:p>
    <w:p>
      <w:pPr>
        <w:pStyle w:val="TextBody"/>
        <w:bidi w:val="0"/>
        <w:spacing w:before="120" w:after="0"/>
        <w:jc w:val="left"/>
        <w:rPr>
          <w:rFonts w:ascii="ARIAL" w:hAnsi="ARIAL"/>
          <w:sz w:val="20"/>
        </w:rPr>
      </w:pPr>
      <w:r>
        <w:rPr>
          <w:rFonts w:ascii="ARIAL" w:hAnsi="ARIAL"/>
          <w:sz w:val="20"/>
        </w:rPr>
        <w:t xml:space="preserve">We may sell the ADSs in one or more of the following ways (or in any combination)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in at the market offerings, within the meaning of Rule 415(a)(4) of the Securities Act, into an existing trading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through any other method permitted by applicable law and described in the applicable prospectus supplement. </w:t>
            </w:r>
          </w:p>
        </w:tc>
      </w:tr>
    </w:tbl>
    <w:p>
      <w:pPr>
        <w:pStyle w:val="TextBody"/>
        <w:bidi w:val="0"/>
        <w:spacing w:before="240" w:after="0"/>
        <w:jc w:val="left"/>
        <w:rPr>
          <w:rFonts w:ascii="ARIAL" w:hAnsi="ARIAL"/>
          <w:sz w:val="20"/>
        </w:rPr>
      </w:pPr>
      <w:r>
        <w:rPr>
          <w:rFonts w:ascii="ARIAL" w:hAnsi="ARIAL"/>
          <w:sz w:val="20"/>
        </w:rPr>
        <w:t xml:space="preserve">The prospectus supplement will state the terms of the offering of the ADSs,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purchase price of such securities and the proceeds to be received by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any underwriting discounts or agency fees and other items constituting underwriters or agents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any securities exchanges on which the securities may be listed. </w:t>
            </w:r>
          </w:p>
        </w:tc>
      </w:tr>
    </w:tbl>
    <w:p>
      <w:pPr>
        <w:pStyle w:val="TextBody"/>
        <w:bidi w:val="0"/>
        <w:spacing w:before="240" w:after="0"/>
        <w:jc w:val="left"/>
        <w:rPr>
          <w:rFonts w:ascii="ARIAL" w:hAnsi="ARIAL"/>
          <w:sz w:val="20"/>
        </w:rPr>
      </w:pPr>
      <w:r>
        <w:rPr>
          <w:rFonts w:ascii="ARIAL" w:hAnsi="ARIAL"/>
          <w:sz w:val="20"/>
        </w:rPr>
        <w:t xml:space="preserve">Any initial public offering price and any discounts or concessions allowed or reallowed or paid to dealers may be changed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at a fixed public offering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at prices related to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at negotiated prices. </w:t>
            </w:r>
          </w:p>
        </w:tc>
      </w:tr>
    </w:tbl>
    <w:p>
      <w:pPr>
        <w:pStyle w:val="TextBody"/>
        <w:bidi w:val="0"/>
        <w:spacing w:before="240" w:after="0"/>
        <w:jc w:val="left"/>
        <w:rPr>
          <w:rFonts w:ascii="ARIAL" w:hAnsi="ARIAL"/>
          <w:sz w:val="20"/>
        </w:rPr>
      </w:pPr>
      <w:r>
        <w:rPr>
          <w:rFonts w:ascii="ARIAL" w:hAnsi="ARIAL"/>
          <w:sz w:val="20"/>
        </w:rPr>
        <w:t xml:space="preserve">Unless otherwise stated in a prospectus supplement, the obligations of the underwriters to purchase any ADSs will be conditioned on customary closing conditions and the underwriters will be obligated to purchase all of such ADSs, if any are purchased. </w:t>
      </w:r>
    </w:p>
    <w:p>
      <w:pPr>
        <w:pStyle w:val="TextBody"/>
        <w:bidi w:val="0"/>
        <w:spacing w:before="240" w:after="0"/>
        <w:jc w:val="left"/>
        <w:rPr>
          <w:rFonts w:ascii="ARIAL" w:hAnsi="ARIAL"/>
          <w:sz w:val="20"/>
        </w:rPr>
      </w:pPr>
      <w:r>
        <w:rPr>
          <w:rFonts w:ascii="ARIAL" w:hAnsi="ARIAL"/>
          <w:sz w:val="20"/>
        </w:rPr>
        <w:t xml:space="preserve">The ADSs may be sold through agents from time to time. The prospectus supplement will name any agent involved in the offer or sale of the ADSs and any commissions paid to them. Generally, any agent will be acting on a best efforts basis for the period of its appointment. </w:t>
      </w:r>
    </w:p>
    <w:p>
      <w:pPr>
        <w:pStyle w:val="TextBody"/>
        <w:bidi w:val="0"/>
        <w:spacing w:before="240" w:after="0"/>
        <w:jc w:val="left"/>
        <w:rPr>
          <w:rFonts w:ascii="ARIAL" w:hAnsi="ARIAL"/>
          <w:sz w:val="20"/>
        </w:rPr>
      </w:pPr>
      <w:r>
        <w:rPr>
          <w:rFonts w:ascii="ARIAL" w:hAnsi="ARIAL"/>
          <w:sz w:val="20"/>
        </w:rPr>
        <w:t xml:space="preserve">Sales to or through one or more underwriters or agents in at-the-market offerings will be made pursuant to the terms of a sales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 </w:t>
      </w:r>
    </w:p>
    <w:p>
      <w:pPr>
        <w:pStyle w:val="TextBody"/>
        <w:bidi w:val="0"/>
        <w:spacing w:before="240" w:after="0"/>
        <w:jc w:val="left"/>
        <w:rPr>
          <w:rFonts w:ascii="ARIAL" w:hAnsi="ARIAL"/>
          <w:sz w:val="20"/>
        </w:rPr>
      </w:pPr>
      <w:r>
        <w:rPr>
          <w:rFonts w:ascii="ARIAL" w:hAnsi="ARIAL"/>
          <w:sz w:val="20"/>
        </w:rPr>
        <w:t xml:space="preserve">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 </w:t>
      </w:r>
    </w:p>
    <w:p>
      <w:pPr>
        <w:pStyle w:val="TextBody"/>
        <w:bidi w:val="0"/>
        <w:spacing w:before="240" w:after="0"/>
        <w:jc w:val="left"/>
        <w:rPr>
          <w:rFonts w:ascii="ARIAL" w:hAnsi="ARIAL"/>
          <w:sz w:val="20"/>
        </w:rPr>
      </w:pPr>
      <w:r>
        <w:rPr>
          <w:rFonts w:ascii="ARIAL" w:hAnsi="ARIAL"/>
          <w:sz w:val="20"/>
        </w:rPr>
        <w:t xml:space="preserve">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w:t>
      </w:r>
    </w:p>
    <w:p>
      <w:pPr>
        <w:pStyle w:val="TextBody"/>
        <w:bidi w:val="0"/>
        <w:spacing w:before="240" w:after="0"/>
        <w:jc w:val="left"/>
        <w:rPr>
          <w:rFonts w:ascii="ARIAL" w:hAnsi="ARIAL"/>
          <w:sz w:val="20"/>
        </w:rPr>
      </w:pPr>
      <w:r>
        <w:rPr>
          <w:rFonts w:ascii="ARIAL" w:hAnsi="ARIAL"/>
          <w:sz w:val="20"/>
        </w:rPr>
        <w:t xml:space="preserve">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bidi w:val="0"/>
        <w:spacing w:before="240" w:after="0"/>
        <w:jc w:val="left"/>
        <w:rPr>
          <w:rFonts w:ascii="ARIAL" w:hAnsi="ARIAL"/>
          <w:sz w:val="20"/>
        </w:rPr>
      </w:pPr>
      <w:r>
        <w:rPr>
          <w:rFonts w:ascii="ARIAL" w:hAnsi="ARIAL"/>
          <w:sz w:val="20"/>
        </w:rPr>
        <w:t xml:space="preserve">Underwriters and agents may be customers of, engage in transactions with, or perform services for us and our affiliates in the ordinary course of business. </w:t>
      </w:r>
    </w:p>
    <w:p>
      <w:pPr>
        <w:pStyle w:val="TextBody"/>
        <w:bidi w:val="0"/>
        <w:spacing w:before="240" w:after="0"/>
        <w:jc w:val="left"/>
        <w:rPr>
          <w:rFonts w:ascii="ARIAL" w:hAnsi="ARIAL"/>
          <w:sz w:val="20"/>
        </w:rPr>
      </w:pPr>
      <w:r>
        <w:rPr>
          <w:rFonts w:ascii="ARIAL" w:hAnsi="ARIAL"/>
          <w:sz w:val="20"/>
        </w:rPr>
        <w:t xml:space="preserve">Any underwriters to whom ADSs are sold for public offering and sale may make a market in the securities, but such underwriters will not be obligated to do so and may discontinue any market making at any time without notice.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6" w:name="rom852004_9"/>
      <w:bookmarkEnd w:id="26"/>
      <w:r>
        <w:rPr>
          <w:rFonts w:ascii="ARIAL" w:hAnsi="ARIAL"/>
          <w:b/>
          <w:sz w:val="20"/>
        </w:rPr>
        <w:t xml:space="preserve">LEGAL MATTERS </w:t>
      </w:r>
    </w:p>
    <w:p>
      <w:pPr>
        <w:pStyle w:val="TextBody"/>
        <w:bidi w:val="0"/>
        <w:spacing w:before="360" w:after="0"/>
        <w:jc w:val="left"/>
        <w:rPr>
          <w:rFonts w:ascii="ARIAL" w:hAnsi="ARIAL"/>
          <w:sz w:val="20"/>
        </w:rPr>
      </w:pPr>
      <w:r>
        <w:rPr>
          <w:rFonts w:ascii="ARIAL" w:hAnsi="ARIAL"/>
          <w:sz w:val="20"/>
        </w:rPr>
        <w:t xml:space="preserve">Mayer Brown LLP will pass upon certain legal matters relating to the issuance and sale of the securities offered hereby on behalf of the Mereo BioPharma Group plc. The validity of the ordinary shares underlying the ADSs to be offered pursuant to this prospectus will be passed upon for us by Latham &amp; Watkins (London) LLP. Any underwriters, dealers or agents will be advised by their own legal counsel that we will name in the applicable prospectus supplement. </w:t>
      </w:r>
    </w:p>
    <w:p>
      <w:pPr>
        <w:pStyle w:val="TextBody"/>
        <w:bidi w:val="0"/>
        <w:spacing w:before="360" w:after="0"/>
        <w:jc w:val="center"/>
        <w:rPr>
          <w:rFonts w:ascii="ARIAL" w:hAnsi="ARIAL"/>
          <w:b/>
          <w:sz w:val="20"/>
        </w:rPr>
      </w:pPr>
      <w:bookmarkStart w:id="27" w:name="rom852004_10"/>
      <w:bookmarkEnd w:id="27"/>
      <w:r>
        <w:rPr>
          <w:rFonts w:ascii="ARIAL" w:hAnsi="ARIAL"/>
          <w:b/>
          <w:sz w:val="20"/>
        </w:rPr>
        <w:t xml:space="preserve">EXPERTS </w:t>
      </w:r>
    </w:p>
    <w:p>
      <w:pPr>
        <w:pStyle w:val="TextBody"/>
        <w:bidi w:val="0"/>
        <w:spacing w:before="360" w:after="0"/>
        <w:jc w:val="left"/>
        <w:rPr>
          <w:rFonts w:ascii="ARIAL" w:hAnsi="ARIAL"/>
          <w:sz w:val="20"/>
        </w:rPr>
      </w:pPr>
      <w:r>
        <w:rPr>
          <w:rFonts w:ascii="ARIAL" w:hAnsi="ARIAL"/>
          <w:sz w:val="20"/>
        </w:rPr>
        <w:t xml:space="preserve">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ARIAL" w:hAnsi="ARIAL"/>
          <w:sz w:val="20"/>
        </w:rPr>
      </w:pPr>
      <w:r>
        <w:rPr>
          <w:rFonts w:ascii="ARIAL" w:hAnsi="ARIAL"/>
          <w:sz w:val="20"/>
        </w:rPr>
        <w:t xml:space="preserve">The registered business address of PricewaterhouseCoopers LLP is 1 Embankment Place, London, WC2N 6RH, United Kingdom.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ARIAL" w:hAnsi="ARIAL"/>
          <w:b/>
          <w:sz w:val="28"/>
        </w:rPr>
      </w:pPr>
      <w:r>
        <w:rPr>
          <w:rFonts w:ascii="ARIAL" w:hAnsi="ARIAL"/>
          <w:b/>
          <w:sz w:val="28"/>
        </w:rPr>
        <w:t xml:space="preserve">12,531,300 American Depositary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63725" cy="5518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863725" cy="551815"/>
                    </a:xfrm>
                    <a:prstGeom prst="rect">
                      <a:avLst/>
                    </a:prstGeom>
                  </pic:spPr>
                </pic:pic>
              </a:graphicData>
            </a:graphic>
          </wp:inline>
        </w:drawing>
      </w:r>
      <w:r>
        <w:rPr/>
        <w:t xml:space="preserve"> </w:t>
      </w:r>
    </w:p>
    <w:p>
      <w:pPr>
        <w:pStyle w:val="TextBody"/>
        <w:bidi w:val="0"/>
        <w:spacing w:before="1200" w:after="0"/>
        <w:jc w:val="center"/>
        <w:rPr>
          <w:rFonts w:ascii="ARIAL" w:hAnsi="ARIAL"/>
          <w:b/>
          <w:sz w:val="28"/>
        </w:rPr>
      </w:pPr>
      <w:r>
        <w:rPr>
          <w:rFonts w:ascii="ARIAL" w:hAnsi="ARIAL"/>
          <w:b/>
          <w:sz w:val="28"/>
        </w:rPr>
        <w:t xml:space="preserve">Representing 62,656,500 Ordinary Shares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ARIAL" w:hAnsi="ARIAL"/>
          <w:b/>
          <w:sz w:val="24"/>
        </w:rPr>
      </w:pPr>
      <w:r>
        <w:rPr>
          <w:rFonts w:ascii="ARIAL" w:hAnsi="ARIAL"/>
          <w:b/>
          <w:sz w:val="24"/>
        </w:rPr>
        <w:t xml:space="preserve">PROSPECTUS SUPPLEMENT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0" w:after="0"/>
        <w:jc w:val="center"/>
        <w:rPr>
          <w:rFonts w:ascii="ARIAL" w:hAnsi="ARIAL"/>
          <w:i/>
          <w:sz w:val="20"/>
        </w:rPr>
      </w:pPr>
      <w:r>
        <w:rPr>
          <w:rFonts w:ascii="ARIAL" w:hAnsi="ARIAL"/>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2"/>
        <w:gridCol w:w="2269"/>
        <w:gridCol w:w="2989"/>
        <w:gridCol w:w="2268"/>
        <w:gridCol w:w="1237"/>
      </w:tblGrid>
      <w:tr>
        <w:trPr/>
        <w:tc>
          <w:tcPr>
            <w:tcW w:w="1442" w:type="dxa"/>
            <w:tcBorders/>
            <w:vAlign w:val="center"/>
          </w:tcPr>
          <w:p>
            <w:pPr>
              <w:pStyle w:val="TableContents"/>
              <w:bidi w:val="0"/>
              <w:spacing w:before="0" w:after="283"/>
              <w:jc w:val="left"/>
              <w:rPr>
                <w:sz w:val="4"/>
                <w:szCs w:val="4"/>
              </w:rPr>
            </w:pPr>
            <w:r>
              <w:rPr>
                <w:sz w:val="4"/>
                <w:szCs w:val="4"/>
              </w:rPr>
            </w:r>
          </w:p>
        </w:tc>
        <w:tc>
          <w:tcPr>
            <w:tcW w:w="2269" w:type="dxa"/>
            <w:tcBorders/>
            <w:vAlign w:val="bottom"/>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268"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283"/>
              <w:jc w:val="center"/>
              <w:rPr>
                <w:b/>
              </w:rPr>
            </w:pPr>
            <w:r>
              <w:rPr>
                <w:b/>
              </w:rPr>
              <w:t>Jefferies</w:t>
            </w:r>
          </w:p>
        </w:tc>
        <w:tc>
          <w:tcPr>
            <w:tcW w:w="2269" w:type="dxa"/>
            <w:tcBorders/>
            <w:vAlign w:val="bottom"/>
          </w:tcPr>
          <w:p>
            <w:pPr>
              <w:pStyle w:val="TableContents"/>
              <w:bidi w:val="0"/>
              <w:spacing w:before="0" w:after="283"/>
              <w:jc w:val="left"/>
              <w:rPr/>
            </w:pPr>
            <w:r>
              <w:rPr/>
              <w:t> </w:t>
            </w:r>
          </w:p>
        </w:tc>
        <w:tc>
          <w:tcPr>
            <w:tcW w:w="2989" w:type="dxa"/>
            <w:tcBorders/>
            <w:vAlign w:val="bottom"/>
          </w:tcPr>
          <w:p>
            <w:pPr>
              <w:pStyle w:val="TableContents"/>
              <w:bidi w:val="0"/>
              <w:spacing w:before="0" w:after="283"/>
              <w:jc w:val="center"/>
              <w:rPr>
                <w:b/>
              </w:rPr>
            </w:pPr>
            <w:r>
              <w:rPr>
                <w:b/>
              </w:rPr>
              <w:t>Leerink Partners</w:t>
            </w:r>
          </w:p>
        </w:tc>
        <w:tc>
          <w:tcPr>
            <w:tcW w:w="226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center"/>
              <w:rPr>
                <w:b/>
              </w:rPr>
            </w:pPr>
            <w:r>
              <w:rPr>
                <w:b/>
              </w:rPr>
              <w:t>Cantor</w:t>
            </w:r>
          </w:p>
        </w:tc>
      </w:tr>
    </w:tbl>
    <w:p>
      <w:pPr>
        <w:pStyle w:val="TextBody"/>
        <w:bidi w:val="0"/>
        <w:spacing w:before="960" w:after="0"/>
        <w:jc w:val="center"/>
        <w:rPr>
          <w:rFonts w:ascii="ARIAL" w:hAnsi="ARIAL"/>
          <w:sz w:val="20"/>
        </w:rPr>
      </w:pPr>
      <w:r>
        <w:rPr>
          <w:rFonts w:ascii="ARIAL" w:hAnsi="ARIAL"/>
          <w:sz w:val="20"/>
        </w:rPr>
        <w:t xml:space="preserve">June 14, 2024 </w:t>
      </w:r>
    </w:p>
    <w:p>
      <w:pPr>
        <w:pStyle w:val="TextBody"/>
        <w:bidi w:val="0"/>
        <w:spacing w:before="0" w:after="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19714/000095017024037348/mreo-20231231.htm" TargetMode="External"/><Relationship Id="rId4" Type="http://schemas.openxmlformats.org/officeDocument/2006/relationships/hyperlink" Target="http://www.sec.gov/Archives/edgar/data/../../../ix?doc=/Archives/edgar/data/1719714/000095017024060497/mreo-20240331.htm" TargetMode="External"/><Relationship Id="rId5" Type="http://schemas.openxmlformats.org/officeDocument/2006/relationships/hyperlink" Target="http://www.sec.gov/Archives/edgar/data/../../../ix?doc=/Archives/edgar/data/1719714/000119312524095508/d818381d8k.htm" TargetMode="External"/><Relationship Id="rId6" Type="http://schemas.openxmlformats.org/officeDocument/2006/relationships/hyperlink" Target="http://www.sec.gov/Archives/edgar/data/../../../ix?doc=/Archives/edgar/data/1719714/000119312524145983/d840193d8k.htm" TargetMode="External"/><Relationship Id="rId7" Type="http://schemas.openxmlformats.org/officeDocument/2006/relationships/hyperlink" Target="http://www.sec.gov/Archives/edgar/data/../../../ix?doc=/Archives/edgar/data/1719714/000119312524159393/d849907d8k.htm" TargetMode="External"/><Relationship Id="rId8" Type="http://schemas.openxmlformats.org/officeDocument/2006/relationships/hyperlink" Target="http://www.sec.gov/Archives/edgar/data/1719714/000119312523297640/d671792d8a12ba.htm" TargetMode="External"/><Relationship Id="rId9" Type="http://schemas.openxmlformats.org/officeDocument/2006/relationships/hyperlink" Target="http://www.sec.gov/Archives/edgar/data/1719714/000095017024037348/mreo-ex4_2.htm" TargetMode="External"/><Relationship Id="rId10" Type="http://schemas.openxmlformats.org/officeDocument/2006/relationships/image" Target="media/image1.jpeg"/><Relationship Id="rId11" Type="http://schemas.openxmlformats.org/officeDocument/2006/relationships/hyperlink" Target="http://www.sec.gov/Archives/edgar/data/../../../ix?doc=/Archives/edgar/data/0001719714/000095017024037348/mreo-20231231.htm" TargetMode="External"/><Relationship Id="rId12" Type="http://schemas.openxmlformats.org/officeDocument/2006/relationships/hyperlink" Target="http://www.sec.gov/Archives/edgar/data/../../../ix?doc=/Archives/edgar/data/1719714/000095017024060497/mreo-20240331.htm" TargetMode="External"/><Relationship Id="rId13" Type="http://schemas.openxmlformats.org/officeDocument/2006/relationships/hyperlink" Target="http://www.sec.gov/Archives/edgar/data/../../../ix?doc=/Archives/edgar/data/0001719714/000119312524095508/d818381d8k.htm" TargetMode="External"/><Relationship Id="rId14" Type="http://schemas.openxmlformats.org/officeDocument/2006/relationships/hyperlink" Target="http://www.sec.gov/Archives/edgar/data/1719714/000119312523297640/d671792d8a12ba.htm" TargetMode="External"/><Relationship Id="rId15" Type="http://schemas.openxmlformats.org/officeDocument/2006/relationships/hyperlink" Target="http://www.sec.gov/Archives/edgar/data/1719714/000095017024037348/mreo-ex4_2.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39140</Words>
  <Characters>196291</Characters>
  <CharactersWithSpaces>235374</CharactersWithSpaces>
  <Paragraphs>2257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