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February 17, 2026</w:t>
      </w:r>
    </w:p>
    <w:p>
      <w:pPr>
        <w:spacing w:after="0" w:line="1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MEREO BIOPHARMA GROUP PLC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9720"/>
          </w:cols>
          <w:pgMar w:left="1080" w:top="1321" w:right="1099" w:bottom="1440" w:gutter="0" w:footer="0" w:header="0"/>
        </w:sectPr>
      </w:pPr>
    </w:p>
    <w:p>
      <w:pPr>
        <w:spacing w:after="0" w:line="14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England and Wales</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001-38452</w:t>
      </w:r>
    </w:p>
    <w:p>
      <w:pPr>
        <w:spacing w:after="0" w:line="3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 w:lineRule="exact"/>
        <w:rPr>
          <w:sz w:val="24"/>
          <w:szCs w:val="24"/>
          <w:color w:val="auto"/>
        </w:rPr>
      </w:pPr>
    </w:p>
    <w:p>
      <w:pPr>
        <w:sectPr>
          <w:pgSz w:w="11900" w:h="16838" w:orient="portrait"/>
          <w:cols w:equalWidth="0" w:num="3">
            <w:col w:w="3160" w:space="720"/>
            <w:col w:w="2340" w:space="720"/>
            <w:col w:w="2780"/>
          </w:cols>
          <w:pgMar w:left="1080" w:top="1321" w:right="1099" w:bottom="1440" w:gutter="0" w:footer="0" w:header="0"/>
          <w:type w:val="continuous"/>
        </w:sectPr>
      </w:pPr>
    </w:p>
    <w:p>
      <w:pPr>
        <w:ind w:left="1040"/>
        <w:spacing w:after="0"/>
        <w:rPr>
          <w:sz w:val="20"/>
          <w:szCs w:val="20"/>
          <w:color w:val="auto"/>
        </w:rPr>
      </w:pPr>
      <w:r>
        <w:rPr>
          <w:rFonts w:ascii="Times New Roman" w:cs="Times New Roman" w:eastAsia="Times New Roman" w:hAnsi="Times New Roman"/>
          <w:sz w:val="18"/>
          <w:szCs w:val="18"/>
          <w:color w:val="auto"/>
        </w:rPr>
        <w:t>incorporation)</w:t>
      </w:r>
    </w:p>
    <w:p>
      <w:pPr>
        <w:sectPr>
          <w:pgSz w:w="11900" w:h="16838" w:orient="portrait"/>
          <w:cols w:equalWidth="0" w:num="1">
            <w:col w:w="9720"/>
          </w:cols>
          <w:pgMar w:left="1080" w:top="1321" w:right="1099" w:bottom="1440" w:gutter="0" w:footer="0" w:header="0"/>
          <w:type w:val="continuous"/>
        </w:sectPr>
      </w:pP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4th Floor, One Cavendish Place,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London, W1G 0QF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15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+44-333-023-7300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39" w:lineRule="exact"/>
        <w:rPr>
          <w:sz w:val="24"/>
          <w:szCs w:val="24"/>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680" w:hanging="210"/>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680" w:hanging="210"/>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680" w:hanging="210"/>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680" w:hanging="210"/>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bl>
      <w:tblPr>
        <w:tblLayout w:type="fixed"/>
        <w:tblInd w:w="0" w:type="dxa"/>
        <w:tblCellMar>
          <w:top w:w="0" w:type="dxa"/>
          <w:left w:w="0" w:type="dxa"/>
          <w:bottom w:w="0" w:type="dxa"/>
          <w:right w:w="0" w:type="dxa"/>
        </w:tblCellMar>
      </w:tblPr>
      <w:tr>
        <w:trPr>
          <w:trHeight w:val="151"/>
        </w:trPr>
        <w:tc>
          <w:tcPr>
            <w:tcW w:w="3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3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100" w:type="dxa"/>
            <w:vAlign w:val="bottom"/>
          </w:tcPr>
          <w:p>
            <w:pPr>
              <w:spacing w:after="0"/>
              <w:rPr>
                <w:sz w:val="13"/>
                <w:szCs w:val="13"/>
                <w:color w:val="auto"/>
              </w:rPr>
            </w:pPr>
          </w:p>
        </w:tc>
        <w:tc>
          <w:tcPr>
            <w:tcW w:w="280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Name of each exchange on which</w:t>
            </w:r>
          </w:p>
        </w:tc>
        <w:tc>
          <w:tcPr>
            <w:tcW w:w="0" w:type="dxa"/>
            <w:vAlign w:val="bottom"/>
          </w:tcPr>
          <w:p>
            <w:pPr>
              <w:spacing w:after="0"/>
              <w:rPr>
                <w:sz w:val="1"/>
                <w:szCs w:val="1"/>
                <w:color w:val="auto"/>
              </w:rPr>
            </w:pPr>
          </w:p>
        </w:tc>
      </w:tr>
      <w:tr>
        <w:trPr>
          <w:trHeight w:val="173"/>
        </w:trPr>
        <w:tc>
          <w:tcPr>
            <w:tcW w:w="37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30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0" w:type="dxa"/>
            <w:vAlign w:val="bottom"/>
          </w:tcPr>
          <w:p>
            <w:pPr>
              <w:spacing w:after="0"/>
              <w:rPr>
                <w:sz w:val="1"/>
                <w:szCs w:val="1"/>
                <w:color w:val="auto"/>
              </w:rPr>
            </w:pPr>
          </w:p>
        </w:tc>
      </w:tr>
      <w:tr>
        <w:trPr>
          <w:trHeight w:val="191"/>
        </w:trPr>
        <w:tc>
          <w:tcPr>
            <w:tcW w:w="370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American Depositary Shares, each representing</w:t>
            </w:r>
          </w:p>
        </w:tc>
        <w:tc>
          <w:tcPr>
            <w:tcW w:w="120" w:type="dxa"/>
            <w:vAlign w:val="bottom"/>
          </w:tcPr>
          <w:p>
            <w:pPr>
              <w:spacing w:after="0"/>
              <w:rPr>
                <w:sz w:val="16"/>
                <w:szCs w:val="16"/>
                <w:color w:val="auto"/>
              </w:rPr>
            </w:pPr>
          </w:p>
        </w:tc>
        <w:tc>
          <w:tcPr>
            <w:tcW w:w="30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MREO</w:t>
            </w:r>
          </w:p>
        </w:tc>
        <w:tc>
          <w:tcPr>
            <w:tcW w:w="100" w:type="dxa"/>
            <w:vAlign w:val="bottom"/>
          </w:tcPr>
          <w:p>
            <w:pPr>
              <w:spacing w:after="0"/>
              <w:rPr>
                <w:sz w:val="16"/>
                <w:szCs w:val="16"/>
                <w:color w:val="auto"/>
              </w:rPr>
            </w:pPr>
          </w:p>
        </w:tc>
        <w:tc>
          <w:tcPr>
            <w:tcW w:w="28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The Nasdaq Stock Market LLC</w:t>
            </w:r>
          </w:p>
        </w:tc>
        <w:tc>
          <w:tcPr>
            <w:tcW w:w="0" w:type="dxa"/>
            <w:vAlign w:val="bottom"/>
          </w:tcPr>
          <w:p>
            <w:pPr>
              <w:spacing w:after="0"/>
              <w:rPr>
                <w:sz w:val="1"/>
                <w:szCs w:val="1"/>
                <w:color w:val="auto"/>
              </w:rPr>
            </w:pPr>
          </w:p>
        </w:tc>
      </w:tr>
      <w:tr>
        <w:trPr>
          <w:trHeight w:val="216"/>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five Ordinary Shares, par value £0.003 per share</w:t>
            </w:r>
          </w:p>
        </w:tc>
        <w:tc>
          <w:tcPr>
            <w:tcW w:w="1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Ordinary Shares, nominal value £0.003 per share*</w:t>
            </w:r>
          </w:p>
        </w:tc>
        <w:tc>
          <w:tcPr>
            <w:tcW w:w="31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0" w:type="dxa"/>
            <w:vAlign w:val="bottom"/>
          </w:tcPr>
          <w:p>
            <w:pPr>
              <w:spacing w:after="0"/>
              <w:rPr>
                <w:sz w:val="1"/>
                <w:szCs w:val="1"/>
                <w:color w:val="auto"/>
              </w:rPr>
            </w:pPr>
          </w:p>
        </w:tc>
      </w:tr>
    </w:tbl>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*Not for trading, but only in connection with the listing of the American Depositary Shares on The Nasdaq Stock Market LLC.</w:t>
      </w:r>
    </w:p>
    <w:p>
      <w:pPr>
        <w:spacing w:after="0" w:line="225" w:lineRule="exact"/>
        <w:rPr>
          <w:sz w:val="24"/>
          <w:szCs w:val="24"/>
          <w:color w:val="auto"/>
        </w:rPr>
      </w:pPr>
    </w:p>
    <w:p>
      <w:pPr>
        <w:jc w:val="both"/>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71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right="4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-429895</wp:posOffset>
            </wp:positionH>
            <wp:positionV relativeFrom="paragraph">
              <wp:posOffset>1067435</wp:posOffset>
            </wp:positionV>
            <wp:extent cx="703770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171450</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213995</wp:posOffset>
            </wp:positionV>
            <wp:extent cx="617220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2200" cy="34290"/>
                    </a:xfrm>
                    <a:prstGeom prst="rect">
                      <a:avLst/>
                    </a:prstGeom>
                    <a:noFill/>
                  </pic:spPr>
                </pic:pic>
              </a:graphicData>
            </a:graphic>
          </wp:anchor>
        </w:drawing>
      </w:r>
    </w:p>
    <w:p>
      <w:pPr>
        <w:sectPr>
          <w:pgSz w:w="11900" w:h="16838" w:orient="portrait"/>
          <w:cols w:equalWidth="0" w:num="1">
            <w:col w:w="9720"/>
          </w:cols>
          <w:pgMar w:left="1080" w:top="1321" w:right="1099" w:bottom="1440" w:gutter="0" w:footer="0" w:header="0"/>
          <w:type w:val="continuous"/>
        </w:sectPr>
      </w:pPr>
    </w:p>
    <w:bookmarkStart w:id="1" w:name="page2"/>
    <w:bookmarkEnd w:id="1"/>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3.01 - Notice of Delisting or Failure to Satisfy a Continued Listing Rule or Standard; Transfer of Listing</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On February 17, 2026, Mereo BioPharma Group plc (the “Company”) received a letter (the “Notification Letter”) from the Listings Qualifications Department of The Nasdaq Stock Market LLC (“Nasdaq”) notifying the Company that its American Depositary Shares (“ADSs”) failed to maintain a minimum bid price of $1.00 over the previous 30 consecutive business days as required for continued listing on The Nasdaq Capital Market under Nasdaq Listing Rule 5550(a)(2) (the “Bid Price Requirement”). The Notification Letter does not result in the immediate delisting of the Company’s ADSs, and the ADSs will continue to trade uninterrupted under the symbol “MREO.”</w:t>
      </w:r>
    </w:p>
    <w:p>
      <w:pPr>
        <w:spacing w:after="0" w:line="18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Pursuant to Nasdaq Listing Rule 5810(c)(3)(A), the Company has a compliance period of 180 calendar days, or until August 17, 2026 (the “Compliance Period”), to regain compliance with the Bid Price Requirement. If at any time during the Compliance Period, the closing bid price per ADS of the Company’s ADSs is at least $1.00 for a minimum of 10 consecutive business days (unless the Nasdaq staff exercises its discretion to extend this ten business day period pursuant to Nasdaq Listing Rule 5810(c)(3)(H)), Nasdaq will provide the Company a written confirmation of compliance and the matter will be closed.</w:t>
      </w:r>
    </w:p>
    <w:p>
      <w:pPr>
        <w:spacing w:after="0" w:line="18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the event the Company does not regain compliance by August 17, 2026, the Company may be eligible for an additional 180 calendar day grace period. To qualify, the Company would be required to meet the applicable market value of publicly held shares requirement for continued listing and all other applicable standards for initial listing on the Nasdaq Capital Market, with the exception of the Bid Price Requirement, and would need to provide written notice of its intention to cure the deficiency during the second compliance period. If the Company does not regain compliance during the Compliance Period and is not eligible for an additional grace period, Nasdaq would provide written notice that the ADSs are subject to delisting from the Nasdaq Capital Market. In that event, the Company may appeal such determination to a hearing panel. However, there can be no assurance that, if the Company does appeal the delisting determination by Nasdaq to the panel, such appeal would be successful.</w:t>
      </w:r>
    </w:p>
    <w:p>
      <w:pPr>
        <w:spacing w:after="0" w:line="19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intends to monitor the closing bid price of its ADSs and its business operations are not affected by the receipt of the Notification Letter. However, there can be no assurance that the Company will be able to regain compliance for continued listing on Nasdaq or will otherwise be in compliance with other Nasdaq listing criteria and that the Company will be able to maintain its listing with Nasdaq.</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4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All statements other than statements of historical fact contained herein are forward-looking statements within the meaning of Section 27A of the Securities Act, and Section 21E of the Exchange Act. Forward-looking statements usually relate to future events and anticipated revenues, earnings, cash flows or other aspects of the Company’s operations or operating results, and include without limitation statements regarding Mereo’s intent to monitor the closing bid price of its ADSs, the effect of the Notification Letter on business operations, and Mereo’s ability to regain compliance with applicable Nasdaq listing requirements.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Mereo’s current expectations, beliefs and assumptions concerning future developments and business conditions and their potential effect on Mereo. While management believes that these forward-looking statements are reasonable as and when made, there can be no assurance that future developments affecting Mereo will be those that it anticipates. All of Mereo’s forward-looking statements involve known and unknown risks and uncertainties some of which are significant or beyond its control and assumptions that could cause actual results to differ materially from Mereo’s historical experience and its present expectations or projections. Such risks and uncertainties include, among others, the uncertainties inherent in the clinical development process; Mereo’s reliance on third parties to conduct and provide funding for its clinical trials; Mereo’s dependence on enrollment of patients in its clinical trials; and Mereo’s dependence on its key executives. You should carefully consider the foregoing factors and the other risks and uncertainties that affect Mereo’s business, including those described in the “Risk Factors” section of its latest Annual Report on Form 10-K, as well as discussions of potential risks, uncertainties, and other important factors in Mereo’s subsequent filings with the Securities and Exchange Commission. Mereo wishes to caution you not to place undue reliance on any forward-looking statements, which speak only as of the date hereof. Mereo undertakes no obligation to publicly update or revise any of our forward-looking statements after the date they are made, whether as a result of new information, future events or otherwise, except to the extent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815340</wp:posOffset>
            </wp:positionV>
            <wp:extent cx="703770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440" w:right="1099" w:bottom="1440" w:gutter="0" w:footer="0" w:header="0"/>
        </w:sectPr>
      </w:pPr>
    </w:p>
    <w:bookmarkStart w:id="2" w:name="page3"/>
    <w:bookmarkEnd w:id="2"/>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60" w:right="68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7020" w:type="dxa"/>
            <w:vAlign w:val="bottom"/>
            <w:gridSpan w:val="4"/>
          </w:tcPr>
          <w:p>
            <w:pPr>
              <w:ind w:left="1600"/>
              <w:spacing w:after="0"/>
              <w:rPr>
                <w:sz w:val="20"/>
                <w:szCs w:val="20"/>
                <w:color w:val="auto"/>
              </w:rPr>
            </w:pPr>
            <w:r>
              <w:rPr>
                <w:rFonts w:ascii="Times New Roman" w:cs="Times New Roman" w:eastAsia="Times New Roman" w:hAnsi="Times New Roman"/>
                <w:sz w:val="18"/>
                <w:szCs w:val="18"/>
                <w:color w:val="auto"/>
              </w:rPr>
              <w:t>MEREO BIOPHARMA GROUP PLC</w:t>
            </w:r>
          </w:p>
        </w:tc>
      </w:tr>
      <w:tr>
        <w:trPr>
          <w:trHeight w:val="432"/>
        </w:trPr>
        <w:tc>
          <w:tcPr>
            <w:tcW w:w="40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Date: February 17, 2026</w:t>
            </w:r>
          </w:p>
        </w:tc>
        <w:tc>
          <w:tcPr>
            <w:tcW w:w="7020" w:type="dxa"/>
            <w:vAlign w:val="bottom"/>
            <w:gridSpan w:val="4"/>
          </w:tcPr>
          <w:p>
            <w:pPr>
              <w:ind w:left="1600"/>
              <w:spacing w:after="0"/>
              <w:rPr>
                <w:sz w:val="20"/>
                <w:szCs w:val="20"/>
                <w:color w:val="auto"/>
              </w:rPr>
            </w:pPr>
            <w:r>
              <w:rPr>
                <w:rFonts w:ascii="Times New Roman" w:cs="Times New Roman" w:eastAsia="Times New Roman" w:hAnsi="Times New Roman"/>
                <w:sz w:val="18"/>
                <w:szCs w:val="18"/>
                <w:color w:val="auto"/>
              </w:rPr>
              <w:t>By:  /s/ Christine Fox</w:t>
            </w:r>
          </w:p>
        </w:tc>
      </w:tr>
      <w:tr>
        <w:trPr>
          <w:trHeight w:val="191"/>
        </w:trPr>
        <w:tc>
          <w:tcPr>
            <w:tcW w:w="40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7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580" w:type="dxa"/>
            <w:vAlign w:val="bottom"/>
            <w:tcBorders>
              <w:top w:val="single" w:sz="8" w:color="auto"/>
            </w:tcBorders>
          </w:tcPr>
          <w:p>
            <w:pPr>
              <w:ind w:left="300"/>
              <w:spacing w:after="0" w:line="191" w:lineRule="exact"/>
              <w:rPr>
                <w:sz w:val="20"/>
                <w:szCs w:val="20"/>
                <w:color w:val="auto"/>
              </w:rPr>
            </w:pPr>
            <w:r>
              <w:rPr>
                <w:rFonts w:ascii="Times New Roman" w:cs="Times New Roman" w:eastAsia="Times New Roman" w:hAnsi="Times New Roman"/>
                <w:sz w:val="18"/>
                <w:szCs w:val="18"/>
                <w:color w:val="auto"/>
              </w:rPr>
              <w:t>Christine Fox</w:t>
            </w:r>
          </w:p>
        </w:tc>
        <w:tc>
          <w:tcPr>
            <w:tcW w:w="660" w:type="dxa"/>
            <w:vAlign w:val="bottom"/>
          </w:tcPr>
          <w:p>
            <w:pPr>
              <w:spacing w:after="0"/>
              <w:rPr>
                <w:sz w:val="16"/>
                <w:szCs w:val="16"/>
                <w:color w:val="auto"/>
              </w:rPr>
            </w:pPr>
          </w:p>
        </w:tc>
      </w:tr>
      <w:tr>
        <w:trPr>
          <w:trHeight w:val="234"/>
        </w:trPr>
        <w:tc>
          <w:tcPr>
            <w:tcW w:w="40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2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303"/>
        </w:trPr>
        <w:tc>
          <w:tcPr>
            <w:tcW w:w="402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440" w:right="4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2026-02-17T16:32:46Z</dcterms:created>
  <dcterms:modified xsi:type="dcterms:W3CDTF">2026-02-17T16:32:46Z</dcterms:modified>
</cp:coreProperties>
</file>