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13"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TO RULE 13a-16 or 15d-16 UNDER THE</w:t>
      </w:r>
    </w:p>
    <w:p>
      <w:pPr>
        <w:ind w:left="4060"/>
        <w:spacing w:after="0"/>
        <w:rPr>
          <w:sz w:val="20"/>
          <w:szCs w:val="20"/>
          <w:color w:val="auto"/>
        </w:rPr>
      </w:pPr>
      <w:r>
        <w:rPr>
          <w:rFonts w:ascii="Arial" w:cs="Arial" w:eastAsia="Arial" w:hAnsi="Arial"/>
          <w:sz w:val="18"/>
          <w:szCs w:val="18"/>
          <w:b w:val="1"/>
          <w:bCs w:val="1"/>
          <w:color w:val="auto"/>
        </w:rPr>
        <w:t>SECURITIES EXCHANGE ACT OF 1934</w:t>
      </w:r>
    </w:p>
    <w:p>
      <w:pPr>
        <w:spacing w:after="0" w:line="17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2019</w:t>
      </w:r>
    </w:p>
    <w:p>
      <w:pPr>
        <w:spacing w:after="0" w:line="22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6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6"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(Translation of registrant’s name into English)</w:t>
      </w:r>
    </w:p>
    <w:p>
      <w:pPr>
        <w:spacing w:after="0" w:line="96"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ind w:left="4200"/>
        <w:spacing w:after="0" w:line="234" w:lineRule="auto"/>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(Address of principal executive office)</w:t>
      </w:r>
    </w:p>
    <w:p>
      <w:pPr>
        <w:spacing w:after="0" w:line="198" w:lineRule="exact"/>
        <w:rPr>
          <w:sz w:val="24"/>
          <w:szCs w:val="24"/>
          <w:color w:val="auto"/>
        </w:rPr>
      </w:pPr>
    </w:p>
    <w:p>
      <w:pPr>
        <w:ind w:right="999"/>
        <w:spacing w:after="0" w:line="321"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2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AGM</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London, May 20, 2019 </w:t>
      </w:r>
      <w:r>
        <w:rPr>
          <w:rFonts w:ascii="Arial" w:cs="Arial" w:eastAsia="Arial" w:hAnsi="Arial"/>
          <w:sz w:val="18"/>
          <w:szCs w:val="18"/>
          <w:color w:val="auto"/>
        </w:rPr>
        <w:t>- Mereo BioPharma Group plc (AIM: MPH, NASDAQ: MREO), a clinical stage UK based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rare diseases, today announces that its Annual General Meeting is to be held on June 19, 2019 at 3:00 p.m. (London time) at the Marlborough Theatre, The King's Fund, 11-13 Cavendish Square, London W1G 0AN, United Kingdom.</w:t>
      </w:r>
    </w:p>
    <w:p>
      <w:pPr>
        <w:spacing w:after="0" w:line="178" w:lineRule="exact"/>
        <w:rPr>
          <w:sz w:val="20"/>
          <w:szCs w:val="20"/>
          <w:color w:val="auto"/>
        </w:rPr>
      </w:pPr>
    </w:p>
    <w:p>
      <w:pPr>
        <w:ind w:right="2180"/>
        <w:spacing w:after="0" w:line="469" w:lineRule="auto"/>
        <w:rPr>
          <w:sz w:val="20"/>
          <w:szCs w:val="20"/>
          <w:color w:val="auto"/>
        </w:rPr>
      </w:pPr>
      <w:r>
        <w:rPr>
          <w:rFonts w:ascii="Arial" w:cs="Arial" w:eastAsia="Arial" w:hAnsi="Arial"/>
          <w:sz w:val="18"/>
          <w:szCs w:val="18"/>
          <w:color w:val="auto"/>
        </w:rPr>
        <w:t xml:space="preserve">A copy of the Notice of Annual General Meeting is available on the Company's website: </w:t>
      </w:r>
      <w:r>
        <w:rPr>
          <w:rFonts w:ascii="Arial" w:cs="Arial" w:eastAsia="Arial" w:hAnsi="Arial"/>
          <w:sz w:val="18"/>
          <w:szCs w:val="18"/>
          <w:u w:val="single" w:color="auto"/>
          <w:color w:val="0000FF"/>
        </w:rPr>
        <w:t>www.mereobiopharma.com</w:t>
      </w:r>
      <w:r>
        <w:rPr>
          <w:rFonts w:ascii="Arial" w:cs="Arial" w:eastAsia="Arial" w:hAnsi="Arial"/>
          <w:sz w:val="18"/>
          <w:szCs w:val="18"/>
          <w:color w:val="auto"/>
        </w:rPr>
        <w:t xml:space="preserve">. </w:t>
      </w:r>
      <w:r>
        <w:rPr>
          <w:rFonts w:ascii="Arial" w:cs="Arial" w:eastAsia="Arial" w:hAnsi="Arial"/>
          <w:sz w:val="18"/>
          <w:szCs w:val="18"/>
          <w:b w:val="1"/>
          <w:bCs w:val="1"/>
          <w:color w:val="auto"/>
        </w:rPr>
        <w:t>About Mereo</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randomized Phase 2 clinical trials for all four of the product candidates. In connection with the merger with OncoMed, Mereo added two candidates to its pipeline, Navicixizumab and Etigilimab.</w:t>
      </w:r>
    </w:p>
    <w:p>
      <w:pPr>
        <w:spacing w:after="0" w:line="189" w:lineRule="exact"/>
        <w:rPr>
          <w:sz w:val="20"/>
          <w:szCs w:val="20"/>
          <w:color w:val="auto"/>
        </w:rPr>
      </w:pPr>
    </w:p>
    <w:p>
      <w:pPr>
        <w:jc w:val="both"/>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18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189"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15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91"/>
        </w:trPr>
        <w:tc>
          <w:tcPr>
            <w:tcW w:w="748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7"/>
        </w:trPr>
        <w:tc>
          <w:tcPr>
            <w:tcW w:w="748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5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91"/>
        </w:trPr>
        <w:tc>
          <w:tcPr>
            <w:tcW w:w="748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7"/>
        </w:trPr>
        <w:tc>
          <w:tcPr>
            <w:tcW w:w="7480" w:type="dxa"/>
            <w:vAlign w:val="bottom"/>
          </w:tcPr>
          <w:p>
            <w:pPr>
              <w:spacing w:after="0"/>
              <w:rPr>
                <w:sz w:val="20"/>
                <w:szCs w:val="20"/>
                <w:color w:val="auto"/>
              </w:rPr>
            </w:pPr>
            <w:r>
              <w:rPr>
                <w:rFonts w:ascii="Arial" w:cs="Arial" w:eastAsia="Arial" w:hAnsi="Arial"/>
                <w:sz w:val="18"/>
                <w:szCs w:val="18"/>
                <w:color w:val="auto"/>
              </w:rPr>
              <w:t>Will Goode</w:t>
            </w:r>
          </w:p>
        </w:tc>
        <w:tc>
          <w:tcPr>
            <w:tcW w:w="15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91"/>
        </w:trPr>
        <w:tc>
          <w:tcPr>
            <w:tcW w:w="748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Rupert Walford</w:t>
            </w: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7"/>
        </w:trPr>
        <w:tc>
          <w:tcPr>
            <w:tcW w:w="7480" w:type="dxa"/>
            <w:vAlign w:val="bottom"/>
          </w:tcPr>
          <w:p>
            <w:pPr>
              <w:spacing w:after="0"/>
              <w:rPr>
                <w:sz w:val="20"/>
                <w:szCs w:val="20"/>
                <w:color w:val="auto"/>
              </w:rPr>
            </w:pPr>
            <w:r>
              <w:rPr>
                <w:rFonts w:ascii="Arial" w:cs="Arial" w:eastAsia="Arial" w:hAnsi="Arial"/>
                <w:sz w:val="18"/>
                <w:szCs w:val="18"/>
                <w:color w:val="auto"/>
              </w:rPr>
              <w:t>Jamil Miah</w:t>
            </w:r>
          </w:p>
        </w:tc>
        <w:tc>
          <w:tcPr>
            <w:tcW w:w="15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91"/>
        </w:trPr>
        <w:tc>
          <w:tcPr>
            <w:tcW w:w="748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(0)20 3727 1000</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7"/>
        </w:trPr>
        <w:tc>
          <w:tcPr>
            <w:tcW w:w="7480" w:type="dxa"/>
            <w:vAlign w:val="bottom"/>
          </w:tcPr>
          <w:p>
            <w:pPr>
              <w:spacing w:after="0"/>
              <w:rPr>
                <w:sz w:val="20"/>
                <w:szCs w:val="20"/>
                <w:color w:val="auto"/>
              </w:rPr>
            </w:pPr>
            <w:r>
              <w:rPr>
                <w:rFonts w:ascii="Arial" w:cs="Arial" w:eastAsia="Arial" w:hAnsi="Arial"/>
                <w:sz w:val="18"/>
                <w:szCs w:val="18"/>
                <w:color w:val="auto"/>
              </w:rPr>
              <w:t>Brett Pollard</w:t>
            </w:r>
          </w:p>
        </w:tc>
        <w:tc>
          <w:tcPr>
            <w:tcW w:w="15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91"/>
        </w:trPr>
        <w:tc>
          <w:tcPr>
            <w:tcW w:w="748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Lisa Burns</w:t>
            </w: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7"/>
        </w:trPr>
        <w:tc>
          <w:tcPr>
            <w:tcW w:w="7480" w:type="dxa"/>
            <w:vAlign w:val="bottom"/>
          </w:tcPr>
          <w:p>
            <w:pPr>
              <w:spacing w:after="0"/>
              <w:rPr>
                <w:sz w:val="20"/>
                <w:szCs w:val="20"/>
                <w:color w:val="auto"/>
              </w:rPr>
            </w:pPr>
            <w:r>
              <w:rPr>
                <w:rFonts w:ascii="Arial" w:cs="Arial" w:eastAsia="Arial" w:hAnsi="Arial"/>
                <w:sz w:val="18"/>
                <w:szCs w:val="18"/>
                <w:color w:val="auto"/>
              </w:rPr>
              <w:t>Jill Steier</w:t>
            </w:r>
          </w:p>
        </w:tc>
        <w:tc>
          <w:tcPr>
            <w:tcW w:w="15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486"/>
        </w:trPr>
        <w:tc>
          <w:tcPr>
            <w:tcW w:w="7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8" w:right="2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2019</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260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180"/>
        <w:spacing w:after="0"/>
        <w:tabs>
          <w:tab w:leader="none" w:pos="6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Charles Sermon</w:t>
      </w: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2019-12-02T17:53:32Z</dcterms:created>
  <dcterms:modified xsi:type="dcterms:W3CDTF">2019-12-02T17:53:32Z</dcterms:modified>
</cp:coreProperties>
</file>