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6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337820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ind w:left="46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FORM 6-K</w:t>
      </w:r>
    </w:p>
    <w:p>
      <w:pPr>
        <w:spacing w:after="0" w:line="236"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REPORT OF FOREIGN PRIVATE ISSUER PURSUANT</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TO RULE 13a-16 or 15d-16 UNDER THE</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For the month of June, 2019</w:t>
      </w:r>
    </w:p>
    <w:p>
      <w:pPr>
        <w:spacing w:after="0" w:line="22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Commission File Number: 001-38452</w:t>
      </w:r>
    </w:p>
    <w:p>
      <w:pPr>
        <w:spacing w:after="0" w:line="198"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MEREO BIOPHARMA GROUP PLC</w:t>
      </w:r>
    </w:p>
    <w:p>
      <w:pPr>
        <w:spacing w:after="0" w:line="40"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(Translation of registrant’s name into English)</w:t>
      </w:r>
    </w:p>
    <w:p>
      <w:pPr>
        <w:spacing w:after="0" w:line="13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 One Cavendish Place,</w:t>
      </w:r>
    </w:p>
    <w:p>
      <w:pPr>
        <w:jc w:val="center"/>
        <w:ind w:right="-1200"/>
        <w:spacing w:after="0"/>
        <w:rPr>
          <w:sz w:val="20"/>
          <w:szCs w:val="20"/>
          <w:color w:val="auto"/>
        </w:rPr>
      </w:pPr>
      <w:r>
        <w:rPr>
          <w:rFonts w:ascii="Arial" w:cs="Arial" w:eastAsia="Arial" w:hAnsi="Arial"/>
          <w:sz w:val="18"/>
          <w:szCs w:val="18"/>
          <w:b w:val="1"/>
          <w:bCs w:val="1"/>
          <w:color w:val="auto"/>
        </w:rPr>
        <w:t>London, W1G 0QF, United Kingdom</w:t>
      </w:r>
    </w:p>
    <w:p>
      <w:pPr>
        <w:spacing w:after="0" w:line="7"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720"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Mereo BioPharma Group plc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(“Mereo” or the “Company” or the “Group”)</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Annual General Meeting</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London and Redwood City, Calif., June 20, 2019 </w:t>
      </w:r>
      <w:r>
        <w:rPr>
          <w:rFonts w:ascii="Arial" w:cs="Arial" w:eastAsia="Arial" w:hAnsi="Arial"/>
          <w:sz w:val="18"/>
          <w:szCs w:val="18"/>
          <w:color w:val="auto"/>
        </w:rPr>
        <w:t>- Mereo BioPharma Group plc (AIM: MPH, NASDAQ: MREO), a clinical stage</w:t>
      </w:r>
      <w:r>
        <w:rPr>
          <w:rFonts w:ascii="Arial" w:cs="Arial" w:eastAsia="Arial" w:hAnsi="Arial"/>
          <w:sz w:val="18"/>
          <w:szCs w:val="18"/>
          <w:b w:val="1"/>
          <w:bCs w:val="1"/>
          <w:color w:val="auto"/>
        </w:rPr>
        <w:t xml:space="preserve"> </w:t>
      </w:r>
      <w:r>
        <w:rPr>
          <w:rFonts w:ascii="Arial" w:cs="Arial" w:eastAsia="Arial" w:hAnsi="Arial"/>
          <w:sz w:val="18"/>
          <w:szCs w:val="18"/>
          <w:color w:val="auto"/>
        </w:rPr>
        <w:t>biopharmaceutical company focused on rare diseases, announces that all resolutions proposed at the Annual General Meeting, held yesterday, were duly passed. The Board is pleased that all the resolutions received strong support from shareholders and reports that Resolutions 1 to 6 passed as ordinary resolutions and Resolution 7 was passed as a special resolution.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Mereo</w:t>
      </w:r>
    </w:p>
    <w:p>
      <w:pPr>
        <w:spacing w:after="0" w:line="220" w:lineRule="exact"/>
        <w:rPr>
          <w:sz w:val="20"/>
          <w:szCs w:val="20"/>
          <w:color w:val="auto"/>
        </w:rPr>
      </w:pPr>
    </w:p>
    <w:p>
      <w:pPr>
        <w:jc w:val="both"/>
        <w:ind w:right="460"/>
        <w:spacing w:after="0" w:line="239" w:lineRule="auto"/>
        <w:rPr>
          <w:sz w:val="20"/>
          <w:szCs w:val="20"/>
          <w:color w:val="auto"/>
        </w:rPr>
      </w:pPr>
      <w:r>
        <w:rPr>
          <w:rFonts w:ascii="Arial" w:cs="Arial" w:eastAsia="Arial" w:hAnsi="Arial"/>
          <w:sz w:val="18"/>
          <w:szCs w:val="18"/>
          <w:color w:val="auto"/>
        </w:rPr>
        <w:t>Mereo is a biopharmaceutical company focused on the development and commercialization of innovative therapeutics that aim to improve outcomes for patients with rare diseases. Mereo's strategy is to selectively acquire product candidates for rare diseases that have already received significant investment from pharmaceutical and large biotechnology companies and that have substantial preclinical, clinical and manufacturing data packages. Mereo's existing portfolio consists of six clinical stage product candidates.</w:t>
      </w:r>
    </w:p>
    <w:p>
      <w:pPr>
        <w:spacing w:after="0" w:line="188" w:lineRule="exact"/>
        <w:rPr>
          <w:sz w:val="20"/>
          <w:szCs w:val="20"/>
          <w:color w:val="auto"/>
        </w:rPr>
      </w:pPr>
    </w:p>
    <w:p>
      <w:pPr>
        <w:jc w:val="both"/>
        <w:ind w:left="660" w:hanging="328"/>
        <w:spacing w:after="0" w:line="239"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Setrusumab for osteogenesis imperfecta (OI). In October 2018, the Company announced completion of enrollment of 112 adult patients in a Phase 2b dose ranging study with initial positive 6-month open label data announced in May 2019 and top-line 12-month blinded dose ranging data expected in Q4 2019. A pediatric Phase 3 study design has also been approved by the EMA. Setrusumab has orphan designation in the U.S. and the EU and has been accepted into the PRIME and Adaptive Pathways in EU;</w:t>
      </w:r>
    </w:p>
    <w:p>
      <w:pPr>
        <w:spacing w:after="0" w:line="188" w:lineRule="exact"/>
        <w:rPr>
          <w:rFonts w:ascii="Arial" w:cs="Arial" w:eastAsia="Arial" w:hAnsi="Arial"/>
          <w:sz w:val="18"/>
          <w:szCs w:val="18"/>
          <w:color w:val="auto"/>
        </w:rPr>
      </w:pPr>
    </w:p>
    <w:p>
      <w:pPr>
        <w:ind w:left="660" w:hanging="328"/>
        <w:spacing w:after="0" w:line="246"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Alvelestat for alpha-1 antitrypsin deficiency (AATD). The Company has initiated a Phase 2 proof-of-concept clinical trial in patients with severe AATD in the United States and the EU and expects to report top-line data from this trial at or about the end of 2019;</w:t>
      </w:r>
    </w:p>
    <w:p>
      <w:pPr>
        <w:spacing w:after="0" w:line="183" w:lineRule="exact"/>
        <w:rPr>
          <w:rFonts w:ascii="Arial" w:cs="Arial" w:eastAsia="Arial" w:hAnsi="Arial"/>
          <w:sz w:val="18"/>
          <w:szCs w:val="18"/>
          <w:color w:val="auto"/>
        </w:rPr>
      </w:pPr>
    </w:p>
    <w:p>
      <w:pPr>
        <w:jc w:val="both"/>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Acumapimod for severe exacerbations of COPD. The Company announced positive Phase 2 data in May 2018 and recently announced the outline of the pivotal Phase 3 study including the primary and key secondary endpoints following the successful end of Phase 2 Type B meeting with the FDA;</w:t>
      </w:r>
    </w:p>
    <w:p>
      <w:pPr>
        <w:spacing w:after="0" w:line="189" w:lineRule="exact"/>
        <w:rPr>
          <w:rFonts w:ascii="Arial" w:cs="Arial" w:eastAsia="Arial" w:hAnsi="Arial"/>
          <w:sz w:val="18"/>
          <w:szCs w:val="18"/>
          <w:color w:val="auto"/>
        </w:rPr>
      </w:pPr>
    </w:p>
    <w:p>
      <w:pPr>
        <w:ind w:left="660" w:hanging="328"/>
        <w:spacing w:after="0" w:line="246"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Leflutrozole for hypogonadotropic hypogonadism (HH). The Company announced positive top-line Phase 2b data in March 2018 and positive results from the Phase 2b safety extension study in December 2018;</w:t>
      </w:r>
    </w:p>
    <w:p>
      <w:pPr>
        <w:spacing w:after="0" w:line="183" w:lineRule="exact"/>
        <w:rPr>
          <w:rFonts w:ascii="Arial" w:cs="Arial" w:eastAsia="Arial" w:hAnsi="Arial"/>
          <w:sz w:val="18"/>
          <w:szCs w:val="18"/>
          <w:color w:val="auto"/>
        </w:rPr>
      </w:pPr>
    </w:p>
    <w:p>
      <w:pPr>
        <w:jc w:val="both"/>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Navicixizumab has completed a Phase 1a single-agent clinical trial in patients with advanced solid tumors and is currently in a Phase 1b trial in combination with a standard paclitaxel regimen in patients with platinum-resistant ovarian cancer. This study recently completed enrolment; and</w:t>
      </w:r>
    </w:p>
    <w:p>
      <w:pPr>
        <w:spacing w:after="0" w:line="189" w:lineRule="exact"/>
        <w:rPr>
          <w:rFonts w:ascii="Arial" w:cs="Arial" w:eastAsia="Arial" w:hAnsi="Arial"/>
          <w:sz w:val="18"/>
          <w:szCs w:val="18"/>
          <w:color w:val="auto"/>
        </w:rPr>
      </w:pPr>
    </w:p>
    <w:p>
      <w:pPr>
        <w:ind w:left="660" w:hanging="328"/>
        <w:spacing w:after="0" w:line="246"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Etigilimab has completed a single-agent Phase 1a trial in patients with advanced or metastatic solid tumors and the Phase 1b combination study with nivolumab has fully enrolled and is currently in the safety monitoring phase.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19"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9"/>
        </w:trPr>
        <w:tc>
          <w:tcPr>
            <w:tcW w:w="7400" w:type="dxa"/>
            <w:vAlign w:val="bottom"/>
          </w:tcPr>
          <w:p>
            <w:pPr>
              <w:ind w:left="340"/>
              <w:spacing w:after="0"/>
              <w:rPr>
                <w:sz w:val="20"/>
                <w:szCs w:val="20"/>
                <w:color w:val="auto"/>
              </w:rPr>
            </w:pPr>
            <w:r>
              <w:rPr>
                <w:rFonts w:ascii="Arial" w:cs="Arial" w:eastAsia="Arial" w:hAnsi="Arial"/>
                <w:sz w:val="18"/>
                <w:szCs w:val="18"/>
                <w:b w:val="1"/>
                <w:bCs w:val="1"/>
                <w:color w:val="auto"/>
              </w:rPr>
              <w:t>Further Enquiries</w:t>
            </w:r>
          </w:p>
        </w:tc>
        <w:tc>
          <w:tcPr>
            <w:tcW w:w="118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7400" w:type="dxa"/>
            <w:vAlign w:val="bottom"/>
          </w:tcPr>
          <w:p>
            <w:pPr>
              <w:ind w:left="340"/>
              <w:spacing w:after="0"/>
              <w:rPr>
                <w:sz w:val="20"/>
                <w:szCs w:val="20"/>
                <w:color w:val="auto"/>
              </w:rPr>
            </w:pPr>
            <w:r>
              <w:rPr>
                <w:rFonts w:ascii="Arial" w:cs="Arial" w:eastAsia="Arial" w:hAnsi="Arial"/>
                <w:sz w:val="18"/>
                <w:szCs w:val="18"/>
                <w:b w:val="1"/>
                <w:bCs w:val="1"/>
                <w:color w:val="auto"/>
              </w:rPr>
              <w:t>Mereo</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2840" w:type="dxa"/>
            <w:vAlign w:val="bottom"/>
          </w:tcPr>
          <w:p>
            <w:pPr>
              <w:ind w:left="20"/>
              <w:spacing w:after="0"/>
              <w:rPr>
                <w:sz w:val="20"/>
                <w:szCs w:val="20"/>
                <w:color w:val="auto"/>
              </w:rPr>
            </w:pPr>
            <w:r>
              <w:rPr>
                <w:rFonts w:ascii="Arial" w:cs="Arial" w:eastAsia="Arial" w:hAnsi="Arial"/>
                <w:sz w:val="18"/>
                <w:szCs w:val="18"/>
                <w:b w:val="1"/>
                <w:bCs w:val="1"/>
                <w:color w:val="auto"/>
              </w:rPr>
              <w:t>(0)333 023 7300</w:t>
            </w:r>
          </w:p>
        </w:tc>
        <w:tc>
          <w:tcPr>
            <w:tcW w:w="0" w:type="dxa"/>
            <w:vAlign w:val="bottom"/>
          </w:tcPr>
          <w:p>
            <w:pPr>
              <w:spacing w:after="0"/>
              <w:rPr>
                <w:sz w:val="1"/>
                <w:szCs w:val="1"/>
                <w:color w:val="auto"/>
              </w:rPr>
            </w:pPr>
          </w:p>
        </w:tc>
      </w:tr>
      <w:tr>
        <w:trPr>
          <w:trHeight w:val="203"/>
        </w:trPr>
        <w:tc>
          <w:tcPr>
            <w:tcW w:w="7400" w:type="dxa"/>
            <w:vAlign w:val="bottom"/>
          </w:tcPr>
          <w:p>
            <w:pPr>
              <w:ind w:left="340"/>
              <w:spacing w:after="0" w:line="202" w:lineRule="exact"/>
              <w:rPr>
                <w:sz w:val="20"/>
                <w:szCs w:val="20"/>
                <w:color w:val="auto"/>
              </w:rPr>
            </w:pPr>
            <w:r>
              <w:rPr>
                <w:rFonts w:ascii="Arial" w:cs="Arial" w:eastAsia="Arial" w:hAnsi="Arial"/>
                <w:sz w:val="18"/>
                <w:szCs w:val="18"/>
                <w:color w:val="auto"/>
              </w:rPr>
              <w:t>Denise Scots-Knight, Chief Executive Officer</w:t>
            </w:r>
          </w:p>
        </w:tc>
        <w:tc>
          <w:tcPr>
            <w:tcW w:w="11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400" w:type="dxa"/>
            <w:vAlign w:val="bottom"/>
          </w:tcPr>
          <w:p>
            <w:pPr>
              <w:ind w:left="340"/>
              <w:spacing w:after="0"/>
              <w:rPr>
                <w:sz w:val="20"/>
                <w:szCs w:val="20"/>
                <w:color w:val="auto"/>
              </w:rPr>
            </w:pPr>
            <w:r>
              <w:rPr>
                <w:rFonts w:ascii="Arial" w:cs="Arial" w:eastAsia="Arial" w:hAnsi="Arial"/>
                <w:sz w:val="18"/>
                <w:szCs w:val="18"/>
                <w:color w:val="auto"/>
              </w:rPr>
              <w:t>Richard Jones, Chief Financial Officer</w:t>
            </w:r>
          </w:p>
        </w:tc>
        <w:tc>
          <w:tcPr>
            <w:tcW w:w="11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7400" w:type="dxa"/>
            <w:vAlign w:val="bottom"/>
          </w:tcPr>
          <w:p>
            <w:pPr>
              <w:ind w:left="340"/>
              <w:spacing w:after="0"/>
              <w:rPr>
                <w:sz w:val="20"/>
                <w:szCs w:val="20"/>
                <w:color w:val="auto"/>
              </w:rPr>
            </w:pPr>
            <w:r>
              <w:rPr>
                <w:rFonts w:ascii="Arial" w:cs="Arial" w:eastAsia="Arial" w:hAnsi="Arial"/>
                <w:sz w:val="18"/>
                <w:szCs w:val="18"/>
                <w:b w:val="1"/>
                <w:bCs w:val="1"/>
                <w:color w:val="auto"/>
              </w:rPr>
              <w:t>Cantor Fitzgerald Europe (Nominated Adviser and Joint Broker to Mereo)</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2840" w:type="dxa"/>
            <w:vAlign w:val="bottom"/>
          </w:tcPr>
          <w:p>
            <w:pPr>
              <w:ind w:left="20"/>
              <w:spacing w:after="0"/>
              <w:rPr>
                <w:sz w:val="20"/>
                <w:szCs w:val="20"/>
                <w:color w:val="auto"/>
              </w:rPr>
            </w:pPr>
            <w:r>
              <w:rPr>
                <w:rFonts w:ascii="Arial" w:cs="Arial" w:eastAsia="Arial" w:hAnsi="Arial"/>
                <w:sz w:val="18"/>
                <w:szCs w:val="18"/>
                <w:b w:val="1"/>
                <w:bCs w:val="1"/>
                <w:color w:val="auto"/>
              </w:rPr>
              <w:t>(0)20 7894 7000</w:t>
            </w:r>
          </w:p>
        </w:tc>
        <w:tc>
          <w:tcPr>
            <w:tcW w:w="0" w:type="dxa"/>
            <w:vAlign w:val="bottom"/>
          </w:tcPr>
          <w:p>
            <w:pPr>
              <w:spacing w:after="0"/>
              <w:rPr>
                <w:sz w:val="1"/>
                <w:szCs w:val="1"/>
                <w:color w:val="auto"/>
              </w:rPr>
            </w:pPr>
          </w:p>
        </w:tc>
      </w:tr>
      <w:tr>
        <w:trPr>
          <w:trHeight w:val="203"/>
        </w:trPr>
        <w:tc>
          <w:tcPr>
            <w:tcW w:w="7400" w:type="dxa"/>
            <w:vAlign w:val="bottom"/>
          </w:tcPr>
          <w:p>
            <w:pPr>
              <w:ind w:left="340"/>
              <w:spacing w:after="0" w:line="202" w:lineRule="exact"/>
              <w:rPr>
                <w:sz w:val="20"/>
                <w:szCs w:val="20"/>
                <w:color w:val="auto"/>
              </w:rPr>
            </w:pPr>
            <w:r>
              <w:rPr>
                <w:rFonts w:ascii="Arial" w:cs="Arial" w:eastAsia="Arial" w:hAnsi="Arial"/>
                <w:sz w:val="18"/>
                <w:szCs w:val="18"/>
                <w:color w:val="auto"/>
              </w:rPr>
              <w:t>Phil Davies</w:t>
            </w:r>
          </w:p>
        </w:tc>
        <w:tc>
          <w:tcPr>
            <w:tcW w:w="11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400" w:type="dxa"/>
            <w:vAlign w:val="bottom"/>
          </w:tcPr>
          <w:p>
            <w:pPr>
              <w:ind w:left="340"/>
              <w:spacing w:after="0"/>
              <w:rPr>
                <w:sz w:val="20"/>
                <w:szCs w:val="20"/>
                <w:color w:val="auto"/>
              </w:rPr>
            </w:pPr>
            <w:r>
              <w:rPr>
                <w:rFonts w:ascii="Arial" w:cs="Arial" w:eastAsia="Arial" w:hAnsi="Arial"/>
                <w:sz w:val="18"/>
                <w:szCs w:val="18"/>
                <w:color w:val="auto"/>
              </w:rPr>
              <w:t>Will Goode</w:t>
            </w:r>
          </w:p>
        </w:tc>
        <w:tc>
          <w:tcPr>
            <w:tcW w:w="11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7400" w:type="dxa"/>
            <w:vAlign w:val="bottom"/>
          </w:tcPr>
          <w:p>
            <w:pPr>
              <w:ind w:left="340"/>
              <w:spacing w:after="0"/>
              <w:rPr>
                <w:sz w:val="20"/>
                <w:szCs w:val="20"/>
                <w:color w:val="auto"/>
              </w:rPr>
            </w:pPr>
            <w:r>
              <w:rPr>
                <w:rFonts w:ascii="Arial" w:cs="Arial" w:eastAsia="Arial" w:hAnsi="Arial"/>
                <w:sz w:val="18"/>
                <w:szCs w:val="18"/>
                <w:b w:val="1"/>
                <w:bCs w:val="1"/>
                <w:color w:val="auto"/>
              </w:rPr>
              <w:t>RBC Capital Markets (Joint Broker to Mereo)</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2840" w:type="dxa"/>
            <w:vAlign w:val="bottom"/>
          </w:tcPr>
          <w:p>
            <w:pPr>
              <w:ind w:left="20"/>
              <w:spacing w:after="0"/>
              <w:rPr>
                <w:sz w:val="20"/>
                <w:szCs w:val="20"/>
                <w:color w:val="auto"/>
              </w:rPr>
            </w:pPr>
            <w:r>
              <w:rPr>
                <w:rFonts w:ascii="Arial" w:cs="Arial" w:eastAsia="Arial" w:hAnsi="Arial"/>
                <w:sz w:val="18"/>
                <w:szCs w:val="18"/>
                <w:b w:val="1"/>
                <w:bCs w:val="1"/>
                <w:color w:val="auto"/>
              </w:rPr>
              <w:t>(0)20 7653 4000</w:t>
            </w:r>
          </w:p>
        </w:tc>
        <w:tc>
          <w:tcPr>
            <w:tcW w:w="0" w:type="dxa"/>
            <w:vAlign w:val="bottom"/>
          </w:tcPr>
          <w:p>
            <w:pPr>
              <w:spacing w:after="0"/>
              <w:rPr>
                <w:sz w:val="1"/>
                <w:szCs w:val="1"/>
                <w:color w:val="auto"/>
              </w:rPr>
            </w:pPr>
          </w:p>
        </w:tc>
      </w:tr>
      <w:tr>
        <w:trPr>
          <w:trHeight w:val="203"/>
        </w:trPr>
        <w:tc>
          <w:tcPr>
            <w:tcW w:w="7400" w:type="dxa"/>
            <w:vAlign w:val="bottom"/>
          </w:tcPr>
          <w:p>
            <w:pPr>
              <w:ind w:left="340"/>
              <w:spacing w:after="0" w:line="202" w:lineRule="exact"/>
              <w:rPr>
                <w:sz w:val="20"/>
                <w:szCs w:val="20"/>
                <w:color w:val="auto"/>
              </w:rPr>
            </w:pPr>
            <w:r>
              <w:rPr>
                <w:rFonts w:ascii="Arial" w:cs="Arial" w:eastAsia="Arial" w:hAnsi="Arial"/>
                <w:sz w:val="18"/>
                <w:szCs w:val="18"/>
                <w:color w:val="auto"/>
              </w:rPr>
              <w:t>Rupert Walford</w:t>
            </w:r>
          </w:p>
        </w:tc>
        <w:tc>
          <w:tcPr>
            <w:tcW w:w="11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400" w:type="dxa"/>
            <w:vAlign w:val="bottom"/>
          </w:tcPr>
          <w:p>
            <w:pPr>
              <w:ind w:left="340"/>
              <w:spacing w:after="0"/>
              <w:rPr>
                <w:sz w:val="20"/>
                <w:szCs w:val="20"/>
                <w:color w:val="auto"/>
              </w:rPr>
            </w:pPr>
            <w:r>
              <w:rPr>
                <w:rFonts w:ascii="Arial" w:cs="Arial" w:eastAsia="Arial" w:hAnsi="Arial"/>
                <w:sz w:val="18"/>
                <w:szCs w:val="18"/>
                <w:color w:val="auto"/>
              </w:rPr>
              <w:t>Jamil Miah</w:t>
            </w:r>
          </w:p>
        </w:tc>
        <w:tc>
          <w:tcPr>
            <w:tcW w:w="11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7400" w:type="dxa"/>
            <w:vAlign w:val="bottom"/>
          </w:tcPr>
          <w:p>
            <w:pPr>
              <w:ind w:left="340"/>
              <w:spacing w:after="0"/>
              <w:rPr>
                <w:sz w:val="20"/>
                <w:szCs w:val="20"/>
                <w:color w:val="auto"/>
              </w:rPr>
            </w:pPr>
            <w:r>
              <w:rPr>
                <w:rFonts w:ascii="Arial" w:cs="Arial" w:eastAsia="Arial" w:hAnsi="Arial"/>
                <w:sz w:val="18"/>
                <w:szCs w:val="18"/>
                <w:b w:val="1"/>
                <w:bCs w:val="1"/>
                <w:color w:val="auto"/>
              </w:rPr>
              <w:t>FTI Consulting (Public Relations Adviser to Mereo)</w:t>
            </w:r>
          </w:p>
        </w:tc>
        <w:tc>
          <w:tcPr>
            <w:tcW w:w="11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+44</w:t>
            </w:r>
          </w:p>
        </w:tc>
        <w:tc>
          <w:tcPr>
            <w:tcW w:w="28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(0)20 3727 1000</w:t>
            </w:r>
          </w:p>
        </w:tc>
        <w:tc>
          <w:tcPr>
            <w:tcW w:w="0" w:type="dxa"/>
            <w:vAlign w:val="bottom"/>
          </w:tcPr>
          <w:p>
            <w:pPr>
              <w:spacing w:after="0"/>
              <w:rPr>
                <w:sz w:val="1"/>
                <w:szCs w:val="1"/>
                <w:color w:val="auto"/>
              </w:rPr>
            </w:pPr>
          </w:p>
        </w:tc>
      </w:tr>
      <w:tr>
        <w:trPr>
          <w:trHeight w:val="203"/>
        </w:trPr>
        <w:tc>
          <w:tcPr>
            <w:tcW w:w="7400" w:type="dxa"/>
            <w:vAlign w:val="bottom"/>
          </w:tcPr>
          <w:p>
            <w:pPr>
              <w:ind w:left="340"/>
              <w:spacing w:after="0" w:line="202" w:lineRule="exact"/>
              <w:rPr>
                <w:sz w:val="20"/>
                <w:szCs w:val="20"/>
                <w:color w:val="auto"/>
              </w:rPr>
            </w:pPr>
            <w:r>
              <w:rPr>
                <w:rFonts w:ascii="Arial" w:cs="Arial" w:eastAsia="Arial" w:hAnsi="Arial"/>
                <w:sz w:val="18"/>
                <w:szCs w:val="18"/>
                <w:color w:val="auto"/>
              </w:rPr>
              <w:t>Simon Conway</w:t>
            </w:r>
          </w:p>
        </w:tc>
        <w:tc>
          <w:tcPr>
            <w:tcW w:w="1180" w:type="dxa"/>
            <w:vAlign w:val="bottom"/>
            <w:vMerge w:val="continue"/>
          </w:tcPr>
          <w:p>
            <w:pPr>
              <w:spacing w:after="0"/>
              <w:rPr>
                <w:sz w:val="17"/>
                <w:szCs w:val="17"/>
                <w:color w:val="auto"/>
              </w:rPr>
            </w:pPr>
          </w:p>
        </w:tc>
        <w:tc>
          <w:tcPr>
            <w:tcW w:w="2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tcPr>
          <w:p>
            <w:pPr>
              <w:ind w:left="340"/>
              <w:spacing w:after="0" w:line="202" w:lineRule="exact"/>
              <w:rPr>
                <w:sz w:val="20"/>
                <w:szCs w:val="20"/>
                <w:color w:val="auto"/>
              </w:rPr>
            </w:pPr>
            <w:r>
              <w:rPr>
                <w:rFonts w:ascii="Arial" w:cs="Arial" w:eastAsia="Arial" w:hAnsi="Arial"/>
                <w:sz w:val="18"/>
                <w:szCs w:val="18"/>
                <w:color w:val="auto"/>
              </w:rPr>
              <w:t>Brett Pollard</w:t>
            </w:r>
          </w:p>
        </w:tc>
        <w:tc>
          <w:tcPr>
            <w:tcW w:w="11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400" w:type="dxa"/>
            <w:vAlign w:val="bottom"/>
          </w:tcPr>
          <w:p>
            <w:pPr>
              <w:ind w:left="340"/>
              <w:spacing w:after="0"/>
              <w:rPr>
                <w:sz w:val="20"/>
                <w:szCs w:val="20"/>
                <w:color w:val="auto"/>
              </w:rPr>
            </w:pPr>
            <w:r>
              <w:rPr>
                <w:rFonts w:ascii="Arial" w:cs="Arial" w:eastAsia="Arial" w:hAnsi="Arial"/>
                <w:sz w:val="18"/>
                <w:szCs w:val="18"/>
                <w:color w:val="auto"/>
              </w:rPr>
              <w:t>Ciara Martin</w:t>
            </w:r>
          </w:p>
        </w:tc>
        <w:tc>
          <w:tcPr>
            <w:tcW w:w="11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7400" w:type="dxa"/>
            <w:vAlign w:val="bottom"/>
          </w:tcPr>
          <w:p>
            <w:pPr>
              <w:ind w:left="340"/>
              <w:spacing w:after="0"/>
              <w:rPr>
                <w:sz w:val="20"/>
                <w:szCs w:val="20"/>
                <w:color w:val="auto"/>
              </w:rPr>
            </w:pPr>
            <w:r>
              <w:rPr>
                <w:rFonts w:ascii="Arial" w:cs="Arial" w:eastAsia="Arial" w:hAnsi="Arial"/>
                <w:sz w:val="18"/>
                <w:szCs w:val="18"/>
                <w:b w:val="1"/>
                <w:bCs w:val="1"/>
                <w:color w:val="auto"/>
              </w:rPr>
              <w:t>Burns McClellan (US Public Relations Adviser to Mereo)</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+01</w:t>
            </w:r>
          </w:p>
        </w:tc>
        <w:tc>
          <w:tcPr>
            <w:tcW w:w="2840" w:type="dxa"/>
            <w:vAlign w:val="bottom"/>
          </w:tcPr>
          <w:p>
            <w:pPr>
              <w:ind w:left="20"/>
              <w:spacing w:after="0"/>
              <w:rPr>
                <w:sz w:val="20"/>
                <w:szCs w:val="20"/>
                <w:color w:val="auto"/>
              </w:rPr>
            </w:pPr>
            <w:r>
              <w:rPr>
                <w:rFonts w:ascii="Arial" w:cs="Arial" w:eastAsia="Arial" w:hAnsi="Arial"/>
                <w:sz w:val="18"/>
                <w:szCs w:val="18"/>
                <w:b w:val="1"/>
                <w:bCs w:val="1"/>
                <w:color w:val="auto"/>
              </w:rPr>
              <w:t>(0) 212 213 0006</w:t>
            </w:r>
          </w:p>
        </w:tc>
        <w:tc>
          <w:tcPr>
            <w:tcW w:w="0" w:type="dxa"/>
            <w:vAlign w:val="bottom"/>
          </w:tcPr>
          <w:p>
            <w:pPr>
              <w:spacing w:after="0"/>
              <w:rPr>
                <w:sz w:val="1"/>
                <w:szCs w:val="1"/>
                <w:color w:val="auto"/>
              </w:rPr>
            </w:pPr>
          </w:p>
        </w:tc>
      </w:tr>
      <w:tr>
        <w:trPr>
          <w:trHeight w:val="203"/>
        </w:trPr>
        <w:tc>
          <w:tcPr>
            <w:tcW w:w="7400" w:type="dxa"/>
            <w:vAlign w:val="bottom"/>
          </w:tcPr>
          <w:p>
            <w:pPr>
              <w:ind w:left="340"/>
              <w:spacing w:after="0" w:line="202" w:lineRule="exact"/>
              <w:rPr>
                <w:sz w:val="20"/>
                <w:szCs w:val="20"/>
                <w:color w:val="auto"/>
              </w:rPr>
            </w:pPr>
            <w:r>
              <w:rPr>
                <w:rFonts w:ascii="Arial" w:cs="Arial" w:eastAsia="Arial" w:hAnsi="Arial"/>
                <w:sz w:val="18"/>
                <w:szCs w:val="18"/>
                <w:color w:val="auto"/>
              </w:rPr>
              <w:t>Lisa Burns</w:t>
            </w:r>
          </w:p>
        </w:tc>
        <w:tc>
          <w:tcPr>
            <w:tcW w:w="11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400" w:type="dxa"/>
            <w:vAlign w:val="bottom"/>
          </w:tcPr>
          <w:p>
            <w:pPr>
              <w:ind w:left="340"/>
              <w:spacing w:after="0"/>
              <w:rPr>
                <w:sz w:val="20"/>
                <w:szCs w:val="20"/>
                <w:color w:val="auto"/>
              </w:rPr>
            </w:pPr>
            <w:r>
              <w:rPr>
                <w:rFonts w:ascii="Arial" w:cs="Arial" w:eastAsia="Arial" w:hAnsi="Arial"/>
                <w:sz w:val="18"/>
                <w:szCs w:val="18"/>
                <w:color w:val="auto"/>
              </w:rPr>
              <w:t>Steve Klass</w:t>
            </w:r>
          </w:p>
        </w:tc>
        <w:tc>
          <w:tcPr>
            <w:tcW w:w="11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6"/>
        </w:trPr>
        <w:tc>
          <w:tcPr>
            <w:tcW w:w="74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19"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June 20, 2019</w:t>
      </w:r>
    </w:p>
    <w:p>
      <w:pPr>
        <w:spacing w:after="0" w:line="221" w:lineRule="exact"/>
        <w:rPr>
          <w:sz w:val="20"/>
          <w:szCs w:val="20"/>
          <w:color w:val="auto"/>
        </w:rPr>
      </w:pPr>
    </w:p>
    <w:p>
      <w:pPr>
        <w:ind w:left="6360"/>
        <w:spacing w:after="0"/>
        <w:rPr>
          <w:sz w:val="20"/>
          <w:szCs w:val="20"/>
          <w:color w:val="auto"/>
        </w:rPr>
      </w:pPr>
      <w:r>
        <w:rPr>
          <w:rFonts w:ascii="Arial" w:cs="Arial" w:eastAsia="Arial" w:hAnsi="Arial"/>
          <w:sz w:val="18"/>
          <w:szCs w:val="18"/>
          <w:b w:val="1"/>
          <w:bCs w:val="1"/>
          <w:color w:val="auto"/>
        </w:rPr>
        <w:t>MEREO BIOPHARMA GROUP PLC</w:t>
      </w:r>
    </w:p>
    <w:p>
      <w:pPr>
        <w:spacing w:after="0" w:line="200" w:lineRule="exact"/>
        <w:rPr>
          <w:sz w:val="20"/>
          <w:szCs w:val="20"/>
          <w:color w:val="auto"/>
        </w:rPr>
      </w:pPr>
    </w:p>
    <w:p>
      <w:pPr>
        <w:spacing w:after="0" w:line="245"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By: /s/ Charles Sermon</w:t>
      </w:r>
    </w:p>
    <w:p>
      <w:pPr>
        <w:spacing w:after="0" w:line="23" w:lineRule="exact"/>
        <w:rPr>
          <w:sz w:val="20"/>
          <w:szCs w:val="20"/>
          <w:color w:val="auto"/>
        </w:rPr>
      </w:pPr>
    </w:p>
    <w:p>
      <w:pPr>
        <w:ind w:left="6700"/>
        <w:spacing w:after="0"/>
        <w:tabs>
          <w:tab w:leader="none" w:pos="73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Charles Sermon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-130810</wp:posOffset>
            </wp:positionV>
            <wp:extent cx="21266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3" w:lineRule="exact"/>
        <w:rPr>
          <w:sz w:val="20"/>
          <w:szCs w:val="20"/>
          <w:color w:val="auto"/>
        </w:rPr>
      </w:pPr>
    </w:p>
    <w:p>
      <w:pPr>
        <w:ind w:left="6700"/>
        <w:spacing w:after="0"/>
        <w:tabs>
          <w:tab w:leader="none" w:pos="7300" w:val="left"/>
        </w:tabs>
        <w:rPr>
          <w:sz w:val="20"/>
          <w:szCs w:val="20"/>
          <w:color w:val="auto"/>
        </w:rPr>
      </w:pPr>
      <w:r>
        <w:rPr>
          <w:rFonts w:ascii="Arial" w:cs="Arial" w:eastAsia="Arial" w:hAnsi="Arial"/>
          <w:sz w:val="18"/>
          <w:szCs w:val="18"/>
          <w:color w:val="auto"/>
        </w:rPr>
        <w:t>Title:</w:t>
        <w:tab/>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846455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78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2019-12-01T13:49:42Z</dcterms:created>
  <dcterms:modified xsi:type="dcterms:W3CDTF">2019-12-01T13:49:42Z</dcterms:modified>
</cp:coreProperties>
</file>