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August 12, 2025</w:t>
      </w:r>
    </w:p>
    <w:p>
      <w:pPr>
        <w:spacing w:after="0" w:line="1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MEREO BIOPHARMA GROUP PLC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118" w:right="339" w:bottom="1440" w:gutter="0" w:footer="0" w:header="0"/>
        </w:sectPr>
      </w:pPr>
    </w:p>
    <w:p>
      <w:pPr>
        <w:spacing w:after="0" w:line="147"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England and Wales</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001-38452</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20" w:space="720"/>
            <w:col w:w="2840" w:space="720"/>
            <w:col w:w="3040"/>
          </w:cols>
          <w:pgMar w:left="320" w:top="1118"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8"/>
          <w:szCs w:val="18"/>
          <w:color w:val="auto"/>
        </w:rPr>
        <w:t>incorporation)</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4th Floor, One Cavendish Place,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London, W1G 0QF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5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+44-333-023-7300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ectPr>
          <w:pgSz w:w="11900" w:h="16838" w:orient="portrait"/>
          <w:cols w:equalWidth="0" w:num="1">
            <w:col w:w="11240"/>
          </w:cols>
          <w:pgMar w:left="320" w:top="1118" w:right="339" w:bottom="1440" w:gutter="0" w:footer="0" w:header="0"/>
          <w:type w:val="continuous"/>
        </w:sectPr>
      </w:pPr>
    </w:p>
    <w:p>
      <w:pPr>
        <w:spacing w:after="0" w:line="13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760" w:hanging="213"/>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760" w:hanging="213"/>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760" w:hanging="213"/>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760" w:hanging="213"/>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bl>
      <w:tblPr>
        <w:tblLayout w:type="fixed"/>
        <w:tblInd w:w="0" w:type="dxa"/>
        <w:tblCellMar>
          <w:top w:w="0" w:type="dxa"/>
          <w:left w:w="0" w:type="dxa"/>
          <w:bottom w:w="0" w:type="dxa"/>
          <w:right w:w="0" w:type="dxa"/>
        </w:tblCellMar>
      </w:tblPr>
      <w:tr>
        <w:trPr>
          <w:trHeight w:val="15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3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00" w:type="dxa"/>
            <w:vAlign w:val="bottom"/>
          </w:tcPr>
          <w:p>
            <w:pPr>
              <w:spacing w:after="0"/>
              <w:rPr>
                <w:sz w:val="13"/>
                <w:szCs w:val="13"/>
                <w:color w:val="auto"/>
              </w:rPr>
            </w:pPr>
          </w:p>
        </w:tc>
        <w:tc>
          <w:tcPr>
            <w:tcW w:w="326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Name of each exchange on which</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4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0" w:type="dxa"/>
            <w:vAlign w:val="bottom"/>
          </w:tcPr>
          <w:p>
            <w:pPr>
              <w:spacing w:after="0"/>
              <w:rPr>
                <w:sz w:val="1"/>
                <w:szCs w:val="1"/>
                <w:color w:val="auto"/>
              </w:rPr>
            </w:pPr>
          </w:p>
        </w:tc>
      </w:tr>
      <w:tr>
        <w:trPr>
          <w:trHeight w:val="191"/>
        </w:trPr>
        <w:tc>
          <w:tcPr>
            <w:tcW w:w="428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American Depositary Shares, each representing five</w:t>
            </w:r>
          </w:p>
        </w:tc>
        <w:tc>
          <w:tcPr>
            <w:tcW w:w="120" w:type="dxa"/>
            <w:vAlign w:val="bottom"/>
          </w:tcPr>
          <w:p>
            <w:pPr>
              <w:spacing w:after="0"/>
              <w:rPr>
                <w:sz w:val="16"/>
                <w:szCs w:val="16"/>
                <w:color w:val="auto"/>
              </w:rPr>
            </w:pPr>
          </w:p>
        </w:tc>
        <w:tc>
          <w:tcPr>
            <w:tcW w:w="34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MREO</w:t>
            </w:r>
          </w:p>
        </w:tc>
        <w:tc>
          <w:tcPr>
            <w:tcW w:w="100" w:type="dxa"/>
            <w:vAlign w:val="bottom"/>
          </w:tcPr>
          <w:p>
            <w:pPr>
              <w:spacing w:after="0"/>
              <w:rPr>
                <w:sz w:val="16"/>
                <w:szCs w:val="16"/>
                <w:color w:val="auto"/>
              </w:rPr>
            </w:pPr>
          </w:p>
        </w:tc>
        <w:tc>
          <w:tcPr>
            <w:tcW w:w="32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Ordinary Shares, par value £0.003 per share</w:t>
            </w:r>
          </w:p>
        </w:tc>
        <w:tc>
          <w:tcPr>
            <w:tcW w:w="1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Ordinary Shares, nominal value £0.003 per share*</w:t>
            </w:r>
          </w:p>
        </w:tc>
        <w:tc>
          <w:tcPr>
            <w:tcW w:w="36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*Not for trading, but only in connection with the listing of the American Depositary Shares on The Nasdaq Stock Market LLC.</w:t>
      </w:r>
    </w:p>
    <w:p>
      <w:pPr>
        <w:spacing w:after="0" w:line="225" w:lineRule="exact"/>
        <w:rPr>
          <w:sz w:val="24"/>
          <w:szCs w:val="24"/>
          <w:color w:val="auto"/>
        </w:rPr>
      </w:pPr>
    </w:p>
    <w:p>
      <w:pPr>
        <w:jc w:val="both"/>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86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1007110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August 12, 2025, Mereo BioPharma Group plc announced its financial results for the second quarter ended June 30, 2025 and provided recent corporate highlights. The full text of the press release issued in connection with the announcement is furnished as Exhibit 99.1 to this Current Report on Form 8-K.</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748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4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837"/>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1680" w:type="dxa"/>
            <w:vAlign w:val="bottom"/>
          </w:tcPr>
          <w:p>
            <w:pPr>
              <w:spacing w:after="0"/>
              <w:rPr>
                <w:sz w:val="24"/>
                <w:szCs w:val="24"/>
                <w:color w:val="auto"/>
              </w:rPr>
            </w:pPr>
          </w:p>
        </w:tc>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0"/>
        </w:trPr>
        <w:tc>
          <w:tcPr>
            <w:tcW w:w="8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680" w:type="dxa"/>
            <w:vAlign w:val="bottom"/>
          </w:tcPr>
          <w:p>
            <w:pPr>
              <w:spacing w:after="0"/>
              <w:rPr>
                <w:sz w:val="24"/>
                <w:szCs w:val="24"/>
                <w:color w:val="auto"/>
              </w:rPr>
            </w:pPr>
          </w:p>
        </w:tc>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dated August 12, 2025</w:t>
            </w:r>
            <w:r>
              <w:rPr>
                <w:rFonts w:ascii="Times New Roman" w:cs="Times New Roman" w:eastAsia="Times New Roman" w:hAnsi="Times New Roman"/>
                <w:sz w:val="18"/>
                <w:szCs w:val="18"/>
                <w:color w:val="000000"/>
              </w:rPr>
              <w:t>.</w:t>
            </w:r>
          </w:p>
        </w:tc>
      </w:tr>
      <w:tr>
        <w:trPr>
          <w:trHeight w:val="20"/>
        </w:trPr>
        <w:tc>
          <w:tcPr>
            <w:tcW w:w="880" w:type="dxa"/>
            <w:vAlign w:val="bottom"/>
          </w:tcPr>
          <w:p>
            <w:pPr>
              <w:spacing w:after="0" w:line="20" w:lineRule="exact"/>
              <w:rPr>
                <w:sz w:val="1"/>
                <w:szCs w:val="1"/>
                <w:color w:val="auto"/>
              </w:rPr>
            </w:pPr>
          </w:p>
        </w:tc>
        <w:tc>
          <w:tcPr>
            <w:tcW w:w="1680" w:type="dxa"/>
            <w:vAlign w:val="bottom"/>
            <w:tcBorders>
              <w:right w:val="single" w:sz="8" w:color="0000EE"/>
            </w:tcBorders>
          </w:tcPr>
          <w:p>
            <w:pPr>
              <w:spacing w:after="0" w:line="20" w:lineRule="exact"/>
              <w:rPr>
                <w:sz w:val="1"/>
                <w:szCs w:val="1"/>
                <w:color w:val="auto"/>
              </w:rPr>
            </w:pPr>
          </w:p>
        </w:tc>
        <w:tc>
          <w:tcPr>
            <w:tcW w:w="2700" w:type="dxa"/>
            <w:vAlign w:val="bottom"/>
            <w:tcBorders>
              <w:right w:val="single" w:sz="8" w:color="0000EE"/>
            </w:tcBorders>
            <w:gridSpan w:val="2"/>
            <w:shd w:val="clear" w:color="auto" w:fill="0000FF"/>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45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680" w:type="dxa"/>
            <w:vAlign w:val="bottom"/>
          </w:tcPr>
          <w:p>
            <w:pPr>
              <w:spacing w:after="0"/>
              <w:rPr>
                <w:sz w:val="24"/>
                <w:szCs w:val="24"/>
                <w:color w:val="auto"/>
              </w:rPr>
            </w:pPr>
          </w:p>
        </w:tc>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the registrant has duly caused this report to be signed on its behalf by the undersigned, hereunto duly authorized.</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760" w:type="dxa"/>
            <w:vAlign w:val="bottom"/>
          </w:tcPr>
          <w:p>
            <w:pPr>
              <w:spacing w:after="0"/>
              <w:rPr>
                <w:sz w:val="22"/>
                <w:szCs w:val="22"/>
                <w:color w:val="auto"/>
              </w:rPr>
            </w:pPr>
          </w:p>
        </w:tc>
        <w:tc>
          <w:tcPr>
            <w:tcW w:w="7480" w:type="dxa"/>
            <w:vAlign w:val="bottom"/>
            <w:gridSpan w:val="3"/>
          </w:tcPr>
          <w:p>
            <w:pPr>
              <w:ind w:left="1960"/>
              <w:spacing w:after="0"/>
              <w:rPr>
                <w:sz w:val="20"/>
                <w:szCs w:val="20"/>
                <w:color w:val="auto"/>
              </w:rPr>
            </w:pPr>
            <w:r>
              <w:rPr>
                <w:rFonts w:ascii="Times New Roman" w:cs="Times New Roman" w:eastAsia="Times New Roman" w:hAnsi="Times New Roman"/>
                <w:sz w:val="20"/>
                <w:szCs w:val="20"/>
                <w:color w:val="auto"/>
              </w:rPr>
              <w:t>MEREO BIOPHARMA GROUP PLC</w:t>
            </w:r>
          </w:p>
        </w:tc>
      </w:tr>
      <w:tr>
        <w:trPr>
          <w:trHeight w:val="453"/>
        </w:trPr>
        <w:tc>
          <w:tcPr>
            <w:tcW w:w="3760" w:type="dxa"/>
            <w:vAlign w:val="bottom"/>
          </w:tcPr>
          <w:p>
            <w:pPr>
              <w:spacing w:after="0"/>
              <w:rPr>
                <w:sz w:val="20"/>
                <w:szCs w:val="20"/>
                <w:color w:val="auto"/>
              </w:rPr>
            </w:pPr>
            <w:r>
              <w:rPr>
                <w:rFonts w:ascii="Times New Roman" w:cs="Times New Roman" w:eastAsia="Times New Roman" w:hAnsi="Times New Roman"/>
                <w:sz w:val="20"/>
                <w:szCs w:val="20"/>
                <w:color w:val="auto"/>
              </w:rPr>
              <w:t>Date: August 12, 2025</w:t>
            </w:r>
          </w:p>
        </w:tc>
        <w:tc>
          <w:tcPr>
            <w:tcW w:w="7480" w:type="dxa"/>
            <w:vAlign w:val="bottom"/>
            <w:gridSpan w:val="3"/>
          </w:tcPr>
          <w:p>
            <w:pPr>
              <w:ind w:left="1960"/>
              <w:spacing w:after="0"/>
              <w:rPr>
                <w:sz w:val="20"/>
                <w:szCs w:val="20"/>
                <w:color w:val="auto"/>
              </w:rPr>
            </w:pPr>
            <w:r>
              <w:rPr>
                <w:rFonts w:ascii="Times New Roman" w:cs="Times New Roman" w:eastAsia="Times New Roman" w:hAnsi="Times New Roman"/>
                <w:sz w:val="20"/>
                <w:szCs w:val="20"/>
                <w:color w:val="auto"/>
              </w:rPr>
              <w:t>By:  /s/ Christine Fox</w:t>
            </w:r>
          </w:p>
        </w:tc>
      </w:tr>
      <w:tr>
        <w:trPr>
          <w:trHeight w:val="200"/>
        </w:trPr>
        <w:tc>
          <w:tcPr>
            <w:tcW w:w="37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8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4160" w:type="dxa"/>
            <w:vAlign w:val="bottom"/>
            <w:tcBorders>
              <w:top w:val="single" w:sz="8" w:color="auto"/>
            </w:tcBorders>
          </w:tcPr>
          <w:p>
            <w:pPr>
              <w:ind w:left="360"/>
              <w:spacing w:after="0" w:line="200" w:lineRule="exact"/>
              <w:rPr>
                <w:sz w:val="20"/>
                <w:szCs w:val="20"/>
                <w:color w:val="auto"/>
              </w:rPr>
            </w:pPr>
            <w:r>
              <w:rPr>
                <w:rFonts w:ascii="Times New Roman" w:cs="Times New Roman" w:eastAsia="Times New Roman" w:hAnsi="Times New Roman"/>
                <w:sz w:val="20"/>
                <w:szCs w:val="20"/>
                <w:color w:val="auto"/>
              </w:rPr>
              <w:t>Christine Fox</w:t>
            </w:r>
          </w:p>
        </w:tc>
      </w:tr>
      <w:tr>
        <w:trPr>
          <w:trHeight w:val="258"/>
        </w:trPr>
        <w:tc>
          <w:tcPr>
            <w:tcW w:w="376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1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973"/>
        </w:trPr>
        <w:tc>
          <w:tcPr>
            <w:tcW w:w="376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Mereo BioPharma Reports Second Quarter 2025 Financial Results and Provides Corporate Highlights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Data from Phase 3 Orbit and Cosmic studies of setrusumab in osteogenesis imperfecta expected around year-end 2025</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Cash of $56.1 million as of June 30, 2025, expected to support operations into 2027</w:t>
      </w:r>
    </w:p>
    <w:p>
      <w:pPr>
        <w:spacing w:after="0" w:line="22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London, August 12, 2025 </w:t>
      </w:r>
      <w:r>
        <w:rPr>
          <w:rFonts w:ascii="Times New Roman" w:cs="Times New Roman" w:eastAsia="Times New Roman" w:hAnsi="Times New Roman"/>
          <w:sz w:val="18"/>
          <w:szCs w:val="18"/>
          <w:color w:val="auto"/>
        </w:rPr>
        <w:t>– Mereo BioPharma Group plc (NASDAQ: MREO) (“Mereo” or the “Company”), a clinical-stage biopharmaceutical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focused on rare diseases, today announced its financial results for the second quarter ended June 30, 2025, and provided recent corporate highlights.</w:t>
      </w:r>
    </w:p>
    <w:p>
      <w:pPr>
        <w:spacing w:after="0" w:line="15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look forward to the final analysis for the two ongoing Phase 3 studies for setrusumab in osteogenesis imperfecta, the Phase 3 Orbit study in pediatric and young adult patients, and the Phase 3 Cosmic study in young pediatric patients, around the end of the year. We continue to be excited about the potential of setrusumab to reduce fractures and improve other functional parameters for individuals living with osteogenesis imperfecta,” said Dr. Denise Scots-Knight, Chief Executive Officer of Mereo. “In parallel with the advancement of setrusumab, we are continuing to advance partnering discussions around alvelestat, our first-in-class oral small molecule for AATD-lung disease, and to ready the program for Phase 3 initiation. Our prudent management of our cash and resources means we are well positioned through these key milestones to support our operations into 2027.”</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2025 Highlights, Recent Developments, and Anticipated Milestones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Setrusumab (UX143) for osteogenesis imperfecta (OI)</w:t>
      </w:r>
    </w:p>
    <w:p>
      <w:pPr>
        <w:spacing w:after="0" w:line="121" w:lineRule="exact"/>
        <w:rPr>
          <w:sz w:val="20"/>
          <w:szCs w:val="20"/>
          <w:color w:val="auto"/>
        </w:rPr>
      </w:pPr>
    </w:p>
    <w:p>
      <w:pPr>
        <w:ind w:left="380" w:hanging="372"/>
        <w:spacing w:after="0" w:line="258" w:lineRule="auto"/>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3 Orbit and Cosmic studies, led by our partner Ultragenyx, evaluating setrusumab in pediatric and young adult patients and young pediatric patients with OI, are progressing towards their final analyses around the end of 2025. The randomized, placebo-controlled Phase 3 portion of the Orbit study was evaluated by the Data Monitoring Committee at an interim analysis in July 2025 and they informed Ultragenyx that setrusumab demonstrated an acceptable safety profile and that the study should continue to the final analysis. Data from the Cosmic study were not analyzed at the interim timepoint, consistent with the statistical analysis plan.</w:t>
      </w:r>
    </w:p>
    <w:p>
      <w:pPr>
        <w:spacing w:after="0" w:line="75" w:lineRule="exact"/>
        <w:rPr>
          <w:rFonts w:ascii="Times New Roman" w:cs="Times New Roman" w:eastAsia="Times New Roman" w:hAnsi="Times New Roman"/>
          <w:sz w:val="18"/>
          <w:szCs w:val="18"/>
          <w:color w:val="auto"/>
        </w:rPr>
      </w:pPr>
    </w:p>
    <w:p>
      <w:pPr>
        <w:ind w:left="380" w:right="40" w:hanging="372"/>
        <w:spacing w:after="0" w:line="282" w:lineRule="auto"/>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will continue dosing in both the Phase 3 Orbit and Cosmic studies, with the final analyses to be conducted after patients have been on therapy for at least 18-months. The threshold for the Phase 3 Orbit final analysis is p&lt;0.04 and for the Phase 3 Cosmic final analysis is p&lt;0.05.</w:t>
      </w:r>
    </w:p>
    <w:p>
      <w:pPr>
        <w:spacing w:after="0" w:line="53" w:lineRule="exact"/>
        <w:rPr>
          <w:rFonts w:ascii="Times New Roman" w:cs="Times New Roman" w:eastAsia="Times New Roman" w:hAnsi="Times New Roman"/>
          <w:sz w:val="18"/>
          <w:szCs w:val="18"/>
          <w:color w:val="auto"/>
        </w:rPr>
      </w:pPr>
    </w:p>
    <w:p>
      <w:pPr>
        <w:ind w:left="380" w:right="20" w:hanging="372"/>
        <w:spacing w:after="0" w:line="258" w:lineRule="auto"/>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Pre-commercial efforts continue in Europe where Mereo holds commercial rights. These include continuation of the SATURN program, working with existing OI datasets to better understand the natural history and the unmet medical need in pediatrics and adults and to generate data to support the health economic model, both important to support the assessment by Regulatory and Health Technology Assessment (HTA) bodies and payors. In addition, the activities to define the treatment landscape, including the number of treatment centers and the patient journey from childhood to adulthood, are being extended beyond the five major countries in Europe.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Alvelestat (MPH-966) for alpha-1-anti-trypsin deficiency lung disease (AATD-LD)</w:t>
      </w:r>
    </w:p>
    <w:p>
      <w:pPr>
        <w:spacing w:after="0" w:line="121"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to support initiation of the planned single, global Phase 3 pivotal study are ongoing.</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continues to be actively engaged with multiple potential partners regarding development and commercialization of alvelestat.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2025 Financial Results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Total research and development (“R&amp;D”) expenses increased by $0.4 million from $4.9 million in the three months ended June 30, 2024, to $5.4 million in the three months ended June 30, 2025. The increase was primarily due to increases of $2.2 million in R&amp;D expenses for setrusumab offset by decreases of $1.5 million and $0.2 million in R&amp;D expenses for alvelestat and etigilimab, respectively. The increase in program expenses for setrusumab was primarily driven by amounts due under the manufacturing and supply agreement with our partner, Ultragenyx, as well as ongoing activities related to real-world evidence programs and medical affairs activities in Europe. This is in addition to costs we incur in relation to our collaboration with Ultragenyx, who fund the global development of the program, including input into development, regulatory and manufacturing plans. The decrease in program expenses for alvelestat was primarily due to the completion of the drug formulation and manufacturing activities undertaken in preparation for the Phase 3 study in the three months ended June 30, 2024.</w:t>
      </w:r>
    </w:p>
    <w:p>
      <w:pPr>
        <w:spacing w:after="0" w:line="19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General and administrative (“G&amp;A”) expenses decreased by $2.4 million from $7.9 million in the second quarter of 2024 to $5.5 million in the second quarter of 2025. The decrease was primarily due to the recognition of a $1.9 million reduction in expenses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ind w:right="160"/>
        <w:spacing w:after="0" w:line="282" w:lineRule="auto"/>
        <w:rPr>
          <w:sz w:val="20"/>
          <w:szCs w:val="20"/>
          <w:color w:val="auto"/>
        </w:rPr>
      </w:pPr>
      <w:r>
        <w:rPr>
          <w:rFonts w:ascii="Times New Roman" w:cs="Times New Roman" w:eastAsia="Times New Roman" w:hAnsi="Times New Roman"/>
          <w:sz w:val="18"/>
          <w:szCs w:val="18"/>
          <w:color w:val="auto"/>
        </w:rPr>
        <w:t>three months ended June 30, 2025 for amounts received from our depository to reimburse certain expenses incurred by us in respect of our ADR program as well as lower professional fees.</w:t>
      </w:r>
    </w:p>
    <w:p>
      <w:pPr>
        <w:spacing w:after="0" w:line="16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Net loss for the second quarter ended June 30, 2025 was $14.6 million, compared to $12.3 million during the comparable period in 2024, primarily reflecting a foreign currency transaction loss of $5.4 million and increases in R&amp;D expenses, offset by a decrease in G&amp;A expenses and $0.5 million in revenue from a one-time milestone payment for the achievement of a clinical milestone on leflutrozole.</w:t>
      </w:r>
    </w:p>
    <w:p>
      <w:pPr>
        <w:spacing w:after="0" w:line="176"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As of June 30, 2025, the Company had cash and cash equivalents of $56.1 million, compared to $69.8 million as of December 31, 2024. The Company’s guidance remains unchanged, and it continues to expect, based on current operational plans, that its existing cash and cash equivalents balance will enable it to fund its currently committed clinical trials, operating expenses, and capital expenditure requirements into 2027. This guidance does not include any payments associated with a potential partnership for alvelestat or business development activity around any of the Company’s non-core programs.</w:t>
      </w:r>
    </w:p>
    <w:p>
      <w:pPr>
        <w:spacing w:after="0" w:line="164"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Total ordinary shares issued as of June 30, 2025, were 795,001,444. Total ADS equivalents as of June 30, 2025, were 159,000,288, with each ADS representing five ordinary shares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Mereo BioPharma</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Mereo BioPharma is a biopharmaceutical company focused on the development of innovative therapeutics for rare diseases. The Company has two rare disease product candidates: setrusumab for the treatment of osteogenesis imperfecta (OI); and alvelestat for the treatment of alpha-1 antitrypsin deficiency-associated lung disease (AATD-LD). The Company’s partner, Ultragenyx Pharmaceutical, Inc., has completed enrollment in the Phase 3 portion of a pivotal Phase 2/3 study in pediatrics and young adults (5 to 25 years old) for setrusumab in OI and in the Phase 3 study in pediatric patients (2 to &lt;7 years old). The partnership with Ultragenyx includes potential additional milestone payments of up to $245 million and royalties to Mereo on commercial sales in Ultragenyx territories. Mereo has retained EU and UK commercial rights and will pay Ultragenyx royalties on commercial sales in those territories. Setrusumab has received orphan designation for osteogenesis imperfecta from the European Commission (“EC”) and the FDA, PRIME designation from the EMA, and has Breakthrough Therapy designation and rare pediatric disease designation from the FDA. Alvelestat has received Orphan Designation for AATD from the EC and the FDA, and Fast Track designation from the FDA for AATD-LD. Following results from ASTRAEUS and ATALANTa in AATD-lung disease, the Company has aligned with the FDA and the EMA on the primary endpoints for a Phase 3 pivotal study which, if successful, could enable full approval in both the U.S. and Europe. Mereo has also entered into an exclusive global license agreement with ReproNovo SA, a reproductive medicine company, for the development and commercialization of leflutrozole, a non-steroidal aromatase inhibitor for the treatment of infertility in men with low testosterone. In addition, Mereo has two oncology product candidates, etigilimab, an anti-TIGIT; and navicixizumab for the potential treatment of late-line ovarian cancer. Navicixizumab has been partnered with Feng Biosciences, Inc. in a global licensing agreement that includes milestone payments and royalties.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that involve substantial risks and uncertainties. All statements other than statements of historical fact contained herein are forward-looking statements within the meaning of Section 27A of the United States Securities Act of 1933, as amended, and Section 21E of the United States Securities Exchange Act of 1934, as amended.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Such risks and uncertainties include, among others, the uncertainties inherent in the clinical development process; the Company’s reliance on third parties to conduct and provide funding for its clinical trials; the Company’s dependence on enrollment of patients in its clinical trials; and the Company’s dependence on its key executives. You should carefully consider the foregoing factors and the other risks and uncertainties that affect the Company’s business, including those described in the “Risk Factors” section of its Annual Report on Form 10-K, as well as discussions of potential risks, uncertainties, and other important factors in the Company’s subsequent filings with the Securities and Exchange Commission.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Mereo BioPharma Contacts:</w:t>
            </w: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14"/>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Mereo</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w w:val="98"/>
              </w:rPr>
              <w:t>+44</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(0)333 023 7300</w:t>
            </w:r>
          </w:p>
        </w:tc>
        <w:tc>
          <w:tcPr>
            <w:tcW w:w="1720" w:type="dxa"/>
            <w:vAlign w:val="bottom"/>
          </w:tcPr>
          <w:p>
            <w:pPr>
              <w:spacing w:after="0"/>
              <w:rPr>
                <w:sz w:val="24"/>
                <w:szCs w:val="24"/>
                <w:color w:val="auto"/>
              </w:rPr>
            </w:pP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Denise Scots-Knight, Chief Executive Officer</w:t>
            </w: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4"/>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Christine Fox, Chief Financial Officer</w:t>
            </w: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14"/>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Burns McClellan (Investor Relations Adviser to Mereo)</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w w:val="98"/>
              </w:rPr>
              <w:t>+01</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646 930 4406</w:t>
            </w:r>
          </w:p>
        </w:tc>
        <w:tc>
          <w:tcPr>
            <w:tcW w:w="1720" w:type="dxa"/>
            <w:vAlign w:val="bottom"/>
          </w:tcPr>
          <w:p>
            <w:pPr>
              <w:spacing w:after="0"/>
              <w:rPr>
                <w:sz w:val="24"/>
                <w:szCs w:val="24"/>
                <w:color w:val="auto"/>
              </w:rPr>
            </w:pPr>
          </w:p>
        </w:tc>
      </w:tr>
      <w:tr>
        <w:trPr>
          <w:trHeight w:val="212"/>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Lee Roth</w:t>
            </w: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198"/>
        </w:trPr>
        <w:tc>
          <w:tcPr>
            <w:tcW w:w="57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Investors</w:t>
            </w:r>
          </w:p>
        </w:tc>
        <w:tc>
          <w:tcPr>
            <w:tcW w:w="5540" w:type="dxa"/>
            <w:vAlign w:val="bottom"/>
            <w:gridSpan w:val="4"/>
          </w:tcPr>
          <w:p>
            <w:pPr>
              <w:ind w:left="1420"/>
              <w:spacing w:after="0" w:line="198" w:lineRule="exact"/>
              <w:rPr>
                <w:sz w:val="20"/>
                <w:szCs w:val="20"/>
                <w:color w:val="auto"/>
              </w:rPr>
            </w:pPr>
            <w:r>
              <w:rPr>
                <w:rFonts w:ascii="Times New Roman" w:cs="Times New Roman" w:eastAsia="Times New Roman" w:hAnsi="Times New Roman"/>
                <w:sz w:val="18"/>
                <w:szCs w:val="18"/>
                <w:color w:val="0432FF"/>
              </w:rPr>
              <w:t>investors@mereobiopharma.com</w:t>
            </w:r>
          </w:p>
        </w:tc>
      </w:tr>
      <w:tr>
        <w:trPr>
          <w:trHeight w:val="1432"/>
        </w:trPr>
        <w:tc>
          <w:tcPr>
            <w:tcW w:w="57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300" w:type="dxa"/>
            <w:vAlign w:val="bottom"/>
            <w:tcBorders>
              <w:top w:val="single" w:sz="8" w:color="0432FF"/>
              <w:bottom w:val="single" w:sz="8" w:color="9A9A9A"/>
            </w:tcBorders>
          </w:tcPr>
          <w:p>
            <w:pPr>
              <w:spacing w:after="0"/>
              <w:rPr>
                <w:sz w:val="24"/>
                <w:szCs w:val="24"/>
                <w:color w:val="auto"/>
              </w:rPr>
            </w:pPr>
          </w:p>
        </w:tc>
        <w:tc>
          <w:tcPr>
            <w:tcW w:w="2100" w:type="dxa"/>
            <w:vAlign w:val="bottom"/>
            <w:tcBorders>
              <w:top w:val="single" w:sz="8" w:color="0432FF"/>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6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92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60" w:type="dxa"/>
            <w:vAlign w:val="bottom"/>
            <w:gridSpan w:val="2"/>
            <w:shd w:val="clear" w:color="auto" w:fill="CFF0FC"/>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56,125</w:t>
            </w:r>
          </w:p>
        </w:tc>
        <w:tc>
          <w:tcPr>
            <w:tcW w:w="2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69,802</w:t>
            </w:r>
          </w:p>
        </w:tc>
        <w:tc>
          <w:tcPr>
            <w:tcW w:w="100" w:type="dxa"/>
            <w:vAlign w:val="bottom"/>
            <w:shd w:val="clear" w:color="auto" w:fill="CFF0FC"/>
          </w:tcPr>
          <w:p>
            <w:pPr>
              <w:spacing w:after="0"/>
              <w:rPr>
                <w:sz w:val="18"/>
                <w:szCs w:val="18"/>
                <w:color w:val="auto"/>
              </w:rPr>
            </w:pPr>
          </w:p>
        </w:tc>
      </w:tr>
      <w:tr>
        <w:trPr>
          <w:trHeight w:val="216"/>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00" w:type="dxa"/>
            <w:vAlign w:val="bottom"/>
          </w:tcPr>
          <w:p>
            <w:pPr>
              <w:spacing w:after="0"/>
              <w:rPr>
                <w:sz w:val="18"/>
                <w:szCs w:val="18"/>
                <w:color w:val="auto"/>
              </w:rPr>
            </w:pPr>
          </w:p>
        </w:tc>
      </w:tr>
      <w:tr>
        <w:trPr>
          <w:trHeight w:val="216"/>
        </w:trPr>
        <w:tc>
          <w:tcPr>
            <w:tcW w:w="60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Research and development incentives receivables</w:t>
            </w:r>
          </w:p>
        </w:tc>
        <w:tc>
          <w:tcPr>
            <w:tcW w:w="24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61,421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74,763</w:t>
            </w:r>
          </w:p>
        </w:tc>
        <w:tc>
          <w:tcPr>
            <w:tcW w:w="100" w:type="dxa"/>
            <w:vAlign w:val="bottom"/>
          </w:tcPr>
          <w:p>
            <w:pPr>
              <w:spacing w:after="0"/>
              <w:rPr>
                <w:sz w:val="18"/>
                <w:szCs w:val="18"/>
                <w:color w:val="auto"/>
              </w:rPr>
            </w:pPr>
          </w:p>
        </w:tc>
      </w:tr>
      <w:tr>
        <w:trPr>
          <w:trHeight w:val="216"/>
        </w:trPr>
        <w:tc>
          <w:tcPr>
            <w:tcW w:w="6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FF0FC"/>
          </w:tcPr>
          <w:p>
            <w:pPr>
              <w:spacing w:after="0"/>
              <w:rPr>
                <w:sz w:val="18"/>
                <w:szCs w:val="18"/>
                <w:color w:val="auto"/>
              </w:rPr>
            </w:pPr>
          </w:p>
        </w:tc>
      </w:tr>
      <w:tr>
        <w:trPr>
          <w:trHeight w:val="216"/>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Pr>
          <w:p>
            <w:pPr>
              <w:spacing w:after="0"/>
              <w:rPr>
                <w:sz w:val="18"/>
                <w:szCs w:val="18"/>
                <w:color w:val="auto"/>
              </w:rPr>
            </w:pPr>
          </w:p>
        </w:tc>
      </w:tr>
      <w:tr>
        <w:trPr>
          <w:trHeight w:val="216"/>
        </w:trPr>
        <w:tc>
          <w:tcPr>
            <w:tcW w:w="60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760" w:type="dxa"/>
            <w:vAlign w:val="bottom"/>
            <w:gridSpan w:val="2"/>
          </w:tcPr>
          <w:p>
            <w:pPr>
              <w:jc w:val="right"/>
              <w:ind w:right="135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62,631</w:t>
            </w:r>
          </w:p>
        </w:tc>
        <w:tc>
          <w:tcPr>
            <w:tcW w:w="200" w:type="dxa"/>
            <w:vAlign w:val="bottom"/>
          </w:tcPr>
          <w:p>
            <w:pPr>
              <w:spacing w:after="0"/>
              <w:rPr>
                <w:sz w:val="18"/>
                <w:szCs w:val="18"/>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76,390</w:t>
            </w:r>
          </w:p>
        </w:tc>
        <w:tc>
          <w:tcPr>
            <w:tcW w:w="100" w:type="dxa"/>
            <w:vAlign w:val="bottom"/>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760" w:type="dxa"/>
            <w:vAlign w:val="bottom"/>
            <w:gridSpan w:val="2"/>
            <w:shd w:val="clear" w:color="auto" w:fill="CFF0FC"/>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2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00" w:type="dxa"/>
            <w:vAlign w:val="bottom"/>
            <w:shd w:val="clear" w:color="auto" w:fill="CFF0FC"/>
          </w:tcPr>
          <w:p>
            <w:pPr>
              <w:spacing w:after="0"/>
              <w:rPr>
                <w:sz w:val="18"/>
                <w:szCs w:val="18"/>
                <w:color w:val="auto"/>
              </w:rPr>
            </w:pPr>
          </w:p>
        </w:tc>
      </w:tr>
      <w:tr>
        <w:trPr>
          <w:trHeight w:val="216"/>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100" w:type="dxa"/>
            <w:vAlign w:val="bottom"/>
          </w:tcPr>
          <w:p>
            <w:pPr>
              <w:spacing w:after="0"/>
              <w:rPr>
                <w:sz w:val="18"/>
                <w:szCs w:val="18"/>
                <w:color w:val="auto"/>
              </w:rPr>
            </w:pPr>
          </w:p>
        </w:tc>
      </w:tr>
      <w:tr>
        <w:trPr>
          <w:trHeight w:val="216"/>
        </w:trPr>
        <w:tc>
          <w:tcPr>
            <w:tcW w:w="60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Convertible loan notes – current</w:t>
            </w: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5,535</w:t>
            </w:r>
          </w:p>
        </w:tc>
        <w:tc>
          <w:tcPr>
            <w:tcW w:w="100" w:type="dxa"/>
            <w:vAlign w:val="bottom"/>
            <w:shd w:val="clear" w:color="auto" w:fill="CFF0FC"/>
          </w:tcPr>
          <w:p>
            <w:pPr>
              <w:spacing w:after="0"/>
              <w:rPr>
                <w:sz w:val="18"/>
                <w:szCs w:val="18"/>
                <w:color w:val="auto"/>
              </w:rPr>
            </w:pPr>
          </w:p>
        </w:tc>
      </w:tr>
      <w:tr>
        <w:trPr>
          <w:trHeight w:val="216"/>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18"/>
                <w:szCs w:val="18"/>
                <w:color w:val="auto"/>
              </w:rPr>
            </w:pPr>
          </w:p>
        </w:tc>
      </w:tr>
      <w:tr>
        <w:trPr>
          <w:trHeight w:val="216"/>
        </w:trPr>
        <w:tc>
          <w:tcPr>
            <w:tcW w:w="60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13,848</w:t>
            </w:r>
          </w:p>
        </w:tc>
        <w:tc>
          <w:tcPr>
            <w:tcW w:w="100" w:type="dxa"/>
            <w:vAlign w:val="bottom"/>
          </w:tcPr>
          <w:p>
            <w:pPr>
              <w:spacing w:after="0"/>
              <w:rPr>
                <w:sz w:val="18"/>
                <w:szCs w:val="18"/>
                <w:color w:val="auto"/>
              </w:rPr>
            </w:pPr>
          </w:p>
        </w:tc>
      </w:tr>
      <w:tr>
        <w:trPr>
          <w:trHeight w:val="216"/>
        </w:trPr>
        <w:tc>
          <w:tcPr>
            <w:tcW w:w="6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Warrant liabilities – non-current</w:t>
            </w: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shd w:val="clear" w:color="auto" w:fill="CFF0FC"/>
          </w:tcPr>
          <w:p>
            <w:pPr>
              <w:spacing w:after="0"/>
              <w:rPr>
                <w:sz w:val="18"/>
                <w:szCs w:val="18"/>
                <w:color w:val="auto"/>
              </w:rPr>
            </w:pPr>
          </w:p>
        </w:tc>
      </w:tr>
      <w:tr>
        <w:trPr>
          <w:trHeight w:val="216"/>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8"/>
                <w:szCs w:val="18"/>
                <w:color w:val="auto"/>
              </w:rPr>
            </w:pPr>
          </w:p>
        </w:tc>
      </w:tr>
      <w:tr>
        <w:trPr>
          <w:trHeight w:val="216"/>
        </w:trPr>
        <w:tc>
          <w:tcPr>
            <w:tcW w:w="60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760" w:type="dxa"/>
            <w:vAlign w:val="bottom"/>
            <w:gridSpan w:val="2"/>
          </w:tcPr>
          <w:p>
            <w:pPr>
              <w:jc w:val="right"/>
              <w:ind w:right="135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8,454</w:t>
            </w:r>
          </w:p>
        </w:tc>
        <w:tc>
          <w:tcPr>
            <w:tcW w:w="200" w:type="dxa"/>
            <w:vAlign w:val="bottom"/>
          </w:tcPr>
          <w:p>
            <w:pPr>
              <w:spacing w:after="0"/>
              <w:rPr>
                <w:sz w:val="18"/>
                <w:szCs w:val="18"/>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15,421</w:t>
            </w:r>
          </w:p>
        </w:tc>
        <w:tc>
          <w:tcPr>
            <w:tcW w:w="100" w:type="dxa"/>
            <w:vAlign w:val="bottom"/>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60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Ordinary shares, par value £0.003 per share; 795,001,444 shares issued at June</w:t>
            </w: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30, 2025 (December 31, 2024: 775,728,034)</w:t>
            </w:r>
          </w:p>
        </w:tc>
        <w:tc>
          <w:tcPr>
            <w:tcW w:w="1760" w:type="dxa"/>
            <w:vAlign w:val="bottom"/>
            <w:gridSpan w:val="2"/>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200" w:type="dxa"/>
            <w:vAlign w:val="bottom"/>
          </w:tcPr>
          <w:p>
            <w:pPr>
              <w:spacing w:after="0"/>
              <w:rPr>
                <w:sz w:val="20"/>
                <w:szCs w:val="20"/>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100" w:type="dxa"/>
            <w:vAlign w:val="bottom"/>
          </w:tcPr>
          <w:p>
            <w:pPr>
              <w:spacing w:after="0"/>
              <w:rPr>
                <w:sz w:val="20"/>
                <w:szCs w:val="20"/>
                <w:color w:val="auto"/>
              </w:rPr>
            </w:pPr>
          </w:p>
        </w:tc>
      </w:tr>
      <w:tr>
        <w:trPr>
          <w:trHeight w:val="216"/>
        </w:trPr>
        <w:tc>
          <w:tcPr>
            <w:tcW w:w="6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546,331</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539,642</w:t>
            </w:r>
          </w:p>
        </w:tc>
        <w:tc>
          <w:tcPr>
            <w:tcW w:w="100" w:type="dxa"/>
            <w:vAlign w:val="bottom"/>
            <w:shd w:val="clear" w:color="auto" w:fill="CFF0FC"/>
          </w:tcPr>
          <w:p>
            <w:pPr>
              <w:spacing w:after="0"/>
              <w:rPr>
                <w:sz w:val="18"/>
                <w:szCs w:val="18"/>
                <w:color w:val="auto"/>
              </w:rPr>
            </w:pPr>
          </w:p>
        </w:tc>
      </w:tr>
      <w:tr>
        <w:trPr>
          <w:trHeight w:val="216"/>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(486,643)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(462,883)</w:t>
            </w:r>
          </w:p>
        </w:tc>
      </w:tr>
      <w:tr>
        <w:trPr>
          <w:trHeight w:val="216"/>
        </w:trPr>
        <w:tc>
          <w:tcPr>
            <w:tcW w:w="6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(8,643)</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(18,849)</w:t>
            </w:r>
          </w:p>
        </w:tc>
      </w:tr>
      <w:tr>
        <w:trPr>
          <w:trHeight w:val="210"/>
        </w:trPr>
        <w:tc>
          <w:tcPr>
            <w:tcW w:w="60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40" w:type="dxa"/>
            <w:vAlign w:val="bottom"/>
            <w:tcBorders>
              <w:top w:val="single" w:sz="8" w:color="CFF0FC"/>
            </w:tcBorders>
          </w:tcPr>
          <w:p>
            <w:pPr>
              <w:spacing w:after="0"/>
              <w:rPr>
                <w:sz w:val="18"/>
                <w:szCs w:val="18"/>
                <w:color w:val="auto"/>
              </w:rPr>
            </w:pPr>
          </w:p>
        </w:tc>
        <w:tc>
          <w:tcPr>
            <w:tcW w:w="15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54,177</w:t>
            </w:r>
          </w:p>
        </w:tc>
        <w:tc>
          <w:tcPr>
            <w:tcW w:w="20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60,969</w:t>
            </w:r>
          </w:p>
        </w:tc>
        <w:tc>
          <w:tcPr>
            <w:tcW w:w="100" w:type="dxa"/>
            <w:vAlign w:val="bottom"/>
            <w:tcBorders>
              <w:top w:val="single" w:sz="8" w:color="CFF0FC"/>
            </w:tcBorders>
          </w:tcPr>
          <w:p>
            <w:pPr>
              <w:spacing w:after="0"/>
              <w:rPr>
                <w:sz w:val="18"/>
                <w:szCs w:val="18"/>
                <w:color w:val="auto"/>
              </w:rPr>
            </w:pPr>
          </w:p>
        </w:tc>
      </w:tr>
      <w:tr>
        <w:trPr>
          <w:trHeight w:val="250"/>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760" w:type="dxa"/>
            <w:vAlign w:val="bottom"/>
            <w:gridSpan w:val="2"/>
            <w:shd w:val="clear" w:color="auto" w:fill="CFF0FC"/>
          </w:tcPr>
          <w:p>
            <w:pPr>
              <w:jc w:val="right"/>
              <w:ind w:right="135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62,631</w:t>
            </w:r>
          </w:p>
        </w:tc>
        <w:tc>
          <w:tcPr>
            <w:tcW w:w="20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76,390</w:t>
            </w:r>
          </w:p>
        </w:tc>
        <w:tc>
          <w:tcPr>
            <w:tcW w:w="100" w:type="dxa"/>
            <w:vAlign w:val="bottom"/>
            <w:shd w:val="clear" w:color="auto" w:fill="CFF0FC"/>
          </w:tcPr>
          <w:p>
            <w:pPr>
              <w:spacing w:after="0"/>
              <w:rPr>
                <w:sz w:val="21"/>
                <w:szCs w:val="21"/>
                <w:color w:val="auto"/>
              </w:rPr>
            </w:pPr>
          </w:p>
        </w:tc>
      </w:tr>
      <w:tr>
        <w:trPr>
          <w:trHeight w:val="3335"/>
        </w:trPr>
        <w:tc>
          <w:tcPr>
            <w:tcW w:w="6020" w:type="dxa"/>
            <w:vAlign w:val="bottom"/>
            <w:tcBorders>
              <w:top w:val="single" w:sz="8" w:color="CFF0FC"/>
              <w:bottom w:val="single" w:sz="8" w:color="9A9A9A"/>
            </w:tcBorders>
          </w:tcPr>
          <w:p>
            <w:pPr>
              <w:spacing w:after="0"/>
              <w:rPr>
                <w:sz w:val="24"/>
                <w:szCs w:val="24"/>
                <w:color w:val="auto"/>
              </w:rPr>
            </w:pPr>
          </w:p>
        </w:tc>
        <w:tc>
          <w:tcPr>
            <w:tcW w:w="240" w:type="dxa"/>
            <w:vAlign w:val="bottom"/>
            <w:tcBorders>
              <w:top w:val="single" w:sz="8" w:color="CFF0FC"/>
              <w:bottom w:val="single" w:sz="8" w:color="9A9A9A"/>
            </w:tcBorders>
          </w:tcPr>
          <w:p>
            <w:pPr>
              <w:spacing w:after="0"/>
              <w:rPr>
                <w:sz w:val="24"/>
                <w:szCs w:val="24"/>
                <w:color w:val="auto"/>
              </w:rPr>
            </w:pPr>
          </w:p>
        </w:tc>
        <w:tc>
          <w:tcPr>
            <w:tcW w:w="1520" w:type="dxa"/>
            <w:vAlign w:val="bottom"/>
            <w:tcBorders>
              <w:top w:val="single" w:sz="8" w:color="auto"/>
              <w:bottom w:val="single" w:sz="8" w:color="9A9A9A"/>
            </w:tcBorders>
          </w:tcPr>
          <w:p>
            <w:pPr>
              <w:spacing w:after="0"/>
              <w:rPr>
                <w:sz w:val="24"/>
                <w:szCs w:val="24"/>
                <w:color w:val="auto"/>
              </w:rPr>
            </w:pPr>
          </w:p>
        </w:tc>
        <w:tc>
          <w:tcPr>
            <w:tcW w:w="740" w:type="dxa"/>
            <w:vAlign w:val="bottom"/>
            <w:tcBorders>
              <w:top w:val="single" w:sz="8" w:color="auto"/>
              <w:bottom w:val="single" w:sz="8" w:color="9A9A9A"/>
            </w:tcBorders>
          </w:tcPr>
          <w:p>
            <w:pPr>
              <w:spacing w:after="0"/>
              <w:rPr>
                <w:sz w:val="24"/>
                <w:szCs w:val="24"/>
                <w:color w:val="auto"/>
              </w:rPr>
            </w:pPr>
          </w:p>
        </w:tc>
        <w:tc>
          <w:tcPr>
            <w:tcW w:w="200" w:type="dxa"/>
            <w:vAlign w:val="bottom"/>
            <w:tcBorders>
              <w:top w:val="single" w:sz="8" w:color="CFF0FC"/>
              <w:bottom w:val="single" w:sz="8" w:color="9A9A9A"/>
            </w:tcBorders>
          </w:tcPr>
          <w:p>
            <w:pPr>
              <w:spacing w:after="0"/>
              <w:rPr>
                <w:sz w:val="24"/>
                <w:szCs w:val="24"/>
                <w:color w:val="auto"/>
              </w:rPr>
            </w:pPr>
          </w:p>
        </w:tc>
        <w:tc>
          <w:tcPr>
            <w:tcW w:w="160" w:type="dxa"/>
            <w:vAlign w:val="bottom"/>
            <w:tcBorders>
              <w:top w:val="single" w:sz="8" w:color="CFF0FC"/>
              <w:bottom w:val="single" w:sz="8" w:color="9A9A9A"/>
            </w:tcBorders>
          </w:tcPr>
          <w:p>
            <w:pPr>
              <w:spacing w:after="0"/>
              <w:rPr>
                <w:sz w:val="24"/>
                <w:szCs w:val="24"/>
                <w:color w:val="auto"/>
              </w:rPr>
            </w:pPr>
          </w:p>
        </w:tc>
        <w:tc>
          <w:tcPr>
            <w:tcW w:w="340" w:type="dxa"/>
            <w:vAlign w:val="bottom"/>
            <w:tcBorders>
              <w:top w:val="single" w:sz="8" w:color="auto"/>
              <w:bottom w:val="single" w:sz="8" w:color="9A9A9A"/>
            </w:tcBorders>
          </w:tcPr>
          <w:p>
            <w:pPr>
              <w:spacing w:after="0"/>
              <w:rPr>
                <w:sz w:val="24"/>
                <w:szCs w:val="24"/>
                <w:color w:val="auto"/>
              </w:rPr>
            </w:pPr>
          </w:p>
        </w:tc>
        <w:tc>
          <w:tcPr>
            <w:tcW w:w="192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-5974080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-5974080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-5417185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-5417185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-4148455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-4148455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-3590925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-3590925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-2459355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-2459355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-2167890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-2150745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-2167890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-2150745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OPERATIONS AND COMPREHENSIVE LOSS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0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4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(132)</w:t>
            </w: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(132)</w:t>
            </w:r>
          </w:p>
        </w:tc>
        <w:tc>
          <w:tcPr>
            <w:tcW w:w="4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(5,373)</w:t>
            </w:r>
          </w:p>
        </w:tc>
        <w:tc>
          <w:tcPr>
            <w:tcW w:w="2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(9,303)</w:t>
            </w:r>
          </w:p>
        </w:tc>
        <w:tc>
          <w:tcPr>
            <w:tcW w:w="4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(8,939)</w:t>
            </w: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(5,494)</w:t>
            </w: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(7,868)</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(12,766)</w:t>
            </w:r>
          </w:p>
        </w:tc>
        <w:tc>
          <w:tcPr>
            <w:tcW w:w="4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(13,777)</w:t>
            </w:r>
          </w:p>
        </w:tc>
        <w:tc>
          <w:tcPr>
            <w:tcW w:w="0" w:type="dxa"/>
            <w:vAlign w:val="bottom"/>
          </w:tcPr>
          <w:p>
            <w:pPr>
              <w:spacing w:after="0"/>
              <w:rPr>
                <w:sz w:val="1"/>
                <w:szCs w:val="1"/>
                <w:color w:val="auto"/>
              </w:rPr>
            </w:pPr>
          </w:p>
        </w:tc>
      </w:tr>
      <w:tr>
        <w:trPr>
          <w:trHeight w:val="20"/>
        </w:trPr>
        <w:tc>
          <w:tcPr>
            <w:tcW w:w="49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(10,499)</w:t>
            </w:r>
          </w:p>
        </w:tc>
        <w:tc>
          <w:tcPr>
            <w:tcW w:w="2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(21,701)</w:t>
            </w:r>
          </w:p>
        </w:tc>
        <w:tc>
          <w:tcPr>
            <w:tcW w:w="4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(22,716)</w:t>
            </w: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income/(expenses)</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(204)</w:t>
            </w:r>
          </w:p>
        </w:tc>
        <w:tc>
          <w:tcPr>
            <w:tcW w:w="4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fair value of warrants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transaction (loss)/gain, net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(5,326)</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(8,091)</w:t>
            </w:r>
          </w:p>
        </w:tc>
        <w:tc>
          <w:tcPr>
            <w:tcW w:w="4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research and development tax credit</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(14,616)</w:t>
            </w: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(12,255)</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(27,503)</w:t>
            </w:r>
          </w:p>
        </w:tc>
        <w:tc>
          <w:tcPr>
            <w:tcW w:w="4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(21,208)</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(14,616)</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(12,255)</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(27,503)</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(21,208)</w:t>
            </w:r>
          </w:p>
        </w:tc>
        <w:tc>
          <w:tcPr>
            <w:tcW w:w="0" w:type="dxa"/>
            <w:vAlign w:val="bottom"/>
          </w:tcPr>
          <w:p>
            <w:pPr>
              <w:spacing w:after="0"/>
              <w:rPr>
                <w:sz w:val="1"/>
                <w:szCs w:val="1"/>
                <w:color w:val="auto"/>
              </w:rPr>
            </w:pPr>
          </w:p>
        </w:tc>
      </w:tr>
      <w:tr>
        <w:trPr>
          <w:trHeight w:val="20"/>
        </w:trPr>
        <w:tc>
          <w:tcPr>
            <w:tcW w:w="49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 – basic and diluted</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(0.02)</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(0.03)</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50"/>
        </w:trPr>
        <w:tc>
          <w:tcPr>
            <w:tcW w:w="4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spacing w:after="0"/>
              <w:rPr>
                <w:sz w:val="21"/>
                <w:szCs w:val="21"/>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799,435,329</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spacing w:after="0"/>
              <w:rPr>
                <w:sz w:val="21"/>
                <w:szCs w:val="21"/>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711,770,804</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794,022,295</w:t>
            </w:r>
          </w:p>
        </w:tc>
        <w:tc>
          <w:tcPr>
            <w:tcW w:w="24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top w:val="single" w:sz="8" w:color="auto"/>
              <w:bottom w:val="single" w:sz="8" w:color="auto"/>
            </w:tcBorders>
            <w:shd w:val="clear" w:color="auto" w:fill="CFF0FC"/>
          </w:tcPr>
          <w:p>
            <w:pPr>
              <w:spacing w:after="0"/>
              <w:rPr>
                <w:sz w:val="21"/>
                <w:szCs w:val="21"/>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706,407,371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(14,616)</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(12,255)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(27,503)</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(21,208)</w:t>
            </w:r>
          </w:p>
        </w:tc>
        <w:tc>
          <w:tcPr>
            <w:tcW w:w="0" w:type="dxa"/>
            <w:vAlign w:val="bottom"/>
          </w:tcPr>
          <w:p>
            <w:pPr>
              <w:spacing w:after="0"/>
              <w:rPr>
                <w:sz w:val="1"/>
                <w:szCs w:val="1"/>
                <w:color w:val="auto"/>
              </w:rPr>
            </w:pPr>
          </w:p>
        </w:tc>
      </w:tr>
      <w:tr>
        <w:trPr>
          <w:trHeight w:val="198"/>
        </w:trPr>
        <w:tc>
          <w:tcPr>
            <w:tcW w:w="49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income/(loss) – Foreign currency translation</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6,647</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10,206</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(793)</w:t>
            </w:r>
          </w:p>
        </w:tc>
        <w:tc>
          <w:tcPr>
            <w:tcW w:w="0" w:type="dxa"/>
            <w:vAlign w:val="bottom"/>
          </w:tcPr>
          <w:p>
            <w:pPr>
              <w:spacing w:after="0"/>
              <w:rPr>
                <w:sz w:val="1"/>
                <w:szCs w:val="1"/>
                <w:color w:val="auto"/>
              </w:rPr>
            </w:pPr>
          </w:p>
        </w:tc>
      </w:tr>
      <w:tr>
        <w:trPr>
          <w:trHeight w:val="221"/>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net of tax</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6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(7,969)</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(12,250)</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(17,297)</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(22,001)</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4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-3213735</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-3213735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-3213735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-3213735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-1816735</wp:posOffset>
            </wp:positionV>
            <wp:extent cx="768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-1799590</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-1816735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-1799590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-1816735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-1799590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-1816735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-1799590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-1370965</wp:posOffset>
            </wp:positionV>
            <wp:extent cx="768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-1353820</wp:posOffset>
            </wp:positionV>
            <wp:extent cx="768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-1370965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-1353820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-1370965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-1353820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-1370965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-805180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-805180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-805180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2025-08-12T06:44:49Z</dcterms:created>
  <dcterms:modified xsi:type="dcterms:W3CDTF">2025-08-12T06:44:49Z</dcterms:modified>
</cp:coreProperties>
</file>