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0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May 13, 2025</w:t>
      </w:r>
    </w:p>
    <w:p>
      <w:pPr>
        <w:spacing w:after="0" w:line="1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MEREO BIOPHARMA GROUP PLC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9720"/>
          </w:cols>
          <w:pgMar w:left="1080" w:top="1321" w:right="1099" w:bottom="1440" w:gutter="0" w:footer="0" w:header="0"/>
        </w:sectPr>
      </w:pPr>
    </w:p>
    <w:p>
      <w:pPr>
        <w:spacing w:after="0" w:line="14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England and Wales</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001-38452</w:t>
      </w:r>
    </w:p>
    <w:p>
      <w:pPr>
        <w:spacing w:after="0" w:line="31"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 w:lineRule="exact"/>
        <w:rPr>
          <w:sz w:val="24"/>
          <w:szCs w:val="24"/>
          <w:color w:val="auto"/>
        </w:rPr>
      </w:pPr>
    </w:p>
    <w:p>
      <w:pPr>
        <w:sectPr>
          <w:pgSz w:w="11900" w:h="16838" w:orient="portrait"/>
          <w:cols w:equalWidth="0" w:num="3">
            <w:col w:w="3160" w:space="720"/>
            <w:col w:w="2340" w:space="720"/>
            <w:col w:w="2780"/>
          </w:cols>
          <w:pgMar w:left="1080" w:top="1321" w:right="1099" w:bottom="1440" w:gutter="0" w:footer="0" w:header="0"/>
          <w:type w:val="continuous"/>
        </w:sectPr>
      </w:pPr>
    </w:p>
    <w:p>
      <w:pPr>
        <w:ind w:left="1040"/>
        <w:spacing w:after="0"/>
        <w:rPr>
          <w:sz w:val="20"/>
          <w:szCs w:val="20"/>
          <w:color w:val="auto"/>
        </w:rPr>
      </w:pPr>
      <w:r>
        <w:rPr>
          <w:rFonts w:ascii="Times New Roman" w:cs="Times New Roman" w:eastAsia="Times New Roman" w:hAnsi="Times New Roman"/>
          <w:sz w:val="18"/>
          <w:szCs w:val="18"/>
          <w:color w:val="auto"/>
        </w:rPr>
        <w:t>incorporation)</w:t>
      </w:r>
    </w:p>
    <w:p>
      <w:pPr>
        <w:sectPr>
          <w:pgSz w:w="11900" w:h="16838" w:orient="portrait"/>
          <w:cols w:equalWidth="0" w:num="1">
            <w:col w:w="9720"/>
          </w:cols>
          <w:pgMar w:left="1080" w:top="1321" w:right="1099" w:bottom="1440" w:gutter="0" w:footer="0" w:header="0"/>
          <w:type w:val="continuous"/>
        </w:sectPr>
      </w:pP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4th Floor, One Cavendish Place,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London, W1G 0QF</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15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+44-333-023-7300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39" w:lineRule="exact"/>
        <w:rPr>
          <w:sz w:val="24"/>
          <w:szCs w:val="24"/>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680" w:hanging="210"/>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680" w:hanging="210"/>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680" w:hanging="210"/>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680" w:hanging="210"/>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bl>
      <w:tblPr>
        <w:tblLayout w:type="fixed"/>
        <w:tblInd w:w="0" w:type="dxa"/>
        <w:tblCellMar>
          <w:top w:w="0" w:type="dxa"/>
          <w:left w:w="0" w:type="dxa"/>
          <w:bottom w:w="0" w:type="dxa"/>
          <w:right w:w="0" w:type="dxa"/>
        </w:tblCellMar>
      </w:tblPr>
      <w:tr>
        <w:trPr>
          <w:trHeight w:val="151"/>
        </w:trPr>
        <w:tc>
          <w:tcPr>
            <w:tcW w:w="3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3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100" w:type="dxa"/>
            <w:vAlign w:val="bottom"/>
          </w:tcPr>
          <w:p>
            <w:pPr>
              <w:spacing w:after="0"/>
              <w:rPr>
                <w:sz w:val="13"/>
                <w:szCs w:val="13"/>
                <w:color w:val="auto"/>
              </w:rPr>
            </w:pPr>
          </w:p>
        </w:tc>
        <w:tc>
          <w:tcPr>
            <w:tcW w:w="280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Name of each exchange on which</w:t>
            </w:r>
          </w:p>
        </w:tc>
        <w:tc>
          <w:tcPr>
            <w:tcW w:w="0" w:type="dxa"/>
            <w:vAlign w:val="bottom"/>
          </w:tcPr>
          <w:p>
            <w:pPr>
              <w:spacing w:after="0"/>
              <w:rPr>
                <w:sz w:val="1"/>
                <w:szCs w:val="1"/>
                <w:color w:val="auto"/>
              </w:rPr>
            </w:pPr>
          </w:p>
        </w:tc>
      </w:tr>
      <w:tr>
        <w:trPr>
          <w:trHeight w:val="173"/>
        </w:trPr>
        <w:tc>
          <w:tcPr>
            <w:tcW w:w="37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30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0" w:type="dxa"/>
            <w:vAlign w:val="bottom"/>
          </w:tcPr>
          <w:p>
            <w:pPr>
              <w:spacing w:after="0"/>
              <w:rPr>
                <w:sz w:val="1"/>
                <w:szCs w:val="1"/>
                <w:color w:val="auto"/>
              </w:rPr>
            </w:pPr>
          </w:p>
        </w:tc>
      </w:tr>
      <w:tr>
        <w:trPr>
          <w:trHeight w:val="191"/>
        </w:trPr>
        <w:tc>
          <w:tcPr>
            <w:tcW w:w="3700" w:type="dxa"/>
            <w:vAlign w:val="bottom"/>
          </w:tcPr>
          <w:p>
            <w:pPr>
              <w:ind w:left="120"/>
              <w:spacing w:after="0" w:line="191" w:lineRule="exact"/>
              <w:rPr>
                <w:sz w:val="20"/>
                <w:szCs w:val="20"/>
                <w:color w:val="auto"/>
              </w:rPr>
            </w:pPr>
            <w:r>
              <w:rPr>
                <w:rFonts w:ascii="Times New Roman" w:cs="Times New Roman" w:eastAsia="Times New Roman" w:hAnsi="Times New Roman"/>
                <w:sz w:val="18"/>
                <w:szCs w:val="18"/>
                <w:color w:val="auto"/>
              </w:rPr>
              <w:t>American Depositary Shares, each representing</w:t>
            </w:r>
          </w:p>
        </w:tc>
        <w:tc>
          <w:tcPr>
            <w:tcW w:w="120" w:type="dxa"/>
            <w:vAlign w:val="bottom"/>
          </w:tcPr>
          <w:p>
            <w:pPr>
              <w:spacing w:after="0"/>
              <w:rPr>
                <w:sz w:val="16"/>
                <w:szCs w:val="16"/>
                <w:color w:val="auto"/>
              </w:rPr>
            </w:pPr>
          </w:p>
        </w:tc>
        <w:tc>
          <w:tcPr>
            <w:tcW w:w="30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MREO</w:t>
            </w:r>
          </w:p>
        </w:tc>
        <w:tc>
          <w:tcPr>
            <w:tcW w:w="100" w:type="dxa"/>
            <w:vAlign w:val="bottom"/>
          </w:tcPr>
          <w:p>
            <w:pPr>
              <w:spacing w:after="0"/>
              <w:rPr>
                <w:sz w:val="16"/>
                <w:szCs w:val="16"/>
                <w:color w:val="auto"/>
              </w:rPr>
            </w:pPr>
          </w:p>
        </w:tc>
        <w:tc>
          <w:tcPr>
            <w:tcW w:w="28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The Nasdaq Stock Market LLC</w:t>
            </w:r>
          </w:p>
        </w:tc>
        <w:tc>
          <w:tcPr>
            <w:tcW w:w="0" w:type="dxa"/>
            <w:vAlign w:val="bottom"/>
          </w:tcPr>
          <w:p>
            <w:pPr>
              <w:spacing w:after="0"/>
              <w:rPr>
                <w:sz w:val="1"/>
                <w:szCs w:val="1"/>
                <w:color w:val="auto"/>
              </w:rPr>
            </w:pPr>
          </w:p>
        </w:tc>
      </w:tr>
      <w:tr>
        <w:trPr>
          <w:trHeight w:val="216"/>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five Ordinary Shares, par value £0.003 per share</w:t>
            </w:r>
          </w:p>
        </w:tc>
        <w:tc>
          <w:tcPr>
            <w:tcW w:w="1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Ordinary Shares, nominal value £0.003 per share*</w:t>
            </w:r>
          </w:p>
        </w:tc>
        <w:tc>
          <w:tcPr>
            <w:tcW w:w="31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0"/>
                <w:szCs w:val="20"/>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c>
          <w:tcPr>
            <w:tcW w:w="0" w:type="dxa"/>
            <w:vAlign w:val="bottom"/>
          </w:tcPr>
          <w:p>
            <w:pPr>
              <w:spacing w:after="0"/>
              <w:rPr>
                <w:sz w:val="1"/>
                <w:szCs w:val="1"/>
                <w:color w:val="auto"/>
              </w:rPr>
            </w:pPr>
          </w:p>
        </w:tc>
      </w:tr>
    </w:tbl>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*Not for trading, but only in connection with the listing of the American Depositary Shares on The Nasdaq Stock Market LLC.</w:t>
      </w:r>
    </w:p>
    <w:p>
      <w:pPr>
        <w:spacing w:after="0" w:line="225" w:lineRule="exact"/>
        <w:rPr>
          <w:sz w:val="24"/>
          <w:szCs w:val="24"/>
          <w:color w:val="auto"/>
        </w:rPr>
      </w:pPr>
    </w:p>
    <w:p>
      <w:pPr>
        <w:jc w:val="both"/>
        <w:ind w:right="2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3" w:lineRule="exact"/>
        <w:rPr>
          <w:sz w:val="24"/>
          <w:szCs w:val="24"/>
          <w:color w:val="auto"/>
        </w:rPr>
      </w:pPr>
    </w:p>
    <w:p>
      <w:pPr>
        <w:ind w:left="718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ind w:right="4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-429895</wp:posOffset>
            </wp:positionH>
            <wp:positionV relativeFrom="paragraph">
              <wp:posOffset>1067435</wp:posOffset>
            </wp:positionV>
            <wp:extent cx="703770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171450</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213995</wp:posOffset>
            </wp:positionV>
            <wp:extent cx="617220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72200" cy="34290"/>
                    </a:xfrm>
                    <a:prstGeom prst="rect">
                      <a:avLst/>
                    </a:prstGeom>
                    <a:noFill/>
                  </pic:spPr>
                </pic:pic>
              </a:graphicData>
            </a:graphic>
          </wp:anchor>
        </w:drawing>
      </w:r>
    </w:p>
    <w:p>
      <w:pPr>
        <w:sectPr>
          <w:pgSz w:w="11900" w:h="16838" w:orient="portrait"/>
          <w:cols w:equalWidth="0" w:num="1">
            <w:col w:w="9720"/>
          </w:cols>
          <w:pgMar w:left="1080" w:top="1321" w:right="1099" w:bottom="1440" w:gutter="0" w:footer="0" w:header="0"/>
          <w:type w:val="continuous"/>
        </w:sectPr>
      </w:pPr>
    </w:p>
    <w:bookmarkStart w:id="1" w:name="page2"/>
    <w:bookmarkEnd w:id="1"/>
    <w:p>
      <w:pPr>
        <w:ind w:left="660"/>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62" w:lineRule="exact"/>
        <w:rPr>
          <w:sz w:val="20"/>
          <w:szCs w:val="20"/>
          <w:color w:val="auto"/>
        </w:rPr>
      </w:pPr>
    </w:p>
    <w:p>
      <w:pPr>
        <w:ind w:left="660" w:right="760"/>
        <w:spacing w:after="0" w:line="258" w:lineRule="auto"/>
        <w:rPr>
          <w:sz w:val="20"/>
          <w:szCs w:val="20"/>
          <w:color w:val="auto"/>
        </w:rPr>
      </w:pPr>
      <w:r>
        <w:rPr>
          <w:rFonts w:ascii="Times New Roman" w:cs="Times New Roman" w:eastAsia="Times New Roman" w:hAnsi="Times New Roman"/>
          <w:sz w:val="18"/>
          <w:szCs w:val="18"/>
          <w:color w:val="auto"/>
        </w:rPr>
        <w:t>On May 13, 2025, Mereo BioPharma Group plc (the “Company”) held its 2025 Annual General Meeting of Shareholders (the “AGM”), and all resolutions were passed as proposed (except for Resolution 6, as further described below). Of the ordinary shares entitled to vote, there were 624,188,662 ordinary shares represented in person or by proxy at the AGM. The matters voted upon at the AGM, and the final results of such voting are set forth below. A “vote withheld” is not a vote in law and votes withheld had no effect on the proposals.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Resolution 1</w:t>
      </w:r>
    </w:p>
    <w:p>
      <w:pPr>
        <w:spacing w:after="0" w:line="117" w:lineRule="exact"/>
        <w:rPr>
          <w:sz w:val="20"/>
          <w:szCs w:val="20"/>
          <w:color w:val="auto"/>
        </w:rPr>
      </w:pPr>
    </w:p>
    <w:p>
      <w:pPr>
        <w:ind w:left="660" w:right="1300"/>
        <w:spacing w:after="0" w:line="282" w:lineRule="auto"/>
        <w:rPr>
          <w:sz w:val="20"/>
          <w:szCs w:val="20"/>
          <w:color w:val="auto"/>
        </w:rPr>
      </w:pPr>
      <w:r>
        <w:rPr>
          <w:rFonts w:ascii="Times New Roman" w:cs="Times New Roman" w:eastAsia="Times New Roman" w:hAnsi="Times New Roman"/>
          <w:sz w:val="18"/>
          <w:szCs w:val="18"/>
          <w:color w:val="auto"/>
        </w:rPr>
        <w:t>That the Company’s annual report and accounts for the year ended December 31, 2024, together with the directors’ report and independent auditor’s report thereon, be received and adopted.</w:t>
      </w:r>
    </w:p>
    <w:p>
      <w:pPr>
        <w:spacing w:after="0" w:line="162"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Vote for</w:t>
            </w:r>
          </w:p>
        </w:tc>
        <w:tc>
          <w:tcPr>
            <w:tcW w:w="260" w:type="dxa"/>
            <w:vAlign w:val="bottom"/>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of shares voted</w:t>
            </w:r>
          </w:p>
        </w:tc>
        <w:tc>
          <w:tcPr>
            <w:tcW w:w="26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Votes against</w:t>
            </w:r>
          </w:p>
        </w:tc>
        <w:tc>
          <w:tcPr>
            <w:tcW w:w="260" w:type="dxa"/>
            <w:vAlign w:val="bottom"/>
          </w:tcPr>
          <w:p>
            <w:pPr>
              <w:spacing w:after="0"/>
              <w:rPr>
                <w:sz w:val="20"/>
                <w:szCs w:val="20"/>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of shares voted</w:t>
            </w:r>
          </w:p>
        </w:tc>
        <w:tc>
          <w:tcPr>
            <w:tcW w:w="260" w:type="dxa"/>
            <w:vAlign w:val="bottom"/>
          </w:tcPr>
          <w:p>
            <w:pPr>
              <w:spacing w:after="0"/>
              <w:rPr>
                <w:sz w:val="20"/>
                <w:szCs w:val="20"/>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Votes withheld</w:t>
            </w:r>
          </w:p>
        </w:tc>
      </w:tr>
      <w:tr>
        <w:trPr>
          <w:trHeight w:val="228"/>
        </w:trPr>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528,804,500</w:t>
            </w:r>
          </w:p>
        </w:tc>
        <w:tc>
          <w:tcPr>
            <w:tcW w:w="260" w:type="dxa"/>
            <w:vAlign w:val="bottom"/>
          </w:tcPr>
          <w:p>
            <w:pPr>
              <w:spacing w:after="0"/>
              <w:rPr>
                <w:sz w:val="19"/>
                <w:szCs w:val="19"/>
                <w:color w:val="auto"/>
              </w:rPr>
            </w:pPr>
          </w:p>
        </w:tc>
        <w:tc>
          <w:tcPr>
            <w:tcW w:w="15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99.69%</w:t>
            </w:r>
          </w:p>
        </w:tc>
        <w:tc>
          <w:tcPr>
            <w:tcW w:w="260" w:type="dxa"/>
            <w:vAlign w:val="bottom"/>
          </w:tcPr>
          <w:p>
            <w:pPr>
              <w:spacing w:after="0"/>
              <w:rPr>
                <w:sz w:val="19"/>
                <w:szCs w:val="19"/>
                <w:color w:val="auto"/>
              </w:rPr>
            </w:pPr>
          </w:p>
        </w:tc>
        <w:tc>
          <w:tcPr>
            <w:tcW w:w="13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1,659,962</w:t>
            </w:r>
          </w:p>
        </w:tc>
        <w:tc>
          <w:tcPr>
            <w:tcW w:w="260" w:type="dxa"/>
            <w:vAlign w:val="bottom"/>
          </w:tcPr>
          <w:p>
            <w:pPr>
              <w:spacing w:after="0"/>
              <w:rPr>
                <w:sz w:val="19"/>
                <w:szCs w:val="19"/>
                <w:color w:val="auto"/>
              </w:rPr>
            </w:pPr>
          </w:p>
        </w:tc>
        <w:tc>
          <w:tcPr>
            <w:tcW w:w="15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0.31%</w:t>
            </w:r>
          </w:p>
        </w:tc>
        <w:tc>
          <w:tcPr>
            <w:tcW w:w="260" w:type="dxa"/>
            <w:vAlign w:val="bottom"/>
          </w:tcPr>
          <w:p>
            <w:pPr>
              <w:spacing w:after="0"/>
              <w:rPr>
                <w:sz w:val="19"/>
                <w:szCs w:val="19"/>
                <w:color w:val="auto"/>
              </w:rPr>
            </w:pPr>
          </w:p>
        </w:tc>
        <w:tc>
          <w:tcPr>
            <w:tcW w:w="15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93,724,200</w:t>
            </w:r>
          </w:p>
        </w:tc>
      </w:tr>
      <w:tr>
        <w:trPr>
          <w:trHeight w:val="414"/>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Resolution 2</w:t>
            </w: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pacing w:after="0" w:line="198" w:lineRule="exact"/>
        <w:rPr>
          <w:sz w:val="20"/>
          <w:szCs w:val="20"/>
          <w:color w:val="auto"/>
        </w:rPr>
      </w:pPr>
    </w:p>
    <w:p>
      <w:pPr>
        <w:ind w:left="660" w:right="1120"/>
        <w:spacing w:after="0" w:line="282" w:lineRule="auto"/>
        <w:rPr>
          <w:sz w:val="20"/>
          <w:szCs w:val="20"/>
          <w:color w:val="auto"/>
        </w:rPr>
      </w:pPr>
      <w:r>
        <w:rPr>
          <w:rFonts w:ascii="Times New Roman" w:cs="Times New Roman" w:eastAsia="Times New Roman" w:hAnsi="Times New Roman"/>
          <w:sz w:val="18"/>
          <w:szCs w:val="18"/>
          <w:color w:val="auto"/>
        </w:rPr>
        <w:t>That PricewaterhouseCoopers LLP (“PwC”) be re-appointed as auditors to hold office from the conclusion of the AGM until the conclusion of the next AGM at which the Company’s annual report and accounts are presented.</w:t>
      </w:r>
    </w:p>
    <w:p>
      <w:pPr>
        <w:spacing w:after="0" w:line="162"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Vote for</w:t>
            </w:r>
          </w:p>
        </w:tc>
        <w:tc>
          <w:tcPr>
            <w:tcW w:w="260" w:type="dxa"/>
            <w:vAlign w:val="bottom"/>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of shares voted</w:t>
            </w:r>
          </w:p>
        </w:tc>
        <w:tc>
          <w:tcPr>
            <w:tcW w:w="26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Votes against</w:t>
            </w:r>
          </w:p>
        </w:tc>
        <w:tc>
          <w:tcPr>
            <w:tcW w:w="260" w:type="dxa"/>
            <w:vAlign w:val="bottom"/>
          </w:tcPr>
          <w:p>
            <w:pPr>
              <w:spacing w:after="0"/>
              <w:rPr>
                <w:sz w:val="20"/>
                <w:szCs w:val="20"/>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of shares voted</w:t>
            </w:r>
          </w:p>
        </w:tc>
        <w:tc>
          <w:tcPr>
            <w:tcW w:w="260" w:type="dxa"/>
            <w:vAlign w:val="bottom"/>
          </w:tcPr>
          <w:p>
            <w:pPr>
              <w:spacing w:after="0"/>
              <w:rPr>
                <w:sz w:val="20"/>
                <w:szCs w:val="20"/>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Votes withheld</w:t>
            </w:r>
          </w:p>
        </w:tc>
      </w:tr>
      <w:tr>
        <w:trPr>
          <w:trHeight w:val="228"/>
        </w:trPr>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620,846,265</w:t>
            </w:r>
          </w:p>
        </w:tc>
        <w:tc>
          <w:tcPr>
            <w:tcW w:w="260" w:type="dxa"/>
            <w:vAlign w:val="bottom"/>
          </w:tcPr>
          <w:p>
            <w:pPr>
              <w:spacing w:after="0"/>
              <w:rPr>
                <w:sz w:val="19"/>
                <w:szCs w:val="19"/>
                <w:color w:val="auto"/>
              </w:rPr>
            </w:pPr>
          </w:p>
        </w:tc>
        <w:tc>
          <w:tcPr>
            <w:tcW w:w="15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99.58%</w:t>
            </w:r>
          </w:p>
        </w:tc>
        <w:tc>
          <w:tcPr>
            <w:tcW w:w="260" w:type="dxa"/>
            <w:vAlign w:val="bottom"/>
          </w:tcPr>
          <w:p>
            <w:pPr>
              <w:spacing w:after="0"/>
              <w:rPr>
                <w:sz w:val="19"/>
                <w:szCs w:val="19"/>
                <w:color w:val="auto"/>
              </w:rPr>
            </w:pPr>
          </w:p>
        </w:tc>
        <w:tc>
          <w:tcPr>
            <w:tcW w:w="13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2,638,987</w:t>
            </w:r>
          </w:p>
        </w:tc>
        <w:tc>
          <w:tcPr>
            <w:tcW w:w="260" w:type="dxa"/>
            <w:vAlign w:val="bottom"/>
          </w:tcPr>
          <w:p>
            <w:pPr>
              <w:spacing w:after="0"/>
              <w:rPr>
                <w:sz w:val="19"/>
                <w:szCs w:val="19"/>
                <w:color w:val="auto"/>
              </w:rPr>
            </w:pPr>
          </w:p>
        </w:tc>
        <w:tc>
          <w:tcPr>
            <w:tcW w:w="15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0.42%</w:t>
            </w:r>
          </w:p>
        </w:tc>
        <w:tc>
          <w:tcPr>
            <w:tcW w:w="260" w:type="dxa"/>
            <w:vAlign w:val="bottom"/>
          </w:tcPr>
          <w:p>
            <w:pPr>
              <w:spacing w:after="0"/>
              <w:rPr>
                <w:sz w:val="19"/>
                <w:szCs w:val="19"/>
                <w:color w:val="auto"/>
              </w:rPr>
            </w:pPr>
          </w:p>
        </w:tc>
        <w:tc>
          <w:tcPr>
            <w:tcW w:w="15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703,410</w:t>
            </w:r>
          </w:p>
        </w:tc>
      </w:tr>
      <w:tr>
        <w:trPr>
          <w:trHeight w:val="414"/>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Resolution 3</w:t>
            </w: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That the Company’s Audit and Risk Committee be authorized to determine PwC’s remuneration.</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13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Vote for</w:t>
            </w:r>
          </w:p>
        </w:tc>
        <w:tc>
          <w:tcPr>
            <w:tcW w:w="260" w:type="dxa"/>
            <w:vAlign w:val="bottom"/>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of shares voted</w:t>
            </w:r>
          </w:p>
        </w:tc>
        <w:tc>
          <w:tcPr>
            <w:tcW w:w="26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Votes against</w:t>
            </w:r>
          </w:p>
        </w:tc>
        <w:tc>
          <w:tcPr>
            <w:tcW w:w="260" w:type="dxa"/>
            <w:vAlign w:val="bottom"/>
          </w:tcPr>
          <w:p>
            <w:pPr>
              <w:spacing w:after="0"/>
              <w:rPr>
                <w:sz w:val="20"/>
                <w:szCs w:val="20"/>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of shares voted</w:t>
            </w:r>
          </w:p>
        </w:tc>
        <w:tc>
          <w:tcPr>
            <w:tcW w:w="260" w:type="dxa"/>
            <w:vAlign w:val="bottom"/>
          </w:tcPr>
          <w:p>
            <w:pPr>
              <w:spacing w:after="0"/>
              <w:rPr>
                <w:sz w:val="20"/>
                <w:szCs w:val="20"/>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Votes withheld</w:t>
            </w:r>
          </w:p>
        </w:tc>
      </w:tr>
      <w:tr>
        <w:trPr>
          <w:trHeight w:val="228"/>
        </w:trPr>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529,964,075</w:t>
            </w:r>
          </w:p>
        </w:tc>
        <w:tc>
          <w:tcPr>
            <w:tcW w:w="260" w:type="dxa"/>
            <w:vAlign w:val="bottom"/>
          </w:tcPr>
          <w:p>
            <w:pPr>
              <w:spacing w:after="0"/>
              <w:rPr>
                <w:sz w:val="19"/>
                <w:szCs w:val="19"/>
                <w:color w:val="auto"/>
              </w:rPr>
            </w:pPr>
          </w:p>
        </w:tc>
        <w:tc>
          <w:tcPr>
            <w:tcW w:w="15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99.91%</w:t>
            </w:r>
          </w:p>
        </w:tc>
        <w:tc>
          <w:tcPr>
            <w:tcW w:w="260" w:type="dxa"/>
            <w:vAlign w:val="bottom"/>
          </w:tcPr>
          <w:p>
            <w:pPr>
              <w:spacing w:after="0"/>
              <w:rPr>
                <w:sz w:val="19"/>
                <w:szCs w:val="19"/>
                <w:color w:val="auto"/>
              </w:rPr>
            </w:pPr>
          </w:p>
        </w:tc>
        <w:tc>
          <w:tcPr>
            <w:tcW w:w="13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465,987</w:t>
            </w:r>
          </w:p>
        </w:tc>
        <w:tc>
          <w:tcPr>
            <w:tcW w:w="260" w:type="dxa"/>
            <w:vAlign w:val="bottom"/>
          </w:tcPr>
          <w:p>
            <w:pPr>
              <w:spacing w:after="0"/>
              <w:rPr>
                <w:sz w:val="19"/>
                <w:szCs w:val="19"/>
                <w:color w:val="auto"/>
              </w:rPr>
            </w:pPr>
          </w:p>
        </w:tc>
        <w:tc>
          <w:tcPr>
            <w:tcW w:w="15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0.09%</w:t>
            </w:r>
          </w:p>
        </w:tc>
        <w:tc>
          <w:tcPr>
            <w:tcW w:w="260" w:type="dxa"/>
            <w:vAlign w:val="bottom"/>
          </w:tcPr>
          <w:p>
            <w:pPr>
              <w:spacing w:after="0"/>
              <w:rPr>
                <w:sz w:val="19"/>
                <w:szCs w:val="19"/>
                <w:color w:val="auto"/>
              </w:rPr>
            </w:pPr>
          </w:p>
        </w:tc>
        <w:tc>
          <w:tcPr>
            <w:tcW w:w="15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93,758,600</w:t>
            </w:r>
          </w:p>
        </w:tc>
      </w:tr>
      <w:tr>
        <w:trPr>
          <w:trHeight w:val="414"/>
        </w:trPr>
        <w:tc>
          <w:tcPr>
            <w:tcW w:w="13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98"/>
              </w:rPr>
              <w:t>Resolution 4</w:t>
            </w: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pacing w:after="0" w:line="198" w:lineRule="exact"/>
        <w:rPr>
          <w:sz w:val="20"/>
          <w:szCs w:val="20"/>
          <w:color w:val="auto"/>
        </w:rPr>
      </w:pPr>
    </w:p>
    <w:p>
      <w:pPr>
        <w:ind w:left="660" w:right="800"/>
        <w:spacing w:after="0" w:line="282" w:lineRule="auto"/>
        <w:rPr>
          <w:sz w:val="20"/>
          <w:szCs w:val="20"/>
          <w:color w:val="auto"/>
        </w:rPr>
      </w:pPr>
      <w:r>
        <w:rPr>
          <w:rFonts w:ascii="Times New Roman" w:cs="Times New Roman" w:eastAsia="Times New Roman" w:hAnsi="Times New Roman"/>
          <w:sz w:val="18"/>
          <w:szCs w:val="18"/>
          <w:color w:val="auto"/>
        </w:rPr>
        <w:t>That the directors’ remuneration report (excluding the directors’ remuneration policy), as set out in the Company’s annual report and accounts for the year ended December 31, 2024, be approved.</w:t>
      </w:r>
    </w:p>
    <w:p>
      <w:pPr>
        <w:spacing w:after="0" w:line="162"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Vote for</w:t>
            </w:r>
          </w:p>
        </w:tc>
        <w:tc>
          <w:tcPr>
            <w:tcW w:w="260" w:type="dxa"/>
            <w:vAlign w:val="bottom"/>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of shares voted</w:t>
            </w:r>
          </w:p>
        </w:tc>
        <w:tc>
          <w:tcPr>
            <w:tcW w:w="26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Votes against</w:t>
            </w:r>
          </w:p>
        </w:tc>
        <w:tc>
          <w:tcPr>
            <w:tcW w:w="260" w:type="dxa"/>
            <w:vAlign w:val="bottom"/>
          </w:tcPr>
          <w:p>
            <w:pPr>
              <w:spacing w:after="0"/>
              <w:rPr>
                <w:sz w:val="20"/>
                <w:szCs w:val="20"/>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of shares voted</w:t>
            </w:r>
          </w:p>
        </w:tc>
        <w:tc>
          <w:tcPr>
            <w:tcW w:w="260" w:type="dxa"/>
            <w:vAlign w:val="bottom"/>
          </w:tcPr>
          <w:p>
            <w:pPr>
              <w:spacing w:after="0"/>
              <w:rPr>
                <w:sz w:val="20"/>
                <w:szCs w:val="20"/>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Votes withheld</w:t>
            </w:r>
          </w:p>
        </w:tc>
      </w:tr>
      <w:tr>
        <w:trPr>
          <w:trHeight w:val="228"/>
        </w:trPr>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522,232,445</w:t>
            </w:r>
          </w:p>
        </w:tc>
        <w:tc>
          <w:tcPr>
            <w:tcW w:w="260" w:type="dxa"/>
            <w:vAlign w:val="bottom"/>
          </w:tcPr>
          <w:p>
            <w:pPr>
              <w:spacing w:after="0"/>
              <w:rPr>
                <w:sz w:val="19"/>
                <w:szCs w:val="19"/>
                <w:color w:val="auto"/>
              </w:rPr>
            </w:pPr>
          </w:p>
        </w:tc>
        <w:tc>
          <w:tcPr>
            <w:tcW w:w="15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98.64%</w:t>
            </w:r>
          </w:p>
        </w:tc>
        <w:tc>
          <w:tcPr>
            <w:tcW w:w="260" w:type="dxa"/>
            <w:vAlign w:val="bottom"/>
          </w:tcPr>
          <w:p>
            <w:pPr>
              <w:spacing w:after="0"/>
              <w:rPr>
                <w:sz w:val="19"/>
                <w:szCs w:val="19"/>
                <w:color w:val="auto"/>
              </w:rPr>
            </w:pPr>
          </w:p>
        </w:tc>
        <w:tc>
          <w:tcPr>
            <w:tcW w:w="13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7,210,212</w:t>
            </w:r>
          </w:p>
        </w:tc>
        <w:tc>
          <w:tcPr>
            <w:tcW w:w="260" w:type="dxa"/>
            <w:vAlign w:val="bottom"/>
          </w:tcPr>
          <w:p>
            <w:pPr>
              <w:spacing w:after="0"/>
              <w:rPr>
                <w:sz w:val="19"/>
                <w:szCs w:val="19"/>
                <w:color w:val="auto"/>
              </w:rPr>
            </w:pPr>
          </w:p>
        </w:tc>
        <w:tc>
          <w:tcPr>
            <w:tcW w:w="15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1.36%</w:t>
            </w:r>
          </w:p>
        </w:tc>
        <w:tc>
          <w:tcPr>
            <w:tcW w:w="260" w:type="dxa"/>
            <w:vAlign w:val="bottom"/>
          </w:tcPr>
          <w:p>
            <w:pPr>
              <w:spacing w:after="0"/>
              <w:rPr>
                <w:sz w:val="19"/>
                <w:szCs w:val="19"/>
                <w:color w:val="auto"/>
              </w:rPr>
            </w:pPr>
          </w:p>
        </w:tc>
        <w:tc>
          <w:tcPr>
            <w:tcW w:w="15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94,746,005</w:t>
            </w:r>
          </w:p>
        </w:tc>
      </w:tr>
      <w:tr>
        <w:trPr>
          <w:trHeight w:val="414"/>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Resolution 5</w:t>
            </w: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That the compensation of the Company’s named executive officers be approved, on an advisory (non-binding) basis.</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Vote for</w:t>
            </w:r>
          </w:p>
        </w:tc>
        <w:tc>
          <w:tcPr>
            <w:tcW w:w="260" w:type="dxa"/>
            <w:vAlign w:val="bottom"/>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of shares voted</w:t>
            </w:r>
          </w:p>
        </w:tc>
        <w:tc>
          <w:tcPr>
            <w:tcW w:w="26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Votes against</w:t>
            </w:r>
          </w:p>
        </w:tc>
        <w:tc>
          <w:tcPr>
            <w:tcW w:w="260" w:type="dxa"/>
            <w:vAlign w:val="bottom"/>
          </w:tcPr>
          <w:p>
            <w:pPr>
              <w:spacing w:after="0"/>
              <w:rPr>
                <w:sz w:val="20"/>
                <w:szCs w:val="20"/>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of shares voted</w:t>
            </w:r>
          </w:p>
        </w:tc>
        <w:tc>
          <w:tcPr>
            <w:tcW w:w="260" w:type="dxa"/>
            <w:vAlign w:val="bottom"/>
          </w:tcPr>
          <w:p>
            <w:pPr>
              <w:spacing w:after="0"/>
              <w:rPr>
                <w:sz w:val="20"/>
                <w:szCs w:val="20"/>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Votes withheld</w:t>
            </w:r>
          </w:p>
        </w:tc>
      </w:tr>
      <w:tr>
        <w:trPr>
          <w:trHeight w:val="228"/>
        </w:trPr>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519,808,650</w:t>
            </w:r>
          </w:p>
        </w:tc>
        <w:tc>
          <w:tcPr>
            <w:tcW w:w="260" w:type="dxa"/>
            <w:vAlign w:val="bottom"/>
          </w:tcPr>
          <w:p>
            <w:pPr>
              <w:spacing w:after="0"/>
              <w:rPr>
                <w:sz w:val="19"/>
                <w:szCs w:val="19"/>
                <w:color w:val="auto"/>
              </w:rPr>
            </w:pPr>
          </w:p>
        </w:tc>
        <w:tc>
          <w:tcPr>
            <w:tcW w:w="15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97.97%</w:t>
            </w:r>
          </w:p>
        </w:tc>
        <w:tc>
          <w:tcPr>
            <w:tcW w:w="260" w:type="dxa"/>
            <w:vAlign w:val="bottom"/>
          </w:tcPr>
          <w:p>
            <w:pPr>
              <w:spacing w:after="0"/>
              <w:rPr>
                <w:sz w:val="19"/>
                <w:szCs w:val="19"/>
                <w:color w:val="auto"/>
              </w:rPr>
            </w:pPr>
          </w:p>
        </w:tc>
        <w:tc>
          <w:tcPr>
            <w:tcW w:w="1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10,751,162</w:t>
            </w:r>
          </w:p>
        </w:tc>
        <w:tc>
          <w:tcPr>
            <w:tcW w:w="260" w:type="dxa"/>
            <w:vAlign w:val="bottom"/>
          </w:tcPr>
          <w:p>
            <w:pPr>
              <w:spacing w:after="0"/>
              <w:rPr>
                <w:sz w:val="19"/>
                <w:szCs w:val="19"/>
                <w:color w:val="auto"/>
              </w:rPr>
            </w:pPr>
          </w:p>
        </w:tc>
        <w:tc>
          <w:tcPr>
            <w:tcW w:w="15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2.03%</w:t>
            </w:r>
          </w:p>
        </w:tc>
        <w:tc>
          <w:tcPr>
            <w:tcW w:w="260" w:type="dxa"/>
            <w:vAlign w:val="bottom"/>
          </w:tcPr>
          <w:p>
            <w:pPr>
              <w:spacing w:after="0"/>
              <w:rPr>
                <w:sz w:val="19"/>
                <w:szCs w:val="19"/>
                <w:color w:val="auto"/>
              </w:rPr>
            </w:pPr>
          </w:p>
        </w:tc>
        <w:tc>
          <w:tcPr>
            <w:tcW w:w="15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93,628,850</w:t>
            </w:r>
          </w:p>
        </w:tc>
      </w:tr>
      <w:tr>
        <w:trPr>
          <w:trHeight w:val="414"/>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Resolution 6</w:t>
            </w: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pacing w:after="0" w:line="198" w:lineRule="exact"/>
        <w:rPr>
          <w:sz w:val="20"/>
          <w:szCs w:val="20"/>
          <w:color w:val="auto"/>
        </w:rPr>
      </w:pPr>
    </w:p>
    <w:p>
      <w:pPr>
        <w:ind w:left="660" w:right="1120"/>
        <w:spacing w:after="0" w:line="282" w:lineRule="auto"/>
        <w:rPr>
          <w:sz w:val="20"/>
          <w:szCs w:val="20"/>
          <w:color w:val="auto"/>
        </w:rPr>
      </w:pPr>
      <w:r>
        <w:rPr>
          <w:rFonts w:ascii="Times New Roman" w:cs="Times New Roman" w:eastAsia="Times New Roman" w:hAnsi="Times New Roman"/>
          <w:sz w:val="18"/>
          <w:szCs w:val="18"/>
          <w:color w:val="auto"/>
        </w:rPr>
        <w:t>That the frequency of future advisory votes on the compensation of the Company’s named executive officers be approved, on an advisory (non-binding) basis.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Vote for</w:t>
            </w:r>
          </w:p>
        </w:tc>
        <w:tc>
          <w:tcPr>
            <w:tcW w:w="260" w:type="dxa"/>
            <w:vAlign w:val="bottom"/>
          </w:tcPr>
          <w:p>
            <w:pPr>
              <w:spacing w:after="0"/>
              <w:rPr>
                <w:sz w:val="18"/>
                <w:szCs w:val="18"/>
                <w:color w:val="auto"/>
              </w:rPr>
            </w:pPr>
          </w:p>
        </w:tc>
        <w:tc>
          <w:tcPr>
            <w:tcW w:w="7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 of</w:t>
            </w:r>
          </w:p>
        </w:tc>
        <w:tc>
          <w:tcPr>
            <w:tcW w:w="26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Vote for</w:t>
            </w:r>
          </w:p>
        </w:tc>
        <w:tc>
          <w:tcPr>
            <w:tcW w:w="260" w:type="dxa"/>
            <w:vAlign w:val="bottom"/>
          </w:tcPr>
          <w:p>
            <w:pPr>
              <w:spacing w:after="0"/>
              <w:rPr>
                <w:sz w:val="18"/>
                <w:szCs w:val="18"/>
                <w:color w:val="auto"/>
              </w:rPr>
            </w:pPr>
          </w:p>
        </w:tc>
        <w:tc>
          <w:tcPr>
            <w:tcW w:w="8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 of</w:t>
            </w:r>
          </w:p>
        </w:tc>
        <w:tc>
          <w:tcPr>
            <w:tcW w:w="26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Vote for</w:t>
            </w:r>
          </w:p>
        </w:tc>
        <w:tc>
          <w:tcPr>
            <w:tcW w:w="260" w:type="dxa"/>
            <w:vAlign w:val="bottom"/>
          </w:tcPr>
          <w:p>
            <w:pPr>
              <w:spacing w:after="0"/>
              <w:rPr>
                <w:sz w:val="18"/>
                <w:szCs w:val="18"/>
                <w:color w:val="auto"/>
              </w:rPr>
            </w:pPr>
          </w:p>
        </w:tc>
        <w:tc>
          <w:tcPr>
            <w:tcW w:w="10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 of</w:t>
            </w:r>
          </w:p>
        </w:tc>
        <w:tc>
          <w:tcPr>
            <w:tcW w:w="31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Votes</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 Year</w:t>
            </w:r>
          </w:p>
        </w:tc>
        <w:tc>
          <w:tcPr>
            <w:tcW w:w="260" w:type="dxa"/>
            <w:vAlign w:val="bottom"/>
          </w:tcPr>
          <w:p>
            <w:pPr>
              <w:spacing w:after="0"/>
              <w:rPr>
                <w:sz w:val="18"/>
                <w:szCs w:val="18"/>
                <w:color w:val="auto"/>
              </w:rPr>
            </w:pPr>
          </w:p>
        </w:tc>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shares</w:t>
            </w:r>
          </w:p>
        </w:tc>
        <w:tc>
          <w:tcPr>
            <w:tcW w:w="26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 Years</w:t>
            </w:r>
          </w:p>
        </w:tc>
        <w:tc>
          <w:tcPr>
            <w:tcW w:w="260" w:type="dxa"/>
            <w:vAlign w:val="bottom"/>
          </w:tcPr>
          <w:p>
            <w:pPr>
              <w:spacing w:after="0"/>
              <w:rPr>
                <w:sz w:val="18"/>
                <w:szCs w:val="18"/>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shares</w:t>
            </w:r>
          </w:p>
        </w:tc>
        <w:tc>
          <w:tcPr>
            <w:tcW w:w="26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 Years</w:t>
            </w:r>
          </w:p>
        </w:tc>
        <w:tc>
          <w:tcPr>
            <w:tcW w:w="260" w:type="dxa"/>
            <w:vAlign w:val="bottom"/>
          </w:tcPr>
          <w:p>
            <w:pPr>
              <w:spacing w:after="0"/>
              <w:rPr>
                <w:sz w:val="18"/>
                <w:szCs w:val="18"/>
                <w:color w:val="auto"/>
              </w:rPr>
            </w:pPr>
          </w:p>
        </w:tc>
        <w:tc>
          <w:tcPr>
            <w:tcW w:w="10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shares</w:t>
            </w:r>
          </w:p>
        </w:tc>
        <w:tc>
          <w:tcPr>
            <w:tcW w:w="3140" w:type="dxa"/>
            <w:vAlign w:val="bottom"/>
            <w:gridSpan w:val="2"/>
          </w:tcPr>
          <w:p>
            <w:pPr>
              <w:jc w:val="center"/>
              <w:ind w:right="1980"/>
              <w:spacing w:after="0"/>
              <w:rPr>
                <w:sz w:val="20"/>
                <w:szCs w:val="20"/>
                <w:color w:val="auto"/>
              </w:rPr>
            </w:pPr>
            <w:r>
              <w:rPr>
                <w:rFonts w:ascii="Times New Roman" w:cs="Times New Roman" w:eastAsia="Times New Roman" w:hAnsi="Times New Roman"/>
                <w:sz w:val="18"/>
                <w:szCs w:val="18"/>
                <w:color w:val="auto"/>
              </w:rPr>
              <w:t>withheld</w:t>
            </w: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voted</w:t>
            </w:r>
          </w:p>
        </w:tc>
        <w:tc>
          <w:tcPr>
            <w:tcW w:w="26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voted</w:t>
            </w:r>
          </w:p>
        </w:tc>
        <w:tc>
          <w:tcPr>
            <w:tcW w:w="26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voted</w:t>
            </w:r>
          </w:p>
        </w:tc>
        <w:tc>
          <w:tcPr>
            <w:tcW w:w="1020" w:type="dxa"/>
            <w:vAlign w:val="bottom"/>
            <w:tcBorders>
              <w:bottom w:val="single" w:sz="8" w:color="auto"/>
            </w:tcBorders>
          </w:tcPr>
          <w:p>
            <w:pPr>
              <w:spacing w:after="0"/>
              <w:rPr>
                <w:sz w:val="20"/>
                <w:szCs w:val="20"/>
                <w:color w:val="auto"/>
              </w:rPr>
            </w:pP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660" w:type="dxa"/>
            <w:vAlign w:val="bottom"/>
          </w:tcPr>
          <w:p>
            <w:pPr>
              <w:spacing w:after="0"/>
              <w:rPr>
                <w:sz w:val="16"/>
                <w:szCs w:val="16"/>
                <w:color w:val="auto"/>
              </w:rPr>
            </w:pPr>
          </w:p>
        </w:tc>
        <w:tc>
          <w:tcPr>
            <w:tcW w:w="1100" w:type="dxa"/>
            <w:vAlign w:val="bottom"/>
          </w:tcPr>
          <w:p>
            <w:pPr>
              <w:jc w:val="right"/>
              <w:ind w:right="50"/>
              <w:spacing w:after="0" w:line="191" w:lineRule="exact"/>
              <w:rPr>
                <w:sz w:val="20"/>
                <w:szCs w:val="20"/>
                <w:color w:val="auto"/>
              </w:rPr>
            </w:pPr>
            <w:r>
              <w:rPr>
                <w:rFonts w:ascii="Times New Roman" w:cs="Times New Roman" w:eastAsia="Times New Roman" w:hAnsi="Times New Roman"/>
                <w:sz w:val="18"/>
                <w:szCs w:val="18"/>
                <w:color w:val="auto"/>
              </w:rPr>
              <w:t>282,263,09</w:t>
            </w:r>
          </w:p>
        </w:tc>
        <w:tc>
          <w:tcPr>
            <w:tcW w:w="102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48.08%</w:t>
            </w:r>
          </w:p>
        </w:tc>
        <w:tc>
          <w:tcPr>
            <w:tcW w:w="1280" w:type="dxa"/>
            <w:vAlign w:val="bottom"/>
            <w:gridSpan w:val="2"/>
            <w:vMerge w:val="restart"/>
          </w:tcPr>
          <w:p>
            <w:pPr>
              <w:jc w:val="center"/>
              <w:ind w:left="170"/>
              <w:spacing w:after="0"/>
              <w:rPr>
                <w:sz w:val="20"/>
                <w:szCs w:val="20"/>
                <w:color w:val="auto"/>
              </w:rPr>
            </w:pPr>
            <w:r>
              <w:rPr>
                <w:rFonts w:ascii="Times New Roman" w:cs="Times New Roman" w:eastAsia="Times New Roman" w:hAnsi="Times New Roman"/>
                <w:sz w:val="18"/>
                <w:szCs w:val="18"/>
                <w:color w:val="auto"/>
              </w:rPr>
              <w:t>32,647,895</w:t>
            </w:r>
          </w:p>
        </w:tc>
        <w:tc>
          <w:tcPr>
            <w:tcW w:w="1140" w:type="dxa"/>
            <w:vAlign w:val="bottom"/>
            <w:gridSpan w:val="2"/>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5.56%</w:t>
            </w:r>
          </w:p>
        </w:tc>
        <w:tc>
          <w:tcPr>
            <w:tcW w:w="1440" w:type="dxa"/>
            <w:vAlign w:val="bottom"/>
            <w:gridSpan w:val="2"/>
            <w:vMerge w:val="restart"/>
          </w:tcPr>
          <w:p>
            <w:pPr>
              <w:jc w:val="center"/>
              <w:ind w:left="170"/>
              <w:spacing w:after="0"/>
              <w:rPr>
                <w:sz w:val="20"/>
                <w:szCs w:val="20"/>
                <w:color w:val="auto"/>
              </w:rPr>
            </w:pPr>
            <w:r>
              <w:rPr>
                <w:rFonts w:ascii="Times New Roman" w:cs="Times New Roman" w:eastAsia="Times New Roman" w:hAnsi="Times New Roman"/>
                <w:sz w:val="18"/>
                <w:szCs w:val="18"/>
                <w:color w:val="auto"/>
                <w:w w:val="99"/>
              </w:rPr>
              <w:t>272,202,520</w:t>
            </w:r>
          </w:p>
        </w:tc>
        <w:tc>
          <w:tcPr>
            <w:tcW w:w="1260" w:type="dxa"/>
            <w:vAlign w:val="bottom"/>
            <w:gridSpan w:val="2"/>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46.36%</w:t>
            </w:r>
          </w:p>
        </w:tc>
        <w:tc>
          <w:tcPr>
            <w:tcW w:w="102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color w:val="auto"/>
              </w:rPr>
              <w:t>0</w:t>
            </w:r>
          </w:p>
        </w:tc>
        <w:tc>
          <w:tcPr>
            <w:tcW w:w="2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1760" w:type="dxa"/>
            <w:vAlign w:val="bottom"/>
            <w:gridSpan w:val="2"/>
            <w:vMerge w:val="restart"/>
          </w:tcPr>
          <w:p>
            <w:pPr>
              <w:jc w:val="right"/>
              <w:ind w:right="410"/>
              <w:spacing w:after="0"/>
              <w:rPr>
                <w:sz w:val="20"/>
                <w:szCs w:val="20"/>
                <w:color w:val="auto"/>
              </w:rPr>
            </w:pPr>
            <w:r>
              <w:rPr>
                <w:rFonts w:ascii="Times New Roman" w:cs="Times New Roman" w:eastAsia="Times New Roman" w:hAnsi="Times New Roman"/>
                <w:sz w:val="18"/>
                <w:szCs w:val="18"/>
                <w:color w:val="auto"/>
              </w:rPr>
              <w:t>0</w:t>
            </w:r>
          </w:p>
        </w:tc>
        <w:tc>
          <w:tcPr>
            <w:tcW w:w="1020" w:type="dxa"/>
            <w:vAlign w:val="bottom"/>
            <w:gridSpan w:val="2"/>
            <w:vMerge w:val="continue"/>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1440" w:type="dxa"/>
            <w:vAlign w:val="bottom"/>
            <w:gridSpan w:val="2"/>
            <w:vMerge w:val="continue"/>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2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76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35"/>
        </w:trPr>
        <w:tc>
          <w:tcPr>
            <w:tcW w:w="6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089" w:right="439" w:bottom="1440" w:gutter="0" w:footer="0" w:header="0"/>
        </w:sectPr>
      </w:pPr>
    </w:p>
    <w:bookmarkStart w:id="2" w:name="page3"/>
    <w:bookmarkEnd w:id="2"/>
    <w:p>
      <w:pPr>
        <w:jc w:val="both"/>
        <w:ind w:left="660" w:right="660"/>
        <w:spacing w:after="0" w:line="266" w:lineRule="auto"/>
        <w:rPr>
          <w:sz w:val="20"/>
          <w:szCs w:val="20"/>
          <w:color w:val="auto"/>
        </w:rPr>
      </w:pPr>
      <w:r>
        <w:rPr>
          <w:rFonts w:ascii="Times New Roman" w:cs="Times New Roman" w:eastAsia="Times New Roman" w:hAnsi="Times New Roman"/>
          <w:sz w:val="18"/>
          <w:szCs w:val="18"/>
          <w:color w:val="auto"/>
        </w:rPr>
        <w:t>Based on the results set forth in Resolution 6 above, the Company’s Board of Directors has determined that advisory votes on executive compensation will be submitted to shareholders on an annual basis until the next advisory vote on the frequency of shareholder votes on executive compensation, which will occur not later than the Company’s AGM in 2031.</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Resolution 7</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That Dr. Deepika Pakianathan be re-appointed as a director of the Company.</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Vote for</w:t>
            </w:r>
          </w:p>
        </w:tc>
        <w:tc>
          <w:tcPr>
            <w:tcW w:w="260" w:type="dxa"/>
            <w:vAlign w:val="bottom"/>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of shares voted</w:t>
            </w:r>
          </w:p>
        </w:tc>
        <w:tc>
          <w:tcPr>
            <w:tcW w:w="26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Votes against</w:t>
            </w:r>
          </w:p>
        </w:tc>
        <w:tc>
          <w:tcPr>
            <w:tcW w:w="260" w:type="dxa"/>
            <w:vAlign w:val="bottom"/>
          </w:tcPr>
          <w:p>
            <w:pPr>
              <w:spacing w:after="0"/>
              <w:rPr>
                <w:sz w:val="20"/>
                <w:szCs w:val="20"/>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of shares voted</w:t>
            </w:r>
          </w:p>
        </w:tc>
        <w:tc>
          <w:tcPr>
            <w:tcW w:w="260" w:type="dxa"/>
            <w:vAlign w:val="bottom"/>
          </w:tcPr>
          <w:p>
            <w:pPr>
              <w:spacing w:after="0"/>
              <w:rPr>
                <w:sz w:val="20"/>
                <w:szCs w:val="20"/>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Votes withheld</w:t>
            </w:r>
          </w:p>
        </w:tc>
      </w:tr>
      <w:tr>
        <w:trPr>
          <w:trHeight w:val="228"/>
        </w:trPr>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492,594,910</w:t>
            </w:r>
          </w:p>
        </w:tc>
        <w:tc>
          <w:tcPr>
            <w:tcW w:w="260" w:type="dxa"/>
            <w:vAlign w:val="bottom"/>
          </w:tcPr>
          <w:p>
            <w:pPr>
              <w:spacing w:after="0"/>
              <w:rPr>
                <w:sz w:val="19"/>
                <w:szCs w:val="19"/>
                <w:color w:val="auto"/>
              </w:rPr>
            </w:pPr>
          </w:p>
        </w:tc>
        <w:tc>
          <w:tcPr>
            <w:tcW w:w="15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93.06%</w:t>
            </w:r>
          </w:p>
        </w:tc>
        <w:tc>
          <w:tcPr>
            <w:tcW w:w="260" w:type="dxa"/>
            <w:vAlign w:val="bottom"/>
          </w:tcPr>
          <w:p>
            <w:pPr>
              <w:spacing w:after="0"/>
              <w:rPr>
                <w:sz w:val="19"/>
                <w:szCs w:val="19"/>
                <w:color w:val="auto"/>
              </w:rPr>
            </w:pPr>
          </w:p>
        </w:tc>
        <w:tc>
          <w:tcPr>
            <w:tcW w:w="1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36,733,627</w:t>
            </w:r>
          </w:p>
        </w:tc>
        <w:tc>
          <w:tcPr>
            <w:tcW w:w="260" w:type="dxa"/>
            <w:vAlign w:val="bottom"/>
          </w:tcPr>
          <w:p>
            <w:pPr>
              <w:spacing w:after="0"/>
              <w:rPr>
                <w:sz w:val="19"/>
                <w:szCs w:val="19"/>
                <w:color w:val="auto"/>
              </w:rPr>
            </w:pPr>
          </w:p>
        </w:tc>
        <w:tc>
          <w:tcPr>
            <w:tcW w:w="15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6.94%</w:t>
            </w:r>
          </w:p>
        </w:tc>
        <w:tc>
          <w:tcPr>
            <w:tcW w:w="260" w:type="dxa"/>
            <w:vAlign w:val="bottom"/>
          </w:tcPr>
          <w:p>
            <w:pPr>
              <w:spacing w:after="0"/>
              <w:rPr>
                <w:sz w:val="19"/>
                <w:szCs w:val="19"/>
                <w:color w:val="auto"/>
              </w:rPr>
            </w:pPr>
          </w:p>
        </w:tc>
        <w:tc>
          <w:tcPr>
            <w:tcW w:w="15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94,860,125</w:t>
            </w:r>
          </w:p>
        </w:tc>
      </w:tr>
    </w:tbl>
    <w:p>
      <w:pPr>
        <w:spacing w:after="0" w:line="3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Resolution 8</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That Dr. Pierre Jacquet be re-appointed as a director of the Company.</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Vote for</w:t>
            </w:r>
          </w:p>
        </w:tc>
        <w:tc>
          <w:tcPr>
            <w:tcW w:w="260" w:type="dxa"/>
            <w:vAlign w:val="bottom"/>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of shares voted</w:t>
            </w:r>
          </w:p>
        </w:tc>
        <w:tc>
          <w:tcPr>
            <w:tcW w:w="26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Votes against</w:t>
            </w:r>
          </w:p>
        </w:tc>
        <w:tc>
          <w:tcPr>
            <w:tcW w:w="260" w:type="dxa"/>
            <w:vAlign w:val="bottom"/>
          </w:tcPr>
          <w:p>
            <w:pPr>
              <w:spacing w:after="0"/>
              <w:rPr>
                <w:sz w:val="20"/>
                <w:szCs w:val="20"/>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of shares voted</w:t>
            </w:r>
          </w:p>
        </w:tc>
        <w:tc>
          <w:tcPr>
            <w:tcW w:w="260" w:type="dxa"/>
            <w:vAlign w:val="bottom"/>
          </w:tcPr>
          <w:p>
            <w:pPr>
              <w:spacing w:after="0"/>
              <w:rPr>
                <w:sz w:val="20"/>
                <w:szCs w:val="20"/>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Votes withheld</w:t>
            </w:r>
          </w:p>
        </w:tc>
      </w:tr>
      <w:tr>
        <w:trPr>
          <w:trHeight w:val="228"/>
        </w:trPr>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506,321,440</w:t>
            </w:r>
          </w:p>
        </w:tc>
        <w:tc>
          <w:tcPr>
            <w:tcW w:w="260" w:type="dxa"/>
            <w:vAlign w:val="bottom"/>
          </w:tcPr>
          <w:p>
            <w:pPr>
              <w:spacing w:after="0"/>
              <w:rPr>
                <w:sz w:val="19"/>
                <w:szCs w:val="19"/>
                <w:color w:val="auto"/>
              </w:rPr>
            </w:pPr>
          </w:p>
        </w:tc>
        <w:tc>
          <w:tcPr>
            <w:tcW w:w="15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95.64%</w:t>
            </w:r>
          </w:p>
        </w:tc>
        <w:tc>
          <w:tcPr>
            <w:tcW w:w="260" w:type="dxa"/>
            <w:vAlign w:val="bottom"/>
          </w:tcPr>
          <w:p>
            <w:pPr>
              <w:spacing w:after="0"/>
              <w:rPr>
                <w:sz w:val="19"/>
                <w:szCs w:val="19"/>
                <w:color w:val="auto"/>
              </w:rPr>
            </w:pPr>
          </w:p>
        </w:tc>
        <w:tc>
          <w:tcPr>
            <w:tcW w:w="1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23,094,057</w:t>
            </w:r>
          </w:p>
        </w:tc>
        <w:tc>
          <w:tcPr>
            <w:tcW w:w="260" w:type="dxa"/>
            <w:vAlign w:val="bottom"/>
          </w:tcPr>
          <w:p>
            <w:pPr>
              <w:spacing w:after="0"/>
              <w:rPr>
                <w:sz w:val="19"/>
                <w:szCs w:val="19"/>
                <w:color w:val="auto"/>
              </w:rPr>
            </w:pPr>
          </w:p>
        </w:tc>
        <w:tc>
          <w:tcPr>
            <w:tcW w:w="15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4.36%</w:t>
            </w:r>
          </w:p>
        </w:tc>
        <w:tc>
          <w:tcPr>
            <w:tcW w:w="260" w:type="dxa"/>
            <w:vAlign w:val="bottom"/>
          </w:tcPr>
          <w:p>
            <w:pPr>
              <w:spacing w:after="0"/>
              <w:rPr>
                <w:sz w:val="19"/>
                <w:szCs w:val="19"/>
                <w:color w:val="auto"/>
              </w:rPr>
            </w:pPr>
          </w:p>
        </w:tc>
        <w:tc>
          <w:tcPr>
            <w:tcW w:w="15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94,773,165</w:t>
            </w:r>
          </w:p>
        </w:tc>
      </w:tr>
    </w:tbl>
    <w:p>
      <w:pPr>
        <w:spacing w:after="0" w:line="3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Resolution 9</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That Michael Wyzga be re-appointed as a director of the Company.</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Vote for</w:t>
            </w:r>
          </w:p>
        </w:tc>
        <w:tc>
          <w:tcPr>
            <w:tcW w:w="260" w:type="dxa"/>
            <w:vAlign w:val="bottom"/>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of shares voted</w:t>
            </w:r>
          </w:p>
        </w:tc>
        <w:tc>
          <w:tcPr>
            <w:tcW w:w="26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Votes against</w:t>
            </w:r>
          </w:p>
        </w:tc>
        <w:tc>
          <w:tcPr>
            <w:tcW w:w="260" w:type="dxa"/>
            <w:vAlign w:val="bottom"/>
          </w:tcPr>
          <w:p>
            <w:pPr>
              <w:spacing w:after="0"/>
              <w:rPr>
                <w:sz w:val="20"/>
                <w:szCs w:val="20"/>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of shares voted</w:t>
            </w:r>
          </w:p>
        </w:tc>
        <w:tc>
          <w:tcPr>
            <w:tcW w:w="260" w:type="dxa"/>
            <w:vAlign w:val="bottom"/>
          </w:tcPr>
          <w:p>
            <w:pPr>
              <w:spacing w:after="0"/>
              <w:rPr>
                <w:sz w:val="20"/>
                <w:szCs w:val="20"/>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Votes withheld</w:t>
            </w:r>
          </w:p>
        </w:tc>
      </w:tr>
      <w:tr>
        <w:trPr>
          <w:trHeight w:val="228"/>
        </w:trPr>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452,185,080</w:t>
            </w:r>
          </w:p>
        </w:tc>
        <w:tc>
          <w:tcPr>
            <w:tcW w:w="260" w:type="dxa"/>
            <w:vAlign w:val="bottom"/>
          </w:tcPr>
          <w:p>
            <w:pPr>
              <w:spacing w:after="0"/>
              <w:rPr>
                <w:sz w:val="19"/>
                <w:szCs w:val="19"/>
                <w:color w:val="auto"/>
              </w:rPr>
            </w:pPr>
          </w:p>
        </w:tc>
        <w:tc>
          <w:tcPr>
            <w:tcW w:w="15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85.42%</w:t>
            </w:r>
          </w:p>
        </w:tc>
        <w:tc>
          <w:tcPr>
            <w:tcW w:w="260" w:type="dxa"/>
            <w:vAlign w:val="bottom"/>
          </w:tcPr>
          <w:p>
            <w:pPr>
              <w:spacing w:after="0"/>
              <w:rPr>
                <w:sz w:val="19"/>
                <w:szCs w:val="19"/>
                <w:color w:val="auto"/>
              </w:rPr>
            </w:pPr>
          </w:p>
        </w:tc>
        <w:tc>
          <w:tcPr>
            <w:tcW w:w="1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77,182,392</w:t>
            </w:r>
          </w:p>
        </w:tc>
        <w:tc>
          <w:tcPr>
            <w:tcW w:w="260" w:type="dxa"/>
            <w:vAlign w:val="bottom"/>
          </w:tcPr>
          <w:p>
            <w:pPr>
              <w:spacing w:after="0"/>
              <w:rPr>
                <w:sz w:val="19"/>
                <w:szCs w:val="19"/>
                <w:color w:val="auto"/>
              </w:rPr>
            </w:pPr>
          </w:p>
        </w:tc>
        <w:tc>
          <w:tcPr>
            <w:tcW w:w="15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14.58%</w:t>
            </w:r>
          </w:p>
        </w:tc>
        <w:tc>
          <w:tcPr>
            <w:tcW w:w="260" w:type="dxa"/>
            <w:vAlign w:val="bottom"/>
          </w:tcPr>
          <w:p>
            <w:pPr>
              <w:spacing w:after="0"/>
              <w:rPr>
                <w:sz w:val="19"/>
                <w:szCs w:val="19"/>
                <w:color w:val="auto"/>
              </w:rPr>
            </w:pPr>
          </w:p>
        </w:tc>
        <w:tc>
          <w:tcPr>
            <w:tcW w:w="15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94,821,190</w:t>
            </w:r>
          </w:p>
        </w:tc>
      </w:tr>
    </w:tbl>
    <w:p>
      <w:pPr>
        <w:spacing w:after="0" w:line="395" w:lineRule="exact"/>
        <w:rPr>
          <w:sz w:val="20"/>
          <w:szCs w:val="20"/>
          <w:color w:val="auto"/>
        </w:rPr>
      </w:pPr>
    </w:p>
    <w:p>
      <w:pPr>
        <w:ind w:left="660" w:right="760"/>
        <w:spacing w:after="0" w:line="282" w:lineRule="auto"/>
        <w:rPr>
          <w:sz w:val="20"/>
          <w:szCs w:val="20"/>
          <w:color w:val="auto"/>
        </w:rPr>
      </w:pPr>
      <w:r>
        <w:rPr>
          <w:rFonts w:ascii="Times New Roman" w:cs="Times New Roman" w:eastAsia="Times New Roman" w:hAnsi="Times New Roman"/>
          <w:sz w:val="18"/>
          <w:szCs w:val="18"/>
          <w:color w:val="auto"/>
        </w:rPr>
        <w:t>Based on the foregoing votes, the shareholders approved Resolutions 1, 2, 3, 4 and 5 and re-elected each of Dr. Deepika Pakianathan, Dr. Pierre Jacquet and Michael Wyzga.</w:t>
      </w:r>
    </w:p>
    <w:p>
      <w:pPr>
        <w:spacing w:after="0" w:line="200" w:lineRule="exact"/>
        <w:rPr>
          <w:sz w:val="20"/>
          <w:szCs w:val="20"/>
          <w:color w:val="auto"/>
        </w:rPr>
      </w:pPr>
    </w:p>
    <w:p>
      <w:pPr>
        <w:spacing w:after="0" w:line="322"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Exhibits</w:t>
      </w:r>
    </w:p>
    <w:p>
      <w:pPr>
        <w:spacing w:after="0" w:line="200" w:lineRule="exact"/>
        <w:rPr>
          <w:sz w:val="20"/>
          <w:szCs w:val="20"/>
          <w:color w:val="auto"/>
        </w:rPr>
      </w:pPr>
    </w:p>
    <w:p>
      <w:pPr>
        <w:spacing w:after="0" w:line="228" w:lineRule="exact"/>
        <w:rPr>
          <w:sz w:val="20"/>
          <w:szCs w:val="20"/>
          <w:color w:val="auto"/>
        </w:rPr>
      </w:pPr>
    </w:p>
    <w:tbl>
      <w:tblPr>
        <w:tblLayout w:type="fixed"/>
        <w:tblInd w:w="760" w:type="dxa"/>
        <w:tblCellMar>
          <w:top w:w="0" w:type="dxa"/>
          <w:left w:w="0" w:type="dxa"/>
          <w:bottom w:w="0" w:type="dxa"/>
          <w:right w:w="0" w:type="dxa"/>
        </w:tblCellMar>
      </w:tblPr>
      <w:tr>
        <w:trPr>
          <w:trHeight w:val="207"/>
        </w:trPr>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6480" w:type="dxa"/>
            <w:vAlign w:val="bottom"/>
            <w:gridSpan w:val="3"/>
          </w:tcPr>
          <w:p>
            <w:pPr>
              <w:ind w:left="66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20"/>
        </w:trPr>
        <w:tc>
          <w:tcPr>
            <w:tcW w:w="8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r>
      <w:tr>
        <w:trPr>
          <w:trHeight w:val="23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660" w:type="dxa"/>
            <w:vAlign w:val="bottom"/>
          </w:tcPr>
          <w:p>
            <w:pPr>
              <w:spacing w:after="0"/>
              <w:rPr>
                <w:sz w:val="20"/>
                <w:szCs w:val="20"/>
                <w:color w:val="auto"/>
              </w:rPr>
            </w:pPr>
          </w:p>
        </w:tc>
        <w:tc>
          <w:tcPr>
            <w:tcW w:w="648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60" w:right="68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60" w:type="dxa"/>
            <w:vAlign w:val="bottom"/>
          </w:tcPr>
          <w:p>
            <w:pPr>
              <w:spacing w:after="0"/>
              <w:rPr>
                <w:sz w:val="20"/>
                <w:szCs w:val="20"/>
                <w:color w:val="auto"/>
              </w:rPr>
            </w:pPr>
          </w:p>
        </w:tc>
        <w:tc>
          <w:tcPr>
            <w:tcW w:w="7180" w:type="dxa"/>
            <w:vAlign w:val="bottom"/>
            <w:gridSpan w:val="4"/>
          </w:tcPr>
          <w:p>
            <w:pPr>
              <w:ind w:left="1760"/>
              <w:spacing w:after="0"/>
              <w:rPr>
                <w:sz w:val="20"/>
                <w:szCs w:val="20"/>
                <w:color w:val="auto"/>
              </w:rPr>
            </w:pPr>
            <w:r>
              <w:rPr>
                <w:rFonts w:ascii="Times New Roman" w:cs="Times New Roman" w:eastAsia="Times New Roman" w:hAnsi="Times New Roman"/>
                <w:sz w:val="18"/>
                <w:szCs w:val="18"/>
                <w:color w:val="auto"/>
              </w:rPr>
              <w:t>MEREO BIOPHARMA GROUP PLC</w:t>
            </w:r>
          </w:p>
        </w:tc>
      </w:tr>
      <w:tr>
        <w:trPr>
          <w:trHeight w:val="459"/>
        </w:trPr>
        <w:tc>
          <w:tcPr>
            <w:tcW w:w="38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Date: May 14, 2025</w:t>
            </w:r>
          </w:p>
        </w:tc>
        <w:tc>
          <w:tcPr>
            <w:tcW w:w="7180" w:type="dxa"/>
            <w:vAlign w:val="bottom"/>
            <w:gridSpan w:val="4"/>
          </w:tcPr>
          <w:p>
            <w:pPr>
              <w:ind w:left="1760"/>
              <w:spacing w:after="0"/>
              <w:rPr>
                <w:sz w:val="20"/>
                <w:szCs w:val="20"/>
                <w:color w:val="auto"/>
              </w:rPr>
            </w:pPr>
            <w:r>
              <w:rPr>
                <w:rFonts w:ascii="Times New Roman" w:cs="Times New Roman" w:eastAsia="Times New Roman" w:hAnsi="Times New Roman"/>
                <w:sz w:val="18"/>
                <w:szCs w:val="18"/>
                <w:color w:val="auto"/>
              </w:rPr>
              <w:t>By:  /s/ Charles Sermon</w:t>
            </w:r>
          </w:p>
        </w:tc>
      </w:tr>
      <w:tr>
        <w:trPr>
          <w:trHeight w:val="191"/>
        </w:trPr>
        <w:tc>
          <w:tcPr>
            <w:tcW w:w="38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7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580" w:type="dxa"/>
            <w:vAlign w:val="bottom"/>
            <w:tcBorders>
              <w:top w:val="single" w:sz="8" w:color="auto"/>
            </w:tcBorders>
          </w:tcPr>
          <w:p>
            <w:pPr>
              <w:ind w:left="300"/>
              <w:spacing w:after="0" w:line="191" w:lineRule="exact"/>
              <w:rPr>
                <w:sz w:val="20"/>
                <w:szCs w:val="20"/>
                <w:color w:val="auto"/>
              </w:rPr>
            </w:pPr>
            <w:r>
              <w:rPr>
                <w:rFonts w:ascii="Times New Roman" w:cs="Times New Roman" w:eastAsia="Times New Roman" w:hAnsi="Times New Roman"/>
                <w:sz w:val="18"/>
                <w:szCs w:val="18"/>
                <w:color w:val="auto"/>
              </w:rPr>
              <w:t>Charles Sermon</w:t>
            </w:r>
          </w:p>
        </w:tc>
        <w:tc>
          <w:tcPr>
            <w:tcW w:w="660" w:type="dxa"/>
            <w:vAlign w:val="bottom"/>
          </w:tcPr>
          <w:p>
            <w:pPr>
              <w:spacing w:after="0"/>
              <w:rPr>
                <w:sz w:val="16"/>
                <w:szCs w:val="16"/>
                <w:color w:val="auto"/>
              </w:rPr>
            </w:pPr>
          </w:p>
        </w:tc>
      </w:tr>
      <w:tr>
        <w:trPr>
          <w:trHeight w:val="234"/>
        </w:trPr>
        <w:tc>
          <w:tcPr>
            <w:tcW w:w="38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2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General Counsel</w:t>
            </w:r>
          </w:p>
        </w:tc>
      </w:tr>
      <w:tr>
        <w:trPr>
          <w:trHeight w:val="1303"/>
        </w:trPr>
        <w:tc>
          <w:tcPr>
            <w:tcW w:w="386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35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093" w:right="4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2025-05-14T15:38:20Z</dcterms:created>
  <dcterms:modified xsi:type="dcterms:W3CDTF">2025-05-14T15:38:20Z</dcterms:modified>
</cp:coreProperties>
</file>