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£0.003, 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5.69%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35,375,000 ordinary shares (represented by 7,075,000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35,375,000 ordinary shares (represented by 7,075,000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35,375,000 ordinary shares (represented by 7,075,000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5.69%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Mereo BioPharma Group Plc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Fourth Floor, One Cavendish Place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W1G 0QF</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980" w:hanging="18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Master Fund LP (“Master Fund”); and</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LLC (“RSC”)</w:t>
      </w:r>
    </w:p>
    <w:p>
      <w:pPr>
        <w:spacing w:after="0" w:line="20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Rock Springs Capital Master Fund LP,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Rock Springs Capital Master Fund LP (the “Master Fund”) and Four Pines. RSC is the general partner of RSCM.</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Master Fund</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Master Fund LP - Cayman Islands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nominal value £0.003, per ordinary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Depository Receipts (“ADRs”) of the Issuer, which are quoted on the Nasdaq Global Market under the symbol “MREO.” Each ADR represents 5 Ordinary Shares.</w:t>
      </w:r>
    </w:p>
    <w:p>
      <w:pPr>
        <w:spacing w:after="0" w:line="379"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w:t>
      </w:r>
    </w:p>
    <w:p>
      <w:pPr>
        <w:sectPr>
          <w:pgSz w:w="11900" w:h="16838" w:orient="portrait"/>
          <w:cols w:equalWidth="0" w:num="1">
            <w:col w:w="11240"/>
          </w:cols>
          <w:pgMar w:left="320" w:top="663" w:right="339" w:bottom="0" w:gutter="0" w:footer="0" w:header="0"/>
        </w:sectPr>
      </w:pPr>
    </w:p>
    <w:bookmarkStart w:id="5" w:name="page6"/>
    <w:bookmarkEnd w:id="5"/>
    <w:p>
      <w:pPr>
        <w:ind w:left="900"/>
        <w:spacing w:after="0"/>
        <w:rPr>
          <w:sz w:val="20"/>
          <w:szCs w:val="20"/>
          <w:color w:val="auto"/>
        </w:rPr>
      </w:pPr>
      <w:r>
        <w:rPr>
          <w:rFonts w:ascii="Times New Roman" w:cs="Times New Roman" w:eastAsia="Times New Roman" w:hAnsi="Times New Roman"/>
          <w:sz w:val="18"/>
          <w:szCs w:val="18"/>
          <w:color w:val="auto"/>
        </w:rPr>
        <w:t>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-7620</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As of the date of this filing, the Reporting Persons may be deemed to be the beneficial owners of 7,983,851 ADRs (translates to 39,919,255 shares), which amount includes 7,075,000 ADRs (translates to 35,375,000 shares) directly beneficially owned by the Master Fund, and 908,851 ADRs (translates to 4,544,255 shares) directly beneficially owned by Four Pines. The percent of class is determined by dividing the number of Shares beneficially owned by the Reporting Persons by 701,217,089, as reported on Exhibit 99.3 to the Issuer's 6-K filed on September 7, 2023.</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Master Fund LP: 7,075,000 ADRs (translates to 35,375,000 shares)</w:t>
      </w:r>
    </w:p>
    <w:p>
      <w:pPr>
        <w:spacing w:after="0" w:line="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5.69%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5.69%</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Master Fund LP: 5.04%</w:t>
      </w:r>
    </w:p>
    <w:p>
      <w:pPr>
        <w:spacing w:after="0" w:line="18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the which the person has:</w:t>
      </w:r>
    </w:p>
    <w:p>
      <w:pPr>
        <w:spacing w:after="0" w:line="225" w:lineRule="exact"/>
        <w:rPr>
          <w:rFonts w:ascii="Times New Roman" w:cs="Times New Roman" w:eastAsia="Times New Roman" w:hAnsi="Times New Roman"/>
          <w:sz w:val="18"/>
          <w:szCs w:val="18"/>
          <w:b w:val="1"/>
          <w:bCs w:val="1"/>
          <w:color w:val="auto"/>
        </w:rPr>
      </w:pPr>
    </w:p>
    <w:p>
      <w:pPr>
        <w:ind w:left="1720" w:right="6480" w:hanging="182"/>
        <w:spacing w:after="0" w:line="259" w:lineRule="auto"/>
        <w:tabs>
          <w:tab w:leader="none" w:pos="1755"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hanging="262"/>
        <w:spacing w:after="0"/>
        <w:tabs>
          <w:tab w:leader="none" w:pos="1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Master Fund LP: 7,075,000 ADRs (translates to 35,375,000 shares)</w:t>
      </w:r>
    </w:p>
    <w:p>
      <w:pPr>
        <w:spacing w:after="0" w:line="203" w:lineRule="exact"/>
        <w:rPr>
          <w:sz w:val="20"/>
          <w:szCs w:val="20"/>
          <w:color w:val="auto"/>
        </w:rPr>
      </w:pPr>
    </w:p>
    <w:p>
      <w:pPr>
        <w:ind w:left="1720" w:right="5420" w:hanging="182"/>
        <w:spacing w:after="0" w:line="263" w:lineRule="auto"/>
        <w:tabs>
          <w:tab w:leader="none" w:pos="18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40" w:hanging="302"/>
        <w:spacing w:after="0"/>
        <w:tabs>
          <w:tab w:leader="none" w:pos="18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Master Fund LP: 7,075,000 ADRs (translates to 35,375,000 shares)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74"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response to Item 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2024-02-14T13:14:55Z</dcterms:created>
  <dcterms:modified xsi:type="dcterms:W3CDTF">2024-02-14T13:14:55Z</dcterms:modified>
</cp:coreProperties>
</file>