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jc w:val="left"/>
        <w:rPr/>
      </w:pPr>
      <w:bookmarkStart w:id="0" w:name="mreo-20251110.htm"/>
      <w:bookmarkStart w:id="1" w:name="ksmreo20251110"/>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 xml:space="preserve">UNITED STATES </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November 10, 2025</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MEREO BIOPHARMA GROUP PLC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2461"/>
        <w:gridCol w:w="146"/>
        <w:gridCol w:w="2296"/>
        <w:gridCol w:w="146"/>
        <w:gridCol w:w="289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England and Wales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001-38452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b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4th Floor, One Cavendish Place,</w:t>
      </w:r>
    </w:p>
    <w:p>
      <w:pPr>
        <w:pStyle w:val="TextBody"/>
        <w:bidi w:val="0"/>
        <w:spacing w:before="0" w:after="20"/>
        <w:jc w:val="center"/>
        <w:rPr>
          <w:rFonts w:ascii="Times New Roman" w:hAnsi="Times New Roman"/>
          <w:b/>
          <w:color w:val="000000"/>
          <w:sz w:val="20"/>
        </w:rPr>
      </w:pPr>
      <w:r>
        <w:rPr>
          <w:rFonts w:ascii="Times New Roman" w:hAnsi="Times New Roman"/>
          <w:b/>
          <w:color w:val="000000"/>
          <w:sz w:val="20"/>
        </w:rPr>
        <w:t>London, W1G 0QF</w:t>
      </w:r>
    </w:p>
    <w:p>
      <w:pPr>
        <w:pStyle w:val="TextBody"/>
        <w:bidi w:val="0"/>
        <w:spacing w:before="0" w:after="20"/>
        <w:jc w:val="center"/>
        <w:rPr>
          <w:rFonts w:ascii="Times New Roman" w:hAnsi="Times New Roman"/>
          <w:b/>
          <w:color w:val="000000"/>
          <w:sz w:val="20"/>
        </w:rPr>
      </w:pPr>
      <w:r>
        <w:rPr>
          <w:rFonts w:ascii="Times New Roman" w:hAnsi="Times New Roman"/>
          <w:b/>
          <w:color w:val="000000"/>
          <w:sz w:val="20"/>
        </w:rPr>
        <w:t>United Kingdom</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including zip code)</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+44-333-023-7300</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455"/>
        <w:gridCol w:w="146"/>
        <w:gridCol w:w="1155"/>
        <w:gridCol w:w="146"/>
        <w:gridCol w:w="2303"/>
      </w:tblGrid>
      <w:tr>
        <w:trPr/>
        <w:tc>
          <w:tcPr>
            <w:tcW w:w="6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rPr/>
        <w:tc>
          <w:tcPr>
            <w:tcW w:w="64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w:t>
              <w:br/>
              <w:t>registered</w:t>
            </w:r>
          </w:p>
        </w:tc>
      </w:tr>
      <w:tr>
        <w:trPr/>
        <w:tc>
          <w:tcPr>
            <w:tcW w:w="64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American Depositary Shares, each representing five Ordinary Shares, par value £0.003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MREO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4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£0.003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rFonts w:ascii="Times New Roman" w:hAnsi="Times New Roman"/>
          <w:color w:val="000000"/>
          <w:sz w:val="20"/>
        </w:rPr>
      </w:pPr>
      <w:r>
        <w:rPr>
          <w:rFonts w:ascii="Times New Roman" w:hAnsi="Times New Roman"/>
          <w:color w:val="000000"/>
          <w:sz w:val="20"/>
        </w:rPr>
        <w:br/>
        <w:t xml:space="preserve">*Not for trading, but only in connection with the listing of the American Depositary Shares on The Nasdaq Stock Market LLC.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212529"/>
          <w:sz w:val="20"/>
        </w:rPr>
        <w:t xml:space="preserve">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pBdr>
          <w:top w:val="single" w:sz="8" w:space="1" w:color="000000"/>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51"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251"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51" w:after="283"/>
        <w:jc w:val="left"/>
        <w:rPr>
          <w:rFonts w:ascii="Times New Roman" w:hAnsi="Times New Roman"/>
          <w:color w:val="000000"/>
          <w:sz w:val="20"/>
        </w:rPr>
      </w:pPr>
      <w:r>
        <w:rPr>
          <w:rFonts w:ascii="Times New Roman" w:hAnsi="Times New Roman"/>
          <w:color w:val="000000"/>
          <w:sz w:val="20"/>
        </w:rPr>
        <w:t>On November 10, 2025, Mereo BioPharma Group plc announced its financial results for the third quarter ended September 30, 2025 and provided recent corporate highlights. The full text of the press release issued in connection with the announcement is furnished as Exhibit 99.1 to this Current Report on Form 8-K.</w:t>
      </w:r>
    </w:p>
    <w:p>
      <w:pPr>
        <w:pStyle w:val="TextBody"/>
        <w:bidi w:val="0"/>
        <w:spacing w:before="251" w:after="283"/>
        <w:jc w:val="left"/>
        <w:rPr>
          <w:rFonts w:ascii="Times New Roman" w:hAnsi="Times New Roman"/>
          <w:color w:val="000000"/>
          <w:sz w:val="20"/>
        </w:rPr>
      </w:pPr>
      <w:r>
        <w:rPr>
          <w:rFonts w:ascii="Times New Roman" w:hAnsi="Times New Roman"/>
          <w:color w:val="000000"/>
          <w:sz w:val="20"/>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before="251"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53"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253" w:after="283"/>
        <w:jc w:val="left"/>
        <w:rPr/>
      </w:pPr>
      <w:r>
        <w:rPr/>
        <w:t> </w:t>
      </w:r>
    </w:p>
    <w:tbl>
      <w:tblPr>
        <w:tblW w:w="7727" w:type="dxa"/>
        <w:jc w:val="left"/>
        <w:tblInd w:w="0" w:type="dxa"/>
        <w:tblLayout w:type="fixed"/>
        <w:tblCellMar>
          <w:top w:w="28" w:type="dxa"/>
          <w:left w:w="28" w:type="dxa"/>
          <w:bottom w:w="28" w:type="dxa"/>
          <w:right w:w="28" w:type="dxa"/>
        </w:tblCellMar>
      </w:tblPr>
      <w:tblGrid>
        <w:gridCol w:w="1081"/>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br/>
            </w:r>
            <w:r>
              <w:rPr>
                <w:rFonts w:ascii="Times New Roman" w:hAnsi="Times New Roman"/>
                <w:b/>
                <w:color w:val="000000"/>
                <w:sz w:val="20"/>
                <w:u w:val="single"/>
              </w:rPr>
              <w:t>Description of Exhibit</w:t>
            </w:r>
          </w:p>
        </w:tc>
      </w:tr>
      <w:tr>
        <w:trPr/>
        <w:tc>
          <w:tcPr>
            <w:tcW w:w="1081" w:type="dxa"/>
            <w:tcBorders/>
            <w:tcMar>
              <w:top w:w="0" w:type="dxa"/>
              <w:left w:w="0" w:type="dxa"/>
              <w:bottom w:w="0" w:type="dxa"/>
              <w:right w:w="0" w:type="dxa"/>
            </w:tcMar>
            <w:vAlign w:val="center"/>
          </w:tcPr>
          <w:p>
            <w:pPr>
              <w:pStyle w:val="TableContents"/>
              <w:bidi w:val="0"/>
              <w:spacing w:before="120" w:after="240"/>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120" w:after="120"/>
              <w:jc w:val="left"/>
              <w:rPr/>
            </w:pPr>
            <w:hyperlink w:anchor="mreo-ex99_1.htm">
              <w:r>
                <w:rPr>
                  <w:rStyle w:val="InternetLink"/>
                  <w:rFonts w:ascii="Times New Roman" w:hAnsi="Times New Roman"/>
                  <w:color w:val="0000FF"/>
                  <w:sz w:val="20"/>
                  <w:u w:val="single"/>
                </w:rPr>
                <w:t>Press Release, dated November 10, 2025</w:t>
              </w:r>
            </w:hyperlink>
            <w:r>
              <w:rPr>
                <w:rFonts w:ascii="Times New Roman" w:hAnsi="Times New Roman"/>
                <w:color w:val="000000"/>
                <w:sz w:val="20"/>
              </w:rPr>
              <w:t>.</w:t>
            </w:r>
          </w:p>
        </w:tc>
      </w:tr>
      <w:tr>
        <w:trPr/>
        <w:tc>
          <w:tcPr>
            <w:tcW w:w="10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0" w:after="24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Pursuant to the requirements of the Securities Exchange Act of 1934, as amended, the registrant has duly caused this report to be signed on its behalf by the undersigned, hereunto duly authorized.</w:t>
      </w:r>
    </w:p>
    <w:tbl>
      <w:tblPr>
        <w:tblW w:w="6196" w:type="dxa"/>
        <w:jc w:val="left"/>
        <w:tblInd w:w="0" w:type="dxa"/>
        <w:tblLayout w:type="fixed"/>
        <w:tblCellMar>
          <w:top w:w="28" w:type="dxa"/>
          <w:left w:w="28" w:type="dxa"/>
          <w:bottom w:w="28" w:type="dxa"/>
          <w:right w:w="28" w:type="dxa"/>
        </w:tblCellMar>
      </w:tblPr>
      <w:tblGrid>
        <w:gridCol w:w="2566"/>
        <w:gridCol w:w="458"/>
        <w:gridCol w:w="758"/>
        <w:gridCol w:w="2414"/>
      </w:tblGrid>
      <w:tr>
        <w:trPr/>
        <w:tc>
          <w:tcPr>
            <w:tcW w:w="256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24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MEREO BIOPHARMA GROUP PLC</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3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November 10, 2025</w:t>
            </w:r>
          </w:p>
        </w:tc>
        <w:tc>
          <w:tcPr>
            <w:tcW w:w="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1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Christine Fox</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4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Christine Fox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4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mreo-ex99_1.htm"/>
      <w:bookmarkStart w:id="3" w:name="ksmreoex99_1"/>
      <w:bookmarkEnd w:id="2"/>
      <w:bookmarkEnd w:id="3"/>
      <w:r>
        <w:rPr>
          <w:rFonts w:ascii="Times New Roman" w:hAnsi="Times New Roman"/>
          <w:b/>
          <w:color w:val="000000"/>
          <w:sz w:val="20"/>
        </w:rPr>
        <w:t>Exhibit 99.1</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Mereo BioPharma Reports Third Quarter 2025 Financial Results and Provides Corporate Highlights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Data from Phase 3 Orbit and Cosmic studies of setrusumab in osteogenesis imperfecta on-track for around the end of 2025</w:t>
      </w:r>
    </w:p>
    <w:p>
      <w:pPr>
        <w:pStyle w:val="TextBody"/>
        <w:bidi w:val="0"/>
        <w:jc w:val="center"/>
        <w:rPr>
          <w:rFonts w:ascii="Times New Roman" w:hAnsi="Times New Roman"/>
          <w:sz w:val="20"/>
        </w:rPr>
      </w:pPr>
      <w:r>
        <w:rPr>
          <w:rFonts w:ascii="Times New Roman" w:hAnsi="Times New Roman"/>
          <w:i/>
          <w:color w:val="000000"/>
          <w:sz w:val="20"/>
        </w:rPr>
        <w:t>Cash of $48.7 million as of September 30, 2025, expected to support operations into 2027</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London, November 10, 2025 –</w:t>
      </w:r>
      <w:r>
        <w:rPr>
          <w:rFonts w:ascii="Times New Roman" w:hAnsi="Times New Roman"/>
          <w:color w:val="000000"/>
          <w:sz w:val="20"/>
        </w:rPr>
        <w:t xml:space="preserve"> Mereo BioPharma Group plc (NASDAQ: MREO) (“Mereo” or the “Company”), a clinical-stage biopharmaceutical company focused on rare diseases, today announced its financial results for the third quarter ended September 30, 2025, and provided recent corporate highlights. </w:t>
      </w:r>
    </w:p>
    <w:p>
      <w:pPr>
        <w:pStyle w:val="TextBody"/>
        <w:bidi w:val="0"/>
        <w:jc w:val="left"/>
        <w:rPr>
          <w:color w:val="000000"/>
        </w:rPr>
      </w:pPr>
      <w:r>
        <w:rPr>
          <w:color w:val="000000"/>
        </w:rPr>
        <w:t>“</w:t>
      </w:r>
      <w:r>
        <w:rPr>
          <w:rFonts w:ascii="Times New Roman" w:hAnsi="Times New Roman"/>
          <w:color w:val="000000"/>
          <w:sz w:val="20"/>
        </w:rPr>
        <w:t>We are rapidly approaching a major transition period in our corporate evolution, with the Phase 3 Orbit and Cosmic studies of setrusumab in osteogenesis imperfecta on track to read out around the end of the year. Based on the data from prior studies, we remain confident in the potential of setrusumab to reduce fractures and improve quality of life for people with OI. We continue to invest in commercial readiness activities to ensure Mereo is well positioned for a potential launch in our European territories,” said Dr. Denise Scots-Knight, Chief Executive Officer of Mereo. “Alongside the progress of the setrusumab program, we are continuing to advance partnering discussions for alvelestat. In addition, we are excited to have retained European commercial rights in our recent partnership deal with āshibio for vantictumab, which is being investigated in autosomal dominant osteopetrosis type 2, another rare bone disease for which promising preclinical data were presented at this year’s ASBMR Annual Meeting. With $48.7 million of cash at the end of the third quarter, we remain well-capitalized to continue executing through these important milestones.”</w:t>
      </w:r>
    </w:p>
    <w:p>
      <w:pPr>
        <w:pStyle w:val="TextBody"/>
        <w:bidi w:val="0"/>
        <w:jc w:val="left"/>
        <w:rPr>
          <w:rFonts w:ascii="Times New Roman" w:hAnsi="Times New Roman"/>
          <w:sz w:val="20"/>
        </w:rPr>
      </w:pPr>
      <w:r>
        <w:rPr>
          <w:rFonts w:ascii="Times New Roman" w:hAnsi="Times New Roman"/>
          <w:b/>
          <w:color w:val="000000"/>
          <w:sz w:val="20"/>
        </w:rPr>
        <w:t>Third Quarter 2025 Highlights, Recent Developments, and Anticipated Milestones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Setrusumab (UX143) for osteogenesis imperfecta (OI)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3 Orbit and Cosmic studies, led by our partner Ultragenyx, evaluating setrusumab in pediatric and young adult patients and young pediatric patients with OI, are progressing towards final analyses at which time patients will have been on therapy for at least 18 months.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from both Orbit and Cosmic are expected around the end of 2025. The threshold for the Phase 3 Orbit final analysis is p&lt;0.039 and the threshold for the Phase 3 Cosmic final analysis is p&lt;0.05.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Pre-commercial efforts continue in Europe where Mereo holds commercial rights. These include continuation of the SATURN program and an expansion of the activities to determine the potential addressable market and identify treatment centers beyond the five major countries in Europe to the Nordic and Benelux regions. </w:t>
      </w:r>
    </w:p>
    <w:p>
      <w:pPr>
        <w:pStyle w:val="TextBody"/>
        <w:bidi w:val="0"/>
        <w:jc w:val="left"/>
        <w:rPr>
          <w:rFonts w:ascii="Times New Roman" w:hAnsi="Times New Roman"/>
          <w:sz w:val="20"/>
        </w:rPr>
      </w:pPr>
      <w:r>
        <w:rPr>
          <w:rFonts w:ascii="Times New Roman" w:hAnsi="Times New Roman"/>
          <w:b/>
          <w:color w:val="000000"/>
          <w:sz w:val="20"/>
        </w:rPr>
        <w:t>Alvelestat (MPH-966) for alpha-1-anti-trypsin deficiency lung disease (AATD-LD)</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Activities to support initiation of the planned single, global Phase 3 pivotal study are ongoing.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continues to be actively engaged with multiple potential partners regarding development and commercialization of alvelestat.</w:t>
      </w:r>
    </w:p>
    <w:p>
      <w:pPr>
        <w:pStyle w:val="TextBody"/>
        <w:bidi w:val="0"/>
        <w:jc w:val="left"/>
        <w:rPr>
          <w:rFonts w:ascii="Times New Roman" w:hAnsi="Times New Roman"/>
          <w:b/>
          <w:color w:val="000000"/>
          <w:sz w:val="20"/>
        </w:rPr>
      </w:pPr>
      <w:r>
        <w:rPr>
          <w:rFonts w:ascii="Times New Roman" w:hAnsi="Times New Roman"/>
          <w:b/>
          <w:color w:val="000000"/>
          <w:sz w:val="20"/>
        </w:rPr>
        <w:t>Vantictumab for autosomal dominant osteopetrosis type 2 (ADO2)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Vantictumab is a fully-human monoclonal antibody that binds to certain frizzled receptors and inhibits Wnt signaling pathways, which was previously being developed in oncology settings.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Mereo granted āshibio, Inc. an exclusive license to develop vantictumab in ADO2. Under the agreement, announced in August 2025, Mereo has retained European commercial rights, and has granted āshibio the right to commercialize in the U.S. and rest of the world. </w:t>
      </w:r>
    </w:p>
    <w:p>
      <w:pPr>
        <w:pStyle w:val="TextBody"/>
        <w:bidi w:val="0"/>
        <w:jc w:val="left"/>
        <w:rPr>
          <w:rFonts w:ascii="Times New Roman" w:hAnsi="Times New Roman"/>
          <w:sz w:val="20"/>
        </w:rPr>
      </w:pPr>
      <w:r>
        <w:rPr>
          <w:rFonts w:ascii="Times New Roman" w:hAnsi="Times New Roman"/>
          <w:b/>
          <w:color w:val="000000"/>
          <w:sz w:val="20"/>
        </w:rPr>
        <w:t>Third Quarter 2025 Financial Results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Total research and development (“R&amp;D”) expenses increased by $1.1 million, from $3.2 million in the third quarter of 2024 to $4.3 million in the three months ended September 30, 2025. The increase was primarily due to increases of $0.9 million in R&amp;D expenses for setrusumab and $0.5 million for alvelestat, partially offset by a reduction of $0.2 million in R&amp;D expenses for etigilimab. The increase in program expenses for setrusumab was primarily driven by amounts due under the manufacturing and supply agreement with our partner, Ultragenyx, as well as ongoing activities related to real-world evidence programs and medical affairs activities in Europe. This is in addition to costs we incur in relation to our collaboration with Ultragenyx, who fund the global development of the program, including input into development, regulatory and manufacturing plans. The increase in program expenses for alvelestat was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primarily due to activities undertaken in preparation for the Phase 3 study, including drug product and packaging, in the three months ended September 30, 2025.</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(“G&amp;A”) expenses decreased by $0.2 million, from $6.2 million in the third quarter of 2024 to $6.0 million in the third quarter of 2025. The decrease was primarily due to lower professional fees.</w:t>
      </w:r>
    </w:p>
    <w:p>
      <w:pPr>
        <w:pStyle w:val="TextBody"/>
        <w:bidi w:val="0"/>
        <w:jc w:val="left"/>
        <w:rPr>
          <w:rFonts w:ascii="Times New Roman" w:hAnsi="Times New Roman"/>
          <w:color w:val="000000"/>
          <w:sz w:val="20"/>
        </w:rPr>
      </w:pPr>
      <w:r>
        <w:rPr>
          <w:rFonts w:ascii="Times New Roman" w:hAnsi="Times New Roman"/>
          <w:color w:val="000000"/>
          <w:sz w:val="20"/>
        </w:rPr>
        <w:t>Net loss for the third quarter of 2025 was $7.0 million compared to $15.0 million for the third quarter of 2024, primarily reflecting an operating loss of $10.0 million and a foreign currency transaction gain of $1.9 million.</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the Company had cash and cash equivalents of $48.7 million, compared to $69.8 million as of December 31, 2024. The Company’s guidance remains unchanged, and it continues to expect, based on current operational plans, that its existing cash and cash equivalents balance will enable it to fund its currently committed clinical trials, operating expenses, and capital expenditure requirements into 2027. This guidance does not include any payments associated with a potential partnership for alvelestat or business development activity around any of the Company’s non-core programs. </w:t>
      </w:r>
    </w:p>
    <w:p>
      <w:pPr>
        <w:pStyle w:val="TextBody"/>
        <w:bidi w:val="0"/>
        <w:jc w:val="left"/>
        <w:rPr>
          <w:rFonts w:ascii="Times New Roman" w:hAnsi="Times New Roman"/>
          <w:color w:val="000000"/>
          <w:sz w:val="20"/>
        </w:rPr>
      </w:pPr>
      <w:r>
        <w:rPr>
          <w:rFonts w:ascii="Times New Roman" w:hAnsi="Times New Roman"/>
          <w:color w:val="000000"/>
          <w:sz w:val="20"/>
        </w:rPr>
        <w:t xml:space="preserve">Total ordinary shares issued as of September 30, 2025, were 795,484,404. Total ADS equivalents as of September 30, 2025, were 159,096,880, with each ADS representing five ordinary shares of the Company. </w:t>
      </w:r>
    </w:p>
    <w:p>
      <w:pPr>
        <w:pStyle w:val="TextBody"/>
        <w:bidi w:val="0"/>
        <w:jc w:val="left"/>
        <w:rPr>
          <w:rFonts w:ascii="Times New Roman" w:hAnsi="Times New Roman"/>
          <w:sz w:val="20"/>
        </w:rPr>
      </w:pPr>
      <w:r>
        <w:rPr>
          <w:rFonts w:ascii="Times New Roman" w:hAnsi="Times New Roman"/>
          <w:b/>
          <w:color w:val="000000"/>
          <w:sz w:val="20"/>
        </w:rPr>
        <w:t xml:space="preserve">About Mereo BioPharma </w:t>
      </w:r>
      <w:r>
        <w:rPr>
          <w:rFonts w:ascii="Times New Roman" w:hAnsi="Times New Roman"/>
          <w:color w:val="000000"/>
          <w:sz w:val="20"/>
        </w:rPr>
        <w:br/>
        <w:t xml:space="preserve">Mereo BioPharma is a biopharmaceutical company focused on the development of innovative therapeutics for rare diseases. The Company has three rare disease product candidates: setrusumab for the treatment of osteogenesis imperfecta (OI); alvelestat for the treatment of alpha-1 antitrypsin deficiency-associated lung disease (AATD-LD) and vantictumab for the treatment of autosomal dominant osteopetrosis type 2 (ADO2). The Company’s partner for setrusumab, Ultragenyx Pharmaceutical, Inc., has completed enrollment in the Phase 3 portion of a pivotal Phase 2/3 study in pediatrics and young adults (5 to 25 years old) for setrusumab in OI and in the Phase 3 study in pediatric patients (2 to &lt;7 years old).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European Commission (“EC”) and the FDA, PRIME designation from the EMA, and has Breakthrough Therapy designation and rare pediatric disease designation from the FDA. Alvelestat has received Orphan Designation for AATD from the EC and the FDA, and Fast Track designation from the FDA for AATD-LD. Following results from ASTRAEUS and ATALANTa in AATD-lung disease, the Company has aligned with the FDA and the EMA on the primary endpoints for a Phase 3 pivotal study which, if successful, could enable full approval in both the U.S. and Europe. The Company’s partner for vantictumab, āshibio, Inc., is funding the global development program. Mereo has retained EU and UK commercial rights. Mereo has also entered into an exclusive global license agreement with ReproNovo SA, a reproductive medicine company, for the development and commercialization of leflutrozole, a non-steroidal aromatase inhibitor for the treatment of infertility in men with low testosterone. In addition, Mereo has two oncology product candidates, etigilimab, an anti-TIGIT; and navicixizumab for the potential treatment of late-line ovarian cancer. Navicixizumab has been partnered with Feng Biosciences, Inc. in a global licensing agreement that includes milestone payments and royalties. </w:t>
      </w:r>
    </w:p>
    <w:p>
      <w:pPr>
        <w:pStyle w:val="TextBody"/>
        <w:bidi w:val="0"/>
        <w:jc w:val="left"/>
        <w:rPr>
          <w:rFonts w:ascii="Times New Roman" w:hAnsi="Times New Roman"/>
          <w:sz w:val="20"/>
        </w:rPr>
      </w:pPr>
      <w:r>
        <w:rPr>
          <w:rFonts w:ascii="Times New Roman" w:hAnsi="Times New Roman"/>
          <w:b/>
          <w:color w:val="000000"/>
          <w:sz w:val="20"/>
        </w:rPr>
        <w:t xml:space="preserve">Forward-Looking Statements </w:t>
      </w:r>
      <w:r>
        <w:rPr>
          <w:rFonts w:ascii="Times New Roman" w:hAnsi="Times New Roman"/>
          <w:color w:val="000000"/>
          <w:sz w:val="20"/>
        </w:rPr>
        <w:br/>
        <w:t xml:space="preserve">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w:t>
      </w:r>
    </w:p>
    <w:p>
      <w:pPr>
        <w:pStyle w:val="TextBody"/>
        <w:bidi w:val="0"/>
        <w:jc w:val="left"/>
        <w:rPr>
          <w:rFonts w:ascii="Times New Roman" w:hAnsi="Times New Roman"/>
          <w:color w:val="000000"/>
          <w:sz w:val="20"/>
        </w:rPr>
      </w:pPr>
      <w:r>
        <w:rPr>
          <w:rFonts w:ascii="Times New Roman" w:hAnsi="Times New Roman"/>
          <w:color w:val="000000"/>
          <w:sz w:val="20"/>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pStyle w:val="HorizontalLine"/>
        <w:pBdr>
          <w:bottom w:val="double" w:sz="2" w:space="0" w:color="808080"/>
        </w:pBdr>
        <w:bidi w:val="0"/>
        <w:spacing w:before="0" w:after="283"/>
        <w:jc w:val="left"/>
        <w:rPr/>
      </w:pPr>
      <w:r>
        <w:rPr/>
      </w:r>
    </w:p>
    <w:tbl>
      <w:tblPr>
        <w:tblW w:w="7716" w:type="dxa"/>
        <w:jc w:val="left"/>
        <w:tblInd w:w="0" w:type="dxa"/>
        <w:tblLayout w:type="fixed"/>
        <w:tblCellMar>
          <w:top w:w="28" w:type="dxa"/>
          <w:left w:w="28" w:type="dxa"/>
          <w:bottom w:w="28" w:type="dxa"/>
          <w:right w:w="28" w:type="dxa"/>
        </w:tblCellMar>
      </w:tblPr>
      <w:tblGrid>
        <w:gridCol w:w="4786"/>
        <w:gridCol w:w="109"/>
        <w:gridCol w:w="2821"/>
      </w:tblGrid>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478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Mereo BioPharma Contacts:</w:t>
            </w:r>
          </w:p>
          <w:p>
            <w:pPr>
              <w:pStyle w:val="TableContents"/>
              <w:bidi w:val="0"/>
              <w:spacing w:before="0" w:after="283"/>
              <w:jc w:val="both"/>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Mereo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+44 (0)333 023 7300</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Denise Scots-Knight, Chief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Christine Fox, Chief Financial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Burns McClellan (Investor Relations Adviser to Mereo)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+01 646 930 4406</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Lee Roth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Investors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432FF"/>
                <w:sz w:val="20"/>
                <w:u w:val="single"/>
              </w:rPr>
            </w:pPr>
            <w:r>
              <w:rPr>
                <w:rFonts w:ascii="Times New Roman" w:hAnsi="Times New Roman"/>
                <w:color w:val="0432FF"/>
                <w:sz w:val="20"/>
                <w:u w:val="single"/>
              </w:rPr>
              <w:t>investors@mereobiopharma.com</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MEREO BIOPHARMA GROUP PLC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0"/>
        <w:gridCol w:w="146"/>
        <w:gridCol w:w="239"/>
        <w:gridCol w:w="955"/>
        <w:gridCol w:w="166"/>
        <w:gridCol w:w="146"/>
        <w:gridCol w:w="234"/>
        <w:gridCol w:w="935"/>
        <w:gridCol w:w="594"/>
      </w:tblGrid>
      <w:tr>
        <w:trPr/>
        <w:tc>
          <w:tcPr>
            <w:tcW w:w="6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 incentives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76,390</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Convertible loan notes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15,421</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Ordinary shares, par value £0.003 per share; 795,484,404 shares issued at September 30, 2025 (December 31, 2024: 775,728,034)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539,642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(462,883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(18,849</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76,390</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MEREO BIOPHARMA GROUP PLC</w:t>
      </w:r>
    </w:p>
    <w:p>
      <w:pPr>
        <w:pStyle w:val="TextBody"/>
        <w:bidi w:val="0"/>
        <w:jc w:val="center"/>
        <w:rPr>
          <w:rFonts w:ascii="Times New Roman" w:hAnsi="Times New Roman"/>
          <w:sz w:val="20"/>
        </w:rPr>
      </w:pPr>
      <w:r>
        <w:rPr>
          <w:rFonts w:ascii="Times New Roman" w:hAnsi="Times New Roman"/>
          <w:b/>
          <w:color w:val="000000"/>
          <w:sz w:val="20"/>
        </w:rPr>
        <w:t>CONDENSED CONSOLIDATED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04"/>
        <w:gridCol w:w="146"/>
        <w:gridCol w:w="211"/>
        <w:gridCol w:w="1141"/>
        <w:gridCol w:w="166"/>
        <w:gridCol w:w="146"/>
        <w:gridCol w:w="211"/>
        <w:gridCol w:w="1141"/>
        <w:gridCol w:w="166"/>
        <w:gridCol w:w="146"/>
        <w:gridCol w:w="211"/>
        <w:gridCol w:w="1141"/>
        <w:gridCol w:w="166"/>
        <w:gridCol w:w="146"/>
        <w:gridCol w:w="211"/>
        <w:gridCol w:w="1141"/>
        <w:gridCol w:w="411"/>
      </w:tblGrid>
      <w:tr>
        <w:trPr/>
        <w:tc>
          <w:tcPr>
            <w:tcW w:w="3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gain/(loss),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(36,207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799,947,013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770,146,589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796,018,903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727,808,860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(loss)/income – 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2656</Words>
  <Characters>14945</Characters>
  <CharactersWithSpaces>17765</CharactersWithSpaces>
  <Paragraphs>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