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jc w:val="center"/>
              <w:ind w:right="2568"/>
              <w:spacing w:after="0"/>
              <w:rPr>
                <w:sz w:val="20"/>
                <w:szCs w:val="20"/>
                <w:color w:val="auto"/>
              </w:rPr>
            </w:pPr>
            <w:r>
              <w:rPr>
                <w:rFonts w:ascii="Arial" w:cs="Arial" w:eastAsia="Arial" w:hAnsi="Arial"/>
                <w:sz w:val="14"/>
                <w:szCs w:val="14"/>
                <w:b w:val="1"/>
                <w:bCs w:val="1"/>
                <w:color w:val="auto"/>
                <w:w w:val="98"/>
              </w:rPr>
              <w:t>Exhibit</w:t>
            </w:r>
          </w:p>
        </w:tc>
        <w:tc>
          <w:tcPr>
            <w:tcW w:w="3080" w:type="dxa"/>
            <w:vAlign w:val="bottom"/>
            <w:vMerge w:val="restart"/>
          </w:tcPr>
          <w:p>
            <w:pPr>
              <w:ind w:left="2620"/>
              <w:spacing w:after="0"/>
              <w:rPr>
                <w:sz w:val="20"/>
                <w:szCs w:val="20"/>
                <w:color w:val="auto"/>
              </w:rPr>
            </w:pPr>
            <w:r>
              <w:rPr>
                <w:rFonts w:ascii="Arial" w:cs="Arial" w:eastAsia="Arial" w:hAnsi="Arial"/>
                <w:sz w:val="14"/>
                <w:szCs w:val="14"/>
                <w:b w:val="1"/>
                <w:bCs w:val="1"/>
                <w:u w:val="single" w:color="auto"/>
                <w:color w:val="auto"/>
                <w:w w:val="94"/>
              </w:rPr>
              <w:t>Exhibit</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68"/>
              <w:spacing w:after="0"/>
              <w:rPr>
                <w:sz w:val="20"/>
                <w:szCs w:val="20"/>
                <w:color w:val="auto"/>
              </w:rPr>
            </w:pPr>
            <w:r>
              <w:rPr>
                <w:rFonts w:ascii="Arial" w:cs="Arial" w:eastAsia="Arial" w:hAnsi="Arial"/>
                <w:sz w:val="14"/>
                <w:szCs w:val="14"/>
                <w:b w:val="1"/>
                <w:bCs w:val="1"/>
                <w:color w:val="auto"/>
                <w:w w:val="97"/>
              </w:rPr>
              <w:t>No.</w:t>
            </w: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Securities Purchase Agreement, dated February 19, 2020, by and between Mereo BioPharma Group PLC and Boxer Capital, LLC</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Registration Rights Agreement, dated February 19, 2020, by and between Mereo BioPharma Group PLC and Boxer Capital, LLC</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19, 2020</w:t>
      </w:r>
    </w:p>
    <w:p>
      <w:pPr>
        <w:sectPr>
          <w:pgSz w:w="11900" w:h="16838" w:orient="portrait"/>
          <w:cols w:equalWidth="0" w:num="1">
            <w:col w:w="10240"/>
          </w:cols>
          <w:pgMar w:left="440" w:top="270" w:right="12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 Ph.D.</w:t>
      </w:r>
    </w:p>
    <w:p>
      <w:pPr>
        <w:spacing w:after="0" w:line="9"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ind w:right="180" w:firstLine="441"/>
        <w:spacing w:after="0" w:line="314" w:lineRule="auto"/>
        <w:rPr>
          <w:sz w:val="20"/>
          <w:szCs w:val="20"/>
          <w:color w:val="auto"/>
        </w:rPr>
      </w:pPr>
      <w:r>
        <w:rPr>
          <w:rFonts w:ascii="Arial" w:cs="Arial" w:eastAsia="Arial" w:hAnsi="Arial"/>
          <w:sz w:val="16"/>
          <w:szCs w:val="16"/>
          <w:b w:val="1"/>
          <w:bCs w:val="1"/>
          <w:color w:val="auto"/>
        </w:rPr>
        <w:t xml:space="preserve">SECURITIES PURCHASE AGREEMENT </w:t>
      </w:r>
      <w:r>
        <w:rPr>
          <w:rFonts w:ascii="Arial" w:cs="Arial" w:eastAsia="Arial" w:hAnsi="Arial"/>
          <w:sz w:val="16"/>
          <w:szCs w:val="16"/>
          <w:color w:val="auto"/>
        </w:rPr>
        <w:t>(the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19, 2020, by and between</w:t>
      </w:r>
      <w:r>
        <w:rPr>
          <w:rFonts w:ascii="Arial" w:cs="Arial" w:eastAsia="Arial" w:hAnsi="Arial"/>
          <w:sz w:val="16"/>
          <w:szCs w:val="16"/>
          <w:b w:val="1"/>
          <w:bCs w:val="1"/>
          <w:color w:val="auto"/>
        </w:rPr>
        <w:t xml:space="preserve"> MEREO BIOPHARMA GROUP PLC</w:t>
      </w:r>
      <w:r>
        <w:rPr>
          <w:rFonts w:ascii="Arial" w:cs="Arial" w:eastAsia="Arial" w:hAnsi="Arial"/>
          <w:sz w:val="16"/>
          <w:szCs w:val="16"/>
          <w:color w:val="auto"/>
        </w:rPr>
        <w:t>, a public limited company incorporated under the laws of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and</w:t>
      </w:r>
      <w:r>
        <w:rPr>
          <w:rFonts w:ascii="Arial" w:cs="Arial" w:eastAsia="Arial" w:hAnsi="Arial"/>
          <w:sz w:val="16"/>
          <w:szCs w:val="16"/>
          <w:b w:val="1"/>
          <w:bCs w:val="1"/>
          <w:color w:val="auto"/>
        </w:rPr>
        <w:t xml:space="preserve"> Boxer Capital, LLC</w:t>
      </w:r>
      <w:r>
        <w:rPr>
          <w:rFonts w:ascii="Arial" w:cs="Arial" w:eastAsia="Arial" w:hAnsi="Arial"/>
          <w:sz w:val="16"/>
          <w:szCs w:val="16"/>
          <w:color w:val="auto"/>
        </w:rPr>
        <w:t>,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liability company (the “</w:t>
      </w:r>
      <w:r>
        <w:rPr>
          <w:rFonts w:ascii="Arial" w:cs="Arial" w:eastAsia="Arial" w:hAnsi="Arial"/>
          <w:sz w:val="16"/>
          <w:szCs w:val="16"/>
          <w:b w:val="1"/>
          <w:bCs w:val="1"/>
          <w:color w:val="auto"/>
        </w:rPr>
        <w:t>Buyer</w:t>
      </w:r>
      <w:r>
        <w:rPr>
          <w:rFonts w:ascii="Arial" w:cs="Arial" w:eastAsia="Arial" w:hAnsi="Arial"/>
          <w:sz w:val="16"/>
          <w:szCs w:val="16"/>
          <w:color w:val="auto"/>
        </w:rPr>
        <w:t>”). Capitalized terms used herein and not otherwise defined herein are defined in Section 9 hereof.</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p>
    <w:p>
      <w:pPr>
        <w:spacing w:after="0" w:line="121"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Subject to the terms and conditions set forth in this Agreement, the Company wishes to issue to the Buyer, and the Buyer wishes to buy from the Company Three Million Dollars ($3,000,000) of the Company’s ordinary shares, nominal value £0.003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p>
      <w:pPr>
        <w:spacing w:after="0" w:line="120" w:lineRule="exact"/>
        <w:rPr>
          <w:sz w:val="20"/>
          <w:szCs w:val="20"/>
          <w:color w:val="auto"/>
        </w:rPr>
      </w:pPr>
    </w:p>
    <w:p>
      <w:pPr>
        <w:ind w:right="280" w:firstLine="441"/>
        <w:spacing w:after="0" w:line="266" w:lineRule="auto"/>
        <w:rPr>
          <w:sz w:val="20"/>
          <w:szCs w:val="20"/>
          <w:color w:val="auto"/>
        </w:rPr>
      </w:pPr>
      <w:r>
        <w:rPr>
          <w:rFonts w:ascii="Arial" w:cs="Arial" w:eastAsia="Arial" w:hAnsi="Arial"/>
          <w:sz w:val="18"/>
          <w:szCs w:val="18"/>
          <w:color w:val="auto"/>
        </w:rPr>
        <w:t>Such Ordinary Shares may be exchanged for American Depositary Shares (each American Depositary Share, an “</w:t>
      </w:r>
      <w:r>
        <w:rPr>
          <w:rFonts w:ascii="Arial" w:cs="Arial" w:eastAsia="Arial" w:hAnsi="Arial"/>
          <w:sz w:val="18"/>
          <w:szCs w:val="18"/>
          <w:b w:val="1"/>
          <w:bCs w:val="1"/>
          <w:color w:val="auto"/>
        </w:rPr>
        <w:t>ADS</w:t>
      </w:r>
      <w:r>
        <w:rPr>
          <w:rFonts w:ascii="Arial" w:cs="Arial" w:eastAsia="Arial" w:hAnsi="Arial"/>
          <w:sz w:val="18"/>
          <w:szCs w:val="18"/>
          <w:color w:val="auto"/>
        </w:rPr>
        <w:t>”), with each ADS representing five (5) Ordinary Shares, as determined in accordance with this Agreement. The ADSs issued to the Buyer in exchange for the Ordinary Shares purchased pursuant to Section 1 of this Agreement are referred to as the “</w:t>
      </w:r>
      <w:r>
        <w:rPr>
          <w:rFonts w:ascii="Arial" w:cs="Arial" w:eastAsia="Arial" w:hAnsi="Arial"/>
          <w:sz w:val="18"/>
          <w:szCs w:val="18"/>
          <w:b w:val="1"/>
          <w:bCs w:val="1"/>
          <w:color w:val="auto"/>
        </w:rPr>
        <w:t>Purchase ADSs</w:t>
      </w:r>
      <w:r>
        <w:rPr>
          <w:rFonts w:ascii="Arial" w:cs="Arial" w:eastAsia="Arial" w:hAnsi="Arial"/>
          <w:sz w:val="18"/>
          <w:szCs w:val="18"/>
          <w:color w:val="auto"/>
        </w:rPr>
        <w:t>”; and</w:t>
      </w:r>
    </w:p>
    <w:p>
      <w:pPr>
        <w:spacing w:after="0" w:line="180"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The Purchase ADSs will be issued pursuant to the Deposit Agreement, dated as of April 23, 2019, among the Company, Citibank N.A.,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all Holders and Beneficial Owners of ADSs issued thereunder (as amended, and as may hereafter be amended or otherwise modified in accordance with its terms, the “</w:t>
      </w:r>
      <w:r>
        <w:rPr>
          <w:rFonts w:ascii="Arial" w:cs="Arial" w:eastAsia="Arial" w:hAnsi="Arial"/>
          <w:sz w:val="18"/>
          <w:szCs w:val="18"/>
          <w:b w:val="1"/>
          <w:bCs w:val="1"/>
          <w:color w:val="auto"/>
        </w:rPr>
        <w:t>Deposit Agreement</w:t>
      </w:r>
      <w:r>
        <w:rPr>
          <w:rFonts w:ascii="Arial" w:cs="Arial" w:eastAsia="Arial" w:hAnsi="Arial"/>
          <w:sz w:val="18"/>
          <w:szCs w:val="18"/>
          <w:color w:val="auto"/>
        </w:rPr>
        <w:t>”). Each ADS represents five (5) Ordinary Shares deposited pursuant to the Deposit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the Buyer hereby agree as follows:</w:t>
      </w:r>
    </w:p>
    <w:p>
      <w:pPr>
        <w:spacing w:after="0" w:line="374" w:lineRule="exact"/>
        <w:rPr>
          <w:sz w:val="20"/>
          <w:szCs w:val="20"/>
          <w:color w:val="auto"/>
        </w:rPr>
      </w:pPr>
    </w:p>
    <w:p>
      <w:pPr>
        <w:ind w:left="980" w:hanging="544"/>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SECURITIES.</w:t>
      </w:r>
    </w:p>
    <w:p>
      <w:pPr>
        <w:spacing w:after="0" w:line="12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Subject to the terms and conditions set forth in this Agreement, the Company has the right to sell to the Buyer, and the Buyer has the obligation to purchase from the Company, Purchase Securities as follows:</w:t>
      </w:r>
    </w:p>
    <w:p>
      <w:pPr>
        <w:spacing w:after="0" w:line="166" w:lineRule="exact"/>
        <w:rPr>
          <w:sz w:val="20"/>
          <w:szCs w:val="20"/>
          <w:color w:val="auto"/>
        </w:rPr>
      </w:pPr>
    </w:p>
    <w:p>
      <w:pPr>
        <w:ind w:right="20" w:firstLine="444"/>
        <w:spacing w:after="0" w:line="29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Purchase and Sale</w:t>
      </w:r>
      <w:r>
        <w:rPr>
          <w:rFonts w:ascii="Arial" w:cs="Arial" w:eastAsia="Arial" w:hAnsi="Arial"/>
          <w:sz w:val="16"/>
          <w:szCs w:val="16"/>
          <w:color w:val="auto"/>
        </w:rPr>
        <w:t>. The Buyer hereby subscribes for 12,252,715 Ordinary Shares (the “</w:t>
      </w:r>
      <w:r>
        <w:rPr>
          <w:rFonts w:ascii="Arial" w:cs="Arial" w:eastAsia="Arial" w:hAnsi="Arial"/>
          <w:sz w:val="16"/>
          <w:szCs w:val="16"/>
          <w:b w:val="1"/>
          <w:bCs w:val="1"/>
          <w:color w:val="auto"/>
        </w:rPr>
        <w:t>Purchase Ordinary Shares</w:t>
      </w:r>
      <w:r>
        <w:rPr>
          <w:rFonts w:ascii="Arial" w:cs="Arial" w:eastAsia="Arial" w:hAnsi="Arial"/>
          <w:sz w:val="16"/>
          <w:szCs w:val="16"/>
          <w:color w:val="auto"/>
        </w:rPr>
        <w:t>,” and together with the Purchase ADSs, the “</w:t>
      </w:r>
      <w:r>
        <w:rPr>
          <w:rFonts w:ascii="Arial" w:cs="Arial" w:eastAsia="Arial" w:hAnsi="Arial"/>
          <w:sz w:val="16"/>
          <w:szCs w:val="16"/>
          <w:b w:val="1"/>
          <w:bCs w:val="1"/>
          <w:color w:val="auto"/>
        </w:rPr>
        <w:t>Securities</w:t>
      </w:r>
      <w:r>
        <w:rPr>
          <w:rFonts w:ascii="Arial" w:cs="Arial" w:eastAsia="Arial" w:hAnsi="Arial"/>
          <w:sz w:val="16"/>
          <w:szCs w:val="16"/>
          <w:color w:val="auto"/>
        </w:rPr>
        <w:t>”). Promptly following the execution of this Agreement, Buyer shall on the date hereof promptly pay to the Company as the purchase price therefor, via wire transfer, Three Million Dollars ($3,000,000). Upon receipt by the Company of the Three Million Dollars ($3,000,000) related to such purchase, the Company shall promptly (and not later than one Business Day thereafter) deliver notice to the Registrar of the purchase and instructions to its Registrar to promptly issue to the Buyer 12,252,715 Ordinary Shares concurrently with Admission of those shares. Upon issuance, delivery and payment therefor as provided herein, such Purchase Ordinary Shares shall be validly issued and fully paid and non-assessable. The Purchase Ordinary Shares shall be issued to the Buyer in certificated form bearing the restrictive legend set forth in Section 4(e).</w:t>
      </w:r>
    </w:p>
    <w:p>
      <w:pPr>
        <w:spacing w:after="0" w:line="165" w:lineRule="exact"/>
        <w:rPr>
          <w:rFonts w:ascii="Arial" w:cs="Arial" w:eastAsia="Arial" w:hAnsi="Arial"/>
          <w:sz w:val="16"/>
          <w:szCs w:val="16"/>
          <w:color w:val="auto"/>
        </w:rPr>
      </w:pPr>
    </w:p>
    <w:p>
      <w:pPr>
        <w:jc w:val="both"/>
        <w:ind w:right="100" w:firstLine="444"/>
        <w:spacing w:after="0" w:line="264" w:lineRule="auto"/>
        <w:tabs>
          <w:tab w:leader="none" w:pos="83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Taxes and Fees of the Depositary</w:t>
      </w:r>
      <w:r>
        <w:rPr>
          <w:rFonts w:ascii="Arial" w:cs="Arial" w:eastAsia="Arial" w:hAnsi="Arial"/>
          <w:sz w:val="18"/>
          <w:szCs w:val="18"/>
          <w:color w:val="auto"/>
        </w:rPr>
        <w:t>. The Company shall (to the extent that it would not be unlawful for it to do so under English law) pay any and all transfer, stamp or similar taxes and fees that may be payable with respect to the issuance and delivery of any Securities to the Buyer made under this Agreement, including any and all fees and expenses of the Depositary or Registrar.</w:t>
      </w:r>
    </w:p>
    <w:p>
      <w:pPr>
        <w:sectPr>
          <w:pgSz w:w="11900" w:h="16838" w:orient="portrait"/>
          <w:cols w:equalWidth="0" w:num="1">
            <w:col w:w="11020"/>
          </w:cols>
          <w:pgMar w:left="440" w:top="121" w:right="439" w:bottom="1440" w:gutter="0" w:footer="0" w:header="0"/>
        </w:sectPr>
      </w:pPr>
    </w:p>
    <w:bookmarkStart w:id="4" w:name="page5"/>
    <w:bookmarkEnd w:id="4"/>
    <w:p>
      <w:pPr>
        <w:ind w:left="960" w:hanging="54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BUYER’S REPRESENTATIONS AND WARRANTIES.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Buyer represents and warrants to the Company that as of the date hereof:</w:t>
      </w:r>
    </w:p>
    <w:p>
      <w:pPr>
        <w:spacing w:after="0" w:line="225" w:lineRule="exact"/>
        <w:rPr>
          <w:sz w:val="20"/>
          <w:szCs w:val="20"/>
          <w:color w:val="auto"/>
        </w:rPr>
      </w:pPr>
    </w:p>
    <w:p>
      <w:pPr>
        <w:ind w:left="-20" w:right="20" w:firstLine="444"/>
        <w:spacing w:after="0" w:line="26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xml:space="preserve">. The Buyer is entering into this Agreement and acquiring the Securities for its own account for investment only and not with a view towards, or for resale in connection with, the public sale or distribution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by making the representations herein, the Buyer does not agree to hold any of the Securities for any minimum or other specific term.</w:t>
      </w:r>
    </w:p>
    <w:p>
      <w:pPr>
        <w:spacing w:after="0" w:line="181" w:lineRule="exact"/>
        <w:rPr>
          <w:rFonts w:ascii="Arial" w:cs="Arial" w:eastAsia="Arial" w:hAnsi="Arial"/>
          <w:sz w:val="18"/>
          <w:szCs w:val="18"/>
          <w:color w:val="auto"/>
        </w:rPr>
      </w:pPr>
    </w:p>
    <w:p>
      <w:pPr>
        <w:ind w:left="-20" w:right="260" w:firstLine="444"/>
        <w:spacing w:after="0" w:line="277" w:lineRule="auto"/>
        <w:tabs>
          <w:tab w:leader="none" w:pos="81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The Buyer is (i) an “accredited investor” as that term is defined in Rule 501(a)(3) of Regulation D of the 1933 Act and (ii) a qualified institutional buyer within the meaning of Rule 144A of the 1933 Act.</w:t>
      </w:r>
    </w:p>
    <w:p>
      <w:pPr>
        <w:spacing w:after="0" w:line="170" w:lineRule="exact"/>
        <w:rPr>
          <w:rFonts w:ascii="Arial" w:cs="Arial" w:eastAsia="Arial" w:hAnsi="Arial"/>
          <w:sz w:val="18"/>
          <w:szCs w:val="18"/>
          <w:color w:val="auto"/>
        </w:rPr>
      </w:pPr>
    </w:p>
    <w:p>
      <w:pPr>
        <w:ind w:left="-20" w:right="200" w:firstLine="444"/>
        <w:spacing w:after="0" w:line="279"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Reliance on Exemptions</w:t>
      </w:r>
      <w:r>
        <w:rPr>
          <w:rFonts w:ascii="Arial" w:cs="Arial" w:eastAsia="Arial" w:hAnsi="Arial"/>
          <w:sz w:val="17"/>
          <w:szCs w:val="17"/>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spacing w:after="0" w:line="171" w:lineRule="exact"/>
        <w:rPr>
          <w:rFonts w:ascii="Arial" w:cs="Arial" w:eastAsia="Arial" w:hAnsi="Arial"/>
          <w:sz w:val="17"/>
          <w:szCs w:val="17"/>
          <w:color w:val="auto"/>
        </w:rPr>
      </w:pPr>
    </w:p>
    <w:p>
      <w:pPr>
        <w:ind w:left="-20" w:firstLine="444"/>
        <w:spacing w:after="0" w:line="289" w:lineRule="auto"/>
        <w:tabs>
          <w:tab w:leader="none" w:pos="81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Buyer has been furnished with all materials relating to the business, finances and operations of the Company and materials relating to the offer and sale of the Securities that have been reasonably requested by the Buyer, including, without limitation, the SEC Documents (as defined in Section 3(f) hereof). The Buyer understands that its investment in the Securities involves a high degree of risk. The Buyer (i) is able to bear the economic risk of an investment in the Securities including a total loss,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Buyer or its representatives shall modify, amend or affect the Buyer’s right to rely on the Company’s representations and warranties contained in Section 3 below. The Buyer has sought such accounting, legal and tax advice as it has considered necessary to make an informed investment decision with respect to its acquisition of the Securities.</w:t>
      </w:r>
    </w:p>
    <w:p>
      <w:pPr>
        <w:spacing w:after="0" w:line="166" w:lineRule="exact"/>
        <w:rPr>
          <w:rFonts w:ascii="Arial" w:cs="Arial" w:eastAsia="Arial" w:hAnsi="Arial"/>
          <w:sz w:val="16"/>
          <w:szCs w:val="16"/>
          <w:color w:val="auto"/>
        </w:rPr>
      </w:pPr>
    </w:p>
    <w:p>
      <w:pPr>
        <w:ind w:left="-20" w:right="100" w:firstLine="444"/>
        <w:spacing w:after="0" w:line="26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81" w:lineRule="exact"/>
        <w:rPr>
          <w:rFonts w:ascii="Arial" w:cs="Arial" w:eastAsia="Arial" w:hAnsi="Arial"/>
          <w:sz w:val="18"/>
          <w:szCs w:val="18"/>
          <w:color w:val="auto"/>
        </w:rPr>
      </w:pPr>
    </w:p>
    <w:p>
      <w:pPr>
        <w:ind w:left="-20" w:right="80" w:firstLine="444"/>
        <w:spacing w:after="0" w:line="297"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Transfer or Sale</w:t>
      </w:r>
      <w:r>
        <w:rPr>
          <w:rFonts w:ascii="Arial" w:cs="Arial" w:eastAsia="Arial" w:hAnsi="Arial"/>
          <w:sz w:val="16"/>
          <w:szCs w:val="16"/>
          <w:color w:val="auto"/>
        </w:rPr>
        <w:t>. The Buyer understands that except as provided in the Registration Rights Agreement (as defined in Section 4(a) hereof): (i) the Securities have not been and are not being registered under the 1933 Act or any state securities laws, and may not be offered for sale, sold, assigned or transferred unless (A) subsequently registered thereunder or (B) an exemption exists permitting such Securities to be sold, assigned or transferred without such registration; (ii) any sale of the Securities made in reliance on Rule 144 may be made only in accordance with the terms of Rule 144 and further, if Rule 144 is not applicable, any resale of the Securities under circumstances in which the seller (or the person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0" w:right="43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the Securities under the 1933 Act or any state securities laws or to comply with the terms and conditions of any exemption thereunder.</w:t>
      </w:r>
    </w:p>
    <w:p>
      <w:pPr>
        <w:spacing w:after="0" w:line="187" w:lineRule="exact"/>
        <w:rPr>
          <w:sz w:val="20"/>
          <w:szCs w:val="20"/>
          <w:color w:val="auto"/>
        </w:rPr>
      </w:pPr>
    </w:p>
    <w:p>
      <w:pPr>
        <w:ind w:right="240" w:firstLine="444"/>
        <w:spacing w:after="0" w:line="264" w:lineRule="auto"/>
        <w:tabs>
          <w:tab w:leader="none" w:pos="83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The Buyer is a limited liability company duly organized and validly existing in good standing under the laws of the jurisdiction in which it is organized, and has the requisite organizational power and authority to own its properties and to carry on its business as now being conducted.</w:t>
      </w:r>
    </w:p>
    <w:p>
      <w:pPr>
        <w:spacing w:after="0" w:line="181" w:lineRule="exact"/>
        <w:rPr>
          <w:rFonts w:ascii="Arial" w:cs="Arial" w:eastAsia="Arial" w:hAnsi="Arial"/>
          <w:sz w:val="18"/>
          <w:szCs w:val="18"/>
          <w:color w:val="auto"/>
        </w:rPr>
      </w:pPr>
    </w:p>
    <w:p>
      <w:pPr>
        <w:ind w:firstLine="444"/>
        <w:spacing w:after="0" w:line="254" w:lineRule="auto"/>
        <w:tabs>
          <w:tab w:leader="none" w:pos="83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the Buyer and is a valid and binding agreement of the Buyer enforceable against the Buyer in accordance with its terms, subject as to enforceability to (i) general principles of equity and to applicable bankruptcy, insolvency, reorganization, moratorium, liquidation and other similar laws relating to, or affecting generally, the enforcement of applicable creditors’ rights and remedies and (ii) public policy underlying any law, rule or regulation (including any federal or state securities law, rule or regulation) with regards to indemnification, contribution or exculpation. The execution and delivery of the Transaction Documents (as defined in Section 3(b) hereof) by the Buyer and the consummation by it of the transactions contemplated hereby and thereby do not conflict with the Buyer’s certificate of organization or operating agreement or similar documents, and do not require further consent or authorization by the Buyer, its managers or its members.</w:t>
      </w:r>
    </w:p>
    <w:p>
      <w:pPr>
        <w:spacing w:after="0" w:line="192" w:lineRule="exact"/>
        <w:rPr>
          <w:rFonts w:ascii="Arial" w:cs="Arial" w:eastAsia="Arial" w:hAnsi="Arial"/>
          <w:sz w:val="18"/>
          <w:szCs w:val="18"/>
          <w:color w:val="auto"/>
        </w:rPr>
      </w:pPr>
    </w:p>
    <w:p>
      <w:pPr>
        <w:ind w:left="800" w:hanging="35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Buyer is a Delaware limited liability company with a principal place of business in the State of California.</w:t>
      </w:r>
    </w:p>
    <w:p>
      <w:pPr>
        <w:spacing w:after="0" w:line="225" w:lineRule="exact"/>
        <w:rPr>
          <w:rFonts w:ascii="Arial" w:cs="Arial" w:eastAsia="Arial" w:hAnsi="Arial"/>
          <w:sz w:val="18"/>
          <w:szCs w:val="18"/>
          <w:color w:val="auto"/>
        </w:rPr>
      </w:pPr>
    </w:p>
    <w:p>
      <w:pPr>
        <w:jc w:val="both"/>
        <w:ind w:right="120" w:firstLine="444"/>
        <w:spacing w:after="0" w:line="259" w:lineRule="auto"/>
        <w:tabs>
          <w:tab w:leader="none" w:pos="79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Prior Short Selling</w:t>
      </w:r>
      <w:r>
        <w:rPr>
          <w:rFonts w:ascii="Arial" w:cs="Arial" w:eastAsia="Arial" w:hAnsi="Arial"/>
          <w:sz w:val="18"/>
          <w:szCs w:val="18"/>
          <w:color w:val="auto"/>
        </w:rPr>
        <w:t>. The Buyer represents and warrants to the Company that at no time prior to the date of this Agreement has any of the Buyer, its agents, representatives or affiliates engaged in or effected, in any manner whatsoever, directly or indirectly, any (i) “short sale” (as such term is defined in Section 242.200 of Regulation SHO of the 1934 Act) of the Securities or (ii) hedging transaction, which establishes a net short position with respect to the Securities.</w:t>
      </w:r>
    </w:p>
    <w:p>
      <w:pPr>
        <w:spacing w:after="0" w:line="331" w:lineRule="exact"/>
        <w:rPr>
          <w:sz w:val="20"/>
          <w:szCs w:val="20"/>
          <w:color w:val="auto"/>
        </w:rPr>
      </w:pPr>
    </w:p>
    <w:p>
      <w:pPr>
        <w:ind w:left="980" w:hanging="54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represents and warrants to the Buyer that as of the date hereof:</w:t>
      </w:r>
    </w:p>
    <w:p>
      <w:pPr>
        <w:spacing w:after="0" w:line="225" w:lineRule="exact"/>
        <w:rPr>
          <w:sz w:val="20"/>
          <w:szCs w:val="20"/>
          <w:color w:val="auto"/>
        </w:rPr>
      </w:pPr>
    </w:p>
    <w:p>
      <w:pPr>
        <w:ind w:right="20" w:firstLine="444"/>
        <w:spacing w:after="0" w:line="253"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its “Subsidiaries” (which for purposes of this Agreement means any entity in which the Company, directly or indirectly, owns more than 50% of the voting stock or capital stock or other similar equity interests) are corporations, partnerships, limited liability companies or other entities that are duly organized and validly existing in good standing under the laws of the jurisdiction in which they are incorporated or organized, and have the requisite corporate or organizational power and authority to own their properties and to carry on their business as now being conducted. Each of the Company and its Subsidiaries is duly qualified as a foreign corporation, partnership, limited liability company or other entity to do business and is in good standing in every jurisdiction in which its ownership of property or the nature of the business conducted by it makes such qualification necessary, except to the extent that the failure to be so qualified or be in good standing could not reasonably be expected to have a Material Adverse Effect. As used in this Agreement, “</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material adverse effect on any of: (i) the business, properties,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jc w:val="both"/>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operations, results of operations or financial condition of the Company and its Subsidiaries, if any, taken as a whole, or (ii) the authority or ability of the Company to perform its obligations under the Transaction Documents. The Company has no material Subsidiaries except as set forth on Schedule 3(a).</w:t>
      </w:r>
    </w:p>
    <w:p>
      <w:pPr>
        <w:spacing w:after="0" w:line="124" w:lineRule="exact"/>
        <w:rPr>
          <w:sz w:val="20"/>
          <w:szCs w:val="20"/>
          <w:color w:val="auto"/>
        </w:rPr>
      </w:pPr>
    </w:p>
    <w:p>
      <w:pPr>
        <w:ind w:firstLine="444"/>
        <w:spacing w:after="0" w:line="285" w:lineRule="auto"/>
        <w:tabs>
          <w:tab w:leader="none" w:pos="83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(i) The Company has the requisite power and authority to enter into and perform its obligations under this Agreement, the Registration Rights Agreement and each of the other agreements entered into by the parties on the date hereof (collectively,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to issue the Securities in accordance with the terms hereof and thereof, (ii) the execution and delivery of the Transaction Documents by the Company and the consummation by it of the transactions contemplated hereby and thereby, including without limitation, the issuance of the Purchase Securities issuable under this Agreement have been duly authorized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w:t>
      </w:r>
      <w:r>
        <w:rPr>
          <w:rFonts w:ascii="Arial" w:cs="Arial" w:eastAsia="Arial" w:hAnsi="Arial"/>
          <w:sz w:val="16"/>
          <w:szCs w:val="16"/>
          <w:b w:val="1"/>
          <w:bCs w:val="1"/>
          <w:color w:val="auto"/>
        </w:rPr>
        <w:t>of Directors</w:t>
      </w:r>
      <w:r>
        <w:rPr>
          <w:rFonts w:ascii="Arial" w:cs="Arial" w:eastAsia="Arial" w:hAnsi="Arial"/>
          <w:sz w:val="16"/>
          <w:szCs w:val="16"/>
          <w:color w:val="auto"/>
        </w:rPr>
        <w:t>”) or a duly authorized committee thereof, and do not conflict with the Company’s Articles of Association (as defined below), and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further consent or authorization by the Company, its Board of Directors or its shareholders, except for any relevant application for Admission with respect to the issue of Securities, (iii) this Agreement has been, and each other Transaction Document shall be on the date hereof,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(y) general principles of equity or applicable bankruptcy, insolvency, reorganization, moratorium, liquidation or similar laws relating to, or affecting generally, the enforcement of creditors’ rights and remedies and (z) public policy underlying any law, rule or regulation (including any federal or state securities law, rule or regulation) with regards to indemnification, contribution or exculpation. The Board of Directors or duly authorized committee thereof has approved the resolutions (the “</w:t>
      </w:r>
      <w:r>
        <w:rPr>
          <w:rFonts w:ascii="Arial" w:cs="Arial" w:eastAsia="Arial" w:hAnsi="Arial"/>
          <w:sz w:val="16"/>
          <w:szCs w:val="16"/>
          <w:b w:val="1"/>
          <w:bCs w:val="1"/>
          <w:color w:val="auto"/>
        </w:rPr>
        <w:t>Signing Resolutions</w:t>
      </w:r>
      <w:r>
        <w:rPr>
          <w:rFonts w:ascii="Arial" w:cs="Arial" w:eastAsia="Arial" w:hAnsi="Arial"/>
          <w:sz w:val="16"/>
          <w:szCs w:val="16"/>
          <w:color w:val="auto"/>
        </w:rPr>
        <w:t xml:space="preserve">”) substantially in the form as set forth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attached hereto, or referred to therein, to authorize this Agreement and the transactions contemplated hereby. The Signing Resolutions are valid, in full force and effect and have not been modified or supplemented in any material respect. The Company has delivered to the Buyer a true and correct copy of the Signing Resolutions as approved by the Board of Directors or a duly authorized committee thereof.</w:t>
      </w:r>
    </w:p>
    <w:p>
      <w:pPr>
        <w:spacing w:after="0" w:line="175" w:lineRule="exact"/>
        <w:rPr>
          <w:rFonts w:ascii="Arial" w:cs="Arial" w:eastAsia="Arial" w:hAnsi="Arial"/>
          <w:sz w:val="16"/>
          <w:szCs w:val="16"/>
          <w:color w:val="auto"/>
        </w:rPr>
      </w:pPr>
    </w:p>
    <w:p>
      <w:pPr>
        <w:ind w:right="100" w:firstLine="444"/>
        <w:spacing w:after="0" w:line="284" w:lineRule="auto"/>
        <w:tabs>
          <w:tab w:leader="none" w:pos="82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 hereof, the share capital of the Company is as disclosed in Schedule 3(c). All of the 112,255,142 Ordinary Shares issued and outstanding as of February 18, 2020, have been, validly issued and are fully paid and non-assessable. None of the Securities upon issuance shall be subject to preemptive rights or any other similar rights or any liens or encumbrances suffered or permitted by the Company. Except as disclosed in Schedule 3(c)(i) there are no outstanding debt securities of the Company or any of its Subsidiaries, (ii) there are no outstanding options, warrants, rights to subscribe to, calls or commitments of any character whatsoever relating to, or securities or rights convertible into, any securities of the Company or any of its Subsidiaries, or contracts, commitments, understandings or arrangements by which the Company or any of its Subsidiaries is or may become bound to issue additional securities of the Company or any of its Subsidiaries or options, warrants, scrip, rights to subscribe to, calls or commitments of any character whatsoever relating to, or securities or rights convertible into, any securities of the Company or any of its Subsidiaries,</w:t>
      </w:r>
    </w:p>
    <w:p>
      <w:pPr>
        <w:spacing w:after="0" w:line="1" w:lineRule="exact"/>
        <w:rPr>
          <w:rFonts w:ascii="Arial" w:cs="Arial" w:eastAsia="Arial" w:hAnsi="Arial"/>
          <w:sz w:val="16"/>
          <w:szCs w:val="16"/>
          <w:color w:val="auto"/>
        </w:rPr>
      </w:pPr>
    </w:p>
    <w:p>
      <w:pPr>
        <w:ind w:right="80" w:firstLine="4"/>
        <w:spacing w:after="0" w:line="253"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the Registration Rights Agreement, there are no material agreements or arrangements under which the Company or any of its Subsidiaries is obligated to register the sale of any of their securities under the 1933 Act on the Registration Statement, (iv)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 there are no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instruments containing anti-dilution or similar provisions that will be triggered by the issuance of the Securities as described in this Agreement and</w:t>
      </w:r>
    </w:p>
    <w:p>
      <w:pPr>
        <w:spacing w:after="0" w:line="46" w:lineRule="exact"/>
        <w:rPr>
          <w:sz w:val="20"/>
          <w:szCs w:val="20"/>
          <w:color w:val="auto"/>
        </w:rPr>
      </w:pPr>
    </w:p>
    <w:p>
      <w:pPr>
        <w:jc w:val="both"/>
        <w:ind w:right="140" w:firstLine="4"/>
        <w:spacing w:after="0" w:line="255" w:lineRule="auto"/>
        <w:tabs>
          <w:tab w:leader="none" w:pos="3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Company does not have any share appreciation rights or “phantom stock” plans or agreements or any similar plan or agreement. The Company has furnished or made available to the Buyer a true and correct copy of the Company’s Articles of Association, as amended and as in effect on the date hereof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firstLine="444"/>
        <w:spacing w:after="0" w:line="255" w:lineRule="auto"/>
        <w:tabs>
          <w:tab w:leader="none" w:pos="83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Issuance of Securities</w:t>
      </w:r>
      <w:r>
        <w:rPr>
          <w:rFonts w:ascii="Arial" w:cs="Arial" w:eastAsia="Arial" w:hAnsi="Arial"/>
          <w:sz w:val="18"/>
          <w:szCs w:val="18"/>
          <w:color w:val="auto"/>
        </w:rPr>
        <w:t>. The Securities will, when issued, be duly authorized and, upon issuance (and payment therefore in the case of the Purchase Ordinary Shares) in accordance with the terms hereof, shall be (i) validly issued, fully paid and non-assessable and (ii) free from all taxes, liens and charges with respect to the issuance thereof and (iii) once the relevant Ordinary Shares are deposited with the Depositary, entitled to the rights set forth in the Deposit Agreement. The holders of the Purchase Ordinary Shares, upon issuance will be entitled to all rights accorded to a holder of Ordinary Shares. Upon issuance in accordance with the terms and conditions of this Agreement and the Deposit Agreement, the Purchase ADSs shall be validly issued, fully paid and non-assessable and free from all taxes, liens and charges with respect to the issue thereof, and entitled to the rights set forth in the Deposit Agreement.</w:t>
      </w:r>
    </w:p>
    <w:p>
      <w:pPr>
        <w:spacing w:after="0" w:line="189" w:lineRule="exact"/>
        <w:rPr>
          <w:rFonts w:ascii="Arial" w:cs="Arial" w:eastAsia="Arial" w:hAnsi="Arial"/>
          <w:sz w:val="18"/>
          <w:szCs w:val="18"/>
          <w:color w:val="auto"/>
        </w:rPr>
      </w:pPr>
    </w:p>
    <w:p>
      <w:pPr>
        <w:ind w:right="20" w:firstLine="444"/>
        <w:spacing w:after="0" w:line="284" w:lineRule="auto"/>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will not (i) result in a violation of the Articles of Association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to the Company’s knowledge,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Neither the Company nor its Subsidiaries is in violation of any term of or in default under its Articles of Association.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violations, defaults, terminations or amendments that could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Except as specifically contemplated by this Agreement, reporting obligations under the 1934 Act or as required under the 1933 Act or applicable state securities laws or the filing of a Listing of Additional Shares Notification Form with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for reporting obligations under the 1934 Act, all consents, authorizations, orders, filings and registrations which the Company is required to obtain pursuant to the preceding sentence shall be obtained or effected on or prior to the date hereof. The Company is not subject to any notices or actions from or to the Principal Market, other than routine matters incident to listing on the Principal Market and not involving a violation of the rules of the Principal Market. To the Company’s knowledge, the Principal Market has not commenced any delisting proceedings against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ind w:left="-40" w:right="80" w:firstLine="444"/>
        <w:spacing w:after="0" w:line="285"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 Documents; Financial Statements</w:t>
      </w:r>
      <w:r>
        <w:rPr>
          <w:rFonts w:ascii="Arial" w:cs="Arial" w:eastAsia="Arial" w:hAnsi="Arial"/>
          <w:sz w:val="16"/>
          <w:szCs w:val="16"/>
          <w:color w:val="auto"/>
        </w:rPr>
        <w:t>. Since June 30, 2018, the Company has filed all reports, schedules, forms, statements and other documents required to be filed by it with the SEC pursuant to the reporting requirements of the 1934 Act (all of the foregoing filed prior to the date hereof and all exhibits included therein and financial statements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as of their respective dates (except as they have been correctly amended), the SEC Documents complied in all material respects with the requirements of the 1934 Act and the rules and regulations of the SEC promulgated thereunder applicable to the SEC Documents, and none of the SEC Documents, at the time they were filed with the SEC (except as they may have been properly amended), contained any untrue statement of a material fact or omitted to state a material fact required to be stated therein or necessary in order to make the statements therein, in light of the circumstances under which they were made, not misleading. As of their respective dates (except as they have been properly amended),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Except routine correspondence, such as comment letters and notices of effectiveness in connection with previously filed registration statements or periodic reports publicly available on EDGAR, to the Company’s knowledge, the Company or any of its Subsidiaries are not on the date hereof the subject of any inquiry, investigation or action by the SEC.</w:t>
      </w:r>
    </w:p>
    <w:p>
      <w:pPr>
        <w:spacing w:after="0" w:line="175" w:lineRule="exact"/>
        <w:rPr>
          <w:rFonts w:ascii="Arial" w:cs="Arial" w:eastAsia="Arial" w:hAnsi="Arial"/>
          <w:sz w:val="16"/>
          <w:szCs w:val="16"/>
          <w:color w:val="auto"/>
        </w:rPr>
      </w:pPr>
    </w:p>
    <w:p>
      <w:pPr>
        <w:ind w:left="-40" w:firstLine="444"/>
        <w:spacing w:after="0" w:line="293" w:lineRule="auto"/>
        <w:tabs>
          <w:tab w:leader="none" w:pos="79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June 30, 2019, there has been no material adverse change in the business, properties, operations, financial condition or results of operations of the Company or its Subsidiaries taken as a whole. For purposes of this Agreement, neither a decrease in cash or cash equivalents or in the market price of the Securities nor losses incurred in the ordinary course of the Company’s business shall be deemed or considered a material adverse change.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r>
        <w:rPr>
          <w:rFonts w:ascii="Arial" w:cs="Arial" w:eastAsia="Arial" w:hAnsi="Arial"/>
          <w:sz w:val="16"/>
          <w:szCs w:val="16"/>
          <w:b w:val="1"/>
          <w:bCs w:val="1"/>
          <w:color w:val="auto"/>
        </w:rPr>
        <w:t>.</w:t>
      </w:r>
    </w:p>
    <w:p>
      <w:pPr>
        <w:spacing w:after="0" w:line="164" w:lineRule="exact"/>
        <w:rPr>
          <w:rFonts w:ascii="Arial" w:cs="Arial" w:eastAsia="Arial" w:hAnsi="Arial"/>
          <w:sz w:val="16"/>
          <w:szCs w:val="16"/>
          <w:color w:val="auto"/>
        </w:rPr>
      </w:pPr>
    </w:p>
    <w:p>
      <w:pPr>
        <w:ind w:left="-40" w:right="160" w:firstLine="444"/>
        <w:spacing w:after="0" w:line="302" w:lineRule="auto"/>
        <w:tabs>
          <w:tab w:leader="none" w:pos="79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Absence of Litigation</w:t>
      </w:r>
      <w:r>
        <w:rPr>
          <w:rFonts w:ascii="Arial" w:cs="Arial" w:eastAsia="Arial" w:hAnsi="Arial"/>
          <w:sz w:val="16"/>
          <w:szCs w:val="16"/>
          <w:color w:val="auto"/>
        </w:rPr>
        <w:t>. To the Company’s knowledge, there is no action, suit, proceeding, inquiry or investigation before or by any court, public board, government agency, self-regulatory organization or body pending or, to the knowledge of the Company or any of its Subsidiaries, threatened against the Company, the Securities or any of the Company’s Subsidiaries or any of the Company’s or the Company’s Subsidiaries’ officers or directors in their capacities as such, which could reasonably be expected to have a Material Adverse Effect (each, an “</w:t>
      </w:r>
      <w:r>
        <w:rPr>
          <w:rFonts w:ascii="Arial" w:cs="Arial" w:eastAsia="Arial" w:hAnsi="Arial"/>
          <w:sz w:val="16"/>
          <w:szCs w:val="16"/>
          <w:b w:val="1"/>
          <w:bCs w:val="1"/>
          <w:color w:val="auto"/>
        </w:rPr>
        <w:t>Action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40" w:right="60" w:firstLine="444"/>
        <w:spacing w:after="0" w:line="259" w:lineRule="auto"/>
        <w:tabs>
          <w:tab w:leader="none" w:pos="75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Buyer’s Status</w:t>
      </w:r>
      <w:r>
        <w:rPr>
          <w:rFonts w:ascii="Arial" w:cs="Arial" w:eastAsia="Arial" w:hAnsi="Arial"/>
          <w:sz w:val="18"/>
          <w:szCs w:val="18"/>
          <w:color w:val="auto"/>
        </w:rPr>
        <w:t>. The Company acknowledges and agrees that the Buyer is acting solely in the capacity of arm’s length purchaser with respect to the Transaction Documents and the transactions contemplated hereby and thereby. The Company further acknowledges that the Buyer is not acting as a financial advisor or fiduciary of the Company (or in any similar capacity) with respect to the Transaction Documents and the transactions contemplated hereby and thereby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80" w:top="274" w:right="459" w:bottom="1440" w:gutter="0" w:footer="0" w:header="0"/>
        </w:sectPr>
      </w:pPr>
    </w:p>
    <w:bookmarkStart w:id="9" w:name="page10"/>
    <w:bookmarkEnd w:id="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has been based solely on the independent evaluation by the Company and its representatives and advisors.</w:t>
      </w:r>
    </w:p>
    <w:p>
      <w:pPr>
        <w:spacing w:after="0" w:line="187" w:lineRule="exact"/>
        <w:rPr>
          <w:sz w:val="20"/>
          <w:szCs w:val="20"/>
          <w:color w:val="auto"/>
        </w:rPr>
      </w:pPr>
    </w:p>
    <w:p>
      <w:pPr>
        <w:ind w:firstLine="444"/>
        <w:spacing w:after="0" w:line="288" w:lineRule="auto"/>
        <w:tabs>
          <w:tab w:leader="none" w:pos="79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xml:space="preserve"> To the Company’s knowledge,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other intellectual property 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conduct their respective businesses as now conducted, except to the extent that the failure to own, possess, license or otherwise hold adequate rights to use Intellectual Property would not, individually or in the aggregate, have a Material Adverse Effect. To the Company’s knowledge, none of the Company’s active and registered Intellectual Property have expired or terminated, or, by the terms and conditions thereof, will expire or terminate within two years from the date of this Agreement, except as would not reasonably be expected to have a Material Adverse Effect. The Company and its Subsidiaries do not have any knowledge of any infringement by the Company or its Subsidiaries of any Intellectual Property of others and, there is no claim, action or proceeding being made or brought against, or to the Company’s knowledge, being threatened against, the Company or its Subsidiaries regarding Intellectual Property, which could reasonably be expected to have a Material Adverse Effect.</w:t>
      </w:r>
    </w:p>
    <w:p>
      <w:pPr>
        <w:spacing w:after="0" w:line="169" w:lineRule="exact"/>
        <w:rPr>
          <w:rFonts w:ascii="Arial" w:cs="Arial" w:eastAsia="Arial" w:hAnsi="Arial"/>
          <w:sz w:val="16"/>
          <w:szCs w:val="16"/>
          <w:color w:val="auto"/>
        </w:rPr>
      </w:pPr>
    </w:p>
    <w:p>
      <w:pPr>
        <w:ind w:right="240" w:firstLine="444"/>
        <w:spacing w:after="0" w:line="293" w:lineRule="auto"/>
        <w:tabs>
          <w:tab w:leader="none" w:pos="83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To the Company’s knowledge, the Company and its Subsidiaries (i) are in material compliance with any and all applicable foreign, English, U.S. federal, state and local laws and regulations relating to the protection of human health and safety or the environment and with respect to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material permits, licenses or other approvals required of them under applicable Environmental Laws to conduct their respective businesses and (iii) are in material compliance with all terms and conditions of any such permit, license or approval, except where, in each of the three foregoing clauses, the failure to so comply or receive such approvals could not reasonably be expected to have, individually or in the aggregate, a Material Adverse Effect.</w:t>
      </w:r>
    </w:p>
    <w:p>
      <w:pPr>
        <w:spacing w:after="0" w:line="164" w:lineRule="exact"/>
        <w:rPr>
          <w:rFonts w:ascii="Arial" w:cs="Arial" w:eastAsia="Arial" w:hAnsi="Arial"/>
          <w:sz w:val="16"/>
          <w:szCs w:val="16"/>
          <w:color w:val="auto"/>
        </w:rPr>
      </w:pPr>
    </w:p>
    <w:p>
      <w:pPr>
        <w:ind w:right="20" w:firstLine="444"/>
        <w:spacing w:after="0" w:line="272" w:lineRule="auto"/>
        <w:tabs>
          <w:tab w:leader="none" w:pos="79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The Company and its Subsidiaries have good and marketable title to all personal property owned by them that is material to the business of the Company and its Subsidiaries, in each case free and clear of all liens, encumbrances and defects except such as are described in Schedule 3(l) or such as do not materially affect the value of such property and do not interfere with the use made and proposed to be made of such property by the Company and any of its Subsidiaries or could not reasonably be expected to have, individually or in the aggregate, a Material Adverse Effect. Any real property and facilities held under lease by the Company and any of its Subsidiaries, to the Company’s knowledge, are held by them under valid, subsisting and enforceable leases with such exceptions as are not material and do not interfere with the use made and proposed to be made of such property and buildings by the Company and its Subsidiaries.</w:t>
      </w:r>
    </w:p>
    <w:p>
      <w:pPr>
        <w:spacing w:after="0" w:line="177" w:lineRule="exact"/>
        <w:rPr>
          <w:rFonts w:ascii="Arial" w:cs="Arial" w:eastAsia="Arial" w:hAnsi="Arial"/>
          <w:sz w:val="17"/>
          <w:szCs w:val="17"/>
          <w:color w:val="auto"/>
        </w:rPr>
      </w:pPr>
    </w:p>
    <w:p>
      <w:pPr>
        <w:ind w:right="180" w:firstLine="444"/>
        <w:spacing w:after="0" w:line="259"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are insured by insurers of recognized financial responsibility against such losses and risks and in such amounts as management of the Company believes to be reasonable and customary in the businesses in which the Company and its Subsidiaries are engaged. To the Company’s knowledge, since January 1, 2018, neither the Company nor any such Subsidiary has been refused any insurance coverage sought or applied for and neither the Company nor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 w:name="page11"/>
    <w:bookmarkEnd w:id="10"/>
    <w:p>
      <w:pPr>
        <w:jc w:val="both"/>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Subsidiary, to the Company’s knowledge, will be unable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1" w:lineRule="exact"/>
        <w:rPr>
          <w:sz w:val="20"/>
          <w:szCs w:val="20"/>
          <w:color w:val="auto"/>
        </w:rPr>
      </w:pPr>
    </w:p>
    <w:p>
      <w:pPr>
        <w:ind w:right="100" w:firstLine="444"/>
        <w:spacing w:after="0" w:line="257" w:lineRule="auto"/>
        <w:tabs>
          <w:tab w:leader="none" w:pos="83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its Subsidiaries possess all material certificates, authorizations and permits issued by the appropriate English, U.S. federal, state or foreign regulatory authorities necessary to conduct their respective businesses as currently conducted, except when the failure to so possess such certificates, authorizations or permits could not reasonably be expected to have, individually or in the aggregate, a Material Adverse Effect, and neither the Company nor any such Subsidiary has received any written notice of proceedings relating to the revocation or modification of any such material certificate, authorization or permit.</w:t>
      </w:r>
    </w:p>
    <w:p>
      <w:pPr>
        <w:spacing w:after="0" w:line="188" w:lineRule="exact"/>
        <w:rPr>
          <w:rFonts w:ascii="Arial" w:cs="Arial" w:eastAsia="Arial" w:hAnsi="Arial"/>
          <w:sz w:val="18"/>
          <w:szCs w:val="18"/>
          <w:color w:val="auto"/>
        </w:rPr>
      </w:pPr>
    </w:p>
    <w:p>
      <w:pPr>
        <w:ind w:right="60" w:firstLine="444"/>
        <w:spacing w:after="0" w:line="291" w:lineRule="auto"/>
        <w:tabs>
          <w:tab w:leader="none" w:pos="83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The Company and each of its Subsidiaries has made or filed all foreign, English and U.S. federal and state income and all other material tax returns, reports and declarations required by any jurisdiction to which it is subject (unless and only to the extent that the Company and each of its Subsidiaries has set aside on its books reserves reasonably adequate for the payment of all unpaid and unreported taxes or filed valid extensions) and has paid all taxes and other governmental assessments and charges that are material in amount, shown or determined to be due on such returns, reports and declarations, except those being contested in good faith and has set aside on its books reserves reasonably adequate for the payment of all taxes for periods subsequent to the periods to which such returns, reports or declarations apply. To the Company’s knowledge, there are no unpaid taxes in any material amount claimed to be due by the taxing authority of any jurisdiction.</w:t>
      </w:r>
    </w:p>
    <w:p>
      <w:pPr>
        <w:spacing w:after="0" w:line="167" w:lineRule="exact"/>
        <w:rPr>
          <w:rFonts w:ascii="Arial" w:cs="Arial" w:eastAsia="Arial" w:hAnsi="Arial"/>
          <w:sz w:val="16"/>
          <w:szCs w:val="16"/>
          <w:color w:val="auto"/>
        </w:rPr>
      </w:pPr>
    </w:p>
    <w:p>
      <w:pPr>
        <w:ind w:right="20" w:firstLine="444"/>
        <w:spacing w:after="0" w:line="272" w:lineRule="auto"/>
        <w:tabs>
          <w:tab w:leader="none" w:pos="830"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Other than the grant or exercise of stock options or any other equity securities offered pursuant to duly adopted stock or incentive compensation plans as disclosed on Schedule 3(c), none of the officers, directors or employees of the Company is on the date hereof a party to any transaction with the Company or any of its Subsidiaries (other than for services as employees, officers and directors and reimbursement for expenses incurred on behalf of the Company),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material interest or is an officer, director, trustee or general partner.</w:t>
      </w:r>
    </w:p>
    <w:p>
      <w:pPr>
        <w:spacing w:after="0" w:line="322" w:lineRule="exact"/>
        <w:rPr>
          <w:rFonts w:ascii="Arial" w:cs="Arial" w:eastAsia="Arial" w:hAnsi="Arial"/>
          <w:sz w:val="17"/>
          <w:szCs w:val="17"/>
          <w:color w:val="auto"/>
        </w:rPr>
      </w:pPr>
    </w:p>
    <w:p>
      <w:pPr>
        <w:ind w:left="980" w:hanging="54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21" w:lineRule="exact"/>
        <w:rPr>
          <w:rFonts w:ascii="Arial" w:cs="Arial" w:eastAsia="Arial" w:hAnsi="Arial"/>
          <w:sz w:val="18"/>
          <w:szCs w:val="18"/>
          <w:b w:val="1"/>
          <w:bCs w:val="1"/>
          <w:color w:val="auto"/>
        </w:rPr>
      </w:pPr>
    </w:p>
    <w:p>
      <w:pPr>
        <w:ind w:firstLine="444"/>
        <w:spacing w:after="0" w:line="25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Filing of Press Release and Registration Statement</w:t>
      </w:r>
      <w:r>
        <w:rPr>
          <w:rFonts w:ascii="Arial" w:cs="Arial" w:eastAsia="Arial" w:hAnsi="Arial"/>
          <w:sz w:val="18"/>
          <w:szCs w:val="18"/>
          <w:color w:val="auto"/>
        </w:rPr>
        <w:t>. The Company agrees that it shall, promptly after signing, issue a press release disclosing this Agreement and the transaction contemplated hereby, which shall be furnished to the SEC on a Form 6-K promptly following its release. The Company shall also use commercially reasonable efforts to file within five (5) Business Days following the date hereof a new registration statement covering the sale of the Securities by the Buyer in accordance with the terms of the Registration Rights Agreement between the Company and the Buyer, dated as of the date hereof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380" w:firstLine="444"/>
        <w:spacing w:after="0" w:line="286" w:lineRule="auto"/>
        <w:tabs>
          <w:tab w:leader="none" w:pos="830"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The Company shall take such action, if any, as is reasonably necessary in order to obtain an exemption for or to qualify (i) the initial issuance of the Securities to the Buyer under this Agreement and (ii) any subsequent sale of the Securities by the Buyer, in each case, under applicable securities or “Blue Sky” laws of the states of the United States in such states as is reasonably requested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Buyer from time to time, and shall provide evidence of any such action so taken to the Buyer at its written request;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7" w:lineRule="exact"/>
        <w:rPr>
          <w:sz w:val="20"/>
          <w:szCs w:val="20"/>
          <w:color w:val="auto"/>
        </w:rPr>
      </w:pPr>
    </w:p>
    <w:p>
      <w:pPr>
        <w:ind w:right="80" w:firstLine="444"/>
        <w:spacing w:after="0" w:line="291"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promptly secure the listing of all of the Purchase ADSs upon each national securities exchange and automated quotation system that requires an application by the Company for listing, if any, upon which its ADSs are then listed (subject to official notice of issuance) and shall maintain such listing, so long as any other ADSs shall be so listed. The Company shall use its reasonable best efforts to maintain the ADS listing on the Principal Market in accordance with the requirements of the Registration Rights Agreement. Neither the Company nor any of its Subsidiaries shall take any action that would be reasonably expected to result in the delisting or suspension of the ADSs on the Principal Market, unless the ADSs are promptly thereafter traded on the New York Stock Exchange, the NYSE American, the Nasdaq Global Select Market, the Nasdaq Global Market, or the Nasdaq Capital Market. The Company shall pay all fees and expenses in connection with satisfying its obligations under this Section.</w:t>
      </w:r>
    </w:p>
    <w:p>
      <w:pPr>
        <w:spacing w:after="0" w:line="167" w:lineRule="exact"/>
        <w:rPr>
          <w:rFonts w:ascii="Arial" w:cs="Arial" w:eastAsia="Arial" w:hAnsi="Arial"/>
          <w:sz w:val="16"/>
          <w:szCs w:val="16"/>
          <w:color w:val="auto"/>
        </w:rPr>
      </w:pPr>
    </w:p>
    <w:p>
      <w:pPr>
        <w:ind w:left="840" w:hanging="396"/>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460" w:firstLine="444"/>
        <w:spacing w:after="0" w:line="342"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Issuance of Purchase Ordinary Shares</w:t>
      </w:r>
      <w:r>
        <w:rPr>
          <w:rFonts w:ascii="Arial" w:cs="Arial" w:eastAsia="Arial" w:hAnsi="Arial"/>
          <w:sz w:val="16"/>
          <w:szCs w:val="16"/>
          <w:color w:val="auto"/>
        </w:rPr>
        <w:t>. The Purchase Ordinary Shares to be purchased pursuant to Section 1(a) hereof shall be issued in certificated or restricted book-entry form and (subject to Section 5 hereof) shall bear a restrictive legend substantially similar to the following:</w:t>
      </w:r>
    </w:p>
    <w:p>
      <w:pPr>
        <w:spacing w:after="0" w:line="12"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b w:val="1"/>
          <w:bCs w:val="1"/>
          <w:color w:val="auto"/>
        </w:rPr>
        <w:t>THE SECURITIES REPRESENTED BY THIS CERTIFICATE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w:t>
      </w:r>
    </w:p>
    <w:p>
      <w:pPr>
        <w:spacing w:after="0" w:line="193" w:lineRule="exact"/>
        <w:rPr>
          <w:sz w:val="20"/>
          <w:szCs w:val="20"/>
          <w:color w:val="auto"/>
        </w:rPr>
      </w:pPr>
    </w:p>
    <w:p>
      <w:pPr>
        <w:ind w:right="140" w:firstLine="444"/>
        <w:spacing w:after="0" w:line="270"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Due Diligence</w:t>
      </w:r>
      <w:r>
        <w:rPr>
          <w:rFonts w:ascii="Arial" w:cs="Arial" w:eastAsia="Arial" w:hAnsi="Arial"/>
          <w:sz w:val="17"/>
          <w:szCs w:val="17"/>
          <w:color w:val="auto"/>
        </w:rPr>
        <w:t xml:space="preserve">. The Buyer shall have the right, from time to time as the Buyer may reasonably deem appropriate, to perform reasonable due diligence on the Company during normal business hours and subject to reasonable prior notice to the Company. The Company and its officers and employees shall provide information and reasonably cooperate with the Buyer in connection with any reasonable request by the Buyer related to the Buyer’s due diligence of the Company, including, but not limited to, any such request made by the Buyer in connection with the filing of the Registration Statement described in Section 4(a)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no time is the Company required to disclose inside information (within the meaning of the UE Market Abuse Regulation (EU596/2014) and all delegated or implementing regulations relating to that Regulation), material nonpublic information to the Buyer or breach any obligation of confidentiality or non-disclosure to a third party or make any disclosure that could cause a waiver of attorney-client privilege. The Company and the Buyer both agree and acknowledge that the Buyer has not been given any material non-public information relating to the Company except for such information which shall no longer be confidential information or material non-public information upon the issuance of the press release required under Section 4(a) 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ind w:firstLine="444"/>
        <w:spacing w:after="0" w:line="285" w:lineRule="auto"/>
        <w:tabs>
          <w:tab w:leader="none" w:pos="830" w:val="left"/>
        </w:tabs>
        <w:numPr>
          <w:ilvl w:val="2"/>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 of Securities</w:t>
      </w:r>
      <w:r>
        <w:rPr>
          <w:rFonts w:ascii="Arial" w:cs="Arial" w:eastAsia="Arial" w:hAnsi="Arial"/>
          <w:sz w:val="16"/>
          <w:szCs w:val="16"/>
          <w:color w:val="auto"/>
        </w:rPr>
        <w:t>. The Buyer shall not sell or transfer any Securities except as provided in this Agreement, the Registration Rights Agreement and the “Plan of Distribution” section of the prospectus included in the Registration Statement (as defined in the Registration Rights Agreement). The Buyer shall not sell or transfer any Securities except pursuant to sales described in the “Plan of Distribution” section of the prospectus included in the Registration Statement or pursuant to Rule 144 under the 1933 Act. In the event of any sales of Securities pursuant to the Registration Statement, the Buyer will (i) effect such sales pursuant to the “Plan of Distribution” section of the prospectus included in the Registration Statement, and</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comply with all applicable prospectus delivery requirements.</w:t>
      </w:r>
    </w:p>
    <w:p>
      <w:pPr>
        <w:spacing w:after="0" w:line="210" w:lineRule="exact"/>
        <w:rPr>
          <w:rFonts w:ascii="Arial" w:cs="Arial" w:eastAsia="Arial" w:hAnsi="Arial"/>
          <w:sz w:val="18"/>
          <w:szCs w:val="18"/>
          <w:color w:val="auto"/>
        </w:rPr>
      </w:pPr>
    </w:p>
    <w:p>
      <w:pPr>
        <w:ind w:right="160" w:firstLine="444"/>
        <w:spacing w:after="0" w:line="264" w:lineRule="auto"/>
        <w:tabs>
          <w:tab w:leader="none" w:pos="830" w:val="left"/>
        </w:tabs>
        <w:numPr>
          <w:ilvl w:val="2"/>
          <w:numId w:val="18"/>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The Company shall deliver to the Buyer a certificate evidencing the good standing of the Company in England and Wales issued by the applicable authority of such jurisdiction as of a date within two (2) Business Days of the issuance of the Purchase Ordinary Shares;</w:t>
      </w:r>
    </w:p>
    <w:p>
      <w:pPr>
        <w:spacing w:after="0" w:line="325" w:lineRule="exact"/>
        <w:rPr>
          <w:rFonts w:ascii="Arial" w:cs="Arial" w:eastAsia="Arial" w:hAnsi="Arial"/>
          <w:sz w:val="18"/>
          <w:szCs w:val="18"/>
          <w:color w:val="auto"/>
        </w:rPr>
      </w:pPr>
    </w:p>
    <w:p>
      <w:pPr>
        <w:ind w:left="980" w:hanging="544"/>
        <w:spacing w:after="0"/>
        <w:tabs>
          <w:tab w:leader="none" w:pos="98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REGISTRAR AND DEPOSITARY INSTRUCTIONS.</w:t>
      </w:r>
    </w:p>
    <w:p>
      <w:pPr>
        <w:spacing w:after="0" w:line="121"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Promptly after the date hereof, the Company shall deliver to the Registrar documentation in reasonable form with respect to the issuance of the Purchase Ordinary Shares. Once the Registration Statement has been declared effective by the SEC, the Purchase Ordinary Shares shall be deposited by the Buyer with the Depositary in accordance with the provisions of the Deposit Agreement and as long as the Buyer complies with its obligations in Section 4(g), the Purchase ADSs shall be issued by the Depositary to the Buyer without any restrictive legend. However, so long as the Buyer complies with the requirements of the Depositary, the Buyer may, at any time prior to the Registration Statement being declared effective by the SEC, deposit the Purchase Ordinary Shares with the Depositary in accordance with the provisions of the Deposit Agreement so that the Purchase ADSs may be issued by the Depositary to the Buyer. In such case, these ADSs may be issued with a restrictive legend as required by the Depositary. In relation to any deposit of Purchase Ordinary Shares with the Depositary, the Company shall at the request of the Buyer provide reasonable assistance to the Buyer in connection with the issuance of the ADSs to evidence those Purchase Ordinary Shares, which may include liaising with the Registrar regarding the processing of documentation lodged with Registrar by the Buyer.</w:t>
      </w:r>
    </w:p>
    <w:p>
      <w:pPr>
        <w:spacing w:after="0" w:line="322" w:lineRule="exact"/>
        <w:rPr>
          <w:sz w:val="20"/>
          <w:szCs w:val="20"/>
          <w:color w:val="auto"/>
        </w:rPr>
      </w:pPr>
    </w:p>
    <w:p>
      <w:pPr>
        <w:ind w:left="980" w:hanging="544"/>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OBLIGATIONS.</w:t>
      </w:r>
    </w:p>
    <w:p>
      <w:pPr>
        <w:spacing w:after="0" w:line="12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obligation of the Company to issue the Purchase Securities to the Buyer is subject to the satisfaction of each of the following conditions on or before the date hereof:</w:t>
      </w:r>
    </w:p>
    <w:p>
      <w:pPr>
        <w:spacing w:after="0" w:line="170" w:lineRule="exact"/>
        <w:rPr>
          <w:sz w:val="20"/>
          <w:szCs w:val="20"/>
          <w:color w:val="auto"/>
        </w:rPr>
      </w:pPr>
    </w:p>
    <w:p>
      <w:pPr>
        <w:ind w:left="820" w:hanging="37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Buyer shall have executed each of the Transaction Documents and delivered the same to the Company;</w:t>
      </w:r>
    </w:p>
    <w:p>
      <w:pPr>
        <w:spacing w:after="0" w:line="225" w:lineRule="exact"/>
        <w:rPr>
          <w:rFonts w:ascii="Arial" w:cs="Arial" w:eastAsia="Arial" w:hAnsi="Arial"/>
          <w:sz w:val="18"/>
          <w:szCs w:val="18"/>
          <w:color w:val="auto"/>
        </w:rPr>
      </w:pPr>
    </w:p>
    <w:p>
      <w:pPr>
        <w:jc w:val="both"/>
        <w:ind w:right="80" w:firstLine="444"/>
        <w:spacing w:after="0" w:line="259" w:lineRule="auto"/>
        <w:tabs>
          <w:tab w:leader="none" w:pos="8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representations and warranties of the Buyer shall be true and correct as of the date hereof (except for representations and warranties that speak as of a specific date, which shall be true and correct in all material respects as of such specific date) and the Buyer shall have performed, satisfied and complied in all material respects with the covenants and agreements required by this Agreement to be performed, satisfied or complied with by the Buyer at or prior to the date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3" w:name="page14"/>
    <w:bookmarkEnd w:id="13"/>
    <w:p>
      <w:pPr>
        <w:ind w:left="980" w:hanging="544"/>
        <w:spacing w:after="0"/>
        <w:tabs>
          <w:tab w:leader="none" w:pos="9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TO THE BUYER’S OBLIGATIONS.</w:t>
      </w:r>
    </w:p>
    <w:p>
      <w:pPr>
        <w:spacing w:after="0" w:line="12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obligation of the Buyer to buy the Purchase Securities under this Agreement is subject to the satisfaction of each of the following conditions on or before the date hereof:</w:t>
      </w:r>
    </w:p>
    <w:p>
      <w:pPr>
        <w:spacing w:after="0" w:line="170" w:lineRule="exact"/>
        <w:rPr>
          <w:sz w:val="20"/>
          <w:szCs w:val="20"/>
          <w:color w:val="auto"/>
        </w:rPr>
      </w:pPr>
    </w:p>
    <w:p>
      <w:pPr>
        <w:ind w:left="820" w:hanging="37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have executed each of the Transaction Documents and delivered the same to the Buyer; and</w:t>
      </w:r>
    </w:p>
    <w:p>
      <w:pPr>
        <w:spacing w:after="0" w:line="225" w:lineRule="exact"/>
        <w:rPr>
          <w:rFonts w:ascii="Arial" w:cs="Arial" w:eastAsia="Arial" w:hAnsi="Arial"/>
          <w:sz w:val="18"/>
          <w:szCs w:val="18"/>
          <w:color w:val="auto"/>
        </w:rPr>
      </w:pPr>
    </w:p>
    <w:p>
      <w:pPr>
        <w:ind w:right="300" w:firstLine="444"/>
        <w:spacing w:after="0" w:line="342" w:lineRule="auto"/>
        <w:tabs>
          <w:tab w:leader="none" w:pos="8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Board of Directors or a duly authorized committee thereof shall have adopted resolutions substantially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or referred to therein, which shall be in full force and effect without any amendment or supplement thereto as of the date hereof.</w:t>
      </w:r>
    </w:p>
    <w:p>
      <w:pPr>
        <w:spacing w:after="0" w:line="123" w:lineRule="exact"/>
        <w:rPr>
          <w:rFonts w:ascii="Arial" w:cs="Arial" w:eastAsia="Arial" w:hAnsi="Arial"/>
          <w:sz w:val="16"/>
          <w:szCs w:val="16"/>
          <w:color w:val="auto"/>
        </w:rPr>
      </w:pPr>
    </w:p>
    <w:p>
      <w:pPr>
        <w:ind w:right="40" w:firstLine="444"/>
        <w:spacing w:after="0" w:line="312" w:lineRule="auto"/>
        <w:tabs>
          <w:tab w:leader="none" w:pos="8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shall have obtained any and all consents, permits, approvals, registrations and waivers necessary for the consummation of the transactions contemplated by the Transaction Documents, all of which shall be in full force and effect; it being expressly understood and agreed that Admission of the Ordinary Shares being purchased by Buyer hereunder will take place promptly following the execution of this Agreement.</w:t>
      </w:r>
    </w:p>
    <w:p>
      <w:pPr>
        <w:spacing w:after="0" w:line="146" w:lineRule="exact"/>
        <w:rPr>
          <w:rFonts w:ascii="Arial" w:cs="Arial" w:eastAsia="Arial" w:hAnsi="Arial"/>
          <w:sz w:val="16"/>
          <w:szCs w:val="16"/>
          <w:color w:val="auto"/>
        </w:rPr>
      </w:pPr>
    </w:p>
    <w:p>
      <w:pPr>
        <w:ind w:right="220" w:firstLine="444"/>
        <w:spacing w:after="0" w:line="312" w:lineRule="auto"/>
        <w:tabs>
          <w:tab w:leader="none" w:pos="8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46" w:lineRule="exact"/>
        <w:rPr>
          <w:rFonts w:ascii="Arial" w:cs="Arial" w:eastAsia="Arial" w:hAnsi="Arial"/>
          <w:sz w:val="16"/>
          <w:szCs w:val="16"/>
          <w:color w:val="auto"/>
        </w:rPr>
      </w:pPr>
    </w:p>
    <w:p>
      <w:pPr>
        <w:ind w:right="400" w:firstLine="444"/>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stop order or suspension of trading shall have been imposed by Nasdaq, the SEC or any other governmental or regulatory body with respect to public trading in the Ordinary Shares or ADSs.</w:t>
      </w:r>
    </w:p>
    <w:p>
      <w:pPr>
        <w:spacing w:after="0" w:line="315" w:lineRule="exact"/>
        <w:rPr>
          <w:sz w:val="20"/>
          <w:szCs w:val="20"/>
          <w:color w:val="auto"/>
        </w:rPr>
      </w:pPr>
    </w:p>
    <w:p>
      <w:pPr>
        <w:ind w:left="980" w:hanging="544"/>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 consideration of the Buyer’s execution and delivery of the Transaction Documents and acquiring the Securities hereunder and in addition to all of the Company’s other obligations under the Transaction Documents, the Company shall defend, protect, indemnify and hold harmless the Buyer and all of its affiliates, members, officers, directors, and employees,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third party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with respect to Indemnified Liabilities which directly and primarily result from (A) a breach of any of the Buyer’s representations and warranties, covenants or agreements contained in this Agreement, or (B) the gross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negligence, bad faith or willful misconduct of the Buyer or any other Indemnitee.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326" w:lineRule="exact"/>
        <w:rPr>
          <w:sz w:val="20"/>
          <w:szCs w:val="20"/>
          <w:color w:val="auto"/>
        </w:rPr>
      </w:pPr>
    </w:p>
    <w:p>
      <w:pPr>
        <w:ind w:left="980" w:hanging="544"/>
        <w:spacing w:after="0"/>
        <w:tabs>
          <w:tab w:leader="none" w:pos="9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DEFINED TERMS.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1" w:lineRule="exact"/>
        <w:rPr>
          <w:sz w:val="20"/>
          <w:szCs w:val="20"/>
          <w:color w:val="auto"/>
        </w:rPr>
      </w:pPr>
    </w:p>
    <w:p>
      <w:pPr>
        <w:ind w:left="820" w:hanging="37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60" w:firstLine="444"/>
        <w:spacing w:after="0" w:line="28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Admission</w:t>
      </w:r>
      <w:r>
        <w:rPr>
          <w:rFonts w:ascii="Arial" w:cs="Arial" w:eastAsia="Arial" w:hAnsi="Arial"/>
          <w:sz w:val="18"/>
          <w:szCs w:val="18"/>
          <w:color w:val="auto"/>
        </w:rPr>
        <w:t>” means admission of Ordinary Shares to the AIM market of London Stock Exchange plc in accordance with the AIM Rules for Companies;</w:t>
      </w:r>
    </w:p>
    <w:p>
      <w:pPr>
        <w:spacing w:after="0" w:line="161" w:lineRule="exact"/>
        <w:rPr>
          <w:rFonts w:ascii="Arial" w:cs="Arial" w:eastAsia="Arial" w:hAnsi="Arial"/>
          <w:sz w:val="18"/>
          <w:szCs w:val="18"/>
          <w:color w:val="auto"/>
        </w:rPr>
      </w:pPr>
    </w:p>
    <w:p>
      <w:pPr>
        <w:ind w:left="840" w:hanging="396"/>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U.S. Code, or any similar United Kingdom, English, United States federal or state law for the relief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debtors.</w:t>
      </w:r>
    </w:p>
    <w:p>
      <w:pPr>
        <w:spacing w:after="0" w:line="206" w:lineRule="exact"/>
        <w:rPr>
          <w:rFonts w:ascii="Arial" w:cs="Arial" w:eastAsia="Arial" w:hAnsi="Arial"/>
          <w:sz w:val="16"/>
          <w:szCs w:val="16"/>
          <w:color w:val="auto"/>
        </w:rPr>
      </w:pPr>
    </w:p>
    <w:p>
      <w:pPr>
        <w:ind w:firstLine="444"/>
        <w:spacing w:after="0" w:line="289"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(not being a Saturday or Sunday) when banks generally are open in the City of London for the transaction of general banking business and on which the Principal Market is open for trading during normal trading hours (i.e., 9:30 a.m. to 4:00 p.m. Eastern Time), including any day on which the Principal Market is open for trading for a period of time less than the customary time.</w:t>
      </w:r>
    </w:p>
    <w:p>
      <w:pPr>
        <w:spacing w:after="0" w:line="162" w:lineRule="exact"/>
        <w:rPr>
          <w:rFonts w:ascii="Arial" w:cs="Arial" w:eastAsia="Arial" w:hAnsi="Arial"/>
          <w:sz w:val="17"/>
          <w:szCs w:val="17"/>
          <w:color w:val="auto"/>
        </w:rPr>
      </w:pPr>
    </w:p>
    <w:p>
      <w:pPr>
        <w:ind w:left="800" w:hanging="35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1" w:lineRule="exact"/>
        <w:rPr>
          <w:rFonts w:ascii="Arial" w:cs="Arial" w:eastAsia="Arial" w:hAnsi="Arial"/>
          <w:sz w:val="18"/>
          <w:szCs w:val="18"/>
          <w:color w:val="auto"/>
        </w:rPr>
      </w:pPr>
    </w:p>
    <w:p>
      <w:pPr>
        <w:ind w:left="840" w:hanging="396"/>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Eastern Time</w:t>
      </w:r>
      <w:r>
        <w:rPr>
          <w:rFonts w:ascii="Arial" w:cs="Arial" w:eastAsia="Arial" w:hAnsi="Arial"/>
          <w:sz w:val="18"/>
          <w:szCs w:val="18"/>
          <w:color w:val="auto"/>
        </w:rPr>
        <w:t>” means the time of the fifth time zone west of Greenwich, England that includes the eastern United States.</w:t>
      </w:r>
    </w:p>
    <w:p>
      <w:pPr>
        <w:spacing w:after="0" w:line="225" w:lineRule="exact"/>
        <w:rPr>
          <w:rFonts w:ascii="Arial" w:cs="Arial" w:eastAsia="Arial" w:hAnsi="Arial"/>
          <w:sz w:val="18"/>
          <w:szCs w:val="18"/>
          <w:color w:val="auto"/>
        </w:rPr>
      </w:pPr>
    </w:p>
    <w:p>
      <w:pPr>
        <w:ind w:right="480" w:firstLine="444"/>
        <w:spacing w:after="0" w:line="282" w:lineRule="auto"/>
        <w:tabs>
          <w:tab w:leader="none" w:pos="7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entity including any limited liability company, a partnership, a joint venture, a corporation, a trust, an unincorporated organization and a government or any department or agency thereof.</w:t>
      </w:r>
    </w:p>
    <w:p>
      <w:pPr>
        <w:spacing w:after="0" w:line="161" w:lineRule="exact"/>
        <w:rPr>
          <w:rFonts w:ascii="Arial" w:cs="Arial" w:eastAsia="Arial" w:hAnsi="Arial"/>
          <w:sz w:val="18"/>
          <w:szCs w:val="18"/>
          <w:color w:val="auto"/>
        </w:rPr>
      </w:pPr>
    </w:p>
    <w:p>
      <w:pPr>
        <w:ind w:right="20" w:firstLine="444"/>
        <w:spacing w:after="0" w:line="289" w:lineRule="auto"/>
        <w:tabs>
          <w:tab w:leader="none" w:pos="7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Market</w:t>
      </w:r>
      <w:r>
        <w:rPr>
          <w:rFonts w:ascii="Arial" w:cs="Arial" w:eastAsia="Arial" w:hAnsi="Arial"/>
          <w:sz w:val="17"/>
          <w:szCs w:val="17"/>
          <w:color w:val="auto"/>
        </w:rPr>
        <w:t>” means the Nasdaq Global Market; provided however, that in the event the Company’s ADSs are ever listed or traded on the New York Stock Exchange, the NYSE American, the Nasdaq Global Select Market, the Nasdaq Global Market, or the Nasdaq Capital Market, then the “Principal Market” shall mean such other market or exchange on which the Company’s ADSs are then listed or traded.</w:t>
      </w:r>
    </w:p>
    <w:p>
      <w:pPr>
        <w:spacing w:after="0" w:line="158" w:lineRule="exact"/>
        <w:rPr>
          <w:rFonts w:ascii="Arial" w:cs="Arial" w:eastAsia="Arial" w:hAnsi="Arial"/>
          <w:sz w:val="17"/>
          <w:szCs w:val="17"/>
          <w:color w:val="auto"/>
        </w:rPr>
      </w:pPr>
    </w:p>
    <w:p>
      <w:pPr>
        <w:ind w:right="640" w:firstLine="444"/>
        <w:spacing w:after="0" w:line="282" w:lineRule="auto"/>
        <w:tabs>
          <w:tab w:leader="none" w:pos="8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the Registrar of the Company as set forth in Section 10(f) hereof or such other person who is then serving as the Registrar for the Company in respect of the Ordinary Shares.</w:t>
      </w:r>
    </w:p>
    <w:p>
      <w:pPr>
        <w:spacing w:after="0" w:line="161" w:lineRule="exact"/>
        <w:rPr>
          <w:rFonts w:ascii="Arial" w:cs="Arial" w:eastAsia="Arial" w:hAnsi="Arial"/>
          <w:sz w:val="18"/>
          <w:szCs w:val="18"/>
          <w:color w:val="auto"/>
        </w:rPr>
      </w:pPr>
    </w:p>
    <w:p>
      <w:pPr>
        <w:ind w:left="800" w:hanging="35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5" w:name="page16"/>
    <w:bookmarkEnd w:id="15"/>
    <w:p>
      <w:pPr>
        <w:ind w:left="980" w:hanging="544"/>
        <w:spacing w:after="0"/>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21" w:lineRule="exact"/>
        <w:rPr>
          <w:sz w:val="20"/>
          <w:szCs w:val="20"/>
          <w:color w:val="auto"/>
        </w:rPr>
      </w:pPr>
    </w:p>
    <w:p>
      <w:pPr>
        <w:ind w:firstLine="444"/>
        <w:spacing w:after="0" w:line="283" w:lineRule="auto"/>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The corporate laws of England and Wales shall govern all issues concerning the relative rights of the Company and its shareholders. All other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 RIGHT IT MAY</w:t>
      </w:r>
    </w:p>
    <w:p>
      <w:pPr>
        <w:spacing w:after="0" w:line="3" w:lineRule="exact"/>
        <w:rPr>
          <w:rFonts w:ascii="Arial" w:cs="Arial" w:eastAsia="Arial" w:hAnsi="Arial"/>
          <w:sz w:val="16"/>
          <w:szCs w:val="16"/>
          <w:color w:val="auto"/>
        </w:rPr>
      </w:pPr>
    </w:p>
    <w:p>
      <w:pPr>
        <w:jc w:val="both"/>
        <w:ind w:right="62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HAVE, AND AGREES NOT TO REQUEST, A JURY TRIAL FOR THE ADJUDICATION OF ANY DISPUTE HEREUNDER OR IN CONNECTION HEREWITH OR ARISING OUT OF THIS AGREEMENT OR ANY TRANSACTION CONTEMPLATED HEREBY.</w:t>
      </w:r>
    </w:p>
    <w:p>
      <w:pPr>
        <w:spacing w:after="0" w:line="183" w:lineRule="exact"/>
        <w:rPr>
          <w:rFonts w:ascii="Arial" w:cs="Arial" w:eastAsia="Arial" w:hAnsi="Arial"/>
          <w:sz w:val="16"/>
          <w:szCs w:val="16"/>
          <w:color w:val="auto"/>
        </w:rPr>
      </w:pPr>
    </w:p>
    <w:p>
      <w:pPr>
        <w:ind w:right="260" w:firstLine="444"/>
        <w:spacing w:after="0" w:line="279" w:lineRule="auto"/>
        <w:tabs>
          <w:tab w:leader="none" w:pos="83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signature shall be considered due execution and shall be binding upon the signatory thereto with the same force and effect as if the signature were an original, not a facsimile or PDF (or other electronic reproduction) signature.</w:t>
      </w:r>
    </w:p>
    <w:p>
      <w:pPr>
        <w:spacing w:after="0" w:line="171" w:lineRule="exact"/>
        <w:rPr>
          <w:rFonts w:ascii="Arial" w:cs="Arial" w:eastAsia="Arial" w:hAnsi="Arial"/>
          <w:sz w:val="17"/>
          <w:szCs w:val="17"/>
          <w:color w:val="auto"/>
        </w:rPr>
      </w:pPr>
    </w:p>
    <w:p>
      <w:pPr>
        <w:ind w:right="340" w:firstLine="444"/>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170" w:lineRule="exact"/>
        <w:rPr>
          <w:rFonts w:ascii="Arial" w:cs="Arial" w:eastAsia="Arial" w:hAnsi="Arial"/>
          <w:sz w:val="18"/>
          <w:szCs w:val="18"/>
          <w:color w:val="auto"/>
        </w:rPr>
      </w:pPr>
    </w:p>
    <w:p>
      <w:pPr>
        <w:ind w:right="20" w:firstLine="444"/>
        <w:spacing w:after="0" w:line="264" w:lineRule="auto"/>
        <w:tabs>
          <w:tab w:leader="none" w:pos="83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81" w:lineRule="exact"/>
        <w:rPr>
          <w:rFonts w:ascii="Arial" w:cs="Arial" w:eastAsia="Arial" w:hAnsi="Arial"/>
          <w:sz w:val="18"/>
          <w:szCs w:val="18"/>
          <w:color w:val="auto"/>
        </w:rPr>
      </w:pPr>
    </w:p>
    <w:p>
      <w:pPr>
        <w:ind w:right="160" w:firstLine="444"/>
        <w:spacing w:after="0" w:line="293" w:lineRule="auto"/>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Registration Rights Agreement supersede all other prior oral or written agreements between the Buyer, the Company, their affiliates and persons acting on their behalf with respect to the matters discussed herein, and this Agreement, the other Transaction Documents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Each of the Company and the Buyer acknowledges and agrees that it has not relied on, in any manner whatsoever, any representations or statements, written or oral, other than as expressly set forth in this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6" w:name="page17"/>
    <w:bookmarkEnd w:id="16"/>
    <w:p>
      <w:pPr>
        <w:ind w:left="-100" w:firstLine="444"/>
        <w:spacing w:after="0" w:line="273"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7"/>
          <w:szCs w:val="17"/>
          <w:color w:val="auto"/>
        </w:rPr>
        <w:t>. Any notices, consents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 (1) Business Day after timely deposit with a nationally recognized overnight delivery service, in each case properly addressed to the party to receive the same. The addresses and contact information for such communications shall be:</w:t>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the Company:</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Mereo Biopharma Group plc</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+44 33 3023 7300</w:t>
      </w:r>
    </w:p>
    <w:p>
      <w:pPr>
        <w:spacing w:after="0" w:line="23"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legal@mereobiopharma.com</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 a copy (which shall not constitute notice) to:</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1 212-506-2500</w:t>
      </w:r>
    </w:p>
    <w:p>
      <w:pPr>
        <w:spacing w:after="0" w:line="23"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1 212-262-1910</w:t>
      </w:r>
    </w:p>
    <w:p>
      <w:pPr>
        <w:spacing w:after="0" w:line="9"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Bakst</w:t>
      </w:r>
    </w:p>
    <w:p>
      <w:pPr>
        <w:spacing w:after="0" w:line="9"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DBakst@mayerbrown.com</w:t>
      </w:r>
    </w:p>
    <w:p>
      <w:pPr>
        <w:spacing w:after="0" w:line="22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ind w:left="840" w:right="8540" w:hanging="9"/>
        <w:spacing w:after="0" w:line="281" w:lineRule="auto"/>
        <w:tabs>
          <w:tab w:leader="none" w:pos="11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Bishopsgate London EC2M 2AF United Kingdom</w:t>
      </w:r>
    </w:p>
    <w:p>
      <w:pPr>
        <w:spacing w:after="0" w:line="2"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+44 20 3130 3000</w:t>
      </w:r>
    </w:p>
    <w:p>
      <w:pPr>
        <w:spacing w:after="0" w:line="23"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+44 20 3130 3001</w:t>
      </w:r>
    </w:p>
    <w:p>
      <w:pPr>
        <w:spacing w:after="0" w:line="9"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Smith</w:t>
      </w:r>
    </w:p>
    <w:p>
      <w:pPr>
        <w:spacing w:after="0" w:line="9"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RSmith@mayerbrown.com</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the Buyer:</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Boxer Capital,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540" w:top="274" w:right="539" w:bottom="1440" w:gutter="0" w:footer="0" w:header="0"/>
        </w:sectPr>
      </w:pPr>
    </w:p>
    <w:bookmarkStart w:id="17" w:name="page18"/>
    <w:bookmarkEnd w:id="17"/>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Registrar:</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Link Asset Services</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r>
        <w:rPr>
          <w:rFonts w:ascii="Arial" w:cs="Arial" w:eastAsia="Arial" w:hAnsi="Arial"/>
          <w:sz w:val="18"/>
          <w:szCs w:val="18"/>
          <w:color w:val="auto"/>
        </w:rPr>
        <w:t xml:space="preserve"> Floor, 65 Gresham Street</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London EC2V 7NQ</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+44 20 7397 6233</w:t>
      </w:r>
    </w:p>
    <w:p>
      <w:pPr>
        <w:spacing w:after="0" w:line="23"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Louise Porter</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louise.porter@linkgroup.co.uk</w:t>
      </w:r>
    </w:p>
    <w:p>
      <w:pPr>
        <w:spacing w:after="0" w:line="224"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or other communication, (B) mechanically or electronically generated by the sender’s facsimile machine containing the time, date, and recipient facsimile number, (C) electronically generated by the sender’s electronic mail containing the time, date and recipient email address or</w:t>
      </w:r>
    </w:p>
    <w:p>
      <w:pPr>
        <w:spacing w:after="0" w:line="2" w:lineRule="exact"/>
        <w:rPr>
          <w:sz w:val="20"/>
          <w:szCs w:val="20"/>
          <w:color w:val="auto"/>
        </w:rPr>
      </w:pPr>
    </w:p>
    <w:p>
      <w:pPr>
        <w:ind w:right="400" w:firstLine="4"/>
        <w:spacing w:after="0" w:line="261" w:lineRule="auto"/>
        <w:tabs>
          <w:tab w:leader="none" w:pos="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provided by a nationally recognized overnight delivery service, shall be rebuttable evidence of receipt in accordance with clause (i), (ii), (iii) or (iv) above, respectively.</w:t>
      </w:r>
    </w:p>
    <w:p>
      <w:pPr>
        <w:spacing w:after="0" w:line="183" w:lineRule="exact"/>
        <w:rPr>
          <w:rFonts w:ascii="Arial" w:cs="Arial" w:eastAsia="Arial" w:hAnsi="Arial"/>
          <w:sz w:val="18"/>
          <w:szCs w:val="18"/>
          <w:color w:val="auto"/>
        </w:rPr>
      </w:pPr>
    </w:p>
    <w:p>
      <w:pPr>
        <w:ind w:right="160" w:firstLine="444"/>
        <w:spacing w:after="0" w:line="257" w:lineRule="auto"/>
        <w:tabs>
          <w:tab w:leader="none" w:pos="83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Buyer, including by merger or consolidation; provided, however, that any transaction, whether by merger, reorganization, restructuring, consolidation, financing or otherwise, whereby the Company remains the surviving entity immediately after such transaction shall not be deemed a succession or assignment. The Buyer may not assign its rights or obligations under this Agreement.</w:t>
      </w:r>
    </w:p>
    <w:p>
      <w:pPr>
        <w:spacing w:after="0" w:line="188" w:lineRule="exact"/>
        <w:rPr>
          <w:rFonts w:ascii="Arial" w:cs="Arial" w:eastAsia="Arial" w:hAnsi="Arial"/>
          <w:sz w:val="18"/>
          <w:szCs w:val="18"/>
          <w:color w:val="auto"/>
        </w:rPr>
      </w:pPr>
    </w:p>
    <w:p>
      <w:pPr>
        <w:ind w:right="180" w:firstLine="444"/>
        <w:spacing w:after="0" w:line="277" w:lineRule="auto"/>
        <w:tabs>
          <w:tab w:leader="none" w:pos="83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ind w:firstLine="444"/>
        <w:spacing w:after="0" w:line="285" w:lineRule="auto"/>
        <w:tabs>
          <w:tab w:leader="none" w:pos="791"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The Buyer shall have the right to approve or deny before issuance any press release, SEC filing or any other public disclosure made by or on behalf of the Company whatsoever with respect to, in any manner, the Buyer, its purchases hereunder or any aspect of this Agreement or the transactions contemplated hereby; provided, however, that the Company shall be entitled, without the prior approval of the Buyer, to make any press release or other public disclosure (including any filings with the SEC) with respect to such transactions as is required by applicable law and regulations so long as the Company and its counsel consult with the Buyer in connection with any such press release or other public disclosure at least one</w:t>
      </w:r>
    </w:p>
    <w:p>
      <w:pPr>
        <w:spacing w:after="0" w:line="2" w:lineRule="exact"/>
        <w:rPr>
          <w:rFonts w:ascii="Arial" w:cs="Arial" w:eastAsia="Arial" w:hAnsi="Arial"/>
          <w:sz w:val="16"/>
          <w:szCs w:val="16"/>
          <w:color w:val="auto"/>
        </w:rPr>
      </w:pP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(1) Business Day prior to its release; provided, however, that the Company’s obligations pursuant to this Section 10(i) shall not apply if the material provisions of such press release, SEC filing, or other public disclosure previously has been publicly disclosed by the Company in accordance with this Section 10(i). The Buyer must be provided with a copy thereof at least one (1) Business Day prior to any release or use by the Company thereof.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 w:name="page19"/>
    <w:bookmarkEnd w:id="18"/>
    <w:p>
      <w:pPr>
        <w:ind w:left="-20" w:right="100" w:firstLine="444"/>
        <w:spacing w:after="0" w:line="286" w:lineRule="auto"/>
        <w:tabs>
          <w:tab w:leader="none" w:pos="77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65" w:lineRule="exact"/>
        <w:rPr>
          <w:rFonts w:ascii="Arial" w:cs="Arial" w:eastAsia="Arial" w:hAnsi="Arial"/>
          <w:sz w:val="17"/>
          <w:szCs w:val="17"/>
          <w:color w:val="auto"/>
        </w:rPr>
      </w:pPr>
    </w:p>
    <w:p>
      <w:pPr>
        <w:jc w:val="both"/>
        <w:ind w:left="-20" w:right="100" w:firstLine="444"/>
        <w:spacing w:after="0" w:line="259" w:lineRule="auto"/>
        <w:tabs>
          <w:tab w:leader="none" w:pos="85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of the Company and the Buyer contained in Sections 2, 3 and 5 hereof, the indemnification provisions set forth in Section 8 hereof and the agreements and covenants set forth in Sections 4(e), 4(g) and 10, shall survive any termination of this Agreement. No termination of this Agreement shall affect the Company’s or the Buyer’s rights or obligations under the Registration Rights Agreement, which shall survive any such termination in accordance with its terms.</w:t>
      </w:r>
    </w:p>
    <w:p>
      <w:pPr>
        <w:spacing w:after="0" w:line="186" w:lineRule="exact"/>
        <w:rPr>
          <w:rFonts w:ascii="Arial" w:cs="Arial" w:eastAsia="Arial" w:hAnsi="Arial"/>
          <w:sz w:val="18"/>
          <w:szCs w:val="18"/>
          <w:color w:val="auto"/>
        </w:rPr>
      </w:pPr>
    </w:p>
    <w:p>
      <w:pPr>
        <w:ind w:left="-20" w:firstLine="444"/>
        <w:spacing w:after="0" w:line="293" w:lineRule="auto"/>
        <w:tabs>
          <w:tab w:leader="none" w:pos="77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 Financial Advisor, Placement Agent, Broker or Finder</w:t>
      </w:r>
      <w:r>
        <w:rPr>
          <w:rFonts w:ascii="Arial" w:cs="Arial" w:eastAsia="Arial" w:hAnsi="Arial"/>
          <w:sz w:val="16"/>
          <w:szCs w:val="16"/>
          <w:color w:val="auto"/>
        </w:rPr>
        <w:t>. The Company represents and warrants to the Buyer that it has not engaged any financial advisor, placement agent, broker or finder in connection with the transactions contemplated hereby. The Buyer represents and warrants to the Company that it has not engaged any financial advisor, placement agent, broker or finder in connection with the transactions contemplated hereby. Each party shall be responsible for the payment of any fees or commissions, if any, of any financial advisor, placement agent, broker or finder engaged by such party relating to or arising out of the transactions contemplated hereby. Each party shall pay, and hold the other party harmless against, any liability, loss or expense (including, without limitation, attorneys’ fees and out of pocket expenses) arising in connection with any such claim.</w:t>
      </w:r>
    </w:p>
    <w:p>
      <w:pPr>
        <w:spacing w:after="0" w:line="164" w:lineRule="exact"/>
        <w:rPr>
          <w:rFonts w:ascii="Arial" w:cs="Arial" w:eastAsia="Arial" w:hAnsi="Arial"/>
          <w:sz w:val="16"/>
          <w:szCs w:val="16"/>
          <w:color w:val="auto"/>
        </w:rPr>
      </w:pPr>
    </w:p>
    <w:p>
      <w:pPr>
        <w:ind w:left="-20" w:right="520" w:firstLine="444"/>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left="-20" w:right="340" w:firstLine="444"/>
        <w:spacing w:after="0" w:line="264" w:lineRule="auto"/>
        <w:tabs>
          <w:tab w:leader="none" w:pos="81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7" w:lineRule="exact"/>
        <w:rPr>
          <w:sz w:val="20"/>
          <w:szCs w:val="20"/>
          <w:color w:val="auto"/>
        </w:rPr>
      </w:pPr>
    </w:p>
    <w:p>
      <w:pPr>
        <w:jc w:val="center"/>
        <w:ind w:right="20"/>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b w:val="1"/>
          <w:bCs w:val="1"/>
          <w:color w:val="auto"/>
        </w:rPr>
        <w:t>*</w:t>
        <w:tab/>
        <w:t>*</w:t>
        <w:tab/>
        <w:t>*</w:t>
        <w:tab/>
        <w:t>*</w:t>
        <w:tab/>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4" w:right="439" w:bottom="1440" w:gutter="0" w:footer="0" w:header="0"/>
        </w:sectPr>
      </w:pPr>
    </w:p>
    <w:bookmarkStart w:id="19" w:name="page20"/>
    <w:bookmarkEnd w:id="19"/>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Buyer and the Company have caused this Securities Purchase Agreement to be duly executed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BUYER: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BOXER CAPITAL,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Aaron Davis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40" w:top="270" w:right="5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7"/>
          <w:szCs w:val="17"/>
          <w:b w:val="1"/>
          <w:bCs w:val="1"/>
          <w:color w:val="auto"/>
        </w:rPr>
        <w:t xml:space="preserve">REGISTRATION RIGHTS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February 19, 2020, by and between</w:t>
      </w:r>
      <w:r>
        <w:rPr>
          <w:rFonts w:ascii="Arial" w:cs="Arial" w:eastAsia="Arial" w:hAnsi="Arial"/>
          <w:sz w:val="17"/>
          <w:szCs w:val="17"/>
          <w:b w:val="1"/>
          <w:bCs w:val="1"/>
          <w:color w:val="auto"/>
        </w:rPr>
        <w:t xml:space="preserve"> MEREO BIOPHARMA GROUP PLC, </w:t>
      </w:r>
      <w:r>
        <w:rPr>
          <w:rFonts w:ascii="Arial" w:cs="Arial" w:eastAsia="Arial" w:hAnsi="Arial"/>
          <w:sz w:val="17"/>
          <w:szCs w:val="17"/>
          <w:color w:val="auto"/>
        </w:rPr>
        <w:t>a public limited company incorporated under the laws of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and</w:t>
      </w:r>
      <w:r>
        <w:rPr>
          <w:rFonts w:ascii="Arial" w:cs="Arial" w:eastAsia="Arial" w:hAnsi="Arial"/>
          <w:sz w:val="17"/>
          <w:szCs w:val="17"/>
          <w:b w:val="1"/>
          <w:bCs w:val="1"/>
          <w:color w:val="auto"/>
        </w:rPr>
        <w:t xml:space="preserve"> BOXER CAPITAL, LLC,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limited liability company (together with its permitted assigns, the “</w:t>
      </w:r>
      <w:r>
        <w:rPr>
          <w:rFonts w:ascii="Arial" w:cs="Arial" w:eastAsia="Arial" w:hAnsi="Arial"/>
          <w:sz w:val="17"/>
          <w:szCs w:val="17"/>
          <w:b w:val="1"/>
          <w:bCs w:val="1"/>
          <w:color w:val="auto"/>
        </w:rPr>
        <w:t>Buyer</w:t>
      </w:r>
      <w:r>
        <w:rPr>
          <w:rFonts w:ascii="Arial" w:cs="Arial" w:eastAsia="Arial" w:hAnsi="Arial"/>
          <w:sz w:val="17"/>
          <w:szCs w:val="17"/>
          <w:color w:val="auto"/>
        </w:rPr>
        <w:t>”). Capitalized terms used herein and not otherwise defined herein shall have the respective meanings set forth in the Securities Purchase Agreement by and between the parties hereto, dated as of the date hereof (as amended, restated, supplemented or otherwise modified from time to time, the “</w:t>
      </w:r>
      <w:r>
        <w:rPr>
          <w:rFonts w:ascii="Arial" w:cs="Arial" w:eastAsia="Arial" w:hAnsi="Arial"/>
          <w:sz w:val="17"/>
          <w:szCs w:val="17"/>
          <w:b w:val="1"/>
          <w:bCs w:val="1"/>
          <w:color w:val="auto"/>
        </w:rPr>
        <w:t>Purchase Agreement</w:t>
      </w:r>
      <w:r>
        <w:rPr>
          <w:rFonts w:ascii="Arial" w:cs="Arial" w:eastAsia="Arial" w:hAnsi="Arial"/>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right="140" w:firstLine="444"/>
        <w:spacing w:after="0" w:line="257" w:lineRule="auto"/>
        <w:tabs>
          <w:tab w:leader="none" w:pos="7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the Purchase Agreement, the Company has agreed to issue to the Buyer, and the Buyer has agreed to purchase, Three Million Dollars ($3,000,000) of the Company’s ordinary shares, nominal value £0.003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pursuant to Section 1 of the Purchase Agreement. In each case, such Ordinary Shares may be exchanged for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and together with the Ordinary Shares, the “</w:t>
      </w:r>
      <w:r>
        <w:rPr>
          <w:rFonts w:ascii="Arial" w:cs="Arial" w:eastAsia="Arial" w:hAnsi="Arial"/>
          <w:sz w:val="18"/>
          <w:szCs w:val="18"/>
          <w:b w:val="1"/>
          <w:bCs w:val="1"/>
          <w:color w:val="auto"/>
        </w:rPr>
        <w:t>Securities</w:t>
      </w:r>
      <w:r>
        <w:rPr>
          <w:rFonts w:ascii="Arial" w:cs="Arial" w:eastAsia="Arial" w:hAnsi="Arial"/>
          <w:sz w:val="18"/>
          <w:szCs w:val="18"/>
          <w:color w:val="auto"/>
        </w:rPr>
        <w:t>”), each ADS representing five (5) Ordinary Shares, as determined in accordance with the Purchase Agreement.</w:t>
      </w:r>
    </w:p>
    <w:p>
      <w:pPr>
        <w:spacing w:after="0" w:line="188" w:lineRule="exact"/>
        <w:rPr>
          <w:rFonts w:ascii="Arial" w:cs="Arial" w:eastAsia="Arial" w:hAnsi="Arial"/>
          <w:sz w:val="18"/>
          <w:szCs w:val="18"/>
          <w:color w:val="auto"/>
        </w:rPr>
      </w:pPr>
    </w:p>
    <w:p>
      <w:pPr>
        <w:ind w:right="80" w:firstLine="444"/>
        <w:spacing w:after="0" w:line="264" w:lineRule="auto"/>
        <w:tabs>
          <w:tab w:leader="none" w:pos="7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induce the Buyer to enter into the Purchase Agreement,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 and applicable state securities laws.</w:t>
      </w:r>
    </w:p>
    <w:p>
      <w:pPr>
        <w:spacing w:after="0" w:line="177"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the mutual covenants contained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Company and the Buyer hereby agree as follows:</w:t>
      </w:r>
    </w:p>
    <w:p>
      <w:pPr>
        <w:spacing w:after="0" w:line="314" w:lineRule="exact"/>
        <w:rPr>
          <w:sz w:val="20"/>
          <w:szCs w:val="20"/>
          <w:color w:val="auto"/>
        </w:rPr>
      </w:pPr>
    </w:p>
    <w:p>
      <w:pPr>
        <w:ind w:left="980" w:hanging="54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221" w:lineRule="exact"/>
        <w:rPr>
          <w:rFonts w:ascii="Arial" w:cs="Arial" w:eastAsia="Arial" w:hAnsi="Arial"/>
          <w:sz w:val="18"/>
          <w:szCs w:val="18"/>
          <w:color w:val="auto"/>
        </w:rPr>
      </w:pPr>
    </w:p>
    <w:p>
      <w:pPr>
        <w:ind w:right="720" w:firstLine="996"/>
        <w:spacing w:after="0" w:line="282"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person or entity including any corporation, a limited liability company, an association, a partnership, an organization, a business, an individual, a governmental or political subdivision thereof or a governmental agency.</w:t>
      </w:r>
    </w:p>
    <w:p>
      <w:pPr>
        <w:spacing w:after="0" w:line="161" w:lineRule="exact"/>
        <w:rPr>
          <w:rFonts w:ascii="Arial" w:cs="Arial" w:eastAsia="Arial" w:hAnsi="Arial"/>
          <w:sz w:val="18"/>
          <w:szCs w:val="18"/>
          <w:color w:val="auto"/>
        </w:rPr>
      </w:pPr>
    </w:p>
    <w:p>
      <w:pPr>
        <w:ind w:right="180" w:firstLine="996"/>
        <w:spacing w:after="0" w:line="261" w:lineRule="auto"/>
        <w:tabs>
          <w:tab w:leader="none" w:pos="1307"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one or more registration statements of the Company in compliance with the 1933 Act and pursuant to Rule 415 under the 1933 Act or any successor rule providing for offering securities on a continuous basis (“</w:t>
      </w:r>
      <w:r>
        <w:rPr>
          <w:rFonts w:ascii="Arial" w:cs="Arial" w:eastAsia="Arial" w:hAnsi="Arial"/>
          <w:sz w:val="18"/>
          <w:szCs w:val="18"/>
          <w:b w:val="1"/>
          <w:bCs w:val="1"/>
          <w:color w:val="auto"/>
        </w:rPr>
        <w:t>Rule 415</w:t>
      </w:r>
      <w:r>
        <w:rPr>
          <w:rFonts w:ascii="Arial" w:cs="Arial" w:eastAsia="Arial" w:hAnsi="Arial"/>
          <w:sz w:val="18"/>
          <w:szCs w:val="18"/>
          <w:color w:val="auto"/>
        </w:rPr>
        <w:t>”), and the declaration or ordering of effectiveness of such registration statement(s) by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240" w:firstLine="996"/>
        <w:spacing w:after="0" w:line="266"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all of the ADSs representing interests in the Ordinary Shares issued to the Buyer pursuant to the Purchase Agreement and any securities issued or issuable with respect to the Securities or the Purchase Agreement as a result of any stock split, stock dividend, recapitalization, exchange or similar event.</w:t>
      </w:r>
    </w:p>
    <w:p>
      <w:pPr>
        <w:sectPr>
          <w:pgSz w:w="11900" w:h="16838" w:orient="portrait"/>
          <w:cols w:equalWidth="0" w:num="1">
            <w:col w:w="11020"/>
          </w:cols>
          <w:pgMar w:left="440" w:top="121" w:right="439" w:bottom="1440" w:gutter="0" w:footer="0" w:header="0"/>
        </w:sectPr>
      </w:pPr>
    </w:p>
    <w:bookmarkStart w:id="21" w:name="page22"/>
    <w:bookmarkEnd w:id="21"/>
    <w:p>
      <w:pPr>
        <w:ind w:left="1300" w:hanging="324"/>
        <w:spacing w:after="0"/>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a registration statement of the Company covering only the sale of the Registrable Securities.</w:t>
      </w:r>
    </w:p>
    <w:p>
      <w:pPr>
        <w:spacing w:after="0" w:line="389" w:lineRule="exact"/>
        <w:rPr>
          <w:rFonts w:ascii="Arial" w:cs="Arial" w:eastAsia="Arial" w:hAnsi="Arial"/>
          <w:sz w:val="17"/>
          <w:szCs w:val="17"/>
          <w:color w:val="auto"/>
        </w:rPr>
      </w:pPr>
    </w:p>
    <w:p>
      <w:pPr>
        <w:ind w:left="960" w:hanging="54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w:t>
      </w:r>
    </w:p>
    <w:p>
      <w:pPr>
        <w:spacing w:after="0" w:line="117" w:lineRule="exact"/>
        <w:rPr>
          <w:rFonts w:ascii="Arial" w:cs="Arial" w:eastAsia="Arial" w:hAnsi="Arial"/>
          <w:sz w:val="18"/>
          <w:szCs w:val="18"/>
          <w:color w:val="auto"/>
        </w:rPr>
      </w:pPr>
    </w:p>
    <w:p>
      <w:pPr>
        <w:ind w:left="-20" w:firstLine="996"/>
        <w:spacing w:after="0" w:line="286" w:lineRule="auto"/>
        <w:tabs>
          <w:tab w:leader="none" w:pos="1277"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Mandatory Registration</w:t>
      </w:r>
      <w:r>
        <w:rPr>
          <w:rFonts w:ascii="Arial" w:cs="Arial" w:eastAsia="Arial" w:hAnsi="Arial"/>
          <w:sz w:val="16"/>
          <w:szCs w:val="16"/>
          <w:color w:val="auto"/>
        </w:rPr>
        <w:t>. The Company shall use commercially reasonable efforts to file within fifteen (15) Business Days from the date hereof (but no sooner than March 2, 2020) with the SEC the Registration Statement. The Registration Statement shall register only the Registrable Securities and no other securities of the Company. Except as provided herein, the Buyer and its counsel shall have a reasonable opportunity, which shall be no fewer than two (2) Business Days, to review and comment upon such Registration Statement or any amendment to such Registration Statement and any related prospectus prior to its filing with the SEC. The Buyer shall furnish all information reasonably requested by the Company for inclusion therein. The Company shall use its reasonable best efforts to have the Registration Statement or any amendment declared effective by the SEC as soon as reasonably practicable. Subject to Permitted Delays (as defined below) and Section 3(e), the Company shall use reasonable best efforts to keep the Registration Statement effective pursuant to Rule 415 promulgated under the 1933 Act and available for sales of all of the Registrable Securities at all times until the earlier of (i) the date as of which the Buyer may sell all of the Registrable Securities without restriction pursuant to Rule 144 promulgated under the 1933 Act (or successor thereto) or (ii) the date on which the Buyer shall have sold all the Registrable Securities (the “</w:t>
      </w:r>
      <w:r>
        <w:rPr>
          <w:rFonts w:ascii="Arial" w:cs="Arial" w:eastAsia="Arial" w:hAnsi="Arial"/>
          <w:sz w:val="16"/>
          <w:szCs w:val="16"/>
          <w:b w:val="1"/>
          <w:bCs w:val="1"/>
          <w:color w:val="auto"/>
        </w:rPr>
        <w:t>Registration Period</w:t>
      </w:r>
      <w:r>
        <w:rPr>
          <w:rFonts w:ascii="Arial" w:cs="Arial" w:eastAsia="Arial" w:hAnsi="Arial"/>
          <w:sz w:val="16"/>
          <w:szCs w:val="16"/>
          <w:color w:val="auto"/>
        </w:rPr>
        <w:t>”). Except as contemplated in Section 3(e), and except with respect to the information furnished in writing to the Company by the Buyer expressly for use in connection with the preparation of the Registration Statement and any amendments or supplements thereto or prospectus contained therein (as to which the Company makes no representation or warranty),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under which they were made, not misleading.</w:t>
      </w:r>
    </w:p>
    <w:p>
      <w:pPr>
        <w:spacing w:after="0" w:line="168" w:lineRule="exact"/>
        <w:rPr>
          <w:rFonts w:ascii="Arial" w:cs="Arial" w:eastAsia="Arial" w:hAnsi="Arial"/>
          <w:sz w:val="16"/>
          <w:szCs w:val="16"/>
          <w:color w:val="auto"/>
        </w:rPr>
      </w:pPr>
    </w:p>
    <w:p>
      <w:pPr>
        <w:ind w:left="-20" w:right="100" w:firstLine="996"/>
        <w:spacing w:after="0" w:line="276" w:lineRule="auto"/>
        <w:tabs>
          <w:tab w:leader="none" w:pos="1287"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Rule 424 Prospectus</w:t>
      </w:r>
      <w:r>
        <w:rPr>
          <w:rFonts w:ascii="Arial" w:cs="Arial" w:eastAsia="Arial" w:hAnsi="Arial"/>
          <w:sz w:val="17"/>
          <w:szCs w:val="17"/>
          <w:color w:val="auto"/>
        </w:rPr>
        <w:t>. The Company shall, to the extent required by applicable securities regulations, from time to time file with the SEC, pursuant to Rule 424 promulgated under the 1933 Act, a prospectus and prospectus supplements, if any, to be used in connection with sales of the Registrable Securities under the Registration Statement. The Buyer and its counsel shall have two (2) Business Days to review and comment upon such prospectus prior to its filing with the SEC. The Buyer shall use its reasonable best efforts to comment upon such prospectus within two (2) Business Days from the date the Buyer receives the final version of such prospectus.</w:t>
      </w:r>
    </w:p>
    <w:p>
      <w:pPr>
        <w:spacing w:after="0" w:line="172" w:lineRule="exact"/>
        <w:rPr>
          <w:rFonts w:ascii="Arial" w:cs="Arial" w:eastAsia="Arial" w:hAnsi="Arial"/>
          <w:sz w:val="17"/>
          <w:szCs w:val="17"/>
          <w:color w:val="auto"/>
        </w:rPr>
      </w:pPr>
    </w:p>
    <w:p>
      <w:pPr>
        <w:ind w:left="-20" w:right="220" w:firstLine="996"/>
        <w:spacing w:after="0" w:line="297" w:lineRule="auto"/>
        <w:tabs>
          <w:tab w:leader="none" w:pos="1277"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Sufficient Number of Securities Registered</w:t>
      </w:r>
      <w:r>
        <w:rPr>
          <w:rFonts w:ascii="Arial" w:cs="Arial" w:eastAsia="Arial" w:hAnsi="Arial"/>
          <w:sz w:val="16"/>
          <w:szCs w:val="16"/>
          <w:color w:val="auto"/>
        </w:rPr>
        <w:t>. In the event the number of securities available under the Registration Statement is insufficient to cover the Registrable Securities, the Company shall, to the extent necessary and permissible, amend the Registration Statement or file a new registration statement (a “</w:t>
      </w:r>
      <w:r>
        <w:rPr>
          <w:rFonts w:ascii="Arial" w:cs="Arial" w:eastAsia="Arial" w:hAnsi="Arial"/>
          <w:sz w:val="16"/>
          <w:szCs w:val="16"/>
          <w:b w:val="1"/>
          <w:bCs w:val="1"/>
          <w:color w:val="auto"/>
        </w:rPr>
        <w:t>New Registration Statement</w:t>
      </w:r>
      <w:r>
        <w:rPr>
          <w:rFonts w:ascii="Arial" w:cs="Arial" w:eastAsia="Arial" w:hAnsi="Arial"/>
          <w:sz w:val="16"/>
          <w:szCs w:val="16"/>
          <w:color w:val="auto"/>
        </w:rPr>
        <w:t>”), so as to cover all such Registrable Securities as soon as reasonably practicable, but in any event not later than ten (10) Business Days after the necessity therefor arises. The Company shall use its reasonable best efforts to have such amendment and/or New Registration Statement become effective as soon as reasonably practicable following the filing thereof.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0" w:right="439" w:bottom="1440" w:gutter="0" w:footer="0" w:header="0"/>
        </w:sectPr>
      </w:pPr>
    </w:p>
    <w:bookmarkStart w:id="22" w:name="page23"/>
    <w:bookmarkEnd w:id="22"/>
    <w:p>
      <w:pPr>
        <w:ind w:left="980" w:hanging="54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OBLIGATIONS.</w:t>
      </w:r>
    </w:p>
    <w:p>
      <w:pPr>
        <w:spacing w:after="0" w:line="11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With respect to the Registration Statement and whenever any Registrable Securities are to be registered pursuant to Sections 2(a) and (c), including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66" w:lineRule="exact"/>
        <w:rPr>
          <w:sz w:val="20"/>
          <w:szCs w:val="20"/>
          <w:color w:val="auto"/>
        </w:rPr>
      </w:pPr>
    </w:p>
    <w:p>
      <w:pPr>
        <w:ind w:firstLine="996"/>
        <w:spacing w:after="0" w:line="285" w:lineRule="auto"/>
        <w:tabs>
          <w:tab w:leader="none" w:pos="129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prepare and file with the SEC such amendments (including post-effective amendments) and supplements to any Registration Statement and the prospectus used in connection with such Registration Statement, as may be necessary to keep the Registration Statement or any New Registration Statement effective at all times during the Registration Period, subject to Permitted Delays and Section 3(e) hereof and, during such period, comply with the provisions of the 1933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seller or sellers thereof as set forth in such Registration Statement. Should the Company file a post-effective amendment to the Registration Statement or a New Registration Statement, the Company will use its reasonable best efforts to have such filing declared effective by the SEC within thirty (30) consecutive Business Days following the date of filing, which such period shall be extended for an additional thirty (30) Business Days if the Company receives a comment letter from the SEC in connection therewith. If (i) there is material non-public information regarding the Company which the Company’s Board of Directors reasonably determines not to be in the Company’s best interest to disclose and which the Company is not otherwise required to disclose or (ii) there is a significant business opportunity (including, but not limited to, the acquisition or disposition of assets (other than in the ordinary course of business) or any merger, consolidation, tender offer or other similar transaction) available to the Company which the Company’s Board of Directors reasonably determines not to be in the Company’s best interest to disclose and which the Company would be required to disclose under a Registration Statement or a New Registration Statement, then the Company may postpone or suspend filing or effectiveness of such Registration Statement or New Registration Statement or use of the prospectus under the Registration Statement or New Registration Statement for a period not to exceed thirty (30) consecutive days, provided that the Company may not postpone or suspend its obligation under this Section 3(a) for more than sixty (60) days in the aggregate during any twelve (12) month period (each, a “</w:t>
      </w:r>
      <w:r>
        <w:rPr>
          <w:rFonts w:ascii="Arial" w:cs="Arial" w:eastAsia="Arial" w:hAnsi="Arial"/>
          <w:sz w:val="16"/>
          <w:szCs w:val="16"/>
          <w:b w:val="1"/>
          <w:bCs w:val="1"/>
          <w:color w:val="auto"/>
        </w:rPr>
        <w:t>Permitted Delay</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20" w:firstLine="996"/>
        <w:spacing w:after="0" w:line="288" w:lineRule="auto"/>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submit to the Buyer for review and comment any disclosure in the Registration Statement, any New Registration Statement and all amendments and supplements thereto (other than prospectus supplements that consist only of a copy of a filed Form 20-F or a Report on Form 6-K or any amendment as a result of the Company’s filing of a document that is incorporated by reference into the Registration Statement or New Registration Statement) containing information provided by the Buyer for inclusion in such document and any descriptions or disclosure regarding the Buyer, the Purchase Agreement, including the transaction contemplated thereby, or this Agreement at least two (2) Business Days prior to their filing with the SEC, and not file any document in a form to which Buyer reasonably and timely objects. Upon request of the Buyer, the Company shall provide to the Buyer all disclosure in the Registration Statement or any New Registration Statement and all amendments and supplements thereto (other than prospectus supplements that consist only of a copy of a filed Form 20-F or Report on Form 6-K or any amendment as a result of the Company’s filing of a document that is incorporated by reference into the Registration Statement or New Registration Statement) at least two (2) Business Days prior to their filing with the SEC, and not file any document in a form to which Buyer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3" w:name="page24"/>
    <w:bookmarkEnd w:id="23"/>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and timely objects. The Buyer shall use its reasonable best efforts to comment upon the Registration Statement or any New Registration Statement and any amendments or supplements thereto within two (2) Business Days from the date the Buyer receives the final version thereof. The Company shall furnish to the Buyer, without charge, any correspondence from the SEC or the staff of the SEC to the Company or its representatives relating to the Registration Statement or any New Registration Statement.</w:t>
      </w:r>
    </w:p>
    <w:p>
      <w:pPr>
        <w:spacing w:after="0" w:line="187" w:lineRule="exact"/>
        <w:rPr>
          <w:sz w:val="20"/>
          <w:szCs w:val="20"/>
          <w:color w:val="auto"/>
        </w:rPr>
      </w:pPr>
    </w:p>
    <w:p>
      <w:pPr>
        <w:ind w:right="20" w:firstLine="996"/>
        <w:spacing w:after="0" w:line="255"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Upon request of the Buyer, the Company shall furnish to the Buyer, (i) promptly after the same is prepared and filed with the SEC, at least one copy of the Registration Statement and any amendment(s) thereto, including all financial statements and schedules, all documents incorporated therein by reference and all exhibits, (ii) upon the effectiveness of a Registration Statement, a copy of the prospectus included in such Registration Statement and all amendments and supplements thereto (or such other number of copies as the Buyer may reasonably request) and (iii) such other documents, including copies of any preliminary or final prospectus, as the Buyer may reasonably request from time to time in order to facilitate the disposition of the Registrable Securities owned by the Buyer.</w:t>
      </w:r>
    </w:p>
    <w:p>
      <w:pPr>
        <w:spacing w:after="0" w:line="193" w:lineRule="exact"/>
        <w:rPr>
          <w:rFonts w:ascii="Arial" w:cs="Arial" w:eastAsia="Arial" w:hAnsi="Arial"/>
          <w:sz w:val="18"/>
          <w:szCs w:val="18"/>
          <w:color w:val="auto"/>
        </w:rPr>
      </w:pPr>
    </w:p>
    <w:p>
      <w:pPr>
        <w:ind w:right="20" w:firstLine="996"/>
        <w:spacing w:after="0" w:line="284" w:lineRule="auto"/>
        <w:tabs>
          <w:tab w:leader="none" w:pos="1304"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shall use reasonable best efforts to (i) register and qualify, unless an exemption from registration and qualification is available, the Registrable Securities covered by a Registration Statement under such other securities or “blue sky” laws of such jurisdictions in the United States as the Buyer reasonably requests, (ii) subject to Permitted Delays,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(y) subject itself to general taxation in any such jurisdiction, or</w:t>
      </w:r>
    </w:p>
    <w:p>
      <w:pPr>
        <w:spacing w:after="0" w:line="1" w:lineRule="exact"/>
        <w:rPr>
          <w:rFonts w:ascii="Arial" w:cs="Arial" w:eastAsia="Arial" w:hAnsi="Arial"/>
          <w:sz w:val="16"/>
          <w:szCs w:val="16"/>
          <w:color w:val="auto"/>
        </w:rPr>
      </w:pPr>
    </w:p>
    <w:p>
      <w:pPr>
        <w:jc w:val="both"/>
        <w:ind w:right="120" w:firstLine="4"/>
        <w:spacing w:after="0" w:line="254"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 a general consent to service of process in any such jurisdiction. The Company shall promptly notify the Buyer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189" w:lineRule="exact"/>
        <w:rPr>
          <w:rFonts w:ascii="Arial" w:cs="Arial" w:eastAsia="Arial" w:hAnsi="Arial"/>
          <w:sz w:val="18"/>
          <w:szCs w:val="18"/>
          <w:color w:val="auto"/>
        </w:rPr>
      </w:pPr>
    </w:p>
    <w:p>
      <w:pPr>
        <w:ind w:firstLine="996"/>
        <w:spacing w:after="0" w:line="269" w:lineRule="auto"/>
        <w:tabs>
          <w:tab w:leader="none" w:pos="1297" w:val="left"/>
        </w:tabs>
        <w:numPr>
          <w:ilvl w:val="1"/>
          <w:numId w:val="39"/>
        </w:numPr>
        <w:rPr>
          <w:rFonts w:ascii="Arial" w:cs="Arial" w:eastAsia="Arial" w:hAnsi="Arial"/>
          <w:sz w:val="17"/>
          <w:szCs w:val="17"/>
          <w:color w:val="auto"/>
        </w:rPr>
      </w:pPr>
      <w:r>
        <w:rPr>
          <w:rFonts w:ascii="Arial" w:cs="Arial" w:eastAsia="Arial" w:hAnsi="Arial"/>
          <w:sz w:val="17"/>
          <w:szCs w:val="17"/>
          <w:color w:val="auto"/>
        </w:rPr>
        <w:t>Subject to Permitted Delays, as promptly as reasonably practicable after becoming aware of such event or facts, the Company shall notify the Buyer in writing if the Company has determined that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and as promptly as reasonably practical (taking into account the Company’s good faith assessment of any adverse consequences to the Company and its stockholders of premature disclosure of such event or facts) prepare a prospectus supplement or amendment to such Registration Statement to correct such untrue statement or omission, and, upon the Buyer’s request, deliver a copy of such prospectus supplement or amendment to the Buyer. In providing this notice to the Buyer, the Company shall not include any other information about the facts underlying the Company’s determination and shall not in any way communicate any material nonpublic information about the Company or the Securities to the Buyer. The Company shall also promptly notify the Buyer in writing (i) when a prospectus or any prospectus supplement or post-effective amendment has been filed, and when a Registration Statement or any post-effective amendment has become effective (notification of such effectiveness shall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4" w:name="page25"/>
    <w:bookmarkEnd w:id="24"/>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the Buyer by facsimile or e-mail on the same day of such effectiveness), (ii) of any request by the SEC for amendments or supplements to any Registration Statement or related prospectus or related information, and (iii) of the Company’s reasonable determination that a post-effective amendment to a Registration Statement would be appropriate. In no event shall the delivery of a notice under this Section 3(e), or the resulting unavailability of a Registration Statement, without regard to its duration, for disposition of securities by Buyer be considered a breach by the Company of its obligations under this Agreement.</w:t>
      </w:r>
    </w:p>
    <w:p>
      <w:pPr>
        <w:spacing w:after="0" w:line="188" w:lineRule="exact"/>
        <w:rPr>
          <w:sz w:val="20"/>
          <w:szCs w:val="20"/>
          <w:color w:val="auto"/>
        </w:rPr>
      </w:pPr>
    </w:p>
    <w:p>
      <w:pPr>
        <w:ind w:firstLine="996"/>
        <w:spacing w:after="0" w:line="279" w:lineRule="auto"/>
        <w:tabs>
          <w:tab w:leader="none" w:pos="127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use its reasonable best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practical time and to notify the Buyer of the issuance of such order and the resolution thereof or its receipt of actual notice of the initiation or threat of any proceeding for such purpose.</w:t>
      </w:r>
    </w:p>
    <w:p>
      <w:pPr>
        <w:spacing w:after="0" w:line="171" w:lineRule="exact"/>
        <w:rPr>
          <w:rFonts w:ascii="Arial" w:cs="Arial" w:eastAsia="Arial" w:hAnsi="Arial"/>
          <w:sz w:val="17"/>
          <w:szCs w:val="17"/>
          <w:color w:val="auto"/>
        </w:rPr>
      </w:pPr>
    </w:p>
    <w:p>
      <w:pPr>
        <w:ind w:right="320" w:firstLine="996"/>
        <w:spacing w:after="0" w:line="257" w:lineRule="auto"/>
        <w:tabs>
          <w:tab w:leader="none" w:pos="13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(i) cause all the Registrable Securities to be listed on each securities exchange on which securities of the same class or series issued by the Company are then listed, if any, if the listing of such Registrable Securities is then permitted under the rules of such exchange, or (ii) secure designation and quotation of all the Registrable Securities if the Principal Market (as such term is defined in the Purchase Agreement) is an automated quotation system. The Company shall pay all fees and expenses in connection with satisfying its obligation under this Section.</w:t>
      </w:r>
    </w:p>
    <w:p>
      <w:pPr>
        <w:spacing w:after="0" w:line="188" w:lineRule="exact"/>
        <w:rPr>
          <w:rFonts w:ascii="Arial" w:cs="Arial" w:eastAsia="Arial" w:hAnsi="Arial"/>
          <w:sz w:val="18"/>
          <w:szCs w:val="18"/>
          <w:color w:val="auto"/>
        </w:rPr>
      </w:pPr>
    </w:p>
    <w:p>
      <w:pPr>
        <w:ind w:right="80" w:firstLine="996"/>
        <w:spacing w:after="0" w:line="286" w:lineRule="auto"/>
        <w:tabs>
          <w:tab w:leader="none" w:pos="130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cooperate with the Buyer to facilitate the timely preparation and delivery of certificates (not bearing any restrictive legend) representing the Registrable Securities to be offered pursuant to any Registration Statement and enable such certificates to be in such denominations or amounts as the Buyer may reasonably request and registered in such names as the Buyer may request.</w:t>
      </w:r>
    </w:p>
    <w:p>
      <w:pPr>
        <w:spacing w:after="0" w:line="165" w:lineRule="exact"/>
        <w:rPr>
          <w:rFonts w:ascii="Arial" w:cs="Arial" w:eastAsia="Arial" w:hAnsi="Arial"/>
          <w:sz w:val="17"/>
          <w:szCs w:val="17"/>
          <w:color w:val="auto"/>
        </w:rPr>
      </w:pPr>
    </w:p>
    <w:p>
      <w:pPr>
        <w:ind w:left="1260" w:hanging="264"/>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at all times provide a transfer agent and registrar with respect to its Securities.</w:t>
      </w:r>
    </w:p>
    <w:p>
      <w:pPr>
        <w:spacing w:after="0" w:line="225" w:lineRule="exact"/>
        <w:rPr>
          <w:rFonts w:ascii="Arial" w:cs="Arial" w:eastAsia="Arial" w:hAnsi="Arial"/>
          <w:sz w:val="18"/>
          <w:szCs w:val="18"/>
          <w:color w:val="auto"/>
        </w:rPr>
      </w:pPr>
    </w:p>
    <w:p>
      <w:pPr>
        <w:ind w:right="20" w:firstLine="996"/>
        <w:spacing w:after="0" w:line="255" w:lineRule="auto"/>
        <w:tabs>
          <w:tab w:leader="none" w:pos="12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reasonably requested by the Buyer, the Company shall (i) promptly incorporate in a prospectus supplement or post-effective amendment to the Registration Statement such information as the Buyer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promptly as practicable once notified of the matters to be incorporated in such prospectus supplement or post-effective amendment; and (iii) supplement or make amendments to any Registration Statement (including by means of any document incorporated therein by reference).</w:t>
      </w:r>
    </w:p>
    <w:p>
      <w:pPr>
        <w:spacing w:after="0" w:line="189" w:lineRule="exact"/>
        <w:rPr>
          <w:rFonts w:ascii="Arial" w:cs="Arial" w:eastAsia="Arial" w:hAnsi="Arial"/>
          <w:sz w:val="18"/>
          <w:szCs w:val="18"/>
          <w:color w:val="auto"/>
        </w:rPr>
      </w:pPr>
    </w:p>
    <w:p>
      <w:pPr>
        <w:ind w:right="80" w:firstLine="996"/>
        <w:spacing w:after="0" w:line="264" w:lineRule="auto"/>
        <w:tabs>
          <w:tab w:leader="none" w:pos="13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spacing w:after="0" w:line="181" w:lineRule="exact"/>
        <w:rPr>
          <w:rFonts w:ascii="Arial" w:cs="Arial" w:eastAsia="Arial" w:hAnsi="Arial"/>
          <w:sz w:val="18"/>
          <w:szCs w:val="18"/>
          <w:color w:val="auto"/>
        </w:rPr>
      </w:pPr>
    </w:p>
    <w:p>
      <w:pPr>
        <w:ind w:right="480" w:firstLine="996"/>
        <w:spacing w:after="0" w:line="277" w:lineRule="auto"/>
        <w:tabs>
          <w:tab w:leader="none" w:pos="1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Within two (2) Business Days after any Registration Statement is ordered effective by the SEC, the Company shall deliver to the Transfer Agent for such Registrable Securities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5" w:name="page26"/>
    <w:bookmarkEnd w:id="25"/>
    <w:p>
      <w:pPr>
        <w:ind w:right="3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copies to the Buyer) confirmation that such Registration Statement has been declared effective by the SEC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Thereafter, if reasonably requested by the Buyer at any time, the Company shall deliver to the Buyer a written confirmation of whether or not the effectiveness of such Registration Statement has lapsed at any time for any reason (including, without limitation, the issuance of a stop order) and whether or not the Registration Statement is currently effective and available to the Buyer for sale of all of the Registrable Securities.</w:t>
      </w:r>
    </w:p>
    <w:p>
      <w:pPr>
        <w:spacing w:after="0" w:line="154" w:lineRule="exact"/>
        <w:rPr>
          <w:sz w:val="20"/>
          <w:szCs w:val="20"/>
          <w:color w:val="auto"/>
        </w:rPr>
      </w:pPr>
    </w:p>
    <w:p>
      <w:pPr>
        <w:ind w:firstLine="996"/>
        <w:spacing w:after="0" w:line="277" w:lineRule="auto"/>
        <w:tabs>
          <w:tab w:leader="none" w:pos="13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agrees to take all other reasonable actions as necessary and reasonably requested by the Buyer to expedite and facilitate disposition by the Buyer of Registrable Securities pursuant to any Registration Statement.</w:t>
      </w:r>
    </w:p>
    <w:p>
      <w:pPr>
        <w:spacing w:after="0" w:line="319" w:lineRule="exact"/>
        <w:rPr>
          <w:rFonts w:ascii="Arial" w:cs="Arial" w:eastAsia="Arial" w:hAnsi="Arial"/>
          <w:sz w:val="18"/>
          <w:szCs w:val="18"/>
          <w:color w:val="auto"/>
        </w:rPr>
      </w:pPr>
    </w:p>
    <w:p>
      <w:pPr>
        <w:ind w:left="980" w:hanging="54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OBLIGATIONS OF THE BUYER.</w:t>
      </w:r>
    </w:p>
    <w:p>
      <w:pPr>
        <w:spacing w:after="0" w:line="117" w:lineRule="exact"/>
        <w:rPr>
          <w:rFonts w:ascii="Arial" w:cs="Arial" w:eastAsia="Arial" w:hAnsi="Arial"/>
          <w:sz w:val="18"/>
          <w:szCs w:val="18"/>
          <w:color w:val="auto"/>
        </w:rPr>
      </w:pPr>
    </w:p>
    <w:p>
      <w:pPr>
        <w:ind w:right="80" w:firstLine="996"/>
        <w:spacing w:after="0" w:line="255" w:lineRule="auto"/>
        <w:tabs>
          <w:tab w:leader="none" w:pos="12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The Buyer has furnished to the Company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such information regarding itself, the Registrable Securities held by it and the intended method of disposition of the Registrable Securities held by it as required to effect the registration of such Registrable Securities and shall execute such documents in connection with such registration as the Company may reasonably request. The Company shall notify the Buyer in writing of any other information the Company reasonably requires from the Buyer in connection with any Registration Statement hereunder. The Buyer will as promptly as practicable notify the Company of any material change in the information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other than changes in its ownership of the Registrable Securities.</w:t>
      </w:r>
    </w:p>
    <w:p>
      <w:pPr>
        <w:spacing w:after="0" w:line="193" w:lineRule="exact"/>
        <w:rPr>
          <w:rFonts w:ascii="Arial" w:cs="Arial" w:eastAsia="Arial" w:hAnsi="Arial"/>
          <w:sz w:val="18"/>
          <w:szCs w:val="18"/>
          <w:color w:val="auto"/>
        </w:rPr>
      </w:pPr>
    </w:p>
    <w:p>
      <w:pPr>
        <w:ind w:right="340" w:firstLine="996"/>
        <w:spacing w:after="0" w:line="277" w:lineRule="auto"/>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Buyer agrees to cooperate with the Company as reasonably requested by the Company in connection with the preparation and filing of any amendments and supplements to any Registration Statement hereunder.</w:t>
      </w:r>
    </w:p>
    <w:p>
      <w:pPr>
        <w:spacing w:after="0" w:line="170" w:lineRule="exact"/>
        <w:rPr>
          <w:rFonts w:ascii="Arial" w:cs="Arial" w:eastAsia="Arial" w:hAnsi="Arial"/>
          <w:sz w:val="18"/>
          <w:szCs w:val="18"/>
          <w:color w:val="auto"/>
        </w:rPr>
      </w:pPr>
    </w:p>
    <w:p>
      <w:pPr>
        <w:ind w:right="80" w:firstLine="996"/>
        <w:spacing w:after="0" w:line="255" w:lineRule="auto"/>
        <w:tabs>
          <w:tab w:leader="none" w:pos="12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Buyer agrees that, upon receipt of any notice from the Company of the happening of any event or existence of facts of the kind described in Section 3(f) or any notice of the kind described in the first sentence of Section 3(e), the Buyer will immediately discontinue disposition of Registrable Securities pursuant to any registration statement(s) covering such Registrable Securities until the Buyer’s receipt (which may be accomplished through electronic delivery) of the copies of the filed supplemented or amended registration statement and/or prospectus contemplated by Section 3(f) or the first sentence of Section 3(e). In addition, upon receipt of any notice from the Company of the kind described in the first sentence of Section 3(e), the Buyer will immediately discontinue purchases or sales of any securities of the Company unless such purchases or sales are in compliance with applicable U.S. securities laws.</w:t>
      </w:r>
    </w:p>
    <w:p>
      <w:pPr>
        <w:spacing w:after="0" w:line="337" w:lineRule="exact"/>
        <w:rPr>
          <w:rFonts w:ascii="Arial" w:cs="Arial" w:eastAsia="Arial" w:hAnsi="Arial"/>
          <w:sz w:val="18"/>
          <w:szCs w:val="18"/>
          <w:color w:val="auto"/>
        </w:rPr>
      </w:pPr>
    </w:p>
    <w:p>
      <w:pPr>
        <w:ind w:left="980" w:hanging="54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OF REGISTRATION.</w:t>
      </w:r>
    </w:p>
    <w:p>
      <w:pPr>
        <w:spacing w:after="0" w:line="117" w:lineRule="exact"/>
        <w:rPr>
          <w:sz w:val="20"/>
          <w:szCs w:val="20"/>
          <w:color w:val="auto"/>
        </w:rPr>
      </w:pPr>
    </w:p>
    <w:p>
      <w:pPr>
        <w:jc w:val="both"/>
        <w:ind w:right="80" w:firstLine="992"/>
        <w:spacing w:after="0" w:line="312" w:lineRule="auto"/>
        <w:rPr>
          <w:sz w:val="20"/>
          <w:szCs w:val="20"/>
          <w:color w:val="auto"/>
        </w:rPr>
      </w:pPr>
      <w:r>
        <w:rPr>
          <w:rFonts w:ascii="Arial" w:cs="Arial" w:eastAsia="Arial" w:hAnsi="Arial"/>
          <w:sz w:val="16"/>
          <w:szCs w:val="16"/>
          <w:color w:val="auto"/>
        </w:rPr>
        <w:t>All reasonable expenses of the Company, other than sales or brokerage commissions and fees and disbursements of counsel for the Buyer,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6" w:name="page27"/>
    <w:bookmarkEnd w:id="26"/>
    <w:p>
      <w:pPr>
        <w:ind w:left="980" w:hanging="54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p>
    <w:p>
      <w:pPr>
        <w:spacing w:after="0" w:line="117" w:lineRule="exact"/>
        <w:rPr>
          <w:rFonts w:ascii="Arial" w:cs="Arial" w:eastAsia="Arial" w:hAnsi="Arial"/>
          <w:sz w:val="18"/>
          <w:szCs w:val="18"/>
          <w:color w:val="auto"/>
        </w:rPr>
      </w:pPr>
    </w:p>
    <w:p>
      <w:pPr>
        <w:ind w:firstLine="992"/>
        <w:spacing w:after="0" w:line="283" w:lineRule="auto"/>
        <w:rPr>
          <w:rFonts w:ascii="Arial" w:cs="Arial" w:eastAsia="Arial" w:hAnsi="Arial"/>
          <w:sz w:val="18"/>
          <w:szCs w:val="18"/>
          <w:color w:val="auto"/>
        </w:rPr>
      </w:pPr>
      <w:r>
        <w:rPr>
          <w:rFonts w:ascii="Arial" w:cs="Arial" w:eastAsia="Arial" w:hAnsi="Arial"/>
          <w:sz w:val="16"/>
          <w:szCs w:val="16"/>
          <w:color w:val="auto"/>
        </w:rPr>
        <w:t>a. To the fullest extent permitted by law, the Company will, and hereby does, indemnify, hold harmless and defend the Buyer, each Person, if any, who controls the Buyer, the members, the directors, officers, partners, employees, agents, representatives of the Buyer and each Person, if any, who controls the Buyer within the meaning of the 1933 Act or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any third party losses, claims, damages, liabilities, judgments, fines, penalties, charges, costs, reasonable attorneys’ fees, amounts paid in settlement (with the prior consent of the Company, such consent not to be unreasonably withheld) or reasonable expenses, (collectively, “</w:t>
      </w:r>
      <w:r>
        <w:rPr>
          <w:rFonts w:ascii="Arial" w:cs="Arial" w:eastAsia="Arial" w:hAnsi="Arial"/>
          <w:sz w:val="16"/>
          <w:szCs w:val="16"/>
          <w:b w:val="1"/>
          <w:bCs w:val="1"/>
          <w:color w:val="auto"/>
        </w:rPr>
        <w:t>Claims</w:t>
      </w:r>
      <w:r>
        <w:rPr>
          <w:rFonts w:ascii="Arial" w:cs="Arial" w:eastAsia="Arial" w:hAnsi="Arial"/>
          <w:sz w:val="16"/>
          <w:szCs w:val="16"/>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the Registration Statement or any New Registration Statement (the matters in the foregoing clauses (i) through (iii)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The Company shall reimburse each Indemnified Person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Section 6(a): (A) shall not apply to a Claim by an Indemnified Person arising out of or based upon a Violation which occurs in reliance upon and in conformity with information furnished in writing to the Company by the Buyer or such Indemnified Person expressly for use in connection with the preparation of the Registration Statement, any New Registration Statement or any such amendment thereof or supplement thereto, if such prospectus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if such revised prospectus was timely made available by the Company pursuant to Section 3(c) or Section 3(e), and the Indemnified Person was promptly advised in writing not to use the incorrect prospectus prior to the use giving rise to a violation; (C) shall not be available to the extent such Claim is based on a failure of the Buyer to deliver, or to cause to be delivered, the prospectus made available by the Company, if such prospectus was theretofore made available by the Company pursuant to Section 3(c) or Section 3(e); and (D)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Buyer pursuant to Section 9.</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7" w:name="page28"/>
    <w:bookmarkEnd w:id="27"/>
    <w:p>
      <w:pPr>
        <w:ind w:right="160" w:firstLine="996"/>
        <w:spacing w:after="0" w:line="288" w:lineRule="auto"/>
        <w:tabs>
          <w:tab w:leader="none" w:pos="1307"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Registration Statement or any New Registration Statement or prospectus, the Buyer agrees to indemnify, hold harmless and defend, to the same extent and in the same manner as is set forth in Section 6(a), the Company, each of its directors, each of its officers who signs the Registration Statement or any New Registration Statement, each Person, if any, who controls the Company within the meaning of the</w:t>
      </w:r>
    </w:p>
    <w:p>
      <w:pPr>
        <w:spacing w:after="0" w:line="285" w:lineRule="auto"/>
        <w:rPr>
          <w:rFonts w:ascii="Arial" w:cs="Arial" w:eastAsia="Arial" w:hAnsi="Arial"/>
          <w:sz w:val="16"/>
          <w:szCs w:val="16"/>
          <w:color w:val="auto"/>
        </w:rPr>
      </w:pPr>
      <w:r>
        <w:rPr>
          <w:rFonts w:ascii="Arial" w:cs="Arial" w:eastAsia="Arial" w:hAnsi="Arial"/>
          <w:sz w:val="16"/>
          <w:szCs w:val="16"/>
          <w:color w:val="auto"/>
        </w:rPr>
        <w:t>1933 Act or the 1934 Act (collectively and together with an Indemnified Person, an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about the Buyer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or updated from time to time in writing by the Buyer and furnished to the Company by the Buyer expressly for use in the Registration Statement or any New Registration Statement or from the failure of the Buyer to deliver or to cause to be delivered the prospectus made available by the Company, if such prospectus was timely made available by the Company pursuant to Section 3(c) or Section 3(e); and, subject to Section 6(d), the Buyer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the Buyer, which consent shall not be unreasonably withheld; provided, further, however, that the Buyer shall be liable under this Section 6(b) for only that amount of a Claim or Indemnified Damages as does not exceed the net proceeds to the Buyer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Buyer pursuant to Section 9.</w:t>
      </w:r>
    </w:p>
    <w:p>
      <w:pPr>
        <w:spacing w:after="0" w:line="170" w:lineRule="exact"/>
        <w:rPr>
          <w:rFonts w:ascii="Arial" w:cs="Arial" w:eastAsia="Arial" w:hAnsi="Arial"/>
          <w:sz w:val="16"/>
          <w:szCs w:val="16"/>
          <w:color w:val="auto"/>
        </w:rPr>
      </w:pPr>
    </w:p>
    <w:p>
      <w:pPr>
        <w:ind w:right="140" w:firstLine="996"/>
        <w:spacing w:after="0" w:line="286" w:lineRule="auto"/>
        <w:tabs>
          <w:tab w:leader="none" w:pos="12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Indemnified Party for any legal or other expenses subsequently incurred by the Indemnified Person or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 w:name="page29"/>
    <w:bookmarkEnd w:id="2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169" w:lineRule="exact"/>
        <w:rPr>
          <w:sz w:val="20"/>
          <w:szCs w:val="20"/>
          <w:color w:val="auto"/>
        </w:rPr>
      </w:pPr>
    </w:p>
    <w:p>
      <w:pPr>
        <w:ind w:right="160" w:firstLine="996"/>
        <w:spacing w:after="0" w:line="259" w:lineRule="auto"/>
        <w:tabs>
          <w:tab w:leader="none" w:pos="13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w:t>
      </w:r>
    </w:p>
    <w:p>
      <w:pPr>
        <w:spacing w:after="0" w:line="186" w:lineRule="exact"/>
        <w:rPr>
          <w:rFonts w:ascii="Arial" w:cs="Arial" w:eastAsia="Arial" w:hAnsi="Arial"/>
          <w:sz w:val="18"/>
          <w:szCs w:val="18"/>
          <w:color w:val="auto"/>
        </w:rPr>
      </w:pPr>
    </w:p>
    <w:p>
      <w:pPr>
        <w:ind w:right="80" w:firstLine="996"/>
        <w:spacing w:after="0" w:line="342" w:lineRule="auto"/>
        <w:tabs>
          <w:tab w:leader="none" w:pos="1293"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72" w:lineRule="exact"/>
        <w:rPr>
          <w:rFonts w:ascii="Arial" w:cs="Arial" w:eastAsia="Arial" w:hAnsi="Arial"/>
          <w:sz w:val="16"/>
          <w:szCs w:val="16"/>
          <w:color w:val="auto"/>
        </w:rPr>
      </w:pPr>
    </w:p>
    <w:p>
      <w:pPr>
        <w:ind w:left="980" w:hanging="54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7"/>
          <w:szCs w:val="17"/>
          <w:color w:val="auto"/>
        </w:rPr>
        <w:t>To the extent any indemnification by an indemnifying party is prohibited or limited by law, the indemnifying party agrees to make the</w:t>
      </w:r>
    </w:p>
    <w:p>
      <w:pPr>
        <w:spacing w:after="0" w:line="3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1933 Act) shall be entitled to contribution from any party who was not guilty of fraudulent misrepresentation; and (ii) contribution by any seller of Registrable Securities shall be limited in amount to the net amount of proceeds received by such seller from the sale of such Registrable Securities.</w:t>
      </w:r>
    </w:p>
    <w:p>
      <w:pPr>
        <w:spacing w:after="0" w:line="310" w:lineRule="exact"/>
        <w:rPr>
          <w:sz w:val="20"/>
          <w:szCs w:val="20"/>
          <w:color w:val="auto"/>
        </w:rPr>
      </w:pPr>
    </w:p>
    <w:p>
      <w:pPr>
        <w:ind w:left="980" w:hanging="54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REPORTS AND DISCLOSURE UNDER THE SECURITIES ACTS.</w:t>
      </w:r>
    </w:p>
    <w:p>
      <w:pPr>
        <w:spacing w:after="0" w:line="117" w:lineRule="exact"/>
        <w:rPr>
          <w:sz w:val="20"/>
          <w:szCs w:val="20"/>
          <w:color w:val="auto"/>
        </w:rPr>
      </w:pPr>
    </w:p>
    <w:p>
      <w:pPr>
        <w:jc w:val="both"/>
        <w:ind w:right="440" w:firstLine="992"/>
        <w:spacing w:after="0" w:line="264" w:lineRule="auto"/>
        <w:rPr>
          <w:sz w:val="20"/>
          <w:szCs w:val="20"/>
          <w:color w:val="auto"/>
        </w:rPr>
      </w:pPr>
      <w:r>
        <w:rPr>
          <w:rFonts w:ascii="Arial" w:cs="Arial" w:eastAsia="Arial" w:hAnsi="Arial"/>
          <w:sz w:val="18"/>
          <w:szCs w:val="18"/>
          <w:color w:val="auto"/>
        </w:rPr>
        <w:t>With a view to making available to the Buyer the benefits of Rule 144 promulgated under the 1933 Act or any other similar rule or regulation of the SEC that may at any time permit the Buyer to sell securities of the Company to the public without registration (“</w:t>
      </w:r>
      <w:r>
        <w:rPr>
          <w:rFonts w:ascii="Arial" w:cs="Arial" w:eastAsia="Arial" w:hAnsi="Arial"/>
          <w:sz w:val="18"/>
          <w:szCs w:val="18"/>
          <w:b w:val="1"/>
          <w:bCs w:val="1"/>
          <w:color w:val="auto"/>
        </w:rPr>
        <w:t>Rule 144</w:t>
      </w:r>
      <w:r>
        <w:rPr>
          <w:rFonts w:ascii="Arial" w:cs="Arial" w:eastAsia="Arial" w:hAnsi="Arial"/>
          <w:sz w:val="18"/>
          <w:szCs w:val="18"/>
          <w:color w:val="auto"/>
        </w:rPr>
        <w:t>”), the Company agrees, at the Company’s sole expense, to:</w:t>
      </w:r>
    </w:p>
    <w:p>
      <w:pPr>
        <w:spacing w:after="0" w:line="181" w:lineRule="exact"/>
        <w:rPr>
          <w:sz w:val="20"/>
          <w:szCs w:val="20"/>
          <w:color w:val="auto"/>
        </w:rPr>
      </w:pPr>
    </w:p>
    <w:p>
      <w:pPr>
        <w:ind w:left="5460" w:right="60" w:hanging="4464"/>
        <w:spacing w:after="0" w:line="449" w:lineRule="auto"/>
        <w:tabs>
          <w:tab w:leader="none" w:pos="12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use its reasonable best efforts to make and keep public information available, as those terms are understood and defined in Rule 144; 9</w:t>
      </w:r>
    </w:p>
    <w:p>
      <w:pPr>
        <w:sectPr>
          <w:pgSz w:w="11900" w:h="16838" w:orient="portrait"/>
          <w:cols w:equalWidth="0" w:num="1">
            <w:col w:w="10920"/>
          </w:cols>
          <w:pgMar w:left="440" w:top="274" w:right="539" w:bottom="1440" w:gutter="0" w:footer="0" w:header="0"/>
        </w:sectPr>
      </w:pPr>
    </w:p>
    <w:bookmarkStart w:id="29" w:name="page30"/>
    <w:bookmarkEnd w:id="29"/>
    <w:p>
      <w:pPr>
        <w:ind w:firstLine="996"/>
        <w:spacing w:after="0" w:line="264" w:lineRule="auto"/>
        <w:tabs>
          <w:tab w:leader="none" w:pos="1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its reasonable best efforts to file with the SEC in a timely manner all reports and other documents required of the Company under the 1933 Act and the 1934 Act so long as the Company remains subject to such requirements and the filing of such reports and other documents is required to satisfy the current public information requirements of Rule 144;</w:t>
      </w:r>
    </w:p>
    <w:p>
      <w:pPr>
        <w:spacing w:after="0" w:line="181" w:lineRule="exact"/>
        <w:rPr>
          <w:rFonts w:ascii="Arial" w:cs="Arial" w:eastAsia="Arial" w:hAnsi="Arial"/>
          <w:sz w:val="18"/>
          <w:szCs w:val="18"/>
          <w:color w:val="auto"/>
        </w:rPr>
      </w:pPr>
    </w:p>
    <w:p>
      <w:pPr>
        <w:ind w:right="340" w:firstLine="996"/>
        <w:spacing w:after="0" w:line="312" w:lineRule="auto"/>
        <w:tabs>
          <w:tab w:leader="none" w:pos="1297" w:val="left"/>
        </w:tabs>
        <w:numPr>
          <w:ilvl w:val="0"/>
          <w:numId w:val="49"/>
        </w:numPr>
        <w:rPr>
          <w:rFonts w:ascii="Arial" w:cs="Arial" w:eastAsia="Arial" w:hAnsi="Arial"/>
          <w:sz w:val="16"/>
          <w:szCs w:val="16"/>
          <w:color w:val="auto"/>
        </w:rPr>
      </w:pPr>
      <w:r>
        <w:rPr>
          <w:rFonts w:ascii="Arial" w:cs="Arial" w:eastAsia="Arial" w:hAnsi="Arial"/>
          <w:sz w:val="16"/>
          <w:szCs w:val="16"/>
          <w:color w:val="auto"/>
        </w:rPr>
        <w:t>furnish to the Buyer so long as the Buyer owns Registrable Securities, as promptly as practicable at Buyer’s request, (i) a written statement by the Company that it has complied in all material respects with the requirements of Rule 144(c)(1)(i) and (ii), and (ii) such other information, if any, as may be reasonably requested to permit the Buyer to sell such securities pursuant to Rule 144 without registration; and</w:t>
      </w:r>
    </w:p>
    <w:p>
      <w:pPr>
        <w:spacing w:after="0" w:line="146" w:lineRule="exact"/>
        <w:rPr>
          <w:rFonts w:ascii="Arial" w:cs="Arial" w:eastAsia="Arial" w:hAnsi="Arial"/>
          <w:sz w:val="16"/>
          <w:szCs w:val="16"/>
          <w:color w:val="auto"/>
        </w:rPr>
      </w:pPr>
    </w:p>
    <w:p>
      <w:pPr>
        <w:ind w:firstLine="996"/>
        <w:spacing w:after="0" w:line="259" w:lineRule="auto"/>
        <w:tabs>
          <w:tab w:leader="none" w:pos="11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take such additional action as is reasonably requested by the Buyer to enable the Buyer to sell the Registrable Securities pursuant to Rule 144, including, without limitation, delivering all such legal opinions, consents, certificates, resolutions and instructions to the Company’s Transfer Agent as may be reasonably requested from time to time by the Buyer and otherwise provide reasonable cooperation to the Buyer and the Buyer’s broker to effect such sale of securities pursuant to Rule 144.</w:t>
      </w:r>
    </w:p>
    <w:p>
      <w:pPr>
        <w:spacing w:after="0" w:line="187" w:lineRule="exact"/>
        <w:rPr>
          <w:sz w:val="20"/>
          <w:szCs w:val="20"/>
          <w:color w:val="auto"/>
        </w:rPr>
      </w:pPr>
    </w:p>
    <w:p>
      <w:pPr>
        <w:ind w:right="40" w:firstLine="992"/>
        <w:spacing w:after="0" w:line="286" w:lineRule="auto"/>
        <w:rPr>
          <w:sz w:val="20"/>
          <w:szCs w:val="20"/>
          <w:color w:val="auto"/>
        </w:rPr>
      </w:pPr>
      <w:r>
        <w:rPr>
          <w:rFonts w:ascii="Arial" w:cs="Arial" w:eastAsia="Arial" w:hAnsi="Arial"/>
          <w:sz w:val="17"/>
          <w:szCs w:val="17"/>
          <w:color w:val="auto"/>
        </w:rPr>
        <w:t>The Company agrees that damages may be an inadequate remedy for any breach of the terms and provisions of this Section 8 and that Buyer shall, whether or not it is pursuing any remedies at law, be entitled to seek equitable relief in the form of a preliminary or permanent injunctions, without having to post any bond or other security, upon any breach or threatened breach of any such terms or provisions.</w:t>
      </w:r>
    </w:p>
    <w:p>
      <w:pPr>
        <w:spacing w:after="0" w:line="314" w:lineRule="exact"/>
        <w:rPr>
          <w:sz w:val="20"/>
          <w:szCs w:val="20"/>
          <w:color w:val="auto"/>
        </w:rPr>
      </w:pPr>
    </w:p>
    <w:p>
      <w:pPr>
        <w:ind w:left="980" w:hanging="54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ASSIGNMENT OF REGISTRATION RIGHTS.</w:t>
      </w:r>
    </w:p>
    <w:p>
      <w:pPr>
        <w:spacing w:after="0" w:line="117"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The Company shall not assign this Agreement or any rights or obligations hereunder without the prior written consent of the Buyer; provided, however, that any transaction, whether by merger, reorganization, restructuring, consolidation, financing or otherwise, whereby the Company remains the surviving entity immediately after such transaction shall not be deemed an assignment. The Buyer may not assign its rights under this Agreement without the prior written consent of the Company.</w:t>
      </w:r>
    </w:p>
    <w:p>
      <w:pPr>
        <w:spacing w:after="0" w:line="335" w:lineRule="exact"/>
        <w:rPr>
          <w:sz w:val="20"/>
          <w:szCs w:val="20"/>
          <w:color w:val="auto"/>
        </w:rPr>
      </w:pPr>
    </w:p>
    <w:p>
      <w:pPr>
        <w:ind w:left="980" w:hanging="54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117"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Provisions of this Agreement may be amended and the observance thereof may be waived (either generally or in a particular instance and either retroactively or prospectively) only with the written consent of the Company and the Buyer.</w:t>
      </w:r>
    </w:p>
    <w:p>
      <w:pPr>
        <w:spacing w:after="0" w:line="319" w:lineRule="exact"/>
        <w:rPr>
          <w:sz w:val="20"/>
          <w:szCs w:val="20"/>
          <w:color w:val="auto"/>
        </w:rPr>
      </w:pPr>
    </w:p>
    <w:p>
      <w:pPr>
        <w:ind w:left="980" w:hanging="54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firstLine="992"/>
        <w:spacing w:after="0" w:line="273" w:lineRule="auto"/>
        <w:rPr>
          <w:rFonts w:ascii="Arial" w:cs="Arial" w:eastAsia="Arial" w:hAnsi="Arial"/>
          <w:sz w:val="18"/>
          <w:szCs w:val="18"/>
          <w:color w:val="auto"/>
        </w:rPr>
      </w:pPr>
      <w:r>
        <w:rPr>
          <w:rFonts w:ascii="Arial" w:cs="Arial" w:eastAsia="Arial" w:hAnsi="Arial"/>
          <w:sz w:val="17"/>
          <w:szCs w:val="17"/>
          <w:color w:val="auto"/>
        </w:rPr>
        <w:t>a.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 (1) Business Day after timely deposit with a nationally recognized overnight delivery service, in each case properly addressed to the party to receive the same. The addresses and facsimile numbers for such communications shall be: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30" w:name="page31"/>
    <w:bookmarkEnd w:id="30"/>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Mereo Biopharma Group plc</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+44 33 3023 7300</w:t>
      </w:r>
    </w:p>
    <w:p>
      <w:pPr>
        <w:spacing w:after="0" w:line="23"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legal@mereobiopharma.com</w:t>
      </w:r>
    </w:p>
    <w:p>
      <w:pPr>
        <w:spacing w:after="0" w:line="3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(which shall not constitute notice) to:</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1 212-506-2500</w:t>
      </w:r>
    </w:p>
    <w:p>
      <w:pPr>
        <w:spacing w:after="0" w:line="23"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1 212-262-1910</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Bakst</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DBakst@mayerbrown.com</w:t>
      </w:r>
    </w:p>
    <w:p>
      <w:pPr>
        <w:spacing w:after="0" w:line="2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ind w:left="940" w:right="8500" w:hanging="9"/>
        <w:spacing w:after="0" w:line="281" w:lineRule="auto"/>
        <w:tabs>
          <w:tab w:leader="none" w:pos="1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Bishopsgate London EC2M 2AF United Kingdom</w:t>
      </w:r>
    </w:p>
    <w:p>
      <w:pPr>
        <w:spacing w:after="0" w:line="2"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+44 20 3130 3000</w:t>
      </w:r>
    </w:p>
    <w:p>
      <w:pPr>
        <w:spacing w:after="0" w:line="23"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+44 20 3130 3001</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Smith</w:t>
      </w:r>
    </w:p>
    <w:p>
      <w:pPr>
        <w:spacing w:after="0" w:line="9" w:lineRule="exact"/>
        <w:rPr>
          <w:sz w:val="20"/>
          <w:szCs w:val="20"/>
          <w:color w:val="auto"/>
        </w:rPr>
      </w:pPr>
    </w:p>
    <w:p>
      <w:pPr>
        <w:ind w:left="94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RSmith@mayerbrown.com</w:t>
      </w:r>
    </w:p>
    <w:p>
      <w:pPr>
        <w:spacing w:after="0" w:line="3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Buyer:</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Boxer Capital, LLC</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waiver or other communication, (B) mechanically or electronically generated by the sender’s facsimile machine containing the time, date, and recipient facsimile number, (C) electronically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40" w:top="274" w:right="579" w:bottom="1440" w:gutter="0" w:footer="0" w:header="0"/>
        </w:sectPr>
      </w:pPr>
    </w:p>
    <w:bookmarkStart w:id="31" w:name="page32"/>
    <w:bookmarkEnd w:id="31"/>
    <w:p>
      <w:pPr>
        <w:ind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generated by the sender’s electronic mail containing the time, date and recipient email address or (D) provided by a nationally recognized overnight delivery service, shall be rebuttable evidence of receipt in accordance with clause (i), (ii), (iii) or (iv) above, respectively. Any party to this Agreement may give any notice or other communication hereunder using any other means (including messenger service, ordinary mail or electronic mail), but no such notice or other communication shall be deemed to have been duly given unless it actually is received by the party for whom it is intended.</w:t>
      </w:r>
    </w:p>
    <w:p>
      <w:pPr>
        <w:spacing w:after="0" w:line="154" w:lineRule="exact"/>
        <w:rPr>
          <w:sz w:val="20"/>
          <w:szCs w:val="20"/>
          <w:color w:val="auto"/>
        </w:rPr>
      </w:pPr>
    </w:p>
    <w:p>
      <w:pPr>
        <w:ind w:right="120" w:firstLine="996"/>
        <w:spacing w:after="0" w:line="308" w:lineRule="auto"/>
        <w:tabs>
          <w:tab w:leader="none" w:pos="13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46" w:lineRule="exact"/>
        <w:rPr>
          <w:rFonts w:ascii="Arial" w:cs="Arial" w:eastAsia="Arial" w:hAnsi="Arial"/>
          <w:sz w:val="17"/>
          <w:szCs w:val="17"/>
          <w:color w:val="auto"/>
        </w:rPr>
      </w:pPr>
    </w:p>
    <w:p>
      <w:pPr>
        <w:ind w:right="60" w:firstLine="996"/>
        <w:spacing w:after="0" w:line="283" w:lineRule="auto"/>
        <w:tabs>
          <w:tab w:leader="none" w:pos="12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corporate laws of England and Wales shall govern all issues concerning the relative rights of the Company and its stockholders.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Arial" w:cs="Arial" w:eastAsia="Arial" w:hAnsi="Arial"/>
          <w:sz w:val="16"/>
          <w:szCs w:val="16"/>
          <w:b w:val="1"/>
          <w:bCs w:val="1"/>
          <w:color w:val="auto"/>
        </w:rPr>
        <w:t>EACH PARTY HEREBY</w:t>
      </w:r>
    </w:p>
    <w:p>
      <w:pPr>
        <w:spacing w:after="0" w:line="3"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HEREWITH OR ARISING OUT OF THIS AGREEMENT OR ANY TRANSACTION CONTEMPLATED HEREBY.</w:t>
      </w:r>
    </w:p>
    <w:p>
      <w:pPr>
        <w:spacing w:after="0" w:line="186" w:lineRule="exact"/>
        <w:rPr>
          <w:rFonts w:ascii="Arial" w:cs="Arial" w:eastAsia="Arial" w:hAnsi="Arial"/>
          <w:sz w:val="16"/>
          <w:szCs w:val="16"/>
          <w:color w:val="auto"/>
        </w:rPr>
      </w:pPr>
    </w:p>
    <w:p>
      <w:pPr>
        <w:jc w:val="both"/>
        <w:ind w:right="80" w:firstLine="996"/>
        <w:spacing w:after="0" w:line="303" w:lineRule="auto"/>
        <w:tabs>
          <w:tab w:leader="none" w:pos="130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Agreement and the other Transaction Documents constitute the entire understanding among the parties hereto with respect to the subject matter hereof and thereof. There are no restrictions, promises, warranties or undertakings, other than those set forth or referred to herein and therein.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Agreement and the other Transaction Documents supersede all other prior oral or written agreements between the Buyer, the Company, their affiliates and persons acting on their behalf with respect to the subject matter hereof and thereof.</w:t>
      </w:r>
    </w:p>
    <w:p>
      <w:pPr>
        <w:spacing w:after="0" w:line="155" w:lineRule="exact"/>
        <w:rPr>
          <w:rFonts w:ascii="Arial" w:cs="Arial" w:eastAsia="Arial" w:hAnsi="Arial"/>
          <w:sz w:val="16"/>
          <w:szCs w:val="16"/>
          <w:color w:val="auto"/>
        </w:rPr>
      </w:pPr>
    </w:p>
    <w:p>
      <w:pPr>
        <w:ind w:firstLine="996"/>
        <w:spacing w:after="0" w:line="277" w:lineRule="auto"/>
        <w:tabs>
          <w:tab w:leader="none" w:pos="12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 to the requirements of Section 9, this Agreement shall inure to the benefit of and be binding upon the permitted successors and assigns of each of the parties hereto.</w:t>
      </w:r>
    </w:p>
    <w:p>
      <w:pPr>
        <w:spacing w:after="0" w:line="170" w:lineRule="exact"/>
        <w:rPr>
          <w:rFonts w:ascii="Arial" w:cs="Arial" w:eastAsia="Arial" w:hAnsi="Arial"/>
          <w:sz w:val="18"/>
          <w:szCs w:val="18"/>
          <w:color w:val="auto"/>
        </w:rPr>
      </w:pPr>
    </w:p>
    <w:p>
      <w:pPr>
        <w:ind w:left="1280" w:hanging="284"/>
        <w:spacing w:after="0"/>
        <w:tabs>
          <w:tab w:leader="none" w:pos="1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headings in this Agreement are for convenience of reference and shall not form part of, or affect the interpretation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2" w:name="page33"/>
    <w:bookmarkEnd w:id="32"/>
    <w:p>
      <w:pPr>
        <w:jc w:val="both"/>
        <w:ind w:left="-40" w:right="60" w:firstLine="996"/>
        <w:spacing w:after="0" w:line="279" w:lineRule="auto"/>
        <w:tabs>
          <w:tab w:leader="none" w:pos="1264" w:val="left"/>
        </w:tabs>
        <w:numPr>
          <w:ilvl w:val="0"/>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of a) signature shall be considered due execution and shall be binding upon the signatory thereto with the same force and effect as if the signature were an original, not a facsimile or pdf (or other electronic reproduction of a) signature.</w:t>
      </w:r>
    </w:p>
    <w:p>
      <w:pPr>
        <w:spacing w:after="0" w:line="171" w:lineRule="exact"/>
        <w:rPr>
          <w:rFonts w:ascii="Arial" w:cs="Arial" w:eastAsia="Arial" w:hAnsi="Arial"/>
          <w:sz w:val="17"/>
          <w:szCs w:val="17"/>
          <w:color w:val="auto"/>
        </w:rPr>
      </w:pPr>
    </w:p>
    <w:p>
      <w:pPr>
        <w:jc w:val="both"/>
        <w:ind w:left="-40" w:right="20" w:firstLine="996"/>
        <w:spacing w:after="0" w:line="264" w:lineRule="auto"/>
        <w:tabs>
          <w:tab w:leader="none" w:pos="12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81" w:lineRule="exact"/>
        <w:rPr>
          <w:rFonts w:ascii="Arial" w:cs="Arial" w:eastAsia="Arial" w:hAnsi="Arial"/>
          <w:sz w:val="18"/>
          <w:szCs w:val="18"/>
          <w:color w:val="auto"/>
        </w:rPr>
      </w:pPr>
    </w:p>
    <w:p>
      <w:pPr>
        <w:ind w:left="-40" w:right="300" w:firstLine="996"/>
        <w:spacing w:after="0" w:line="277" w:lineRule="auto"/>
        <w:tabs>
          <w:tab w:leader="none" w:pos="12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left="-40" w:firstLine="996"/>
        <w:spacing w:after="0" w:line="277" w:lineRule="auto"/>
        <w:tabs>
          <w:tab w:leader="none" w:pos="12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33" w:name="page34"/>
    <w:bookmarkEnd w:id="33"/>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have caused this Registration Rights Agreement to be duly executed as of day and year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Denise Scots-Knight, Ph.D.</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BUYER: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BOXER CAPITAL,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Aaron Davis</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440"/>
          </w:cols>
          <w:pgMar w:left="440" w:top="270" w:right="1019" w:bottom="1440" w:gutter="0" w:footer="0" w:header="0"/>
        </w:sectPr>
      </w:pPr>
    </w:p>
    <w:bookmarkStart w:id="34" w:name="page35"/>
    <w:bookmarkEnd w:id="34"/>
    <w:p>
      <w:pPr>
        <w:ind w:left="1010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ANNOUNCEMENT CONTAINS INSIDE INFORMATION AS DEFINED UNDER THE MARKET ABUSE REGULATION (EU) 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596/2014. UPON PUBLICATION OF THIS ANNOUNCEMENT THIS INFORMATION IS NOW CONSIDERED IN THE PUBLIC DOMAIN.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Announces Equity Investment of $3 Million from New U.S. Institutional Investor</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London and Redwood City, Calif., February 19, 2020 </w:t>
      </w:r>
      <w:r>
        <w:rPr>
          <w:rFonts w:ascii="Arial" w:cs="Arial" w:eastAsia="Arial" w:hAnsi="Arial"/>
          <w:sz w:val="17"/>
          <w:szCs w:val="17"/>
          <w:color w:val="auto"/>
        </w:rPr>
        <w:t>- Mereo BioPharma Group plc (NASDAQ: MREO, AIM: MPH), “Mereo” 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today announced that it has entered into a Securities Purchase Agreement (the “Agreement”) with a new U.S.-based institutional healthcare investor. Under the terms of the Agreement, the institutional investor has agreed to make an investment of $3 million to purchase 12,252,715 of the Company’s ordinary shares (equivalent to 2,450,543 American Depository shares (ADSs)) at a price equivalent to 18.8 pence per share, which represents a 20% discount over Mereo’s closing share price of 23.5 pence on AIM on February 18, 2020.</w:t>
      </w:r>
    </w:p>
    <w:p>
      <w:pPr>
        <w:spacing w:after="0" w:line="17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Mereo intends to use the net proceeds from the private offering for general corporate purposes, including clinical trial activity and working capital. There are no warrants, derivatives, or other share classes associated with the Agreement. Further, there are no restrictions on future financings and there are no financial covenants, participation rights, rights of first refusal, or penalties in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the Agreement is set forth in Mereo’s Report on Form 6-K filed today with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and Total Voting Rights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Application has been made for 12,252,715 new ordinary shares of £0.003 each (the “New Shares”) to be admitted to trading on AIM (“Admission”) and it is expected that Admission will take place at 8.00 a.m. on February 20, 2020. These New Shares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ordinary shares in the capital of the Company.</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New Shares represent approximately 9.8% of the enlarged issued share capital of Mereo. Following Admission, the total number of shares in issue will be 124,507,857 ordinary shares of £0.003 each, each with voting rights, none of which are held in treasury. Therefore, the total number of voting rights in the Company will be 124,507,857. Shareholders may use this figure as the denominator for the calculations by which they will determine if they are required to notify their interest in, or to notify a change to their interest in, the issued share capital of Mereo, pursuant to the Disclosure Guidance and Transparency Rules.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The information contained in this press release shall not constitute an offer to sell or a solicitation of an offer to buy any securities, nor shall there by any offer, solicitation or sale of securities in any jurisdiction in which such offer, solicitation or sale would be unlawful prior to registration or qualification under the securities laws of any such jurisdiction. The securities referenced in this press release have not been registered under the Securities Act of 1933 and may not be offered or sold in the United States absent registration or an applicable exemption from the registration statement requirements of the Securities Act of 1933.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w:t>
      </w:r>
    </w:p>
    <w:p>
      <w:pPr>
        <w:sectPr>
          <w:pgSz w:w="11900" w:h="16838" w:orient="portrait"/>
          <w:cols w:equalWidth="0" w:num="1">
            <w:col w:w="11020"/>
          </w:cols>
          <w:pgMar w:left="440" w:top="121" w:right="439" w:bottom="1440" w:gutter="0" w:footer="0" w:header="0"/>
        </w:sectPr>
      </w:pPr>
    </w:p>
    <w:bookmarkStart w:id="35" w:name="page36"/>
    <w:bookmarkEnd w:id="35"/>
    <w:p>
      <w:pPr>
        <w:ind w:right="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investment from pharmaceutical and large biotechnology companies and that have substantial preclinical, clinical and manufacturing data packages. Mereo’s lead rare disease product candidate, setrusumab, has completed a Phase 2b dose ranging study in adult patients with osteogenesis imperfecta (“OI”). Mereo’s second lead product candidate, alvelestat, is being investigated in a Phase 2 proof-of-concept clinical trial in patients with alpha-1 antitrypsin deficiency (“AATD”). Mereo’s broader pipeline consists of four additional clinical-stage product candidates; acumapimod for the treatment of acute exacerbations of chronic obstructive pulmonary disease (“AECOPD”), leflutrozole for the treatment of hypogonadotropic hypogonadism (“HH”) in obese men, and etigilimab for patients with advanced or metastatic solid tumors.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information contained in this Announcement is for information purposes only and does not purport to be full or complete. No reliance may be placed for any purpose on the information contained in this Announcement or its accuracy, fairness or completeness.</w:t>
      </w:r>
    </w:p>
    <w:p>
      <w:pPr>
        <w:spacing w:after="0" w:line="14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This Announcement does not constitute a prospectus or offering memorandum or an offer in respect of any securities and is not intended to provide the basis for any decision in respect of the Company or other evaluation of any securities of the Company or any other entity and should not be considered as a recommendation that any investor should subscribe for, purchase, otherwise acquire, sell or otherwise dispose of any such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Factors that could cause actual results to differ materially from those in the forward-looking statements include risks relating to unanticipated costs, liabilities or delays; failure or delays in research and development programs, including expected timing of topline data for the Phase 2 proof-of-concept clinical trial evaluating the Company’s second lead product candidate, alvelestat, in patients with alpha-1 antitrypsin deficiency; the safety and efficacy of the Company’s product candidates and the likelihood of clinical data to be positive and of such product candidates to be approved by the applicable regulatory authorities; unanticipated changes relating to competitive factors in the Company’s industry; risks relating to the Company’s capitalization, resources and ownership structure, including as a result of circumstances affecting the Company’s former principal shareholder; the availability of sufficient resources for company operations and to conduct or continue planned clinical development programs, including the Company’s ability to continue as a going concern; changes in law or regulations affecting the Company.</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 w:name="page37"/>
    <w:bookmarkEnd w:id="3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2940" w:type="dxa"/>
            <w:vAlign w:val="bottom"/>
          </w:tcPr>
          <w:p>
            <w:pPr>
              <w:spacing w:after="0"/>
              <w:rPr>
                <w:sz w:val="20"/>
                <w:szCs w:val="20"/>
                <w:color w:val="auto"/>
              </w:rPr>
            </w:pPr>
          </w:p>
        </w:tc>
      </w:tr>
      <w:tr>
        <w:trPr>
          <w:trHeight w:val="323"/>
        </w:trPr>
        <w:tc>
          <w:tcPr>
            <w:tcW w:w="6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940" w:type="dxa"/>
            <w:vAlign w:val="bottom"/>
          </w:tcPr>
          <w:p>
            <w:pPr>
              <w:ind w:left="1420"/>
              <w:spacing w:after="0"/>
              <w:rPr>
                <w:sz w:val="20"/>
                <w:szCs w:val="20"/>
                <w:color w:val="auto"/>
              </w:rPr>
            </w:pPr>
            <w:r>
              <w:rPr>
                <w:rFonts w:ascii="Arial" w:cs="Arial" w:eastAsia="Arial" w:hAnsi="Arial"/>
                <w:sz w:val="18"/>
                <w:szCs w:val="18"/>
                <w:b w:val="1"/>
                <w:bCs w:val="1"/>
                <w:color w:val="auto"/>
                <w:w w:val="92"/>
              </w:rPr>
              <w:t>+44(0)333 023 7300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940" w:type="dxa"/>
            <w:vAlign w:val="bottom"/>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2940" w:type="dxa"/>
            <w:vAlign w:val="bottom"/>
          </w:tcPr>
          <w:p>
            <w:pPr>
              <w:spacing w:after="0"/>
              <w:rPr>
                <w:sz w:val="20"/>
                <w:szCs w:val="20"/>
                <w:color w:val="auto"/>
              </w:rPr>
            </w:pPr>
          </w:p>
        </w:tc>
      </w:tr>
      <w:tr>
        <w:trPr>
          <w:trHeight w:val="418"/>
        </w:trPr>
        <w:tc>
          <w:tcPr>
            <w:tcW w:w="674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Broker to Mereo)</w:t>
            </w:r>
          </w:p>
        </w:tc>
        <w:tc>
          <w:tcPr>
            <w:tcW w:w="2940" w:type="dxa"/>
            <w:vAlign w:val="bottom"/>
          </w:tcPr>
          <w:p>
            <w:pPr>
              <w:ind w:left="1420"/>
              <w:spacing w:after="0"/>
              <w:rPr>
                <w:sz w:val="20"/>
                <w:szCs w:val="20"/>
                <w:color w:val="auto"/>
              </w:rPr>
            </w:pPr>
            <w:r>
              <w:rPr>
                <w:rFonts w:ascii="Arial" w:cs="Arial" w:eastAsia="Arial" w:hAnsi="Arial"/>
                <w:sz w:val="18"/>
                <w:szCs w:val="18"/>
                <w:b w:val="1"/>
                <w:bCs w:val="1"/>
                <w:color w:val="auto"/>
                <w:w w:val="92"/>
              </w:rPr>
              <w:t>+44(0)20 7894 7000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Phil Davies</w:t>
            </w:r>
          </w:p>
        </w:tc>
        <w:tc>
          <w:tcPr>
            <w:tcW w:w="2940" w:type="dxa"/>
            <w:vAlign w:val="bottom"/>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Will Goode</w:t>
            </w:r>
          </w:p>
        </w:tc>
        <w:tc>
          <w:tcPr>
            <w:tcW w:w="2940" w:type="dxa"/>
            <w:vAlign w:val="bottom"/>
          </w:tcPr>
          <w:p>
            <w:pPr>
              <w:spacing w:after="0"/>
              <w:rPr>
                <w:sz w:val="20"/>
                <w:szCs w:val="20"/>
                <w:color w:val="auto"/>
              </w:rPr>
            </w:pPr>
          </w:p>
        </w:tc>
      </w:tr>
      <w:tr>
        <w:trPr>
          <w:trHeight w:val="418"/>
        </w:trPr>
        <w:tc>
          <w:tcPr>
            <w:tcW w:w="674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2940" w:type="dxa"/>
            <w:vAlign w:val="bottom"/>
          </w:tcPr>
          <w:p>
            <w:pPr>
              <w:ind w:left="142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01(0) 212 213 0006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Lisa Burns</w:t>
            </w:r>
          </w:p>
        </w:tc>
        <w:tc>
          <w:tcPr>
            <w:tcW w:w="2940" w:type="dxa"/>
            <w:vAlign w:val="bottom"/>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Steve Klass</w:t>
            </w:r>
          </w:p>
        </w:tc>
        <w:tc>
          <w:tcPr>
            <w:tcW w:w="2940" w:type="dxa"/>
            <w:vAlign w:val="bottom"/>
          </w:tcPr>
          <w:p>
            <w:pPr>
              <w:spacing w:after="0"/>
              <w:rPr>
                <w:sz w:val="20"/>
                <w:szCs w:val="20"/>
                <w:color w:val="auto"/>
              </w:rPr>
            </w:pPr>
          </w:p>
        </w:tc>
      </w:tr>
      <w:tr>
        <w:trPr>
          <w:trHeight w:val="418"/>
        </w:trPr>
        <w:tc>
          <w:tcPr>
            <w:tcW w:w="6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2940" w:type="dxa"/>
            <w:vAlign w:val="bottom"/>
          </w:tcPr>
          <w:p>
            <w:pPr>
              <w:ind w:left="1420"/>
              <w:spacing w:after="0"/>
              <w:rPr>
                <w:sz w:val="20"/>
                <w:szCs w:val="20"/>
                <w:color w:val="auto"/>
              </w:rPr>
            </w:pPr>
            <w:r>
              <w:rPr>
                <w:rFonts w:ascii="Arial" w:cs="Arial" w:eastAsia="Arial" w:hAnsi="Arial"/>
                <w:sz w:val="18"/>
                <w:szCs w:val="18"/>
                <w:b w:val="1"/>
                <w:bCs w:val="1"/>
                <w:color w:val="auto"/>
                <w:w w:val="92"/>
              </w:rPr>
              <w:t>+44(0)20 3727 1000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Simon Conway</w:t>
            </w:r>
          </w:p>
        </w:tc>
        <w:tc>
          <w:tcPr>
            <w:tcW w:w="2940" w:type="dxa"/>
            <w:vAlign w:val="bottom"/>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Ciara Martin</w:t>
            </w:r>
          </w:p>
        </w:tc>
        <w:tc>
          <w:tcPr>
            <w:tcW w:w="294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investors@mereobiopharma.com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lowerLetter"/>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lowerLetter"/>
      <w:start w:val="7"/>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1"/>
    </w:lvl>
    <w:lvl w:ilvl="1">
      <w:lvlJc w:val="left"/>
      <w:lvlText w:val="(%2)"/>
      <w:numFmt w:val="lowerLetter"/>
      <w:start w:val="2"/>
    </w:lvl>
  </w:abstractNum>
  <w:abstractNum w:abstractNumId="8">
    <w:nsid w:val="6CEAF087"/>
    <w:multiLevelType w:val="hybridMultilevel"/>
    <w:lvl w:ilvl="0">
      <w:lvlJc w:val="left"/>
      <w:lvlText w:val="(%1)"/>
      <w:numFmt w:val="lowerLetter"/>
      <w:start w:val="61"/>
    </w:lvl>
    <w:lvl w:ilvl="1">
      <w:lvlJc w:val="left"/>
      <w:lvlText w:val="%2"/>
      <w:numFmt w:val="lowerLetter"/>
      <w:start w:val="1"/>
    </w:lvl>
  </w:abstractNum>
  <w:abstractNum w:abstractNumId="9">
    <w:nsid w:val="22221A70"/>
    <w:multiLevelType w:val="hybridMultilevel"/>
    <w:lvl w:ilvl="0">
      <w:lvlJc w:val="left"/>
      <w:lvlText w:val="(%1)"/>
      <w:numFmt w:val="lowerRoman"/>
      <w:start w:val="6"/>
    </w:lvl>
    <w:lvl w:ilvl="1">
      <w:lvlJc w:val="left"/>
      <w:lvlText w:val="(%2)"/>
      <w:numFmt w:val="lowerLetter"/>
      <w:start w:val="4"/>
    </w:lvl>
  </w:abstractNum>
  <w:abstractNum w:abstractNumId="10">
    <w:nsid w:val="4516DDE9"/>
    <w:multiLevelType w:val="hybridMultilevel"/>
    <w:lvl w:ilvl="0">
      <w:lvlJc w:val="left"/>
      <w:lvlText w:val="(%1)"/>
      <w:numFmt w:val="lowerLetter"/>
      <w:start w:val="6"/>
    </w:lvl>
  </w:abstractNum>
  <w:abstractNum w:abstractNumId="11">
    <w:nsid w:val="3006C83E"/>
    <w:multiLevelType w:val="hybridMultilevel"/>
    <w:lvl w:ilvl="0">
      <w:lvlJc w:val="left"/>
      <w:lvlText w:val="(%1)"/>
      <w:numFmt w:val="lowerLetter"/>
      <w:start w:val="10"/>
    </w:lvl>
  </w:abstractNum>
  <w:abstractNum w:abstractNumId="12">
    <w:nsid w:val="614FD4A1"/>
    <w:multiLevelType w:val="hybridMultilevel"/>
    <w:lvl w:ilvl="0">
      <w:lvlJc w:val="left"/>
      <w:lvlText w:val="%1"/>
      <w:numFmt w:val="decimal"/>
      <w:start w:val="1"/>
    </w:lvl>
    <w:lvl w:ilvl="1">
      <w:lvlJc w:val="left"/>
      <w:lvlText w:val="(%2)"/>
      <w:numFmt w:val="lowerLetter"/>
      <w:start w:val="14"/>
    </w:lvl>
  </w:abstractNum>
  <w:abstractNum w:abstractNumId="13">
    <w:nsid w:val="419AC241"/>
    <w:multiLevelType w:val="hybridMultilevel"/>
    <w:lvl w:ilvl="0">
      <w:lvlJc w:val="left"/>
      <w:lvlText w:val="%1."/>
      <w:numFmt w:val="decimal"/>
      <w:start w:val="4"/>
    </w:lvl>
    <w:lvl w:ilvl="1">
      <w:lvlJc w:val="left"/>
      <w:lvlText w:val="(%2)"/>
      <w:numFmt w:val="lowerLetter"/>
      <w:start w:val="1"/>
    </w:lvl>
  </w:abstractNum>
  <w:abstractNum w:abstractNumId="14">
    <w:nsid w:val="5577F8E1"/>
    <w:multiLevelType w:val="hybridMultilevel"/>
    <w:lvl w:ilvl="0">
      <w:lvlJc w:val="left"/>
      <w:lvlText w:val="(%1)"/>
      <w:numFmt w:val="lowerLetter"/>
      <w:start w:val="3"/>
    </w:lvl>
  </w:abstractNum>
  <w:abstractNum w:abstractNumId="15">
    <w:nsid w:val="440BADFC"/>
    <w:multiLevelType w:val="hybridMultilevel"/>
    <w:lvl w:ilvl="0">
      <w:lvlJc w:val="left"/>
      <w:lvlText w:val="(%1)"/>
      <w:numFmt w:val="lowerLetter"/>
      <w:start w:val="6"/>
    </w:lvl>
  </w:abstractNum>
  <w:abstractNum w:abstractNumId="16">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17">
    <w:nsid w:val="3804823E"/>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8"/>
    </w:lvl>
  </w:abstractNum>
  <w:abstractNum w:abstractNumId="18">
    <w:nsid w:val="77465F01"/>
    <w:multiLevelType w:val="hybridMultilevel"/>
    <w:lvl w:ilvl="0">
      <w:lvlJc w:val="left"/>
      <w:lvlText w:val="%1."/>
      <w:numFmt w:val="decimal"/>
      <w:start w:val="6"/>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decimal"/>
      <w:start w:val="7"/>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decimal"/>
      <w:start w:val="8"/>
    </w:lvl>
  </w:abstractNum>
  <w:abstractNum w:abstractNumId="23">
    <w:nsid w:val="51EAD36B"/>
    <w:multiLevelType w:val="hybridMultilevel"/>
    <w:lvl w:ilvl="0">
      <w:lvlJc w:val="left"/>
      <w:lvlText w:val="%1."/>
      <w:numFmt w:val="decimal"/>
      <w:start w:val="9"/>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decimal"/>
      <w:start w:val="10"/>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Letter"/>
      <w:start w:val="6"/>
    </w:lvl>
  </w:abstractNum>
  <w:abstractNum w:abstractNumId="28">
    <w:nsid w:val="70A64E2A"/>
    <w:multiLevelType w:val="hybridMultilevel"/>
    <w:lvl w:ilvl="0">
      <w:lvlJc w:val="left"/>
      <w:lvlText w:val="%1"/>
      <w:numFmt w:val="decimal"/>
      <w:start w:val="201"/>
    </w:lvl>
  </w:abstractNum>
  <w:abstractNum w:abstractNumId="29">
    <w:nsid w:val="6A2342EC"/>
    <w:multiLevelType w:val="hybridMultilevel"/>
    <w:lvl w:ilvl="0">
      <w:lvlJc w:val="left"/>
      <w:lvlText w:val="(%1)"/>
      <w:numFmt w:val="upperLetter"/>
      <w:start w:val="4"/>
    </w:lvl>
    <w:lvl w:ilvl="1">
      <w:lvlJc w:val="left"/>
      <w:lvlText w:val="(%2)"/>
      <w:numFmt w:val="lowerLetter"/>
      <w:start w:val="7"/>
    </w:lvl>
  </w:abstractNum>
  <w:abstractNum w:abstractNumId="30">
    <w:nsid w:val="2A487CB0"/>
    <w:multiLevelType w:val="hybridMultilevel"/>
    <w:lvl w:ilvl="0">
      <w:lvlJc w:val="left"/>
      <w:lvlText w:val="(%1)"/>
      <w:numFmt w:val="lowerLetter"/>
      <w:start w:val="10"/>
    </w:lvl>
  </w:abstractNum>
  <w:abstractNum w:abstractNumId="31">
    <w:nsid w:val="1D4ED43B"/>
    <w:multiLevelType w:val="hybridMultilevel"/>
    <w:lvl w:ilvl="0">
      <w:lvlJc w:val="left"/>
      <w:lvlText w:val="%1."/>
      <w:numFmt w:val="upperLetter"/>
      <w:start w:val="1"/>
    </w:lvl>
  </w:abstractNum>
  <w:abstractNum w:abstractNumId="32">
    <w:nsid w:val="725A06FB"/>
    <w:multiLevelType w:val="hybridMultilevel"/>
    <w:lvl w:ilvl="0">
      <w:lvlJc w:val="left"/>
      <w:lvlText w:val="%1."/>
      <w:numFmt w:val="decimal"/>
      <w:start w:val="1"/>
    </w:lvl>
    <w:lvl w:ilvl="1">
      <w:lvlJc w:val="left"/>
      <w:lvlText w:val="%2."/>
      <w:numFmt w:val="lowerLetter"/>
      <w:start w:val="1"/>
    </w:lvl>
  </w:abstractNum>
  <w:abstractNum w:abstractNumId="33">
    <w:nsid w:val="2CD89A32"/>
    <w:multiLevelType w:val="hybridMultilevel"/>
    <w:lvl w:ilvl="0">
      <w:lvlJc w:val="left"/>
      <w:lvlText w:val="%1"/>
      <w:numFmt w:val="decimal"/>
      <w:start w:val="1"/>
    </w:lvl>
    <w:lvl w:ilvl="1">
      <w:lvlJc w:val="left"/>
      <w:lvlText w:val="%2."/>
      <w:numFmt w:val="lowerLetter"/>
      <w:start w:val="4"/>
    </w:lvl>
  </w:abstractNum>
  <w:abstractNum w:abstractNumId="34">
    <w:nsid w:val="57E4CCAF"/>
    <w:multiLevelType w:val="hybridMultilevel"/>
    <w:lvl w:ilvl="0">
      <w:lvlJc w:val="left"/>
      <w:lvlText w:val="%1."/>
      <w:numFmt w:val="decimal"/>
      <w:start w:val="2"/>
    </w:lvl>
    <w:lvl w:ilvl="1">
      <w:lvlJc w:val="left"/>
      <w:lvlText w:val="%2."/>
      <w:numFmt w:val="lowerLetter"/>
      <w:start w:val="1"/>
    </w:lvl>
  </w:abstractNum>
  <w:abstractNum w:abstractNumId="35">
    <w:nsid w:val="7A6D8D3C"/>
    <w:multiLevelType w:val="hybridMultilevel"/>
    <w:lvl w:ilvl="0">
      <w:lvlJc w:val="left"/>
      <w:lvlText w:val="%1."/>
      <w:numFmt w:val="decimal"/>
      <w:start w:val="3"/>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lowerLetter"/>
      <w:start w:val="1"/>
    </w:lvl>
    <w:lvl w:ilvl="1">
      <w:lvlJc w:val="left"/>
      <w:lvlText w:val="%2."/>
      <w:numFmt w:val="lowerLetter"/>
      <w:start w:val="3"/>
    </w:lvl>
  </w:abstractNum>
  <w:abstractNum w:abstractNumId="38">
    <w:nsid w:val="6DE91B18"/>
    <w:multiLevelType w:val="hybridMultilevel"/>
    <w:lvl w:ilvl="0">
      <w:lvlJc w:val="left"/>
      <w:lvlText w:val="(%1)"/>
      <w:numFmt w:val="lowerLetter"/>
      <w:start w:val="26"/>
    </w:lvl>
    <w:lvl w:ilvl="1">
      <w:lvlJc w:val="left"/>
      <w:lvlText w:val="%2."/>
      <w:numFmt w:val="lowerLetter"/>
      <w:start w:val="5"/>
    </w:lvl>
  </w:abstractNum>
  <w:abstractNum w:abstractNumId="39">
    <w:nsid w:val="38437FDB"/>
    <w:multiLevelType w:val="hybridMultilevel"/>
    <w:lvl w:ilvl="0">
      <w:lvlJc w:val="left"/>
      <w:lvlText w:val="%1."/>
      <w:numFmt w:val="lowerLetter"/>
      <w:start w:val="6"/>
    </w:lvl>
  </w:abstractNum>
  <w:abstractNum w:abstractNumId="40">
    <w:nsid w:val="7644A45C"/>
    <w:multiLevelType w:val="hybridMultilevel"/>
    <w:lvl w:ilvl="0">
      <w:lvlJc w:val="left"/>
      <w:lvlText w:val="%1"/>
      <w:numFmt w:val="decimal"/>
      <w:start w:val="1"/>
    </w:lvl>
    <w:lvl w:ilvl="1">
      <w:lvlJc w:val="left"/>
      <w:lvlText w:val="%2."/>
      <w:numFmt w:val="lowerLetter"/>
      <w:start w:val="13"/>
    </w:lvl>
  </w:abstractNum>
  <w:abstractNum w:abstractNumId="41">
    <w:nsid w:val="32FFF902"/>
    <w:multiLevelType w:val="hybridMultilevel"/>
    <w:lvl w:ilvl="0">
      <w:lvlJc w:val="left"/>
      <w:lvlText w:val="%1."/>
      <w:numFmt w:val="decimal"/>
      <w:start w:val="4"/>
    </w:lvl>
    <w:lvl w:ilvl="1">
      <w:lvlJc w:val="left"/>
      <w:lvlText w:val="%2."/>
      <w:numFmt w:val="lowerLetter"/>
      <w:start w:val="1"/>
    </w:lvl>
  </w:abstractNum>
  <w:abstractNum w:abstractNumId="42">
    <w:nsid w:val="684A481A"/>
    <w:multiLevelType w:val="hybridMultilevel"/>
    <w:lvl w:ilvl="0">
      <w:lvlJc w:val="left"/>
      <w:lvlText w:val="%1."/>
      <w:numFmt w:val="decimal"/>
      <w:start w:val="6"/>
    </w:lvl>
    <w:lvl w:ilvl="1">
      <w:lvlJc w:val="left"/>
      <w:lvlText w:val="%2"/>
      <w:numFmt w:val="lowerLetter"/>
      <w:start w:val="1"/>
    </w:lvl>
  </w:abstractNum>
  <w:abstractNum w:abstractNumId="43">
    <w:nsid w:val="579478FE"/>
    <w:multiLevelType w:val="hybridMultilevel"/>
    <w:lvl w:ilvl="0">
      <w:lvlJc w:val="left"/>
      <w:lvlText w:val="%1."/>
      <w:numFmt w:val="lowerLetter"/>
      <w:start w:val="2"/>
    </w:lvl>
  </w:abstractNum>
  <w:abstractNum w:abstractNumId="44">
    <w:nsid w:val="749ABB43"/>
    <w:multiLevelType w:val="hybridMultilevel"/>
    <w:lvl w:ilvl="0">
      <w:lvlJc w:val="left"/>
      <w:lvlText w:val="%1"/>
      <w:numFmt w:val="decimal"/>
      <w:start w:val="1"/>
    </w:lvl>
    <w:lvl w:ilvl="1">
      <w:lvlJc w:val="left"/>
      <w:lvlText w:val="%2."/>
      <w:numFmt w:val="lowerLetter"/>
      <w:start w:val="4"/>
    </w:lvl>
  </w:abstractNum>
  <w:abstractNum w:abstractNumId="45">
    <w:nsid w:val="3DC240FB"/>
    <w:multiLevelType w:val="hybridMultilevel"/>
    <w:lvl w:ilvl="0">
      <w:lvlJc w:val="left"/>
      <w:lvlText w:val="%1."/>
      <w:numFmt w:val="decimal"/>
      <w:start w:val="7"/>
    </w:lvl>
    <w:lvl w:ilvl="1">
      <w:lvlJc w:val="left"/>
      <w:lvlText w:val="%2"/>
      <w:numFmt w:val="lowerLetter"/>
      <w:start w:val="1"/>
    </w:lvl>
  </w:abstractNum>
  <w:abstractNum w:abstractNumId="46">
    <w:nsid w:val="1BA026FA"/>
    <w:multiLevelType w:val="hybridMultilevel"/>
    <w:lvl w:ilvl="0">
      <w:lvlJc w:val="left"/>
      <w:lvlText w:val="%1."/>
      <w:numFmt w:val="decimal"/>
      <w:start w:val="8"/>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Letter"/>
      <w:start w:val="2"/>
    </w:lvl>
  </w:abstractNum>
  <w:abstractNum w:abstractNumId="49">
    <w:nsid w:val="12E685FB"/>
    <w:multiLevelType w:val="hybridMultilevel"/>
    <w:lvl w:ilvl="0">
      <w:lvlJc w:val="left"/>
      <w:lvlText w:val="%1."/>
      <w:numFmt w:val="decimal"/>
      <w:start w:val="9"/>
    </w:lvl>
  </w:abstractNum>
  <w:abstractNum w:abstractNumId="50">
    <w:nsid w:val="70C6A529"/>
    <w:multiLevelType w:val="hybridMultilevel"/>
    <w:lvl w:ilvl="0">
      <w:lvlJc w:val="left"/>
      <w:lvlText w:val="%1."/>
      <w:numFmt w:val="decimal"/>
      <w:start w:val="10"/>
    </w:lvl>
  </w:abstractNum>
  <w:abstractNum w:abstractNumId="51">
    <w:nsid w:val="520EEDD1"/>
    <w:multiLevelType w:val="hybridMultilevel"/>
    <w:lvl w:ilvl="0">
      <w:lvlJc w:val="left"/>
      <w:lvlText w:val="%1."/>
      <w:numFmt w:val="decimal"/>
      <w:start w:val="11"/>
    </w:lvl>
    <w:lvl w:ilvl="1">
      <w:lvlJc w:val="left"/>
      <w:lvlText w:val="%2"/>
      <w:numFmt w:val="lowerLetter"/>
      <w:start w:val="1"/>
    </w:lvl>
  </w:abstractNum>
  <w:abstractNum w:abstractNumId="52">
    <w:nsid w:val="374A3FE6"/>
    <w:multiLevelType w:val="hybridMultilevel"/>
    <w:lvl w:ilvl="0">
      <w:lvlJc w:val="left"/>
      <w:lvlText w:val="%1"/>
      <w:numFmt w:val="decimal"/>
      <w:start w:val="201"/>
    </w:lvl>
  </w:abstractNum>
  <w:abstractNum w:abstractNumId="53">
    <w:nsid w:val="4F4EF005"/>
    <w:multiLevelType w:val="hybridMultilevel"/>
    <w:lvl w:ilvl="0">
      <w:lvlJc w:val="left"/>
      <w:lvlText w:val="%1."/>
      <w:numFmt w:val="lowerLetter"/>
      <w:start w:val="2"/>
    </w:lvl>
  </w:abstractNum>
  <w:abstractNum w:abstractNumId="54">
    <w:nsid w:val="23F9C13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2020-02-19T08:34:59Z</dcterms:created>
  <dcterms:modified xsi:type="dcterms:W3CDTF">2020-02-19T08:34:59Z</dcterms:modified>
</cp:coreProperties>
</file>