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21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7466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746633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Hughes-Wilson Alexandra</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240"/>
        <w:spacing w:after="0" w:line="376" w:lineRule="auto"/>
        <w:rPr>
          <w:sz w:val="20"/>
          <w:szCs w:val="20"/>
          <w:color w:val="auto"/>
        </w:rPr>
      </w:pPr>
      <w:r>
        <w:rPr>
          <w:rFonts w:ascii="Times New Roman" w:cs="Times New Roman" w:eastAsia="Times New Roman" w:hAnsi="Times New Roman"/>
          <w:sz w:val="16"/>
          <w:szCs w:val="16"/>
          <w:color w:val="0000FF"/>
        </w:rPr>
        <w:t>C/O MEREO BIOPHARMA GROUP PLC 4TH FLOOR, ONE CAVENDISH PLACE</w:t>
      </w:r>
    </w:p>
    <w:p>
      <w:pPr>
        <w:spacing w:after="0" w:line="15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LONDON</w:t>
      </w:r>
      <w:r>
        <w:rPr>
          <w:sz w:val="20"/>
          <w:szCs w:val="20"/>
          <w:color w:val="auto"/>
        </w:rPr>
        <w:tab/>
      </w:r>
      <w:r>
        <w:rPr>
          <w:rFonts w:ascii="Times New Roman" w:cs="Times New Roman" w:eastAsia="Times New Roman" w:hAnsi="Times New Roman"/>
          <w:sz w:val="17"/>
          <w:szCs w:val="17"/>
          <w:color w:val="0000FF"/>
        </w:rPr>
        <w:t>X0</w:t>
      </w:r>
      <w:r>
        <w:rPr>
          <w:sz w:val="20"/>
          <w:szCs w:val="20"/>
          <w:color w:val="auto"/>
        </w:rPr>
        <w:tab/>
      </w:r>
      <w:r>
        <w:rPr>
          <w:rFonts w:ascii="Times New Roman" w:cs="Times New Roman" w:eastAsia="Times New Roman" w:hAnsi="Times New Roman"/>
          <w:sz w:val="16"/>
          <w:szCs w:val="16"/>
          <w:color w:val="0000FF"/>
        </w:rPr>
        <w:t>W1G 0QF</w:t>
      </w:r>
    </w:p>
    <w:p>
      <w:pPr>
        <w:spacing w:after="0" w:line="31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4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12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26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160" w:type="dxa"/>
            <w:vAlign w:val="bottom"/>
          </w:tcPr>
          <w:p>
            <w:pPr>
              <w:ind w:left="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05/22/2024</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vMerge w:val="restart"/>
          </w:tcPr>
          <w:p>
            <w:pPr>
              <w:ind w:left="72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20" w:lineRule="exact"/>
        <w:rPr>
          <w:sz w:val="24"/>
          <w:szCs w:val="24"/>
          <w:color w:val="auto"/>
        </w:rPr>
      </w:pPr>
    </w:p>
    <w:p>
      <w:pPr>
        <w:ind w:left="320" w:right="34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260" w:space="5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ind w:left="240"/>
              <w:spacing w:after="0" w:line="127"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ind w:left="40"/>
              <w:spacing w:after="0" w:line="127"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2660" w:type="dxa"/>
            <w:vAlign w:val="bottom"/>
            <w:gridSpan w:val="6"/>
          </w:tcPr>
          <w:p>
            <w:pPr>
              <w:ind w:left="80"/>
              <w:spacing w:after="0" w:line="127" w:lineRule="exact"/>
              <w:rPr>
                <w:sz w:val="20"/>
                <w:szCs w:val="20"/>
                <w:color w:val="auto"/>
              </w:rPr>
            </w:pPr>
            <w:r>
              <w:rPr>
                <w:rFonts w:ascii="Arial" w:cs="Arial" w:eastAsia="Arial" w:hAnsi="Arial"/>
                <w:sz w:val="12"/>
                <w:szCs w:val="12"/>
                <w:b w:val="1"/>
                <w:bCs w:val="1"/>
                <w:color w:val="auto"/>
                <w:w w:val="96"/>
              </w:rPr>
              <w:t>Transaction  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2"/>
          </w:tcPr>
          <w:p>
            <w:pPr>
              <w:jc w:val="center"/>
              <w:ind w:left="64"/>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9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 representing</w:t>
            </w:r>
          </w:p>
        </w:tc>
        <w:tc>
          <w:tcPr>
            <w:tcW w:w="128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7"/>
                <w:szCs w:val="17"/>
                <w:color w:val="0000FF"/>
                <w:w w:val="98"/>
              </w:rPr>
              <w:t>05/22/2024</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(2)</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93,333</w:t>
            </w:r>
          </w:p>
        </w:tc>
        <w:tc>
          <w:tcPr>
            <w:tcW w:w="66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48"/>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1.4</w:t>
            </w: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100,983</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Borders>
              <w:bottom w:val="single" w:sz="8" w:color="2C2C2C"/>
            </w:tcBorders>
            <w:gridSpan w:val="2"/>
            <w:vMerge w:val="continue"/>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 representing</w:t>
            </w:r>
          </w:p>
        </w:tc>
        <w:tc>
          <w:tcPr>
            <w:tcW w:w="128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7"/>
                <w:szCs w:val="17"/>
                <w:color w:val="0000FF"/>
                <w:w w:val="98"/>
              </w:rPr>
              <w:t>05/22/2024</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50,350</w:t>
            </w:r>
          </w:p>
        </w:tc>
        <w:tc>
          <w:tcPr>
            <w:tcW w:w="66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2.99</w:t>
            </w:r>
            <w:r>
              <w:rPr>
                <w:rFonts w:ascii="Times New Roman" w:cs="Times New Roman" w:eastAsia="Times New Roman" w:hAnsi="Times New Roman"/>
                <w:sz w:val="21"/>
                <w:szCs w:val="21"/>
                <w:color w:val="008000"/>
                <w:w w:val="89"/>
                <w:vertAlign w:val="superscript"/>
              </w:rPr>
              <w:t>(3)</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58,633</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60" w:type="dxa"/>
            <w:vAlign w:val="bottom"/>
            <w:tcBorders>
              <w:bottom w:val="single" w:sz="8" w:color="2C2C2C"/>
            </w:tcBorders>
            <w:gridSpan w:val="2"/>
            <w:vMerge w:val="continue"/>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 representing</w:t>
            </w:r>
          </w:p>
        </w:tc>
        <w:tc>
          <w:tcPr>
            <w:tcW w:w="128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7"/>
                <w:szCs w:val="17"/>
                <w:color w:val="0000FF"/>
                <w:w w:val="98"/>
              </w:rPr>
              <w:t>05/22/2024</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42,983</w:t>
            </w:r>
          </w:p>
        </w:tc>
        <w:tc>
          <w:tcPr>
            <w:tcW w:w="66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ind w:left="48"/>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1.4</w:t>
            </w: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7,650</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Borders>
              <w:bottom w:val="single" w:sz="8" w:color="2C2C2C"/>
            </w:tcBorders>
            <w:gridSpan w:val="2"/>
            <w:vMerge w:val="continue"/>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 representing</w:t>
            </w:r>
          </w:p>
        </w:tc>
        <w:tc>
          <w:tcPr>
            <w:tcW w:w="128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7"/>
                <w:szCs w:val="17"/>
                <w:color w:val="0000FF"/>
                <w:w w:val="98"/>
              </w:rPr>
              <w:t>05/22/2024</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(2)</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75,000</w:t>
            </w:r>
          </w:p>
        </w:tc>
        <w:tc>
          <w:tcPr>
            <w:tcW w:w="66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1.01</w:t>
            </w: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82,650</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Borders>
              <w:bottom w:val="single" w:sz="8" w:color="2C2C2C"/>
            </w:tcBorders>
            <w:gridSpan w:val="2"/>
            <w:vMerge w:val="continue"/>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 representing</w:t>
            </w:r>
          </w:p>
        </w:tc>
        <w:tc>
          <w:tcPr>
            <w:tcW w:w="128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7"/>
                <w:szCs w:val="17"/>
                <w:color w:val="0000FF"/>
                <w:w w:val="98"/>
              </w:rPr>
              <w:t>05/22/2024</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50,082</w:t>
            </w:r>
          </w:p>
        </w:tc>
        <w:tc>
          <w:tcPr>
            <w:tcW w:w="66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2.94</w:t>
            </w:r>
            <w:r>
              <w:rPr>
                <w:rFonts w:ascii="Times New Roman" w:cs="Times New Roman" w:eastAsia="Times New Roman" w:hAnsi="Times New Roman"/>
                <w:sz w:val="21"/>
                <w:szCs w:val="21"/>
                <w:color w:val="008000"/>
                <w:w w:val="89"/>
                <w:vertAlign w:val="superscript"/>
              </w:rPr>
              <w:t>(3)</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32,568</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60" w:type="dxa"/>
            <w:vAlign w:val="bottom"/>
            <w:tcBorders>
              <w:bottom w:val="single" w:sz="8" w:color="2C2C2C"/>
            </w:tcBorders>
            <w:gridSpan w:val="2"/>
            <w:vMerge w:val="continue"/>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 representing</w:t>
            </w:r>
          </w:p>
        </w:tc>
        <w:tc>
          <w:tcPr>
            <w:tcW w:w="128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7"/>
                <w:szCs w:val="17"/>
                <w:color w:val="0000FF"/>
                <w:w w:val="98"/>
              </w:rPr>
              <w:t>05/22/2024</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24,918</w:t>
            </w:r>
          </w:p>
        </w:tc>
        <w:tc>
          <w:tcPr>
            <w:tcW w:w="66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1.01</w:t>
            </w: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7,650</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1460" w:type="dxa"/>
            <w:vAlign w:val="bottom"/>
            <w:tcBorders>
              <w:bottom w:val="single" w:sz="8" w:color="2C2C2C"/>
            </w:tcBorders>
            <w:gridSpan w:val="2"/>
            <w:vMerge w:val="continue"/>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2"/>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80" w:type="dxa"/>
            <w:vAlign w:val="bottom"/>
            <w:gridSpan w:val="10"/>
          </w:tcPr>
          <w:p>
            <w:pPr>
              <w:jc w:val="center"/>
              <w:ind w:right="6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1"/>
              </w:rPr>
              <w:t>of 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vMerge w:val="restart"/>
          </w:tcPr>
          <w:p>
            <w:pPr>
              <w:ind w:left="100"/>
              <w:spacing w:after="0" w:line="192"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(2)</w:t>
            </w: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93,333</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restart"/>
          </w:tcPr>
          <w:p>
            <w:pPr>
              <w:jc w:val="center"/>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w:t>
            </w:r>
          </w:p>
        </w:tc>
        <w:tc>
          <w:tcPr>
            <w:tcW w:w="104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05/22/2024</w:t>
            </w: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00" w:type="dxa"/>
            <w:vAlign w:val="bottom"/>
            <w:vMerge w:val="restart"/>
          </w:tcPr>
          <w:p>
            <w:pPr>
              <w:ind w:left="440"/>
              <w:spacing w:after="0" w:line="141" w:lineRule="exact"/>
              <w:rPr>
                <w:sz w:val="20"/>
                <w:szCs w:val="20"/>
                <w:color w:val="auto"/>
              </w:rPr>
            </w:pPr>
            <w:r>
              <w:rPr>
                <w:rFonts w:ascii="Times New Roman" w:cs="Times New Roman" w:eastAsia="Times New Roman" w:hAnsi="Times New Roman"/>
                <w:sz w:val="13"/>
                <w:szCs w:val="13"/>
                <w:color w:val="0000FF"/>
              </w:rPr>
              <w:t>93,333</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01/14/2032</w:t>
            </w:r>
          </w:p>
        </w:tc>
        <w:tc>
          <w:tcPr>
            <w:tcW w:w="74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restart"/>
          </w:tcPr>
          <w:p>
            <w:pPr>
              <w:jc w:val="center"/>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w:t>
            </w:r>
          </w:p>
        </w:tc>
        <w:tc>
          <w:tcPr>
            <w:tcW w:w="58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7"/>
                <w:szCs w:val="7"/>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89"/>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vMerge w:val="restart"/>
          </w:tcPr>
          <w:p>
            <w:pPr>
              <w:ind w:left="10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(2)</w:t>
            </w: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75,000</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w:t>
            </w:r>
          </w:p>
        </w:tc>
        <w:tc>
          <w:tcPr>
            <w:tcW w:w="104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05/22/2024</w:t>
            </w: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75,000</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01/25/2033</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restart"/>
          </w:tcPr>
          <w:p>
            <w:pPr>
              <w:jc w:val="center"/>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89"/>
              <w:spacing w:after="0" w:line="141" w:lineRule="exact"/>
              <w:rPr>
                <w:sz w:val="20"/>
                <w:szCs w:val="20"/>
                <w:color w:val="auto"/>
              </w:rPr>
            </w:pPr>
            <w:r>
              <w:rPr>
                <w:rFonts w:ascii="Times New Roman" w:cs="Times New Roman" w:eastAsia="Times New Roman" w:hAnsi="Times New Roman"/>
                <w:sz w:val="10"/>
                <w:szCs w:val="10"/>
                <w:color w:val="0000FF"/>
              </w:rPr>
              <w:t>Shares</w:t>
            </w:r>
            <w:r>
              <w:rPr>
                <w:rFonts w:ascii="Times New Roman" w:cs="Times New Roman" w:eastAsia="Times New Roman" w:hAnsi="Times New Roman"/>
                <w:sz w:val="16"/>
                <w:szCs w:val="16"/>
                <w:color w:val="008000"/>
                <w:vertAlign w:val="superscript"/>
              </w:rPr>
              <w:t>(1)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-2524760</wp:posOffset>
            </wp:positionV>
            <wp:extent cx="29210" cy="2529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298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Ms. Hughes-Wilson sold a total of 100,432 ADSs solely to pay a tax obligation, and all proceeds are being used for such taxes.</w:t>
      </w:r>
    </w:p>
    <w:p>
      <w:pPr>
        <w:spacing w:after="0" w:line="42" w:lineRule="exact"/>
        <w:rPr>
          <w:rFonts w:ascii="Times New Roman" w:cs="Times New Roman" w:eastAsia="Times New Roman" w:hAnsi="Times New Roman"/>
          <w:sz w:val="13"/>
          <w:szCs w:val="13"/>
          <w:color w:val="008000"/>
        </w:rPr>
      </w:pPr>
    </w:p>
    <w:p>
      <w:pPr>
        <w:ind w:left="40" w:right="160" w:firstLine="1"/>
        <w:spacing w:after="0" w:line="289"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within the range of $2.88 to $3.04, inclusive. The Reporting Person undertakes to provide to the Issuer, any security holder of the Issuer or the staff of the Securities and Exchange Commission, upon request, full information regarding the number of shares sold at each separate price within the ranges</w:t>
      </w: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160,000 options were issued on 01/14/2022 and 25% of the shares underlying this award became exercisable on January 14, 2023, with the remainder vesting in equal monthly installments thereafter.</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240,000 options were issued on 01/25/2023 and 25% of the shares underlying this award became exercisable on January 25, 2024, with the remainder vesting in equal monthly installments thereafter.</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Patient Access and Commercial Planning</w:t>
      </w:r>
    </w:p>
    <w:p>
      <w:pPr>
        <w:spacing w:after="0" w:line="52"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Christine Fox, by power of</w:t>
            </w:r>
          </w:p>
        </w:tc>
        <w:tc>
          <w:tcPr>
            <w:tcW w:w="10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05/23/2024</w:t>
            </w: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1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6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2005875" TargetMode="External"/><Relationship Id="rId13"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2024-05-23T21:00:57Z</dcterms:created>
  <dcterms:modified xsi:type="dcterms:W3CDTF">2024-05-23T21:00:57Z</dcterms:modified>
</cp:coreProperties>
</file>