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Scots-Knight Denise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MEREO BIOPHARMA GROUP PLC 4TH FLOOR, ONE CAVENDISH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W1G 0QF</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06/25/2024</w:t>
            </w:r>
          </w:p>
        </w:tc>
        <w:tc>
          <w:tcPr>
            <w:tcW w:w="12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56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06/25/2024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40,712</w:t>
            </w:r>
            <w:r>
              <w:rPr>
                <w:rFonts w:ascii="Times New Roman" w:cs="Times New Roman" w:eastAsia="Times New Roman" w:hAnsi="Times New Roman"/>
                <w:sz w:val="22"/>
                <w:szCs w:val="22"/>
                <w:color w:val="008000"/>
                <w:vertAlign w:val="superscript"/>
              </w:rPr>
              <w:t>(3)</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3.6939</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801,791</w:t>
            </w:r>
            <w:r>
              <w:rPr>
                <w:rFonts w:ascii="Times New Roman" w:cs="Times New Roman" w:eastAsia="Times New Roman" w:hAnsi="Times New Roman"/>
                <w:sz w:val="22"/>
                <w:szCs w:val="22"/>
                <w:color w:val="008000"/>
                <w:vertAlign w:val="superscript"/>
              </w:rPr>
              <w:t>(6)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(1)(2)</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06/26/2024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92,273</w:t>
            </w:r>
            <w:r>
              <w:rPr>
                <w:rFonts w:ascii="Times New Roman" w:cs="Times New Roman" w:eastAsia="Times New Roman" w:hAnsi="Times New Roman"/>
                <w:sz w:val="22"/>
                <w:szCs w:val="22"/>
                <w:color w:val="008000"/>
                <w:vertAlign w:val="superscript"/>
              </w:rPr>
              <w:t>(3)</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3.3932</w:t>
            </w:r>
            <w:r>
              <w:rPr>
                <w:rFonts w:ascii="Times New Roman" w:cs="Times New Roman" w:eastAsia="Times New Roman" w:hAnsi="Times New Roman"/>
                <w:sz w:val="22"/>
                <w:szCs w:val="22"/>
                <w:color w:val="008000"/>
                <w:vertAlign w:val="superscript"/>
              </w:rPr>
              <w:t>(5)</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709,518</w:t>
            </w:r>
            <w:r>
              <w:rPr>
                <w:rFonts w:ascii="Times New Roman" w:cs="Times New Roman" w:eastAsia="Times New Roman" w:hAnsi="Times New Roman"/>
                <w:sz w:val="22"/>
                <w:szCs w:val="22"/>
                <w:color w:val="008000"/>
                <w:vertAlign w:val="superscript"/>
              </w:rPr>
              <w:t>(6)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40" w:type="dxa"/>
            <w:vAlign w:val="bottom"/>
            <w:tcBorders>
              <w:bottom w:val="single" w:sz="8" w:color="2C2C2C"/>
            </w:tcBorders>
            <w:gridSpan w:val="3"/>
            <w:vMerge w:val="continue"/>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also beneficially owns 4 ordinary shares, nominal value of GBP 0.003 per ordinary share, of the Issuer.</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ADSs required to be sold by the Reporting Person to cover tax withholding obligations in connection with the vesting of Performance-based restricted stock units under the issuer's 2019 Employee Incentive Plan (the "Plan"), that vested on June 21, 2024. These sales are mandated by the Issuer's election under its Plan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$3.60 to $3.805, inclusive. The Reporting Person undertakes to provide to Mereo BioPharma Group plc ("Mereo"), any security holder of Mereo, or the staff of the Securities and Exchange Commission, upon request, full information regarding the number of ADSs sold at each separate price within the ranges set forth in footnotes (4) and (5)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$3.28 to $3.51,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1,200 ADSs jointly owned by Reporting person and her spouse.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Christine Fox, by power of  </w:t>
      </w:r>
      <w:r>
        <w:rPr>
          <w:rFonts w:ascii="Times New Roman" w:cs="Times New Roman" w:eastAsia="Times New Roman" w:hAnsi="Times New Roman"/>
          <w:sz w:val="34"/>
          <w:szCs w:val="34"/>
          <w:color w:val="0000FF"/>
          <w:vertAlign w:val="subscript"/>
        </w:rPr>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60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97000" TargetMode="External"/><Relationship Id="rId13"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2024-06-27T15:52:37Z</dcterms:created>
  <dcterms:modified xsi:type="dcterms:W3CDTF">2024-06-27T15:52:37Z</dcterms:modified>
</cp:coreProperties>
</file>