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98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0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4"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Events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November 2, 2022, Mereo BioPharma Group plc (the “Company”) released its unaudited condensed consolidated financial statements as of June 30, 2022 and Management’s Discussion and Analysis of Financial Condition and Results of Operations. The Company’s unaudited condensed consolidated financial statements as of June 30, 2022 is attached as Exhibit 99.1 and are incorporated by reference herein. The Company’s Management’s Discussion and Analysis of Financial Condition and Results of Operations is attached hereto as Exhibit 99.2, and is incorporated by reference herein.</w:t>
      </w:r>
    </w:p>
    <w:p>
      <w:pPr>
        <w:spacing w:after="0" w:line="188"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As of June 30, 2022, the Company had cash and short-term deposits of £76.4 million ($92.7 million). Net cash burn during the second quarter of 2022 amounted to £8.4 million ($10.2 million). The Company expects its existing cash and short-term deposits will enable it to fund its currently committed clinical trials, operating expenses and capital expenditure requirements into 2026.</w:t>
      </w:r>
    </w:p>
    <w:p>
      <w:pPr>
        <w:spacing w:after="0" w:line="184" w:lineRule="exact"/>
        <w:rPr>
          <w:sz w:val="20"/>
          <w:szCs w:val="20"/>
          <w:color w:val="auto"/>
        </w:rPr>
      </w:pPr>
    </w:p>
    <w:p>
      <w:pPr>
        <w:ind w:right="340" w:firstLine="440"/>
        <w:spacing w:after="0" w:line="291" w:lineRule="auto"/>
        <w:rPr>
          <w:sz w:val="20"/>
          <w:szCs w:val="20"/>
          <w:color w:val="auto"/>
        </w:rPr>
      </w:pPr>
      <w:r>
        <w:rPr>
          <w:rFonts w:ascii="Arial" w:cs="Arial" w:eastAsia="Arial" w:hAnsi="Arial"/>
          <w:sz w:val="16"/>
          <w:szCs w:val="16"/>
          <w:color w:val="auto"/>
        </w:rPr>
        <w:t>The contents of this Report on Form 6-K and the information in the attached Exhibits 99.1 and 99.2 shall be deemed to be incorporated by reference into the registration statements on Form F-3 (File Numbers 333-239708 and 333-258495) and Form S-8 (File Numbers 333-231636,</w:t>
      </w:r>
    </w:p>
    <w:p>
      <w:pPr>
        <w:ind w:right="80"/>
        <w:spacing w:after="0" w:line="255" w:lineRule="auto"/>
        <w:rPr>
          <w:sz w:val="20"/>
          <w:szCs w:val="20"/>
          <w:color w:val="auto"/>
        </w:rPr>
      </w:pPr>
      <w:r>
        <w:rPr>
          <w:rFonts w:ascii="Arial" w:cs="Arial" w:eastAsia="Arial" w:hAnsi="Arial"/>
          <w:sz w:val="18"/>
          <w:szCs w:val="18"/>
          <w:color w:val="auto"/>
        </w:rPr>
        <w:t>333-236498, 333-252147 and 333-262151) and related prospectuses, as such registration statements and prospectuses may be amended from time to time, and to be a part thereof from the date on which this report is filed, to the extent not superseded by documents or reports subsequently filed or furnished.</w:t>
      </w:r>
    </w:p>
    <w:p>
      <w:pPr>
        <w:sectPr>
          <w:pgSz w:w="11900" w:h="16838" w:orient="portrait"/>
          <w:cols w:equalWidth="0" w:num="1">
            <w:col w:w="10740"/>
          </w:cols>
          <w:pgMar w:left="440" w:top="297" w:right="7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Exhibits</w:t>
            </w:r>
          </w:p>
        </w:tc>
        <w:tc>
          <w:tcPr>
            <w:tcW w:w="7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77"/>
        </w:trPr>
        <w:tc>
          <w:tcPr>
            <w:tcW w:w="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77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Mereo BioPharma Group plc Unaudited Condensed Consolidated Financial Statements as of June 30, 2022.</w:t>
            </w:r>
          </w:p>
        </w:tc>
        <w:tc>
          <w:tcPr>
            <w:tcW w:w="860" w:type="dxa"/>
            <w:vAlign w:val="bottom"/>
          </w:tcPr>
          <w:p>
            <w:pPr>
              <w:spacing w:after="0"/>
              <w:rPr>
                <w:sz w:val="24"/>
                <w:szCs w:val="24"/>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99.2</w:t>
            </w:r>
          </w:p>
        </w:tc>
        <w:tc>
          <w:tcPr>
            <w:tcW w:w="580" w:type="dxa"/>
            <w:vAlign w:val="bottom"/>
          </w:tcPr>
          <w:p>
            <w:pPr>
              <w:spacing w:after="0"/>
              <w:rPr>
                <w:sz w:val="24"/>
                <w:szCs w:val="24"/>
                <w:color w:val="auto"/>
              </w:rPr>
            </w:pPr>
          </w:p>
        </w:tc>
        <w:tc>
          <w:tcPr>
            <w:tcW w:w="8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Mereo BioPharma Group plc Management’s Discussion and Analysis of Financial Condition and Results of Operations.</w:t>
            </w:r>
          </w:p>
        </w:tc>
      </w:tr>
      <w:tr>
        <w:trPr>
          <w:trHeight w:val="345"/>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6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6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6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6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64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6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019"/>
          </w:cols>
          <w:pgMar w:left="440" w:top="297"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Christine Fox</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297" w:right="7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Exhibit 99.1</w:t>
            </w:r>
          </w:p>
        </w:tc>
      </w:tr>
      <w:tr>
        <w:trPr>
          <w:trHeight w:val="630"/>
        </w:trPr>
        <w:tc>
          <w:tcPr>
            <w:tcW w:w="8120" w:type="dxa"/>
            <w:vAlign w:val="bottom"/>
          </w:tcPr>
          <w:p>
            <w:pPr>
              <w:jc w:val="center"/>
              <w:ind w:left="2790"/>
              <w:spacing w:after="0"/>
              <w:rPr>
                <w:sz w:val="20"/>
                <w:szCs w:val="20"/>
                <w:color w:val="auto"/>
              </w:rPr>
            </w:pPr>
            <w:r>
              <w:rPr>
                <w:rFonts w:ascii="Arial" w:cs="Arial" w:eastAsia="Arial" w:hAnsi="Arial"/>
                <w:sz w:val="18"/>
                <w:szCs w:val="18"/>
                <w:b w:val="1"/>
                <w:bCs w:val="1"/>
                <w:color w:val="auto"/>
              </w:rPr>
              <w:t>MEREO BIOPHARMA GROUP PLC</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8780" w:type="dxa"/>
            <w:vAlign w:val="bottom"/>
            <w:gridSpan w:val="3"/>
          </w:tcPr>
          <w:p>
            <w:pPr>
              <w:jc w:val="center"/>
              <w:ind w:left="2130"/>
              <w:spacing w:after="0"/>
              <w:rPr>
                <w:sz w:val="20"/>
                <w:szCs w:val="20"/>
                <w:color w:val="auto"/>
              </w:rPr>
            </w:pPr>
            <w:r>
              <w:rPr>
                <w:rFonts w:ascii="Arial" w:cs="Arial" w:eastAsia="Arial" w:hAnsi="Arial"/>
                <w:sz w:val="18"/>
                <w:szCs w:val="18"/>
                <w:b w:val="1"/>
                <w:bCs w:val="1"/>
                <w:color w:val="auto"/>
                <w:w w:val="88"/>
              </w:rPr>
              <w:t>Condensed Consolidated Statements of Comprehensive (Loss)/Income</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120" w:type="dxa"/>
            <w:vAlign w:val="bottom"/>
          </w:tcPr>
          <w:p>
            <w:pPr>
              <w:jc w:val="center"/>
              <w:ind w:left="2790"/>
              <w:spacing w:after="0"/>
              <w:rPr>
                <w:sz w:val="20"/>
                <w:szCs w:val="20"/>
                <w:color w:val="auto"/>
              </w:rPr>
            </w:pPr>
            <w:r>
              <w:rPr>
                <w:rFonts w:ascii="Arial" w:cs="Arial" w:eastAsia="Arial" w:hAnsi="Arial"/>
                <w:sz w:val="18"/>
                <w:szCs w:val="18"/>
                <w:color w:val="auto"/>
                <w:w w:val="92"/>
              </w:rPr>
              <w:t>(unaudited)</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Six months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Six months</w:t>
            </w:r>
          </w:p>
        </w:tc>
      </w:tr>
      <w:tr>
        <w:trPr>
          <w:trHeight w:val="148"/>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6"/>
              </w:rPr>
              <w:t>ended June 30,</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ended June 30,</w:t>
            </w:r>
          </w:p>
        </w:tc>
      </w:tr>
      <w:tr>
        <w:trPr>
          <w:trHeight w:val="148"/>
        </w:trPr>
        <w:tc>
          <w:tcPr>
            <w:tcW w:w="8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2022</w:t>
            </w:r>
          </w:p>
        </w:tc>
        <w:tc>
          <w:tcPr>
            <w:tcW w:w="400" w:type="dxa"/>
            <w:vAlign w:val="bottom"/>
          </w:tcPr>
          <w:p>
            <w:pPr>
              <w:spacing w:after="0"/>
              <w:rPr>
                <w:sz w:val="12"/>
                <w:szCs w:val="12"/>
                <w:color w:val="auto"/>
              </w:rPr>
            </w:pPr>
          </w:p>
        </w:tc>
        <w:tc>
          <w:tcPr>
            <w:tcW w:w="86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r>
      <w:tr>
        <w:trPr>
          <w:trHeight w:val="167"/>
        </w:trPr>
        <w:tc>
          <w:tcPr>
            <w:tcW w:w="812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Notes</w:t>
            </w:r>
          </w:p>
        </w:tc>
        <w:tc>
          <w:tcPr>
            <w:tcW w:w="3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£’000</w:t>
            </w:r>
          </w:p>
        </w:tc>
        <w:tc>
          <w:tcPr>
            <w:tcW w:w="4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£’000</w:t>
            </w:r>
          </w:p>
        </w:tc>
        <w:tc>
          <w:tcPr>
            <w:tcW w:w="120" w:type="dxa"/>
            <w:vAlign w:val="bottom"/>
          </w:tcPr>
          <w:p>
            <w:pPr>
              <w:spacing w:after="0"/>
              <w:rPr>
                <w:sz w:val="14"/>
                <w:szCs w:val="14"/>
                <w:color w:val="auto"/>
              </w:rPr>
            </w:pPr>
          </w:p>
        </w:tc>
      </w:tr>
      <w:tr>
        <w:trPr>
          <w:trHeight w:val="209"/>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36,464</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352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(18,137)</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(13,322)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(9,858)</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(8,840)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(8,673)</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(21,810)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(204)</w:t>
            </w: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Finance income</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(1,987)</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Changes in the fair value of financial instruments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1,210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14,363</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gain/(loss)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(1,269)</w:t>
            </w: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Other income and expenses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before tax</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(19,893)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10,904</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Taxation</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4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0"/>
                <w:szCs w:val="20"/>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for the period, attributable to equity holders of the parent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(19,158)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12,088</w:t>
            </w: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Items that may be reclassified subsequently to profit or loss:</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of foreign operations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30"/>
        </w:trPr>
        <w:tc>
          <w:tcPr>
            <w:tcW w:w="8120" w:type="dxa"/>
            <w:vAlign w:val="bottom"/>
          </w:tcPr>
          <w:p>
            <w:pPr>
              <w:spacing w:after="0"/>
              <w:rPr>
                <w:sz w:val="20"/>
                <w:szCs w:val="20"/>
                <w:color w:val="auto"/>
              </w:rPr>
            </w:pPr>
            <w:r>
              <w:rPr>
                <w:rFonts w:ascii="Arial" w:cs="Arial" w:eastAsia="Arial" w:hAnsi="Arial"/>
                <w:sz w:val="18"/>
                <w:szCs w:val="18"/>
                <w:b w:val="1"/>
                <w:bCs w:val="1"/>
                <w:color w:val="auto"/>
              </w:rPr>
              <w:t>Total comprehensive (loss)/income for the period, attributable to equity holders of the parent</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(20,933)</w:t>
            </w:r>
          </w:p>
        </w:tc>
        <w:tc>
          <w:tcPr>
            <w:tcW w:w="4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12,062</w:t>
            </w:r>
          </w:p>
        </w:tc>
        <w:tc>
          <w:tcPr>
            <w:tcW w:w="120" w:type="dxa"/>
            <w:vAlign w:val="bottom"/>
          </w:tcPr>
          <w:p>
            <w:pPr>
              <w:spacing w:after="0"/>
              <w:rPr>
                <w:sz w:val="20"/>
                <w:szCs w:val="20"/>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Basic (loss)/profit per share for the period (in £)</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Diluted loss per share for the period (in £)</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3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ectPr>
          <w:pgSz w:w="11900" w:h="16838" w:orient="portrait"/>
          <w:cols w:equalWidth="0" w:num="1">
            <w:col w:w="11020"/>
          </w:cols>
          <w:pgMar w:left="440" w:top="121" w:right="4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MEREO BIOPHARMA GROUP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color w:val="auto"/>
              </w:rPr>
              <w:t>June 30,</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w w:val="88"/>
              </w:rPr>
              <w:t>December 31,</w:t>
            </w:r>
          </w:p>
        </w:tc>
      </w:tr>
      <w:tr>
        <w:trPr>
          <w:trHeight w:val="148"/>
        </w:trPr>
        <w:tc>
          <w:tcPr>
            <w:tcW w:w="8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2022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r>
      <w:tr>
        <w:trPr>
          <w:trHeight w:val="167"/>
        </w:trPr>
        <w:tc>
          <w:tcPr>
            <w:tcW w:w="874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Notes</w:t>
            </w:r>
          </w:p>
        </w:tc>
        <w:tc>
          <w:tcPr>
            <w:tcW w:w="920" w:type="dxa"/>
            <w:vAlign w:val="bottom"/>
            <w:gridSpan w:val="3"/>
          </w:tcPr>
          <w:p>
            <w:pPr>
              <w:jc w:val="center"/>
              <w:ind w:right="220"/>
              <w:spacing w:after="0"/>
              <w:rPr>
                <w:sz w:val="20"/>
                <w:szCs w:val="20"/>
                <w:color w:val="auto"/>
              </w:rPr>
            </w:pPr>
            <w:r>
              <w:rPr>
                <w:rFonts w:ascii="Arial" w:cs="Arial" w:eastAsia="Arial" w:hAnsi="Arial"/>
                <w:sz w:val="14"/>
                <w:szCs w:val="14"/>
                <w:color w:val="auto"/>
                <w:w w:val="99"/>
              </w:rPr>
              <w:t>£’000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£’000</w:t>
            </w:r>
          </w:p>
        </w:tc>
      </w:tr>
      <w:tr>
        <w:trPr>
          <w:trHeight w:val="196"/>
        </w:trPr>
        <w:tc>
          <w:tcPr>
            <w:tcW w:w="8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24,564</w:t>
            </w:r>
          </w:p>
        </w:tc>
      </w:tr>
      <w:tr>
        <w:trPr>
          <w:trHeight w:val="27"/>
        </w:trPr>
        <w:tc>
          <w:tcPr>
            <w:tcW w:w="8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27,094</w:t>
            </w: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R&amp;D tax credits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taxes receivable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Other receivables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1,419</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76,415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94,296</w:t>
            </w:r>
          </w:p>
        </w:tc>
      </w:tr>
      <w:tr>
        <w:trPr>
          <w:trHeight w:val="230"/>
        </w:trPr>
        <w:tc>
          <w:tcPr>
            <w:tcW w:w="8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81,806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99,323</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108,036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126,417</w:t>
            </w: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Provisions</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1,389</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1,320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14,384</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Warrant liability</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8,336</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1,754</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r>
      <w:tr>
        <w:trPr>
          <w:trHeight w:val="27"/>
        </w:trPr>
        <w:tc>
          <w:tcPr>
            <w:tcW w:w="8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25,874</w:t>
            </w: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Accruals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5,088</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3,826</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tax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1,522</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Provisions</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2,945</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2,803</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Warrant liability</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6,904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1,269</w:t>
            </w:r>
          </w:p>
        </w:tc>
      </w:tr>
      <w:tr>
        <w:trPr>
          <w:trHeight w:val="27"/>
        </w:trPr>
        <w:tc>
          <w:tcPr>
            <w:tcW w:w="8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12,541</w:t>
            </w:r>
          </w:p>
        </w:tc>
      </w:tr>
      <w:tr>
        <w:trPr>
          <w:trHeight w:val="230"/>
        </w:trPr>
        <w:tc>
          <w:tcPr>
            <w:tcW w:w="87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38,451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38,415</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69,585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88,002</w:t>
            </w: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Issued capital</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Share premium</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247,460</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247,460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capital reserves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132,269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129,835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Employee Benefit Trust shares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(1,058)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(1,140)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7,401</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Accumulated losses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(316,126)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(296,968)</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Translation reserve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69,585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88,002</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ectPr>
          <w:pgSz w:w="11900" w:h="16838" w:orient="portrait"/>
          <w:cols w:equalWidth="0" w:num="1">
            <w:col w:w="11020"/>
          </w:cols>
          <w:pgMar w:left="440" w:top="297"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MEREO BIOPHARMA GROUP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481"/>
              <w:spacing w:after="0"/>
              <w:rPr>
                <w:sz w:val="20"/>
                <w:szCs w:val="20"/>
                <w:color w:val="auto"/>
              </w:rPr>
            </w:pPr>
            <w:r>
              <w:rPr>
                <w:rFonts w:ascii="Arial" w:cs="Arial" w:eastAsia="Arial" w:hAnsi="Arial"/>
                <w:sz w:val="14"/>
                <w:szCs w:val="14"/>
                <w:color w:val="auto"/>
              </w:rPr>
              <w:t>Six months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Six months</w:t>
            </w:r>
          </w:p>
        </w:tc>
      </w:tr>
      <w:tr>
        <w:trPr>
          <w:trHeight w:val="148"/>
        </w:trPr>
        <w:tc>
          <w:tcPr>
            <w:tcW w:w="8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tcPr>
          <w:p>
            <w:pPr>
              <w:jc w:val="right"/>
              <w:ind w:right="361"/>
              <w:spacing w:after="0" w:line="149" w:lineRule="exact"/>
              <w:rPr>
                <w:sz w:val="20"/>
                <w:szCs w:val="20"/>
                <w:color w:val="auto"/>
              </w:rPr>
            </w:pPr>
            <w:r>
              <w:rPr>
                <w:rFonts w:ascii="Arial" w:cs="Arial" w:eastAsia="Arial" w:hAnsi="Arial"/>
                <w:sz w:val="14"/>
                <w:szCs w:val="14"/>
                <w:color w:val="auto"/>
                <w:w w:val="86"/>
              </w:rPr>
              <w:t>ended June 30,</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ended June 30,</w:t>
            </w:r>
          </w:p>
        </w:tc>
      </w:tr>
      <w:tr>
        <w:trPr>
          <w:trHeight w:val="149"/>
        </w:trPr>
        <w:tc>
          <w:tcPr>
            <w:tcW w:w="8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2022</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r>
      <w:tr>
        <w:trPr>
          <w:trHeight w:val="167"/>
        </w:trPr>
        <w:tc>
          <w:tcPr>
            <w:tcW w:w="80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Notes</w:t>
            </w:r>
          </w:p>
        </w:tc>
        <w:tc>
          <w:tcPr>
            <w:tcW w:w="1260" w:type="dxa"/>
            <w:vAlign w:val="bottom"/>
            <w:gridSpan w:val="3"/>
          </w:tcPr>
          <w:p>
            <w:pPr>
              <w:jc w:val="center"/>
              <w:ind w:right="361"/>
              <w:spacing w:after="0"/>
              <w:rPr>
                <w:sz w:val="20"/>
                <w:szCs w:val="20"/>
                <w:color w:val="auto"/>
              </w:rPr>
            </w:pPr>
            <w:r>
              <w:rPr>
                <w:rFonts w:ascii="Arial" w:cs="Arial" w:eastAsia="Arial" w:hAnsi="Arial"/>
                <w:sz w:val="14"/>
                <w:szCs w:val="14"/>
                <w:color w:val="auto"/>
                <w:w w:val="99"/>
              </w:rPr>
              <w:t>£’000</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£’000</w:t>
            </w:r>
          </w:p>
        </w:tc>
      </w:tr>
      <w:tr>
        <w:trPr>
          <w:trHeight w:val="196"/>
        </w:trPr>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(Loss)/profit before tax</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301"/>
              <w:spacing w:after="0"/>
              <w:rPr>
                <w:sz w:val="20"/>
                <w:szCs w:val="20"/>
                <w:color w:val="auto"/>
              </w:rPr>
            </w:pPr>
            <w:r>
              <w:rPr>
                <w:rFonts w:ascii="Arial" w:cs="Arial" w:eastAsia="Arial" w:hAnsi="Arial"/>
                <w:sz w:val="18"/>
                <w:szCs w:val="18"/>
                <w:color w:val="auto"/>
              </w:rPr>
              <w:t>(19,893)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10,904</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(loss)/profit to net cash flows from operating activities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 Depreciation and impairment of property, plant and equipment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Share-based payment expense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 Net foreign exchange (gain)/loss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301"/>
              <w:spacing w:after="0"/>
              <w:rPr>
                <w:sz w:val="20"/>
                <w:szCs w:val="20"/>
                <w:color w:val="auto"/>
              </w:rPr>
            </w:pPr>
            <w:r>
              <w:rPr>
                <w:rFonts w:ascii="Arial" w:cs="Arial" w:eastAsia="Arial" w:hAnsi="Arial"/>
                <w:sz w:val="18"/>
                <w:szCs w:val="18"/>
                <w:color w:val="auto"/>
              </w:rPr>
              <w:t>(2,100)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1,269</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Increase in provisions and other liabilities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1,513</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 Finance income</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80" w:type="dxa"/>
            <w:vAlign w:val="bottom"/>
          </w:tcPr>
          <w:p>
            <w:pPr>
              <w:spacing w:after="0"/>
              <w:rPr>
                <w:sz w:val="18"/>
                <w:szCs w:val="18"/>
                <w:color w:val="auto"/>
              </w:rPr>
            </w:pPr>
          </w:p>
        </w:tc>
        <w:tc>
          <w:tcPr>
            <w:tcW w:w="1260" w:type="dxa"/>
            <w:vAlign w:val="bottom"/>
            <w:gridSpan w:val="3"/>
          </w:tcPr>
          <w:p>
            <w:pPr>
              <w:jc w:val="right"/>
              <w:ind w:right="301"/>
              <w:spacing w:after="0"/>
              <w:rPr>
                <w:sz w:val="20"/>
                <w:szCs w:val="20"/>
                <w:color w:val="auto"/>
              </w:rPr>
            </w:pPr>
            <w:r>
              <w:rPr>
                <w:rFonts w:ascii="Arial" w:cs="Arial" w:eastAsia="Arial" w:hAnsi="Arial"/>
                <w:sz w:val="18"/>
                <w:szCs w:val="18"/>
                <w:color w:val="auto"/>
              </w:rPr>
              <w:t>(173)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Finance costs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 Changes in the fair value of financial instruments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80" w:type="dxa"/>
            <w:vAlign w:val="bottom"/>
          </w:tcPr>
          <w:p>
            <w:pPr>
              <w:spacing w:after="0"/>
              <w:rPr>
                <w:sz w:val="18"/>
                <w:szCs w:val="18"/>
                <w:color w:val="auto"/>
              </w:rPr>
            </w:pPr>
          </w:p>
        </w:tc>
        <w:tc>
          <w:tcPr>
            <w:tcW w:w="1260" w:type="dxa"/>
            <w:vAlign w:val="bottom"/>
            <w:gridSpan w:val="3"/>
          </w:tcPr>
          <w:p>
            <w:pPr>
              <w:jc w:val="right"/>
              <w:ind w:right="301"/>
              <w:spacing w:after="0"/>
              <w:rPr>
                <w:sz w:val="20"/>
                <w:szCs w:val="20"/>
                <w:color w:val="auto"/>
              </w:rPr>
            </w:pPr>
            <w:r>
              <w:rPr>
                <w:rFonts w:ascii="Arial" w:cs="Arial" w:eastAsia="Arial" w:hAnsi="Arial"/>
                <w:sz w:val="18"/>
                <w:szCs w:val="18"/>
                <w:color w:val="auto"/>
              </w:rPr>
              <w:t>(1,210)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(14,363)</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Other income and expenses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(811)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 Out-license of intangible asset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46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9,457</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Other non-cash movements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Decrease/(increase) in receivables and prepayments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(1,675)</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 Increase/(decrease) in trade and other payables and accruals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1,364</w:t>
            </w:r>
          </w:p>
        </w:tc>
        <w:tc>
          <w:tcPr>
            <w:tcW w:w="3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(1,137)</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(1,529)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spacing w:after="0"/>
              <w:rPr>
                <w:sz w:val="20"/>
                <w:szCs w:val="20"/>
                <w:color w:val="auto"/>
              </w:rPr>
            </w:pPr>
            <w:r>
              <w:rPr>
                <w:rFonts w:ascii="Arial" w:cs="Arial" w:eastAsia="Arial" w:hAnsi="Arial"/>
                <w:sz w:val="18"/>
                <w:szCs w:val="18"/>
                <w:b w:val="1"/>
                <w:bCs w:val="1"/>
                <w:color w:val="auto"/>
              </w:rPr>
              <w:t>Net cash flows (used in)/from operating activities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(18,806</w:t>
            </w:r>
          </w:p>
        </w:tc>
        <w:tc>
          <w:tcPr>
            <w:tcW w:w="400" w:type="dxa"/>
            <w:vAlign w:val="bottom"/>
            <w:gridSpan w:val="2"/>
          </w:tcPr>
          <w:p>
            <w:pPr>
              <w:jc w:val="right"/>
              <w:ind w:right="301"/>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9,902</w:t>
            </w:r>
          </w:p>
        </w:tc>
        <w:tc>
          <w:tcPr>
            <w:tcW w:w="120" w:type="dxa"/>
            <w:vAlign w:val="bottom"/>
          </w:tcPr>
          <w:p>
            <w:pPr>
              <w:spacing w:after="0"/>
              <w:rPr>
                <w:sz w:val="20"/>
                <w:szCs w:val="20"/>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380" w:type="dxa"/>
            <w:vAlign w:val="bottom"/>
          </w:tcPr>
          <w:p>
            <w:pPr>
              <w:spacing w:after="0"/>
              <w:rPr>
                <w:sz w:val="18"/>
                <w:szCs w:val="18"/>
                <w:color w:val="auto"/>
              </w:rPr>
            </w:pPr>
          </w:p>
        </w:tc>
        <w:tc>
          <w:tcPr>
            <w:tcW w:w="1260" w:type="dxa"/>
            <w:vAlign w:val="bottom"/>
            <w:gridSpan w:val="3"/>
          </w:tcPr>
          <w:p>
            <w:pPr>
              <w:jc w:val="right"/>
              <w:ind w:right="301"/>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intangible asset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Payments to CVR holders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80" w:type="dxa"/>
            <w:vAlign w:val="bottom"/>
          </w:tcPr>
          <w:p>
            <w:pPr>
              <w:spacing w:after="0"/>
              <w:rPr>
                <w:sz w:val="18"/>
                <w:szCs w:val="18"/>
                <w:color w:val="auto"/>
              </w:rPr>
            </w:pPr>
          </w:p>
        </w:tc>
        <w:tc>
          <w:tcPr>
            <w:tcW w:w="1260" w:type="dxa"/>
            <w:vAlign w:val="bottom"/>
            <w:gridSpan w:val="3"/>
          </w:tcPr>
          <w:p>
            <w:pPr>
              <w:jc w:val="right"/>
              <w:ind w:right="301"/>
              <w:spacing w:after="0"/>
              <w:rPr>
                <w:sz w:val="20"/>
                <w:szCs w:val="20"/>
                <w:color w:val="auto"/>
              </w:rPr>
            </w:pPr>
            <w:r>
              <w:rPr>
                <w:rFonts w:ascii="Arial" w:cs="Arial" w:eastAsia="Arial" w:hAnsi="Arial"/>
                <w:sz w:val="18"/>
                <w:szCs w:val="18"/>
                <w:color w:val="auto"/>
              </w:rPr>
              <w:t>(673)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30"/>
        </w:trPr>
        <w:tc>
          <w:tcPr>
            <w:tcW w:w="8060" w:type="dxa"/>
            <w:vAlign w:val="bottom"/>
          </w:tcPr>
          <w:p>
            <w:pPr>
              <w:spacing w:after="0"/>
              <w:rPr>
                <w:sz w:val="20"/>
                <w:szCs w:val="20"/>
                <w:color w:val="auto"/>
              </w:rPr>
            </w:pPr>
            <w:r>
              <w:rPr>
                <w:rFonts w:ascii="Arial" w:cs="Arial" w:eastAsia="Arial" w:hAnsi="Arial"/>
                <w:sz w:val="18"/>
                <w:szCs w:val="18"/>
                <w:b w:val="1"/>
                <w:bCs w:val="1"/>
                <w:color w:val="auto"/>
              </w:rPr>
              <w:t>Net cash flows from investing activities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Proceeds from issuance of ordinary shares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46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78,532</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issuance of shares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Proceeds from TAP agreement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01"/>
              <w:spacing w:after="0"/>
              <w:rPr>
                <w:sz w:val="20"/>
                <w:szCs w:val="20"/>
                <w:color w:val="auto"/>
              </w:rPr>
            </w:pPr>
            <w:r>
              <w:rPr>
                <w:rFonts w:ascii="Arial" w:cs="Arial" w:eastAsia="Arial" w:hAnsi="Arial"/>
                <w:sz w:val="18"/>
                <w:szCs w:val="18"/>
                <w:color w:val="auto"/>
              </w:rPr>
              <w:t>(445)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r>
      <w:tr>
        <w:trPr>
          <w:trHeight w:val="230"/>
        </w:trPr>
        <w:tc>
          <w:tcPr>
            <w:tcW w:w="8060" w:type="dxa"/>
            <w:vAlign w:val="bottom"/>
          </w:tcPr>
          <w:p>
            <w:pPr>
              <w:spacing w:after="0"/>
              <w:rPr>
                <w:sz w:val="20"/>
                <w:szCs w:val="20"/>
                <w:color w:val="auto"/>
              </w:rPr>
            </w:pPr>
            <w:r>
              <w:rPr>
                <w:rFonts w:ascii="Arial" w:cs="Arial" w:eastAsia="Arial" w:hAnsi="Arial"/>
                <w:sz w:val="18"/>
                <w:szCs w:val="18"/>
                <w:b w:val="1"/>
                <w:bCs w:val="1"/>
                <w:color w:val="auto"/>
              </w:rPr>
              <w:t>Net cash flows (used in)/from financing activities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78,008</w:t>
            </w:r>
          </w:p>
        </w:tc>
        <w:tc>
          <w:tcPr>
            <w:tcW w:w="120" w:type="dxa"/>
            <w:vAlign w:val="bottom"/>
          </w:tcPr>
          <w:p>
            <w:pPr>
              <w:spacing w:after="0"/>
              <w:rPr>
                <w:sz w:val="20"/>
                <w:szCs w:val="20"/>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(18,124</w:t>
            </w:r>
          </w:p>
        </w:tc>
        <w:tc>
          <w:tcPr>
            <w:tcW w:w="380" w:type="dxa"/>
            <w:vAlign w:val="bottom"/>
            <w:shd w:val="clear" w:color="auto" w:fill="CCEEFF"/>
          </w:tcPr>
          <w:p>
            <w:pPr>
              <w:jc w:val="right"/>
              <w:ind w:right="301"/>
              <w:spacing w:after="0"/>
              <w:rPr>
                <w:sz w:val="20"/>
                <w:szCs w:val="20"/>
                <w:color w:val="auto"/>
              </w:rPr>
            </w:pPr>
            <w:r>
              <w:rPr>
                <w:rFonts w:ascii="Arial" w:cs="Arial" w:eastAsia="Arial" w:hAnsi="Arial"/>
                <w:sz w:val="8"/>
                <w:szCs w:val="8"/>
                <w:color w:val="auto"/>
                <w:w w:val="73"/>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87,911</w:t>
            </w:r>
          </w:p>
        </w:tc>
        <w:tc>
          <w:tcPr>
            <w:tcW w:w="120" w:type="dxa"/>
            <w:vAlign w:val="bottom"/>
            <w:shd w:val="clear" w:color="auto" w:fill="CCEEFF"/>
          </w:tcPr>
          <w:p>
            <w:pPr>
              <w:spacing w:after="0"/>
              <w:rPr>
                <w:sz w:val="18"/>
                <w:szCs w:val="18"/>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94,296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23,469</w:t>
            </w:r>
          </w:p>
        </w:tc>
        <w:tc>
          <w:tcPr>
            <w:tcW w:w="120" w:type="dxa"/>
            <w:vAlign w:val="bottom"/>
          </w:tcPr>
          <w:p>
            <w:pPr>
              <w:spacing w:after="0"/>
              <w:rPr>
                <w:sz w:val="19"/>
                <w:szCs w:val="19"/>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(1,287)</w:t>
            </w: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76,415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110,093</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ectPr>
          <w:pgSz w:w="11900" w:h="16838" w:orient="portrait"/>
          <w:cols w:equalWidth="0" w:num="1">
            <w:col w:w="11020"/>
          </w:cols>
          <w:pgMar w:left="440" w:top="297"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MEREO BIOPHARMA GROUP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Other</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Employee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4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Issued</w:t>
            </w:r>
          </w:p>
        </w:tc>
        <w:tc>
          <w:tcPr>
            <w:tcW w:w="8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Share</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capital</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Benefit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Accumulated</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Translation</w:t>
            </w:r>
          </w:p>
        </w:tc>
        <w:tc>
          <w:tcPr>
            <w:tcW w:w="740" w:type="dxa"/>
            <w:vAlign w:val="bottom"/>
            <w:gridSpan w:val="2"/>
          </w:tcPr>
          <w:p>
            <w:pPr>
              <w:jc w:val="center"/>
              <w:ind w:right="41"/>
              <w:spacing w:after="0" w:line="149" w:lineRule="exact"/>
              <w:rPr>
                <w:sz w:val="20"/>
                <w:szCs w:val="20"/>
                <w:color w:val="auto"/>
              </w:rPr>
            </w:pPr>
            <w:r>
              <w:rPr>
                <w:rFonts w:ascii="Arial" w:cs="Arial" w:eastAsia="Arial" w:hAnsi="Arial"/>
                <w:sz w:val="14"/>
                <w:szCs w:val="14"/>
                <w:color w:val="auto"/>
                <w:w w:val="96"/>
              </w:rPr>
              <w:t>Total</w:t>
            </w:r>
          </w:p>
        </w:tc>
      </w:tr>
      <w:tr>
        <w:trPr>
          <w:trHeight w:val="167"/>
        </w:trPr>
        <w:tc>
          <w:tcPr>
            <w:tcW w:w="4280" w:type="dxa"/>
            <w:vAlign w:val="bottom"/>
          </w:tcPr>
          <w:p>
            <w:pPr>
              <w:spacing w:after="0"/>
              <w:rPr>
                <w:sz w:val="14"/>
                <w:szCs w:val="14"/>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Notes</w:t>
            </w: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capital</w:t>
            </w: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premium</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reserves</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Trust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reserves</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losses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reserve</w:t>
            </w:r>
          </w:p>
        </w:tc>
        <w:tc>
          <w:tcPr>
            <w:tcW w:w="740" w:type="dxa"/>
            <w:vAlign w:val="bottom"/>
            <w:gridSpan w:val="2"/>
          </w:tcPr>
          <w:p>
            <w:pPr>
              <w:jc w:val="center"/>
              <w:ind w:right="21"/>
              <w:spacing w:after="0"/>
              <w:rPr>
                <w:sz w:val="20"/>
                <w:szCs w:val="20"/>
                <w:color w:val="auto"/>
              </w:rPr>
            </w:pPr>
            <w:r>
              <w:rPr>
                <w:rFonts w:ascii="Arial" w:cs="Arial" w:eastAsia="Arial" w:hAnsi="Arial"/>
                <w:sz w:val="14"/>
                <w:szCs w:val="14"/>
                <w:color w:val="auto"/>
                <w:w w:val="96"/>
              </w:rPr>
              <w:t>equity</w:t>
            </w:r>
          </w:p>
        </w:tc>
      </w:tr>
      <w:tr>
        <w:trPr>
          <w:trHeight w:val="142"/>
        </w:trPr>
        <w:tc>
          <w:tcPr>
            <w:tcW w:w="42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£’000</w:t>
            </w: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£’000</w:t>
            </w:r>
          </w:p>
        </w:tc>
        <w:tc>
          <w:tcPr>
            <w:tcW w:w="1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£’000</w:t>
            </w:r>
          </w:p>
        </w:tc>
        <w:tc>
          <w:tcPr>
            <w:tcW w:w="1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£’000</w:t>
            </w:r>
          </w:p>
        </w:tc>
        <w:tc>
          <w:tcPr>
            <w:tcW w:w="2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£’000</w:t>
            </w: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£’000</w:t>
            </w:r>
          </w:p>
        </w:tc>
        <w:tc>
          <w:tcPr>
            <w:tcW w:w="2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£’000</w:t>
            </w:r>
          </w:p>
        </w:tc>
        <w:tc>
          <w:tcPr>
            <w:tcW w:w="1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£’000</w:t>
            </w:r>
          </w:p>
        </w:tc>
        <w:tc>
          <w:tcPr>
            <w:tcW w:w="120" w:type="dxa"/>
            <w:vAlign w:val="bottom"/>
            <w:tcBorders>
              <w:bottom w:val="single" w:sz="8" w:color="CCEEFF"/>
            </w:tcBorders>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1,017</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6"/>
              </w:rPr>
              <w:t>161,785</w:t>
            </w:r>
          </w:p>
        </w:tc>
        <w:tc>
          <w:tcPr>
            <w:tcW w:w="1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128,374</w:t>
            </w: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77"/>
              </w:rPr>
              <w:t>(1,305)</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5,001</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(309,693)</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(14,971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Profit for the period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12,088</w:t>
            </w:r>
          </w:p>
        </w:tc>
        <w:tc>
          <w:tcPr>
            <w:tcW w:w="20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12,088</w:t>
            </w:r>
          </w:p>
        </w:tc>
        <w:tc>
          <w:tcPr>
            <w:tcW w:w="12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12,088</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12,062</w:t>
            </w:r>
          </w:p>
        </w:tc>
        <w:tc>
          <w:tcPr>
            <w:tcW w:w="12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1,760</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1,760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Issuance of share capital,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601</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78,609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79,210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154</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Conversion of warrants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158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2,400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2,574</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1,634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240,552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5"/>
              </w:rPr>
              <w:t>130,026</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(1,151)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7,401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(297,605)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(176)</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80,681</w:t>
            </w:r>
          </w:p>
        </w:tc>
      </w:tr>
      <w:tr>
        <w:trPr>
          <w:trHeight w:val="230"/>
        </w:trPr>
        <w:tc>
          <w:tcPr>
            <w:tcW w:w="4280" w:type="dxa"/>
            <w:vAlign w:val="bottom"/>
          </w:tcPr>
          <w:p>
            <w:pPr>
              <w:spacing w:after="0"/>
              <w:rPr>
                <w:sz w:val="20"/>
                <w:szCs w:val="20"/>
                <w:color w:val="auto"/>
              </w:rPr>
            </w:pPr>
            <w:r>
              <w:rPr>
                <w:rFonts w:ascii="Arial" w:cs="Arial" w:eastAsia="Arial" w:hAnsi="Arial"/>
                <w:sz w:val="18"/>
                <w:szCs w:val="18"/>
                <w:b w:val="1"/>
                <w:bCs w:val="1"/>
                <w:color w:val="auto"/>
              </w:rPr>
              <w:t>At December 31, 2021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1,755</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247,460</w:t>
            </w:r>
          </w:p>
        </w:tc>
        <w:tc>
          <w:tcPr>
            <w:tcW w:w="1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129,835</w:t>
            </w: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77"/>
              </w:rPr>
              <w:t>(1,140)</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7,401</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(296,968)</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w:t>
            </w:r>
          </w:p>
        </w:tc>
        <w:tc>
          <w:tcPr>
            <w:tcW w:w="1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88,002</w:t>
            </w:r>
          </w:p>
        </w:tc>
        <w:tc>
          <w:tcPr>
            <w:tcW w:w="12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(19,158)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(19,158)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(1,775)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(1,775)</w:t>
            </w:r>
          </w:p>
        </w:tc>
      </w:tr>
      <w:tr>
        <w:trPr>
          <w:trHeight w:val="27"/>
        </w:trPr>
        <w:tc>
          <w:tcPr>
            <w:tcW w:w="4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(19,158)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(20,933)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Share-based payments</w:t>
            </w:r>
          </w:p>
        </w:tc>
        <w:tc>
          <w:tcPr>
            <w:tcW w:w="340" w:type="dxa"/>
            <w:vAlign w:val="bottom"/>
          </w:tcPr>
          <w:p>
            <w:pPr>
              <w:jc w:val="right"/>
              <w:ind w:right="59"/>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2,446</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2,446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Issuance of warrants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70</w:t>
            </w: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1,755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247,460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5"/>
              </w:rPr>
              <w:t>132,269</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(1,058)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7,401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(316,126)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(2,116)</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69,585</w:t>
            </w:r>
          </w:p>
        </w:tc>
      </w:tr>
      <w:tr>
        <w:trPr>
          <w:trHeight w:val="20"/>
        </w:trPr>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ectPr>
          <w:pgSz w:w="11900" w:h="16838" w:orient="portrait"/>
          <w:cols w:equalWidth="0" w:num="1">
            <w:col w:w="11020"/>
          </w:cols>
          <w:pgMar w:left="440" w:top="297"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MEREO BIOPHARMA GROUP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Mereo BioPharma Group plc (the “Company” or “Mereo”) is a clinical-stage, United Kingdom (“UK”) based biopharmaceutical company focused on rare diseases and oncology.</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Company is a public limited company incorporated and domiciled in the UK, and registered in England, with shares publicly traded on the Nasdaq Global Market via American Depositary Shares (“ADSs”) under the ticker symbol MREO. The Company’s registered office is located at Fourth Floor, 1 Cavendish Place, London, W1G 0QF, United Kingdom.</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These financial statements are the unaudited condensed consolidated financial statements of Mereo BioPharma Group plc and its subsidiaries for the six months ended June 30, 2022. The principal activities of the Company are the development and commercialization of innovative therapeutic pharmaceutical products.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The unaudited condensed consolidated financial statements for the six-month period ended June 30, 2022 have been prepared in accordance with International Accounting Standards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These consolidated condensed financial statements do not include all information and disclosures required in the annual financial statements in accordance with International Financial Reporting Standards (IFRS) and should be read in conjunction with the Company’s annual consolidated financial statements for the year ended December 31, 2021 filed with the Securities and Exchange Commission (“SEC”) on March 31, 2022.</w:t>
      </w:r>
    </w:p>
    <w:p>
      <w:pPr>
        <w:spacing w:after="0" w:line="188"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The financial information is presented in pound sterling (“£”), which is the presentational currency of the Company. The functional currencies of consolidated subsidiaries are pound sterling and US dollars (“$”). All amounts disclosed in the condensed consolidated financial statements and notes have been rounded to the nearest thousand, unless otherwise stated.</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financial information for the year ended December 31, 2021 has been extracted from the Company’s audited financial statements for that year, filed with the SEC on March 31, 2022.</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These condensed consolidated financial statements are unaudited and do not constitute statutory accounts of the Company as defined in section 434 of the Companies Act 2006. A copy of the statutory accounts for financial year ended December 31, 2021 has been delivered to the Registrar of Companies. The auditors reported on those accounts and their report was unqualified, did not draw attention to any matters by way of emphasis and did not contain a statement under section 498(2) or (3) of the Companies Act 2006.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Segmental information</w:t>
      </w:r>
    </w:p>
    <w:p>
      <w:pPr>
        <w:spacing w:after="0" w:line="117"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The Company has one operating segment. The Chief Operating Decision Maker (“CODM”) is the Chief Executive Officer. The Company has a single portfolio of product candidates, with only direct research and development expenses monitored by product candidate. The CODM makes decisions over resource allocation at an overall portfolio level and the Company’s financing is managed and monitored on a consolidated basis.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40" w:firstLine="440"/>
        <w:spacing w:after="0" w:line="381" w:lineRule="auto"/>
        <w:rPr>
          <w:sz w:val="20"/>
          <w:szCs w:val="20"/>
          <w:color w:val="auto"/>
        </w:rPr>
      </w:pPr>
      <w:r>
        <w:rPr>
          <w:rFonts w:ascii="Arial" w:cs="Arial" w:eastAsia="Arial" w:hAnsi="Arial"/>
          <w:sz w:val="15"/>
          <w:szCs w:val="15"/>
          <w:color w:val="auto"/>
        </w:rPr>
        <w:t>The going concern basis has been applied in these condensed consolidated financial statements as the Company has adequate resources to meet its liabilities as they fall due for the foreseeable future and at least 12 months from the issuance date of these condensed consolidated financial statements.</w:t>
      </w:r>
    </w:p>
    <w:p>
      <w:pPr>
        <w:spacing w:after="0" w:line="100"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The Company expects to incur significant operating losses for the foreseeable future as it continues its research and development efforts, seeks to obtain regulatory approval of its product candidates and pursues any future product candidates the Company may develop.</w:t>
      </w:r>
    </w:p>
    <w:p>
      <w:pPr>
        <w:sectPr>
          <w:pgSz w:w="11900" w:h="16838" w:orient="portrait"/>
          <w:cols w:equalWidth="0" w:num="1">
            <w:col w:w="11000"/>
          </w:cols>
          <w:pgMar w:left="440" w:top="297" w:right="459" w:bottom="1440" w:gutter="0" w:footer="0" w:header="0"/>
        </w:sectPr>
      </w:pPr>
    </w:p>
    <w:bookmarkStart w:id="9" w:name="page10"/>
    <w:bookmarkEnd w:id="9"/>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Until such time as the Company can generate significant revenue from product sales, or other commercial revenues, if ever, or through licensing and/or collaboration agreements for its rare disease or oncology product candidates, the Company will seek to finance its operations through a combination of public or private equity or debt financings or other sources.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accounting policies adopted in the preparation of the condensed consolidated financial statements are consistent with those followed in the preparation of the Company’s consolidated financial statements for the year ended December 31,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estimates and judgments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preparation of these condensed consolidated financial statements requires the management of the Company to make estimates and judgments that affect the reported amounts of assets, liabilities, revenues and expenses. The Company bases its estimates and judgments on historical experience and on various other assumptions that it considers to be reasonable. Actual results may differ from these estimates under different assumptions or conditions.</w:t>
      </w:r>
    </w:p>
    <w:p>
      <w:pPr>
        <w:spacing w:after="0" w:line="187"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The significant accounting estimates and judgments adopted in the preparation of the condensed consolidated financial statements are consistent with those followed in the preparation of the Company’s consolidated financial statements for the year ended December 31,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recognized upfront proceeds of £36.5 million ($50.0 million) from the license and collaboration agreement with Ultragenyx for setrusumab as revenue in the six-month period ended June 30, 2021. The variable consideration relating to future milestones and sales royalties will be recognized in the statement of comprehensive income when the milestones are achieved or the underlying commercial sales are made, in the event regulatory approval is obtained.</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As a consequence of the license and collaboration agreement with Ultragenyx and in accordance with terms of the 2015 asset purchase with Novartis, the Company made a payment to Novartis of £7.2 million ($10.0 million). The payment included a deduction for costs of £2.4 million which was deferred to be recognized in the statement of comprehensive income when the associated costs are incurred. In the six-month period ended June 30, 2022, £0.4 million (six months ended June 30, 2021: £0.9 million) of these deductions were recognized within “Cost of revenue” in the condensed consolidated statement of comprehensive (loss)/income. As of June 30, 2022, the remaining balance to be recognized of £0.9 million (June 30, 2021: £1.5 million and December 31, 2021: £1.3 million) is included within “Other liabilities” in the condensed consolidated balance sheets.</w:t>
      </w:r>
    </w:p>
    <w:p>
      <w:pPr>
        <w:spacing w:after="0" w:line="268" w:lineRule="exact"/>
        <w:rPr>
          <w:sz w:val="20"/>
          <w:szCs w:val="20"/>
          <w:color w:val="auto"/>
        </w:rPr>
      </w:pPr>
    </w:p>
    <w:p>
      <w:pPr>
        <w:ind w:right="4380"/>
        <w:spacing w:after="0" w:line="407" w:lineRule="auto"/>
        <w:rPr>
          <w:sz w:val="20"/>
          <w:szCs w:val="20"/>
          <w:color w:val="auto"/>
        </w:rPr>
      </w:pPr>
      <w:r>
        <w:rPr>
          <w:rFonts w:ascii="Arial" w:cs="Arial" w:eastAsia="Arial" w:hAnsi="Arial"/>
          <w:sz w:val="18"/>
          <w:szCs w:val="18"/>
          <w:b w:val="1"/>
          <w:bCs w:val="1"/>
          <w:color w:val="auto"/>
        </w:rPr>
        <w:t xml:space="preserve">4. Finance income, finance costs and changes in the fair value of financial instruments </w:t>
      </w:r>
      <w:r>
        <w:rPr>
          <w:rFonts w:ascii="Arial" w:cs="Arial" w:eastAsia="Arial" w:hAnsi="Arial"/>
          <w:sz w:val="18"/>
          <w:szCs w:val="18"/>
          <w:b w:val="1"/>
          <w:bCs w:val="1"/>
          <w:i w:val="1"/>
          <w:iCs w:val="1"/>
          <w:color w:val="auto"/>
        </w:rPr>
        <w:t>Finance income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3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87"/>
              </w:rPr>
              <w:t>Six months</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Six months</w:t>
            </w:r>
          </w:p>
        </w:tc>
      </w:tr>
      <w:tr>
        <w:trPr>
          <w:trHeight w:val="148"/>
        </w:trPr>
        <w:tc>
          <w:tcPr>
            <w:tcW w:w="13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380" w:type="dxa"/>
            <w:vAlign w:val="bottom"/>
            <w:gridSpan w:val="4"/>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to June 30,</w:t>
            </w: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to June 30,</w:t>
            </w:r>
          </w:p>
        </w:tc>
      </w:tr>
      <w:tr>
        <w:trPr>
          <w:trHeight w:val="148"/>
        </w:trPr>
        <w:tc>
          <w:tcPr>
            <w:tcW w:w="13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13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1"/>
              </w:rPr>
              <w:t>£’000</w:t>
            </w: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£’000</w:t>
            </w:r>
          </w:p>
        </w:tc>
      </w:tr>
      <w:tr>
        <w:trPr>
          <w:trHeight w:val="210"/>
        </w:trPr>
        <w:tc>
          <w:tcPr>
            <w:tcW w:w="13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on short-term deposits</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9"/>
                <w:szCs w:val="19"/>
                <w:color w:val="auto"/>
              </w:rPr>
            </w:pPr>
          </w:p>
        </w:tc>
      </w:tr>
      <w:tr>
        <w:trPr>
          <w:trHeight w:val="547"/>
        </w:trPr>
        <w:tc>
          <w:tcPr>
            <w:tcW w:w="7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Finance costs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13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0"/>
              </w:rPr>
              <w:t>Six months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Six months</w:t>
            </w:r>
          </w:p>
        </w:tc>
      </w:tr>
      <w:tr>
        <w:trPr>
          <w:trHeight w:val="148"/>
        </w:trPr>
        <w:tc>
          <w:tcPr>
            <w:tcW w:w="13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0"/>
              </w:rPr>
              <w:t>to June 30,</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to June 30,</w:t>
            </w:r>
          </w:p>
        </w:tc>
      </w:tr>
      <w:tr>
        <w:trPr>
          <w:trHeight w:val="149"/>
        </w:trPr>
        <w:tc>
          <w:tcPr>
            <w:tcW w:w="13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13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£’000</w:t>
            </w: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£’000</w:t>
            </w:r>
          </w:p>
        </w:tc>
      </w:tr>
      <w:tr>
        <w:trPr>
          <w:trHeight w:val="210"/>
        </w:trPr>
        <w:tc>
          <w:tcPr>
            <w:tcW w:w="13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convertible loan notes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380" w:type="dxa"/>
            <w:vAlign w:val="bottom"/>
            <w:gridSpan w:val="4"/>
          </w:tcPr>
          <w:p>
            <w:pPr>
              <w:jc w:val="right"/>
              <w:ind w:right="480"/>
              <w:spacing w:after="0"/>
              <w:rPr>
                <w:sz w:val="20"/>
                <w:szCs w:val="20"/>
                <w:color w:val="auto"/>
              </w:rPr>
            </w:pPr>
            <w:r>
              <w:rPr>
                <w:rFonts w:ascii="Arial" w:cs="Arial" w:eastAsia="Arial" w:hAnsi="Arial"/>
                <w:sz w:val="18"/>
                <w:szCs w:val="18"/>
                <w:color w:val="auto"/>
              </w:rPr>
              <w:t>(113)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13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Discounting of provision for deferred cash consideration</w:t>
            </w:r>
          </w:p>
        </w:tc>
        <w:tc>
          <w:tcPr>
            <w:tcW w:w="138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(163)</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13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(16)</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r>
      <w:tr>
        <w:trPr>
          <w:trHeight w:val="27"/>
        </w:trPr>
        <w:tc>
          <w:tcPr>
            <w:tcW w:w="13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(1,859)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(1,987)</w:t>
            </w:r>
          </w:p>
        </w:tc>
      </w:tr>
      <w:tr>
        <w:trPr>
          <w:trHeight w:val="20"/>
        </w:trPr>
        <w:tc>
          <w:tcPr>
            <w:tcW w:w="1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940"/>
          </w:cols>
          <w:pgMar w:left="440" w:top="301" w:right="5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Changes in the fair value of financial instruments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Six months</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5"/>
              </w:rPr>
              <w:t>Six months</w:t>
            </w:r>
          </w:p>
        </w:tc>
      </w:tr>
      <w:tr>
        <w:trPr>
          <w:trHeight w:val="148"/>
        </w:trPr>
        <w:tc>
          <w:tcPr>
            <w:tcW w:w="64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to June 30,</w:t>
            </w: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to June 30,</w:t>
            </w:r>
          </w:p>
        </w:tc>
      </w:tr>
      <w:tr>
        <w:trPr>
          <w:trHeight w:val="148"/>
        </w:trPr>
        <w:tc>
          <w:tcPr>
            <w:tcW w:w="6480" w:type="dxa"/>
            <w:vAlign w:val="bottom"/>
          </w:tcPr>
          <w:p>
            <w:pPr>
              <w:spacing w:after="0"/>
              <w:rPr>
                <w:sz w:val="12"/>
                <w:szCs w:val="12"/>
                <w:color w:val="auto"/>
              </w:rPr>
            </w:pPr>
          </w:p>
        </w:tc>
        <w:tc>
          <w:tcPr>
            <w:tcW w:w="68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2"/>
                <w:szCs w:val="12"/>
                <w:color w:val="auto"/>
              </w:rPr>
            </w:pPr>
          </w:p>
        </w:tc>
        <w:tc>
          <w:tcPr>
            <w:tcW w:w="70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71"/>
        </w:trPr>
        <w:tc>
          <w:tcPr>
            <w:tcW w:w="648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£’000</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£’000</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the fair value of warrants – placement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Changes in the fair value of warrants – bank loan</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119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6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1,210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14,363</w:t>
            </w:r>
          </w:p>
        </w:tc>
      </w:tr>
      <w:tr>
        <w:trPr>
          <w:trHeight w:val="20"/>
        </w:trPr>
        <w:tc>
          <w:tcPr>
            <w:tcW w:w="6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income and expenses</w:t>
      </w:r>
    </w:p>
    <w:p>
      <w:pPr>
        <w:spacing w:after="0" w:line="121"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In February 2022, the Company received a milestone payment of $2.0 million (£1.5 million) under the Navi License Agreement with OncXerna. An associated payment was made to the former shareholders of Mereo BioPharma 5, Inc. under the Contingent Value Rights Agreement (“CVR”) of a total of $0.9 million (£0.7 million), after deductions of costs, charges and expenditures, which resulted in other income, net of £0.8 million.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Basic (loss)/profit per share is calculated by dividing the (loss)/profit attributable for the period to ordinary equity holders of the parent by the weighted average number of ordinary shares outstanding during the period. Diluted loss per share is based on dividing the loss attributable for the period, adjusted for the effect of dilutive ordinary shares, by ordinary share equivalents, which includes the weighted average number of ordinary shares outstanding and the effect of dilutive ordinary share equivalents.</w:t>
      </w:r>
    </w:p>
    <w:p>
      <w:pPr>
        <w:spacing w:after="0" w:line="19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Six months to</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Six months to</w:t>
            </w:r>
          </w:p>
        </w:tc>
      </w:tr>
      <w:tr>
        <w:trPr>
          <w:trHeight w:val="148"/>
        </w:trPr>
        <w:tc>
          <w:tcPr>
            <w:tcW w:w="60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June 30,</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60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4"/>
                <w:szCs w:val="14"/>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 – Basic earnings per share (£’000)</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(Loss)/profit attributable to equity holders of the parent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(19,158)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12,088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 – Basic earnings per share</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Weighted average number of ordinary shares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583,892,445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494,617,344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(Loss)/profit per share – basic (£)</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Numerator – Diluted earnings per share (£’000):</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(Loss)/profit attributable to equity holders of the parent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(19,158)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Effect of dilutive ordinary shares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(14,363)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Numerator – Diluted earnings per share</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(19,158)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(2,275)</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Denominator – Diluted earnings per share: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Number of ordinary shares used for basic earnings per share</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583,892,445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494,617,344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Weighted average effect of dilutive ordinary shares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48,264,422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diluted ordinary shares outstanding</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583,892,445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542,881,766</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Loss per share – diluted (£)</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For the period ended June 30, 2021, the effect of dilutive ordinary shares is related to Company’s outstanding warrants. For the period ended June 30, 2022, share options, convertible loan notes and warrants were considered to be anti-dilutive as they would have decreased the loss per share and were therefore excluded from the calculation of diluted loss per share. Therefore, the weighted average shares outstanding used to calculate both the basic and diluted loss per share was the same.</w:t>
      </w:r>
    </w:p>
    <w:p>
      <w:pPr>
        <w:sectPr>
          <w:pgSz w:w="11900" w:h="16838" w:orient="portrait"/>
          <w:cols w:equalWidth="0" w:num="1">
            <w:col w:w="10960"/>
          </w:cols>
          <w:pgMar w:left="440" w:top="301"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7. Property, plant and equipment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Right-of-use</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Right-of-use</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Leasehold</w:t>
            </w:r>
          </w:p>
        </w:tc>
        <w:tc>
          <w:tcPr>
            <w:tcW w:w="120" w:type="dxa"/>
            <w:vAlign w:val="bottom"/>
          </w:tcPr>
          <w:p>
            <w:pPr>
              <w:spacing w:after="0"/>
              <w:rPr>
                <w:sz w:val="14"/>
                <w:szCs w:val="14"/>
                <w:color w:val="auto"/>
              </w:rPr>
            </w:pPr>
          </w:p>
        </w:tc>
        <w:tc>
          <w:tcPr>
            <w:tcW w:w="96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5"/>
              </w:rPr>
              <w:t>Office</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asset</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asset</w:t>
            </w: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(building)</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(equipment)</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improvements</w:t>
            </w:r>
          </w:p>
        </w:tc>
        <w:tc>
          <w:tcPr>
            <w:tcW w:w="120" w:type="dxa"/>
            <w:vAlign w:val="bottom"/>
          </w:tcPr>
          <w:p>
            <w:pPr>
              <w:spacing w:after="0"/>
              <w:rPr>
                <w:sz w:val="14"/>
                <w:szCs w:val="14"/>
                <w:color w:val="auto"/>
              </w:rPr>
            </w:pPr>
          </w:p>
        </w:tc>
        <w:tc>
          <w:tcPr>
            <w:tcW w:w="9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equipment</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equipment</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2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3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3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£’000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or valuation</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At January 1, 2022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2,903</w:t>
            </w:r>
          </w:p>
        </w:tc>
        <w:tc>
          <w:tcPr>
            <w:tcW w:w="2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557</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180</w:t>
            </w:r>
          </w:p>
        </w:tc>
        <w:tc>
          <w:tcPr>
            <w:tcW w:w="64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4,108</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Currency translation effects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At June 30, 2022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183</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4,128</w:t>
            </w: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Depreciation and impairment</w:t>
            </w: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At January 1, 2022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(124)</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(1,578)</w:t>
            </w: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color w:val="auto"/>
              </w:rPr>
              <w:t>Impairment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for the period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At June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(1,352)</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c>
          <w:tcPr>
            <w:tcW w:w="3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3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(2,014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At January 1, 2022</w:t>
            </w:r>
          </w:p>
        </w:tc>
        <w:tc>
          <w:tcPr>
            <w:tcW w:w="780" w:type="dxa"/>
            <w:vAlign w:val="bottom"/>
          </w:tcPr>
          <w:p>
            <w:pPr>
              <w:jc w:val="right"/>
              <w:spacing w:after="0"/>
              <w:rPr>
                <w:sz w:val="20"/>
                <w:szCs w:val="20"/>
                <w:color w:val="auto"/>
              </w:rPr>
            </w:pPr>
            <w:r>
              <w:rPr>
                <w:rFonts w:ascii="Arial" w:cs="Arial" w:eastAsia="Arial" w:hAnsi="Arial"/>
                <w:sz w:val="18"/>
                <w:szCs w:val="18"/>
                <w:color w:val="auto"/>
              </w:rPr>
              <w:t>1,878</w:t>
            </w:r>
          </w:p>
        </w:tc>
        <w:tc>
          <w:tcPr>
            <w:tcW w:w="2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At June 30, 2022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2,114</w:t>
            </w:r>
          </w:p>
        </w:tc>
        <w:tc>
          <w:tcPr>
            <w:tcW w:w="0" w:type="dxa"/>
            <w:vAlign w:val="bottom"/>
          </w:tcPr>
          <w:p>
            <w:pPr>
              <w:spacing w:after="0"/>
              <w:rPr>
                <w:sz w:val="1"/>
                <w:szCs w:val="1"/>
                <w:color w:val="auto"/>
              </w:rPr>
            </w:pPr>
          </w:p>
        </w:tc>
      </w:tr>
      <w:tr>
        <w:trPr>
          <w:trHeight w:val="547"/>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8. Intangible assets</w:t>
            </w: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Acquired</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vMerge w:val="restart"/>
          </w:tcPr>
          <w:p>
            <w:pPr>
              <w:spacing w:after="0"/>
              <w:rPr>
                <w:sz w:val="14"/>
                <w:szCs w:val="14"/>
                <w:color w:val="auto"/>
              </w:rPr>
            </w:pPr>
          </w:p>
        </w:tc>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programs</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60" w:type="dxa"/>
            <w:vAlign w:val="bottom"/>
            <w:vMerge w:val="continue"/>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96"/>
              </w:rPr>
              <w:t>£’000</w:t>
            </w:r>
          </w:p>
        </w:tc>
        <w:tc>
          <w:tcPr>
            <w:tcW w:w="300" w:type="dxa"/>
            <w:vAlign w:val="bottom"/>
            <w:gridSpan w:val="3"/>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tcPr>
          <w:p>
            <w:pPr>
              <w:spacing w:after="0"/>
              <w:rPr>
                <w:sz w:val="17"/>
                <w:szCs w:val="17"/>
                <w:color w:val="auto"/>
              </w:rPr>
            </w:pPr>
          </w:p>
        </w:tc>
        <w:tc>
          <w:tcPr>
            <w:tcW w:w="3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 January 1, 2022 and June 30, 2022</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33,005</w:t>
            </w:r>
          </w:p>
        </w:tc>
        <w:tc>
          <w:tcPr>
            <w:tcW w:w="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ind w:left="1760"/>
              <w:spacing w:after="0"/>
              <w:rPr>
                <w:sz w:val="20"/>
                <w:szCs w:val="20"/>
                <w:color w:val="auto"/>
              </w:rPr>
            </w:pPr>
            <w:r>
              <w:rPr>
                <w:rFonts w:ascii="Arial" w:cs="Arial" w:eastAsia="Arial" w:hAnsi="Arial"/>
                <w:sz w:val="18"/>
                <w:szCs w:val="18"/>
                <w:b w:val="1"/>
                <w:bCs w:val="1"/>
                <w:color w:val="auto"/>
                <w:w w:val="96"/>
              </w:rPr>
              <w:t>Accumulated revision to estimated value</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January 1, 2022</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(8,441)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Revision to estimated value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June 30, 2022</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(8,889)</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ind w:left="1760"/>
              <w:spacing w:after="0"/>
              <w:rPr>
                <w:sz w:val="20"/>
                <w:szCs w:val="20"/>
                <w:color w:val="auto"/>
              </w:rPr>
            </w:pPr>
            <w:r>
              <w:rPr>
                <w:rFonts w:ascii="Arial" w:cs="Arial" w:eastAsia="Arial" w:hAnsi="Arial"/>
                <w:sz w:val="18"/>
                <w:szCs w:val="18"/>
                <w:b w:val="1"/>
                <w:bCs w:val="1"/>
                <w:color w:val="auto"/>
              </w:rPr>
              <w:t>Net book value</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January 1, 2022</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24,564</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ind w:left="1760"/>
              <w:spacing w:after="0"/>
              <w:rPr>
                <w:sz w:val="20"/>
                <w:szCs w:val="20"/>
                <w:color w:val="auto"/>
              </w:rPr>
            </w:pPr>
            <w:r>
              <w:rPr>
                <w:rFonts w:ascii="Arial" w:cs="Arial" w:eastAsia="Arial" w:hAnsi="Arial"/>
                <w:sz w:val="18"/>
                <w:szCs w:val="18"/>
                <w:b w:val="1"/>
                <w:bCs w:val="1"/>
                <w:color w:val="auto"/>
              </w:rPr>
              <w:t>At June 30, 2022</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24,116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present value of the provision for deferred cash consideration relating to the agreement with AstraZeneca was reviewed at June 30, 2022 (see Note 10). The change in the period due to changes in timelines or probability of contractual milestones being achieved was a decrease of £0.4 million which was recognized as a reduction of the intangible asset in line with our accounting policies.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period the Company did not revise the value of any other intangible assets (2021: £nil). As the intangible assets remain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development, no amortization charge has been recognized (2021: £nil).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Issued capital and reserves</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auto"/>
                <w:w w:val="99"/>
              </w:rPr>
              <w:t>Ordinary</w:t>
            </w:r>
          </w:p>
        </w:tc>
        <w:tc>
          <w:tcPr>
            <w:tcW w:w="320" w:type="dxa"/>
            <w:vAlign w:val="bottom"/>
          </w:tcPr>
          <w:p>
            <w:pPr>
              <w:spacing w:after="0"/>
              <w:rPr>
                <w:sz w:val="14"/>
                <w:szCs w:val="14"/>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ordinary</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3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premium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3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£’000</w:t>
            </w:r>
          </w:p>
        </w:tc>
        <w:tc>
          <w:tcPr>
            <w:tcW w:w="3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338,953,141</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161,785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Issued during the period</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205,557,122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for issued share capital</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At June 30,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544,510,263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240,552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2022 and June 30,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584,908,239</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247,460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capital reserves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Share-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component of</w:t>
            </w:r>
          </w:p>
        </w:tc>
        <w:tc>
          <w:tcPr>
            <w:tcW w:w="82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Merger</w:t>
            </w: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based</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warrants</w:t>
            </w: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payments</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loan</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issued</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reserve</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3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2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£’000</w:t>
            </w:r>
          </w:p>
        </w:tc>
        <w:tc>
          <w:tcPr>
            <w:tcW w:w="2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2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£’000</w:t>
            </w:r>
          </w:p>
        </w:tc>
        <w:tc>
          <w:tcPr>
            <w:tcW w:w="2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£’000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2021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19,843</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34,565</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3"/>
              </w:rPr>
              <w:t>40,818</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33,104</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128,374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Share-based payments expense during the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1,760</w:t>
            </w:r>
          </w:p>
        </w:tc>
        <w:tc>
          <w:tcPr>
            <w:tcW w:w="32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 option exercise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b w:val="1"/>
                <w:bCs w:val="1"/>
                <w:color w:val="auto"/>
              </w:rPr>
              <w:t>At June 30, 2021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21,495</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34,565</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260" w:type="dxa"/>
            <w:vAlign w:val="bottom"/>
          </w:tcPr>
          <w:p>
            <w:pPr>
              <w:spacing w:after="0"/>
              <w:rPr>
                <w:sz w:val="20"/>
                <w:szCs w:val="20"/>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3"/>
              </w:rPr>
              <w:t>40,818</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33,104</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130,026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2022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23,026</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32,843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40,818</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33,104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129,835</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Share-based payments expense during the period</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320" w:type="dxa"/>
            <w:vAlign w:val="bottom"/>
          </w:tcPr>
          <w:p>
            <w:pPr>
              <w:spacing w:after="0"/>
              <w:rPr>
                <w:sz w:val="19"/>
                <w:szCs w:val="19"/>
                <w:color w:val="auto"/>
              </w:rPr>
            </w:pP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 option exercise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Issuance of warrants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2022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25,390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32,843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114</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40,818</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33,104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132,269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a share option scheme under which options to subscribe for the Company’s shares have been granted to certain</w:t>
      </w:r>
    </w:p>
    <w:p>
      <w:pPr>
        <w:spacing w:after="0" w:line="23" w:lineRule="exact"/>
        <w:rPr>
          <w:sz w:val="20"/>
          <w:szCs w:val="20"/>
          <w:color w:val="auto"/>
        </w:rPr>
      </w:pPr>
    </w:p>
    <w:p>
      <w:pPr>
        <w:jc w:val="both"/>
        <w:ind w:right="40"/>
        <w:spacing w:after="0" w:line="323" w:lineRule="auto"/>
        <w:rPr>
          <w:sz w:val="20"/>
          <w:szCs w:val="20"/>
          <w:color w:val="auto"/>
        </w:rPr>
      </w:pPr>
      <w:r>
        <w:rPr>
          <w:rFonts w:ascii="Arial" w:cs="Arial" w:eastAsia="Arial" w:hAnsi="Arial"/>
          <w:sz w:val="16"/>
          <w:szCs w:val="16"/>
          <w:color w:val="auto"/>
        </w:rPr>
        <w:t>executives, non-executive directors (“NEDs”) and employees. The share-based payment reserve is used to recognize (i) the value of equity settled share-based payments provided to employees, including key management personnel, as part of their remuneration and (ii) deferred equity consideration.</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charge for the six months to June 30, 2022 in respect of all share option schemes was £2.4 million (June 30, 2021: £1.8 million).</w:t>
      </w:r>
    </w:p>
    <w:p>
      <w:pPr>
        <w:spacing w:after="0" w:line="237"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During the six months ended June 30, 2022, the Company granted 3,996,400 market value options over ADS under the Mereo 2019 Equity Incentive Plan to certain executives and other employees. The weighted average fair value of options granted was $1.23 per option. The weighted average exercise price is $1.39 per ADS. During the same period, the Company granted 507,987 market value options over ADS under the Mereo 2019 NED Equity Incentive Plan to certain non-executive directors. The weighted average fair value of options granted was $1.10 per option. The weighted average exercise price is $1.24 per ADS. Options over ADSs issued during the six months ended June 30, 2022 were valued using the Black-Scholes model with the following weighted average inputs: expected volatility of 96%; risk free interest rate of 1.79%; expected life of 10 years; and market price per ADS of $1.38.</w:t>
      </w:r>
    </w:p>
    <w:p>
      <w:pPr>
        <w:spacing w:after="0" w:line="19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A total of 353,183 deferred restricted stock units, with a weighted average fair value of $1.12 per restricted stock unit, were also granted in February 2022 under the Mereo 2019 NED Equity Incentive Plan to certain non-executive directors who elected to receive restricted stock units in lieu of their cash fees for the year commencing February 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Provisions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r>
      <w:tr>
        <w:trPr>
          <w:trHeight w:val="148"/>
        </w:trPr>
        <w:tc>
          <w:tcPr>
            <w:tcW w:w="6440" w:type="dxa"/>
            <w:vAlign w:val="bottom"/>
          </w:tcPr>
          <w:p>
            <w:pPr>
              <w:spacing w:after="0"/>
              <w:rPr>
                <w:sz w:val="12"/>
                <w:szCs w:val="12"/>
                <w:color w:val="auto"/>
              </w:rPr>
            </w:pPr>
          </w:p>
        </w:tc>
        <w:tc>
          <w:tcPr>
            <w:tcW w:w="5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2"/>
                <w:szCs w:val="12"/>
                <w:color w:val="auto"/>
              </w:rPr>
            </w:pPr>
          </w:p>
        </w:tc>
        <w:tc>
          <w:tcPr>
            <w:tcW w:w="840" w:type="dxa"/>
            <w:vAlign w:val="bottom"/>
          </w:tcPr>
          <w:p>
            <w:pPr>
              <w:jc w:val="right"/>
              <w:ind w:right="198"/>
              <w:spacing w:after="0" w:line="149"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71"/>
        </w:trPr>
        <w:tc>
          <w:tcPr>
            <w:tcW w:w="64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£’000</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£’000</w:t>
            </w: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deferred cash consideration</w:t>
            </w:r>
          </w:p>
        </w:tc>
        <w:tc>
          <w:tcPr>
            <w:tcW w:w="5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4,334</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88"/>
              </w:rPr>
              <w:t>4,334</w:t>
            </w:r>
          </w:p>
        </w:tc>
        <w:tc>
          <w:tcPr>
            <w:tcW w:w="5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4,123</w:t>
            </w:r>
          </w:p>
        </w:tc>
        <w:tc>
          <w:tcPr>
            <w:tcW w:w="40" w:type="dxa"/>
            <w:vAlign w:val="bottom"/>
          </w:tcPr>
          <w:p>
            <w:pPr>
              <w:spacing w:after="0"/>
              <w:rPr>
                <w:sz w:val="20"/>
                <w:szCs w:val="20"/>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2,945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2,803</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Non-current</w:t>
            </w: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1,389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1,320</w:t>
            </w:r>
          </w:p>
        </w:tc>
      </w:tr>
    </w:tbl>
    <w:p>
      <w:pPr>
        <w:spacing w:after="0" w:line="18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deferred cash consideration is the estimate of the quantifiable but not certain future cash payment obligations due to AstraZeneca for the acquisition of certain assets. This provision is calculated as the risk adjusted net present value of future cash payments to be made by the Company. The payments are dependent on reaching certain milestones based on the commencement and outcome of clinical trials. The likelihood of achieving such milestones is reviewed at the balance sheet date and increased or decreased as appropriate (see Note 8).</w:t>
      </w:r>
    </w:p>
    <w:p>
      <w:pPr>
        <w:sectPr>
          <w:pgSz w:w="11900" w:h="16838" w:orient="portrait"/>
          <w:cols w:equalWidth="0" w:num="1">
            <w:col w:w="11020"/>
          </w:cols>
          <w:pgMar w:left="440" w:top="301"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11. Convertible loan notes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7"/>
              </w:rPr>
              <w:t>December</w:t>
            </w:r>
          </w:p>
        </w:tc>
      </w:tr>
      <w:tr>
        <w:trPr>
          <w:trHeight w:val="148"/>
        </w:trPr>
        <w:tc>
          <w:tcPr>
            <w:tcW w:w="6820" w:type="dxa"/>
            <w:vAlign w:val="bottom"/>
          </w:tcPr>
          <w:p>
            <w:pPr>
              <w:spacing w:after="0"/>
              <w:rPr>
                <w:sz w:val="12"/>
                <w:szCs w:val="12"/>
                <w:color w:val="auto"/>
              </w:rPr>
            </w:pPr>
          </w:p>
        </w:tc>
        <w:tc>
          <w:tcPr>
            <w:tcW w:w="5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31, 2021</w:t>
            </w:r>
          </w:p>
        </w:tc>
        <w:tc>
          <w:tcPr>
            <w:tcW w:w="40" w:type="dxa"/>
            <w:vAlign w:val="bottom"/>
          </w:tcPr>
          <w:p>
            <w:pPr>
              <w:spacing w:after="0"/>
              <w:rPr>
                <w:sz w:val="12"/>
                <w:szCs w:val="12"/>
                <w:color w:val="auto"/>
              </w:rPr>
            </w:pPr>
          </w:p>
        </w:tc>
      </w:tr>
      <w:tr>
        <w:trPr>
          <w:trHeight w:val="171"/>
        </w:trPr>
        <w:tc>
          <w:tcPr>
            <w:tcW w:w="68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£’000</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£’000</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Novartis Loan Note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Loan Notes – private placement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11,858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10,613</w:t>
            </w:r>
          </w:p>
        </w:tc>
      </w:tr>
      <w:tr>
        <w:trPr>
          <w:trHeight w:val="27"/>
        </w:trPr>
        <w:tc>
          <w:tcPr>
            <w:tcW w:w="6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15,952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14,384</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Current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15,952</w:t>
            </w: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14,384</w:t>
            </w:r>
          </w:p>
        </w:tc>
      </w:tr>
    </w:tbl>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Novartis Loan Note is convertible at a fixed price of £0.265 per ordinary share and bears an interest rate of 6% per annum with a maturity date of February 2023. Loan Notes from the June 2020 private placement are convertible at a fixed price of £0.174 per ordinary share and bears an interest rate of 6% per annum with a maturity date of June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 liability</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4"/>
                <w:szCs w:val="14"/>
                <w:color w:val="auto"/>
              </w:rPr>
            </w:pPr>
          </w:p>
        </w:tc>
        <w:tc>
          <w:tcPr>
            <w:tcW w:w="8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£’000</w:t>
            </w:r>
          </w:p>
        </w:tc>
        <w:tc>
          <w:tcPr>
            <w:tcW w:w="6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2021 £’000</w:t>
            </w: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8,336</w:t>
            </w: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50,775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Warrants exercised</w:t>
            </w:r>
          </w:p>
        </w:tc>
        <w:tc>
          <w:tcPr>
            <w:tcW w:w="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changes during the period</w:t>
            </w:r>
          </w:p>
        </w:tc>
        <w:tc>
          <w:tcPr>
            <w:tcW w:w="9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(1,210)</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(14,364)</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At June 30</w:t>
            </w: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7,126</w:t>
            </w:r>
          </w:p>
        </w:tc>
        <w:tc>
          <w:tcPr>
            <w:tcW w:w="4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34,011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6440" w:type="dxa"/>
            <w:vAlign w:val="bottom"/>
          </w:tcPr>
          <w:p>
            <w:pPr>
              <w:spacing w:after="0"/>
              <w:rPr>
                <w:sz w:val="24"/>
                <w:szCs w:val="24"/>
                <w:color w:val="auto"/>
              </w:rPr>
            </w:pPr>
          </w:p>
        </w:tc>
        <w:tc>
          <w:tcPr>
            <w:tcW w:w="9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52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£’000</w:t>
            </w:r>
          </w:p>
        </w:tc>
        <w:tc>
          <w:tcPr>
            <w:tcW w:w="6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Non-current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7,126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change in fair value of the warrant liability represents an unrealized gain for the six months ended June 30, 2022 and for the six months ended June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 private placement</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As a part of the private placement transaction on June 3, 2020, the participating investors received conditional warrants entitling them to subscribe for an aggregate of 161,048,366 ordinary shares in the Company. The warrants were conditional on certain resolutions being passed at the Company’s general meeting on June 30, 2020. On the passing of the resolutions, the warrants entitled the investors to subscribe for ordinary shares at an exercise price of £0.348 per warrant and are exercisable until June 2023. The warrants are classified as liabilities as the Company does not have an unconditional right to avoid redeeming the instruments for cash. The fair value of the warrant liability was £6.9 million as of June 30, 2022 (£8.0 million as of December 31, 2021). The change in the fair value of £1.1 million was recognized as a gain in the condensed consolidated statement of comprehensive (loss)/income. In the six months ended June 30, 2022, no warrants were exercised.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 bank loan</w:t>
      </w:r>
    </w:p>
    <w:p>
      <w:pPr>
        <w:spacing w:after="0" w:line="117"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As of June 30, 2022 and December 31, 2021, the former lenders of the Company have warrants outstanding to purchase a total of 1,243,908 ordinary shares at an exercise price of £2.95 per share exercisable until August 2027 and a total of 1,243,908 ordinary shares at an exercise price of $0.4144 per share exercisable until October 2028.</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June 30, 2022, the fair value of these warrants were £0.2 million (December 31, 2021: £0.3 million). The change in the fair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£0.1 million was recognized as a gain in the condensed consolidated statement of comprehensive (loss)/income. There were no warrants exercised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outstanding warrants</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At June 30, 2022, a total of 147,431,351 warrants are outstanding. The warrants outstanding are equivalent to 25% of the ordinary share capital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December 31, 2021</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Market price of ADS($)</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Black-Scholes</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Black-Scholes</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Volatility was estimated by reference to the one year historical volatility of the historical share price of the Company.</w:t>
      </w:r>
    </w:p>
    <w:p>
      <w:pPr>
        <w:sectPr>
          <w:pgSz w:w="11900" w:h="16838" w:orient="portrait"/>
          <w:cols w:equalWidth="0" w:num="1">
            <w:col w:w="10980"/>
          </w:cols>
          <w:pgMar w:left="440" w:top="297" w:right="479" w:bottom="1078"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13. Financial instruments fair value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held the following financial instruments at fair value at June 30, 2022. There are no non-recurring fair value measurements.</w:t>
      </w:r>
    </w:p>
    <w:p>
      <w:pPr>
        <w:sectPr>
          <w:pgSz w:w="11900" w:h="16838" w:orient="portrait"/>
          <w:cols w:equalWidth="0" w:num="1">
            <w:col w:w="11020"/>
          </w:cols>
          <w:pgMar w:left="440" w:top="297"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Financial liabilities</w:t>
      </w:r>
    </w:p>
    <w:p>
      <w:pPr>
        <w:ind w:left="880"/>
        <w:spacing w:after="0"/>
        <w:rPr>
          <w:sz w:val="20"/>
          <w:szCs w:val="20"/>
          <w:color w:val="auto"/>
        </w:rPr>
      </w:pPr>
      <w:r>
        <w:rPr>
          <w:rFonts w:ascii="Arial" w:cs="Arial" w:eastAsia="Arial" w:hAnsi="Arial"/>
          <w:sz w:val="14"/>
          <w:szCs w:val="14"/>
          <w:u w:val="single" w:color="auto"/>
          <w:color w:val="auto"/>
        </w:rPr>
        <w:t>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5080</wp:posOffset>
            </wp:positionV>
            <wp:extent cx="587184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Warrant liabilities</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Provision for deferred consideration</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-119380</wp:posOffset>
            </wp:positionV>
            <wp:extent cx="587184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were no transfers between Level 1 and Level 2 during 2022.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Arial" w:cs="Arial" w:eastAsia="Arial" w:hAnsi="Arial"/>
                <w:sz w:val="14"/>
                <w:szCs w:val="14"/>
                <w:color w:val="auto"/>
                <w:w w:val="94"/>
              </w:rPr>
              <w:t>Fair value</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Fair value</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Fair value</w:t>
            </w:r>
          </w:p>
        </w:tc>
      </w:tr>
      <w:tr>
        <w:trPr>
          <w:trHeight w:val="148"/>
        </w:trPr>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8"/>
              </w:rPr>
              <w:t>measurements</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8"/>
              </w:rPr>
              <w:t>measurements</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8"/>
              </w:rPr>
              <w:t>measurements</w:t>
            </w:r>
          </w:p>
        </w:tc>
      </w:tr>
      <w:tr>
        <w:trPr>
          <w:trHeight w:val="148"/>
        </w:trPr>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6"/>
              </w:rPr>
              <w:t>using significant</w:t>
            </w:r>
          </w:p>
        </w:tc>
        <w:tc>
          <w:tcPr>
            <w:tcW w:w="116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6"/>
              </w:rPr>
              <w:t>using significant</w:t>
            </w:r>
          </w:p>
        </w:tc>
        <w:tc>
          <w:tcPr>
            <w:tcW w:w="1160" w:type="dxa"/>
            <w:vAlign w:val="bottom"/>
            <w:gridSpan w:val="2"/>
          </w:tcPr>
          <w:p>
            <w:pPr>
              <w:jc w:val="center"/>
              <w:ind w:left="119"/>
              <w:spacing w:after="0" w:line="149" w:lineRule="exact"/>
              <w:rPr>
                <w:sz w:val="20"/>
                <w:szCs w:val="20"/>
                <w:color w:val="auto"/>
              </w:rPr>
            </w:pPr>
            <w:r>
              <w:rPr>
                <w:rFonts w:ascii="Arial" w:cs="Arial" w:eastAsia="Arial" w:hAnsi="Arial"/>
                <w:sz w:val="14"/>
                <w:szCs w:val="14"/>
                <w:color w:val="auto"/>
                <w:w w:val="96"/>
              </w:rPr>
              <w:t>using significant</w:t>
            </w:r>
          </w:p>
        </w:tc>
      </w:tr>
      <w:tr>
        <w:trPr>
          <w:trHeight w:val="148"/>
        </w:trPr>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2"/>
              </w:rPr>
              <w:t>unobservable</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0"/>
              </w:rPr>
              <w:t>unobservable</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0"/>
              </w:rPr>
              <w:t>unobservable</w:t>
            </w:r>
          </w:p>
        </w:tc>
      </w:tr>
      <w:tr>
        <w:trPr>
          <w:trHeight w:val="167"/>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inputs (Level 1)</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inputs (Level 2)</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inputs (Level 3)</w:t>
            </w:r>
          </w:p>
        </w:tc>
      </w:tr>
      <w:tr>
        <w:trPr>
          <w:trHeight w:val="195"/>
        </w:trPr>
        <w:tc>
          <w:tcPr>
            <w:tcW w:w="960" w:type="dxa"/>
            <w:vAlign w:val="bottom"/>
          </w:tcPr>
          <w:p>
            <w:pPr>
              <w:ind w:left="68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960" w:type="dxa"/>
            <w:vAlign w:val="bottom"/>
          </w:tcPr>
          <w:p>
            <w:pPr>
              <w:ind w:left="680"/>
              <w:spacing w:after="0" w:line="195" w:lineRule="exact"/>
              <w:rPr>
                <w:sz w:val="20"/>
                <w:szCs w:val="20"/>
                <w:color w:val="auto"/>
              </w:rPr>
            </w:pPr>
            <w:r>
              <w:rPr>
                <w:rFonts w:ascii="Arial" w:cs="Arial" w:eastAsia="Arial" w:hAnsi="Arial"/>
                <w:sz w:val="18"/>
                <w:szCs w:val="18"/>
                <w:color w:val="auto"/>
                <w:w w:val="86"/>
              </w:rPr>
              <w:t>222</w:t>
            </w:r>
          </w:p>
        </w:tc>
        <w:tc>
          <w:tcPr>
            <w:tcW w:w="20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6,904</w:t>
            </w:r>
          </w:p>
        </w:tc>
      </w:tr>
      <w:tr>
        <w:trPr>
          <w:trHeight w:val="230"/>
        </w:trPr>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4,334</w:t>
            </w:r>
          </w:p>
        </w:tc>
      </w:tr>
      <w:tr>
        <w:trPr>
          <w:trHeight w:val="223"/>
        </w:trPr>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b w:val="1"/>
                <w:bCs w:val="1"/>
                <w:color w:val="auto"/>
                <w:w w:val="86"/>
              </w:rPr>
              <w:t>222</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11,238</w:t>
            </w:r>
          </w:p>
        </w:tc>
      </w:tr>
    </w:tbl>
    <w:p>
      <w:pPr>
        <w:spacing w:after="0" w:line="599" w:lineRule="exact"/>
        <w:rPr>
          <w:sz w:val="20"/>
          <w:szCs w:val="20"/>
          <w:color w:val="auto"/>
        </w:rPr>
      </w:pPr>
    </w:p>
    <w:p>
      <w:pPr>
        <w:sectPr>
          <w:pgSz w:w="11900" w:h="16838" w:orient="portrait"/>
          <w:cols w:equalWidth="0" w:num="2">
            <w:col w:w="6080" w:space="720"/>
            <w:col w:w="4220"/>
          </w:cols>
          <w:pgMar w:left="440" w:top="297" w:right="439" w:bottom="0" w:gutter="0" w:footer="0" w:header="0"/>
          <w:type w:val="continuous"/>
        </w:sectPr>
      </w:pPr>
    </w:p>
    <w:p>
      <w:pPr>
        <w:spacing w:after="0" w:line="4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management of the Company assessed that the fair values of cash and short-term deposits, other receivables, trade payables, and other current liabilities approximate their carrying amounts largely due to the short-term maturities of these instruments.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movements for level 3 instruments during the period are detailed in the table below:</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3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Provision for</w:t>
            </w: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deferred</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liability</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£’000</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4,123</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Settled during the period</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Movement during the period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At June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warrant liability is estimated using a Black Scholes model, taking into account appropriate amendments to inputs in respect of volatility, remaining expected life of the warrants and rates of interest at each reporting date.</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Valuation</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Sensitivity of the input to</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220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Input range</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20" w:type="dxa"/>
            <w:vAlign w:val="bottom"/>
            <w:vMerge w:val="restart"/>
          </w:tcPr>
          <w:p>
            <w:pPr>
              <w:spacing w:after="0"/>
              <w:rPr>
                <w:sz w:val="20"/>
                <w:szCs w:val="20"/>
                <w:color w:val="auto"/>
              </w:rPr>
            </w:pPr>
            <w:r>
              <w:rPr>
                <w:rFonts w:ascii="Arial" w:cs="Arial" w:eastAsia="Arial" w:hAnsi="Arial"/>
                <w:sz w:val="18"/>
                <w:szCs w:val="18"/>
                <w:color w:val="auto"/>
              </w:rPr>
              <w:t>Provision for deferred</w:t>
            </w:r>
          </w:p>
        </w:tc>
        <w:tc>
          <w:tcPr>
            <w:tcW w:w="120" w:type="dxa"/>
            <w:vAlign w:val="bottom"/>
          </w:tcPr>
          <w:p>
            <w:pPr>
              <w:spacing w:after="0"/>
              <w:rPr>
                <w:sz w:val="16"/>
                <w:szCs w:val="16"/>
                <w:color w:val="auto"/>
              </w:rPr>
            </w:pPr>
          </w:p>
        </w:tc>
        <w:tc>
          <w:tcPr>
            <w:tcW w:w="2200" w:type="dxa"/>
            <w:vAlign w:val="bottom"/>
            <w:gridSpan w:val="2"/>
          </w:tcPr>
          <w:p>
            <w:pPr>
              <w:ind w:left="740"/>
              <w:spacing w:after="0"/>
              <w:rPr>
                <w:sz w:val="20"/>
                <w:szCs w:val="20"/>
                <w:color w:val="auto"/>
              </w:rPr>
            </w:pPr>
            <w:r>
              <w:rPr>
                <w:rFonts w:ascii="Arial" w:cs="Arial" w:eastAsia="Arial" w:hAnsi="Arial"/>
                <w:sz w:val="14"/>
                <w:szCs w:val="14"/>
                <w:b w:val="1"/>
                <w:bCs w:val="1"/>
                <w:color w:val="auto"/>
              </w:rPr>
              <w:t>technique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1980" w:type="dxa"/>
            <w:vAlign w:val="bottom"/>
          </w:tcPr>
          <w:p>
            <w:pPr>
              <w:ind w:left="7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Discounted cash flow</w:t>
            </w:r>
          </w:p>
        </w:tc>
        <w:tc>
          <w:tcPr>
            <w:tcW w:w="100" w:type="dxa"/>
            <w:vAlign w:val="bottom"/>
          </w:tcPr>
          <w:p>
            <w:pPr>
              <w:spacing w:after="0"/>
              <w:rPr>
                <w:sz w:val="15"/>
                <w:szCs w:val="15"/>
                <w:color w:val="auto"/>
              </w:rPr>
            </w:pPr>
          </w:p>
        </w:tc>
        <w:tc>
          <w:tcPr>
            <w:tcW w:w="21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WACC</w:t>
            </w:r>
          </w:p>
        </w:tc>
        <w:tc>
          <w:tcPr>
            <w:tcW w:w="100" w:type="dxa"/>
            <w:vAlign w:val="bottom"/>
          </w:tcPr>
          <w:p>
            <w:pPr>
              <w:spacing w:after="0"/>
              <w:rPr>
                <w:sz w:val="15"/>
                <w:szCs w:val="15"/>
                <w:color w:val="auto"/>
              </w:rPr>
            </w:pPr>
          </w:p>
        </w:tc>
        <w:tc>
          <w:tcPr>
            <w:tcW w:w="21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2022: 14%</w:t>
            </w:r>
          </w:p>
        </w:tc>
        <w:tc>
          <w:tcPr>
            <w:tcW w:w="100" w:type="dxa"/>
            <w:vAlign w:val="bottom"/>
          </w:tcPr>
          <w:p>
            <w:pPr>
              <w:spacing w:after="0"/>
              <w:rPr>
                <w:sz w:val="15"/>
                <w:szCs w:val="15"/>
                <w:color w:val="auto"/>
              </w:rPr>
            </w:pPr>
          </w:p>
        </w:tc>
        <w:tc>
          <w:tcPr>
            <w:tcW w:w="19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1% increase/decrease</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consideration</w:t>
            </w: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would result in a</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9"/>
              </w:rPr>
              <w:t>decrease/increase in fair</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value by £45,000</w:t>
            </w: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WACC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2021: 12%</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1% increase/decrease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would result in a</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9"/>
              </w:rPr>
              <w:t>decrease/increase in fair</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value by £31,000</w:t>
            </w: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Probability of success</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2022: 40.6% - 81.2%</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10% increase/decrease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would result in an</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9"/>
              </w:rPr>
              <w:t>increase/decrease in fair</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value by £0.5 million</w:t>
            </w: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Probability of success</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2021: 40.6% - 81.2%</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10% increase/decrease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would result in an</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9"/>
              </w:rPr>
              <w:t>increase/decrease in fair</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value by £0.5 million</w:t>
            </w: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w w:val="96"/>
              </w:rPr>
              <w:t>Warrant Liability related to the</w:t>
            </w:r>
          </w:p>
        </w:tc>
        <w:tc>
          <w:tcPr>
            <w:tcW w:w="2320" w:type="dxa"/>
            <w:vAlign w:val="bottom"/>
            <w:gridSpan w:val="3"/>
          </w:tcPr>
          <w:p>
            <w:pPr>
              <w:ind w:left="120"/>
              <w:spacing w:after="0"/>
              <w:rPr>
                <w:sz w:val="20"/>
                <w:szCs w:val="20"/>
                <w:color w:val="auto"/>
              </w:rPr>
            </w:pPr>
            <w:r>
              <w:rPr>
                <w:rFonts w:ascii="Arial" w:cs="Arial" w:eastAsia="Arial" w:hAnsi="Arial"/>
                <w:sz w:val="18"/>
                <w:szCs w:val="18"/>
                <w:color w:val="auto"/>
              </w:rPr>
              <w:t>Black-Scholes</w:t>
            </w:r>
          </w:p>
        </w:tc>
        <w:tc>
          <w:tcPr>
            <w:tcW w:w="2100" w:type="dxa"/>
            <w:vAlign w:val="bottom"/>
          </w:tcPr>
          <w:p>
            <w:pPr>
              <w:spacing w:after="0"/>
              <w:rPr>
                <w:sz w:val="20"/>
                <w:szCs w:val="20"/>
                <w:color w:val="auto"/>
              </w:rPr>
            </w:pPr>
            <w:r>
              <w:rPr>
                <w:rFonts w:ascii="Arial" w:cs="Arial" w:eastAsia="Arial" w:hAnsi="Arial"/>
                <w:sz w:val="18"/>
                <w:szCs w:val="18"/>
                <w:color w:val="auto"/>
              </w:rPr>
              <w:t>Expected volatility</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2022: 116.3%</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2"/>
              </w:rPr>
              <w:t>Volatility was estimated by</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PIPE</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7"/>
              </w:rPr>
              <w:t>reference to the one year</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historical volatility of the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historical share price of the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9"/>
              </w:rPr>
              <w:t>Company. If the volatility</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7"/>
              </w:rPr>
              <w:t>is increased to 149% (six</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month volatility), the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carrying value of the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warrants as of June 30,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2022 would increase to</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£10.2 million.</w:t>
            </w: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Expected volatility</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2021: 75.1%</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In 2021, volatility was</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6"/>
              </w:rPr>
              <w:t>estimated by reference to</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the 1.4 year historical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volatility of the historical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share price of the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9"/>
              </w:rPr>
              <w:t>Company. If the volatility</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89"/>
              </w:rPr>
              <w:t>is decreased to 67.4% (one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0" w:gutter="0" w:footer="0" w:header="0"/>
          <w:type w:val="continuous"/>
        </w:sectPr>
      </w:pPr>
    </w:p>
    <w:bookmarkStart w:id="15" w:name="page16"/>
    <w:bookmarkEnd w:id="15"/>
    <w:p>
      <w:pPr>
        <w:ind w:left="8040"/>
        <w:spacing w:after="0"/>
        <w:rPr>
          <w:sz w:val="20"/>
          <w:szCs w:val="20"/>
          <w:color w:val="auto"/>
        </w:rPr>
      </w:pPr>
      <w:r>
        <w:rPr>
          <w:rFonts w:ascii="Arial" w:cs="Arial" w:eastAsia="Arial" w:hAnsi="Arial"/>
          <w:sz w:val="18"/>
          <w:szCs w:val="18"/>
          <w:color w:val="auto"/>
        </w:rPr>
        <w:t>year volatility), the</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carrying value of the</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warrants as of December</w:t>
      </w:r>
    </w:p>
    <w:p>
      <w:pPr>
        <w:spacing w:after="0" w:line="32"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31, 2021 would decrease</w:t>
      </w:r>
    </w:p>
    <w:p>
      <w:pPr>
        <w:spacing w:after="0" w:line="32"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to £6.7 million.</w:t>
      </w:r>
    </w:p>
    <w:p>
      <w:pPr>
        <w:sectPr>
          <w:pgSz w:w="11900" w:h="16838" w:orient="portrait"/>
          <w:cols w:equalWidth="0" w:num="1">
            <w:col w:w="9840"/>
          </w:cols>
          <w:pgMar w:left="1440" w:top="125" w:right="6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14. Related party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Transactions between the parent and its subsidiaries, which are related parties, have been eliminated on consolidation and are not disclosed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trust</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In 2016 the Company set up an Employee Benefit Trust (“EBT”). The EBT holds ADS’s to satisfy the exercise of options by employees under the Company’s share-based incentive schemes.</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No funding was loaned to the EBT by the Company during the period to June 30, 2022 (June 30, 2021: nil). The EBT repaid £45,493 of the funding previously loaned by the Company during the period ended June 30, 2021.</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EBT did not purchase any ordinary shares during the period to June 30, 2022 (2021: nil). A total of 78,225 ordinary shares owned by the EBT were used to satisfy exercise of options by employees under the Company’s share-based incentive schemes during the period ended June 30, 2022 (June 30, 2021: 145,830).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2022 a cash balance of £17,741 was held by the EBT. As of December 31, 2021 a cash balance of £17,866 was held by the EBT.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Events after reporting period</w:t>
      </w:r>
    </w:p>
    <w:p>
      <w:pPr>
        <w:spacing w:after="0" w:line="121"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On July 8, 2022, the Company issued and allotted 40,020,280 ordinary shares of £0.003 in nominal value in the capital of the Company, equivalent to 8,004,056 ADSs, at an exercise price of £0.174 per ordinary share on conversion of loan notes issued as part of the June 2020 private placement transaction. Following this conversion, the Company had 124,918,284 ADSs outstanding.</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 October 18, 2022, the Company announced an updated operating plan, including a targeted reduction in the employee base of up to 40% and a significant reduction in other costs. In connection with the implementation of the operating plan, the Company estimates that it will incur approximately £0.5 million in expenditure, which are expected to primarily relate to employee severance and other termination benefits. The Company expects to recognize substantially all of this expenditure in the fourth quarter of 2022.</w:t>
      </w:r>
    </w:p>
    <w:p>
      <w:pPr>
        <w:sectPr>
          <w:pgSz w:w="11900" w:h="16838" w:orient="portrait"/>
          <w:cols w:equalWidth="0" w:num="1">
            <w:col w:w="10980"/>
          </w:cols>
          <w:pgMar w:left="440" w:top="297" w:right="479" w:bottom="1440" w:gutter="0" w:footer="0" w:header="0"/>
        </w:sectPr>
      </w:pPr>
    </w:p>
    <w:bookmarkStart w:id="17" w:name="page18"/>
    <w:bookmarkEnd w:id="17"/>
    <w:p>
      <w:pPr>
        <w:ind w:left="1008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Mereo’s unaudited condensed consolidated financial statements and related notes included as Exhibit 99.1 to this Report on Form 6-K submitted to the Securities and Exchange Commission, or the SEC, on November 2, 2022 and our discussion and analysis of financial condition and results of operations together with our audited consolidated financial statements and the notes thereto, and the section entitled “Risk Factors”, each of which appear in our annual report on Form 20-F for the year ended December 31, 2021 filed with the SEC on March 31, 2022 (the “Annual Report”).</w:t>
      </w:r>
    </w:p>
    <w:p>
      <w:pPr>
        <w:spacing w:after="0" w:line="17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i w:val="1"/>
          <w:iCs w:val="1"/>
          <w:color w:val="auto"/>
        </w:rPr>
        <w:t>The following discussion is based on Mereo’s financial information prepared in accordance with International Accounting Standard 34, “Interim Financial Reporting” or IAS 34, which may differ in material respects from generally accepted accounting principles in other jurisdictions, including generally accepted accounting principles in the United States.</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“Mereo,” the “Company,” the “Group,” “we,” “our,” “ours,” “us” or similar terms refer to Mereo BioPharma Group plc, and its consolidated subsidiaries.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i w:val="1"/>
          <w:iCs w:val="1"/>
          <w:color w:val="auto"/>
        </w:rPr>
        <w:t>The following discussion includes forward-looking statements that involve risks, uncertainties, and assumptions. Mereo’s actual results may differ materially from those anticipated in these forward-looking statements as a result of many factors, including but not limited to those described under “Item 3. Key Information—D. Risk Factors” and elsewhere in our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440"/>
        <w:spacing w:after="0" w:line="271" w:lineRule="auto"/>
        <w:rPr>
          <w:sz w:val="20"/>
          <w:szCs w:val="20"/>
          <w:color w:val="auto"/>
        </w:rPr>
      </w:pPr>
      <w:r>
        <w:rPr>
          <w:rFonts w:ascii="Arial" w:cs="Arial" w:eastAsia="Arial" w:hAnsi="Arial"/>
          <w:sz w:val="17"/>
          <w:szCs w:val="17"/>
          <w:color w:val="auto"/>
        </w:rPr>
        <w:t>We are a biopharmaceutical company focused on the development of innovative therapeutics for rare diseases and in oncology and plan to commercialize selected rare disease programs. Our existing portfolio consists of six clinical stage product candidates. Our rare disease product candidates are setrusumab for the treatment of osteogenesis imperfecta (OI) and alvelestat for the treatment of severe alpha-1-anti-trypsin deficiency (AATD) and Bronchiolitis Obliterans Syndrome (BOS) following allogenic stem cell transplant. Following the announcement of the results for setrusumab in a Phase 2b study in adults with OI which demonstrated a dose dependent increase in bone mineral density and bone strength, we announced a strategic partnership with Ultragenyx Pharmaceutical, Inc. (“Ultragenyx”) in December 2020 for the development of setrusumab in children and adults with OI. Ultragenyx initiated a pivotal, Phase 2/3 pediatric study in young adults (5-25 years old) and expects to initiate a study in pediatric patients (2 - &lt;5 years old) in the first half of 2023.</w:t>
      </w:r>
    </w:p>
    <w:p>
      <w:pPr>
        <w:spacing w:after="0" w:line="178"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We announced successful completion of a Phase 2 study for alvelestat in AATD in May 2022 which demonstrated statistically significant changes in biomarkers of lung function at different time points up to 12 weeks. Further, we recently announced that Fast Track designation has been granted by the U.S. Food and Drug Administration (FDA) for alvelestat in AATD, along with additional program updates. We plan to discuss the design of a pivotal study for alvelestat in AATD with the regulators in the US and Europe. No additional clinical development expense is planned from current cash resources on this program. Alvelestat is also in an ongoing Phase 2 investigator-led study in AATD, including in patients who may be on augmentation therapy, with data expected in mid-2023. Following successful completion of a Phase 1b investigator-led study in BOS patients following allogenic stem cell transplant, a Phase 2 study was initiated in the second half of 2022.</w:t>
      </w:r>
    </w:p>
    <w:p>
      <w:pPr>
        <w:spacing w:after="0" w:line="17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Our lead oncology product candidate, etigilimab (an anti-TIGIT antibody), has completed a Phase 1a dose escalation clinical trial in patients with advanced solid tumors and has been evaluated in a Phase 1b study in combination with nivolumab in select tumor types. Etigilimab is currently in an open label Phase1b/2 basket study (the ACTIVATE study) in combination with nivolumab in three rare tumors, sarcoma, uveal melanoma and germ cell cancer, three gynecological carcinomas, cervical, ovarian and endometrial carcinomas, and tumors with high mutation burden, along with a Phase 1b/2 study in clear cell ovarian cancer with a partner. We have paused enrollment in the Phase 1b/2 study and currently have 16 patients who remain on study. We recently reported additional clinical response and biomarker data from our Phase 1b/2 basket study.</w:t>
      </w:r>
    </w:p>
    <w:p>
      <w:pPr>
        <w:spacing w:after="0" w:line="164"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We plan to develop our product candidates through the next key clinical milestone and then partner where it makes sense to do so strategically but also in select cases for our rare disease candidates, to develop through regulatory approval and potentially commercialization.</w:t>
      </w:r>
    </w:p>
    <w:p>
      <w:pPr>
        <w:sectPr>
          <w:pgSz w:w="11900" w:h="16838" w:orient="portrait"/>
          <w:cols w:equalWidth="0" w:num="1">
            <w:col w:w="11020"/>
          </w:cols>
          <w:pgMar w:left="440" w:top="121" w:right="439" w:bottom="1440" w:gutter="0" w:footer="0" w:header="0"/>
        </w:sectPr>
      </w:pPr>
    </w:p>
    <w:bookmarkStart w:id="18" w:name="page19"/>
    <w:bookmarkEnd w:id="18"/>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firstLine="440"/>
        <w:spacing w:after="0" w:line="257" w:lineRule="auto"/>
        <w:rPr>
          <w:sz w:val="20"/>
          <w:szCs w:val="20"/>
          <w:color w:val="auto"/>
        </w:rPr>
      </w:pPr>
      <w:r>
        <w:rPr>
          <w:rFonts w:ascii="Arial" w:cs="Arial" w:eastAsia="Arial" w:hAnsi="Arial"/>
          <w:sz w:val="18"/>
          <w:szCs w:val="18"/>
          <w:color w:val="auto"/>
        </w:rPr>
        <w:t>Our second oncology product, navicixizumab for the treatment of late line ovarian cancer has completed a Phase 1b study and was partnered in January 2020 for further development with OncXerna Inc. (“OncXerna”) on a global basis. In February 2022, we received a milestone payment of $2.0 million (£1.5 million) under the license agreement with OncXerna. An associated payment was made to the former shareholders of Mereo BioPharma 5, Inc. under the Contingent Value Rights Agreement (“CVR”) of a total of $0.9 million (£0.7 million), after deductions of costs, charges and expenditures.</w:t>
      </w:r>
    </w:p>
    <w:p>
      <w:pPr>
        <w:spacing w:after="0" w:line="18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We plan to partner or sell our other two product candidates, acumapimod for the treatment of acute exacerbation of chronic obstructive pulmonary disease (“AECOPD”) and leflutrozole for the treatment of infertility and hypogonadotropic hypogonadism (“HH”) in obese men, recognizing the need for greater resources to take these product candidates to market.</w:t>
      </w:r>
    </w:p>
    <w:p>
      <w:pPr>
        <w:spacing w:after="0" w:line="184"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In the first half of 2022, we conducted a comprehensive strategic review of our portfolio and capital allocation strategy. This review included a detailed evaluation of current market conditions, the status of our three ongoing programs, an analysis of recent emerging clinical data, our overall cost base and contractual commitments, consideration of obligations in our existing partnership agreements, and feedback from potential new partners and shareholders. We recently provided an update to our operating plan, which included a targeted reduction in the employee base of up to 40% and a significant reduction in other costs. Our updated plan maintains the ability to progress our core programs, deliver on multiple near-term milestones and optimize value for shareholders. We will retain the core capabilities and key personnel needed to advance our two core rare disease programs and to generate value from our assets. The updated plan extends our cash runway into 2026.</w:t>
      </w:r>
    </w:p>
    <w:p>
      <w:pPr>
        <w:spacing w:after="0" w:line="17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We do not have any approved product candidates and, as a result, have not generated any revenue from product sales. Our ability to generate revenue sufficient to achieve profitability will depend on our successful development, strategic partnering and potential commercialization of our product candidates, if approved. Since our inception, we have incurred significant operating losses. We expect to continue to incur significant expenses and operating losses for the foreseeable future as we advance the clinical and manufacturing development of our product candidates through key milestones and potentially seek regulatory approval. If approved, we also expect to incur significant commercialization expenses related to product manufacturing, marketing, sales, and distribution.</w:t>
      </w:r>
    </w:p>
    <w:p>
      <w:pPr>
        <w:spacing w:after="0" w:line="192"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We also expect to incur expenses in connection with the in-license or acquisition of additional product candidates and the potential clinical development of any such product candidates.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organized into a single operating segment following management’s view of the business as a single portfolio of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are monitored at a product level; however, decisions over resource allocation are made at an overall portfolio level.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financing is managed and monitored on a consolidated basis.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In the first half of 2022, we appointed Anne Hyland and Abdul Mullick to the Company’s Board of Directors and subsequently appointed Anne Hyland as Chair of the Audit and Risk Committee.</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On July 8, 2022, we issued 40,020,280 ordinary shares, equivalent to 8,004,056 ADSs, on conversion of loan notes issued as part of the June 2020 private placement transaction. Following this conversion, loans notes related to the private placement transaction with a principal value of £5.7 million remain outstanding.</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On October 28, 2022, Mereo entered into a cooperation agreement (the “Agreement”) with Rubric Capital Management LP, the Company’s largest shareholder. Pursuant to the Agreement, four new directors – Dr. Annalisa Jenkins, Dr. Daniel Shames, Mr. Marc Yoskowitz and Mr. Justin Roberts – will be appointed to the Company’s Board of Directors as soon as practicable. Concurrent with these appointments taking effect, directors Dr. Peter Fellner, Dr. Brian Schwartz, Dr. Abdul Mullick and Ms. Anne Hyland will resign from the Board. The Agreement was filed as Exhibit 99.2 to the report on Form 6-K filed with the SEC on October 28, 2022.</w:t>
      </w:r>
    </w:p>
    <w:p>
      <w:pPr>
        <w:spacing w:after="0" w:line="188"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On November 1, 2022, Mereo received a letter (the “Notification Letter”) from the Listings Qualifications Department of Nasdaq notifying the Company that its ADSs failed to maintain a minimum bid price of $1.00 over the previous 30 consecutive business days as required by the Listing Rules of Nasdaq. The Company has a compliance period of 180 calendar days, or until May 1, 2023, to regain compliance with Nasdaq’s minimum bid price requirement. The Company intends to monitor the closing bid price of its ADSs and its business operations are not affected by the receipt of the Notification Letter. Further details of the Notification Letter are included on Form 6-K filed with the SEC on November 2,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21"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As a biopharmaceutical company, the Company faces a number of risks and uncertainties. These are common for the industry and relate to operations, intellectual property, research and development, commercial and financial activities. For further information about risks and uncertainties, which the Company faces, refer to the 2021 Annual Report on Form 20-F filed with the SEC on March 31, 2022. At the date of these condensed consolidated financial statements, there have been no significant changes to the Company’s overall risk profile since the publication of that Form 20-F.</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 Where the Company has performed significant development activities for its product candidates, income from agreements with third parties are considered to be proceeds derived from the Company’s ordinary activities and therefore represent revenue.</w:t>
      </w:r>
    </w:p>
    <w:p>
      <w:pPr>
        <w:spacing w:after="0" w:line="181"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Revenue includes income from licensing and collaboration agreements. Consideration received up front is recognized at the point in time in which the right to use an intangible asset is transferred. Income from development, regulatory, commercial or similar milestones is recognized when considered</w:t>
      </w:r>
    </w:p>
    <w:p>
      <w:pPr>
        <w:sectPr>
          <w:pgSz w:w="11900" w:h="16875" w:orient="portrait"/>
          <w:cols w:equalWidth="0" w:num="1">
            <w:col w:w="11020"/>
          </w:cols>
          <w:pgMar w:left="440" w:top="274" w:right="439" w:bottom="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highly probable that a significant reversal will not occur.</w:t>
      </w:r>
    </w:p>
    <w:p>
      <w:pPr>
        <w:sectPr>
          <w:pgSz w:w="11900" w:h="16838" w:orient="portrait"/>
          <w:cols w:equalWidth="0" w:num="1">
            <w:col w:w="10019"/>
          </w:cols>
          <w:pgMar w:left="440" w:top="125" w:right="1440" w:bottom="1440" w:gutter="0" w:footer="0" w:header="0"/>
        </w:sectPr>
      </w:pPr>
    </w:p>
    <w:bookmarkStart w:id="20" w:name="page21"/>
    <w:bookmarkEnd w:id="20"/>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Intangible assets out-licensed under a license or collaboration agreement are recorded within cost of revenue in the Company’s consolidated statement of comprehensive income based on an allocation of cost or value to the rights that have been licensed. Payments to third parties arising as a direct consequence of the income recognized are also recorded within cost of revenue in the Company’s consolidated statement of comprehensive income.</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do not currently have any approved product candidates. Accordingly, we have not generated any commercial sales revenue during the period. In the future, we expect to be able to generate revenues if we are able to obtain regulatory approval and commercialize one or more of our product candidates or through the recognition of milestones and other potential revenues from out-licensing or partnering arrangements for any of our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expenses include:</w:t>
      </w:r>
    </w:p>
    <w:p>
      <w:pPr>
        <w:spacing w:after="0" w:line="131" w:lineRule="exact"/>
        <w:rPr>
          <w:sz w:val="20"/>
          <w:szCs w:val="20"/>
          <w:color w:val="auto"/>
        </w:rPr>
      </w:pPr>
    </w:p>
    <w:p>
      <w:pPr>
        <w:ind w:left="960" w:right="58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and other benefits, for Mereo’s research and development personnel;</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costs for production of drug substance and drug product and development of Mereo’s manufacturing processes by CMOs;</w:t>
      </w:r>
    </w:p>
    <w:p>
      <w:pPr>
        <w:spacing w:after="0" w:line="130"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fees and other costs paid to CROs, consultants, and other suppliers to conduct Mereo’s clinical trials and pre-clinical and non-clinical studies;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costs of facilities, materials, and equipment related to drug production and Mereo’s clinical trials and pre-clinical and non-clinical studies.</w:t>
      </w:r>
    </w:p>
    <w:p>
      <w:pPr>
        <w:spacing w:after="0" w:line="248" w:lineRule="exact"/>
        <w:rPr>
          <w:sz w:val="20"/>
          <w:szCs w:val="20"/>
          <w:color w:val="auto"/>
        </w:rPr>
      </w:pPr>
    </w:p>
    <w:p>
      <w:pPr>
        <w:ind w:right="520" w:firstLine="440"/>
        <w:spacing w:after="0" w:line="308" w:lineRule="auto"/>
        <w:rPr>
          <w:sz w:val="20"/>
          <w:szCs w:val="20"/>
          <w:color w:val="auto"/>
        </w:rPr>
      </w:pPr>
      <w:r>
        <w:rPr>
          <w:rFonts w:ascii="Arial" w:cs="Arial" w:eastAsia="Arial" w:hAnsi="Arial"/>
          <w:sz w:val="17"/>
          <w:szCs w:val="17"/>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4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we continue to advance the clinical development of our product candidates, we expect that our research and development expense will include the completion of the Phase 1b portion of the Phase1b/2 basket study for etigilimab; laying the groundwork for price reimbursement and manufacturing in Europe, and input into development and regulatory plans with our partner, Ultragenyx, for setrusumab; regulatory interactions following the completion of the Phase 2 study in AATD for alvelestat.</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8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Our future expenditure on developing our product candidates is therefore highly uncertain. This is due to numerous risks and uncertainties associated with developing our product candidates, including the uncertainty of:</w:t>
      </w:r>
    </w:p>
    <w:p>
      <w:pPr>
        <w:spacing w:after="0" w:line="76"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progress and results of our clinical trials and our pre-clinical and non-clinical studies;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terms and timing of regulatory approvals, if 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establishment of arrangements with our third-party manufacturers to obtain manufacturing supply;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protection of our rights in its intellectual property portfolio;</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 of commercial sales of any of our product candidates, if approved, whether alone or in collaboration with others;</w:t>
      </w:r>
    </w:p>
    <w:p>
      <w:pPr>
        <w:spacing w:after="0" w:line="130"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party strategic relationships for clinical development and/or commercialization of our non- core product candidates and performance of our strategic partners under these arrangements;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sale, if any, of one or more of our non-core disease product candidates;</w:t>
      </w:r>
    </w:p>
    <w:p>
      <w:pPr>
        <w:sectPr>
          <w:pgSz w:w="11900" w:h="16838" w:orient="portrait"/>
          <w:cols w:equalWidth="0" w:num="1">
            <w:col w:w="10920"/>
          </w:cols>
          <w:pgMar w:left="440" w:top="274" w:right="539" w:bottom="1440" w:gutter="0" w:footer="0" w:header="0"/>
        </w:sectPr>
      </w:pPr>
    </w:p>
    <w:bookmarkStart w:id="21" w:name="page22"/>
    <w:bookmarkEnd w:id="21"/>
    <w:p>
      <w:pPr>
        <w:ind w:left="960" w:hanging="532"/>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acceptance of any of our product candidates, if approved, by patients, the medical community and payors at our desired pricing levels;</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with other therapies;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acceptable safety profile of any of our product candidates following approval.</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Our administrative expenses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our requirements of being a public company listed on Nasdaq, and costs incurred relating to the issue of equity to the extent not capitalized in 2021.</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addition, if any of our product candidates that we intend to directly commercialize or co-commercialize obtains regulatory approval, we expect that we will incur expenses associated with a commercial organization.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Finance income consists of interest earned on short-term cash deposits and short-term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11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Finance costs comprise interest on convertible loan notes, finance charges on lease liabilities and discounting on provision for deferred cash consideration. For further information on the terms of our convertible loan notes see “—Liquidity and Capital Resources—Indebtedness” which appear in our Annual Report on Form 20-F for the year ended December 31, 2021 filed with the SEC on March 31,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changes in financial instruments are recognized in the statement of comprehensive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Transactions in foreign currencies other than the functional currency of an entity are recorded at the rate prevailing on the date the transaction first qualifies for recognition. Net foreign exchange gain/(loss) consists of the difference arising on settlement or translation of transactions denominated in foreign currencies, which are primarily held in U.S. dollars.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As a U.K. resident trading entity, we are subject to U.K. corporate taxation. Due to the nature of our business, we have generated operating losses since formation. Our cumulative carry-forward tax losses are expected to increase throughout 2022. Subject to any relevant restrictions, we expect these to be available to carry forward and offset against future operating profits. As a company that carries out extensive research and development activities, we benefit from the U.K. R&amp;D small or medium-sized enterprise tax credit regime and are able to surrender some of our trading losses that arise from our research and development activities for a cash rebate of up to 33.4% of eligible R&amp;D expenditure. Qualifying expenditures largely comprise employment costs for R&amp;D staff, subcontracted CRO and CMO costs, consumables and certain internal overhead cost incurred as part of</w:t>
      </w:r>
    </w:p>
    <w:p>
      <w:pPr>
        <w:sectPr>
          <w:pgSz w:w="11900" w:h="16838" w:orient="portrait"/>
          <w:cols w:equalWidth="0" w:num="1">
            <w:col w:w="11000"/>
          </w:cols>
          <w:pgMar w:left="440" w:top="274" w:right="459" w:bottom="1440" w:gutter="0" w:footer="0" w:header="0"/>
        </w:sectPr>
      </w:pPr>
    </w:p>
    <w:bookmarkStart w:id="22" w:name="page23"/>
    <w:bookmarkEnd w:id="22"/>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projects. Certain subcontracted qualifying R&amp;D expenditures are eligible for a cash rebate of up to 21.7%. We may not be able to continue to claim payable R&amp;D tax credits in the future because we may no longer qualify as a small or medium-sized company.</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from April 1, 2013.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Estimates</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The preparation of our unaudited condensed consolidated financial statements requires us to make estimates and assumptions that affect the reported amounts of assets and liabilities, disclosure of contingent assets and liabilities, and the revenues and expenses incurred during the reported periods. We base our estimates on historical experience and on various other factors that we believe are relevant under the circumstances, the results of which form the basis for making judgments about the carrying value of assets and liabilities that are not apparent from other sources. Actual results may differ from these estimates under different assumptions or conditions. The accounting policies considered to be critical to the judgments and estimates used in the preparation of our financial statements are disclosed in the </w:t>
      </w:r>
      <w:r>
        <w:rPr>
          <w:rFonts w:ascii="Arial" w:cs="Arial" w:eastAsia="Arial" w:hAnsi="Arial"/>
          <w:sz w:val="17"/>
          <w:szCs w:val="17"/>
          <w:i w:val="1"/>
          <w:iCs w:val="1"/>
          <w:color w:val="auto"/>
        </w:rPr>
        <w:t>Operating And Financial Review And Prospects</w:t>
      </w:r>
      <w:r>
        <w:rPr>
          <w:rFonts w:ascii="Arial" w:cs="Arial" w:eastAsia="Arial" w:hAnsi="Arial"/>
          <w:sz w:val="17"/>
          <w:szCs w:val="17"/>
          <w:color w:val="auto"/>
        </w:rPr>
        <w:t xml:space="preserve"> included in our Annual Report on Form 20-F for the year ended December 31, 2021 filed with the SEC on March 31, 2022.</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Mereo’s results of operations for the six months ended June 30, 2022 and 2021.</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1940" w:type="dxa"/>
            <w:vAlign w:val="bottom"/>
            <w:gridSpan w:val="4"/>
          </w:tcPr>
          <w:p>
            <w:pPr>
              <w:jc w:val="right"/>
              <w:ind w:right="340"/>
              <w:spacing w:after="0"/>
              <w:rPr>
                <w:sz w:val="20"/>
                <w:szCs w:val="20"/>
                <w:color w:val="auto"/>
              </w:rPr>
            </w:pPr>
            <w:r>
              <w:rPr>
                <w:rFonts w:ascii="Arial" w:cs="Arial" w:eastAsia="Arial" w:hAnsi="Arial"/>
                <w:sz w:val="14"/>
                <w:szCs w:val="14"/>
                <w:color w:val="auto"/>
                <w:w w:val="93"/>
              </w:rPr>
              <w:t>Six months ended June 30,</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2022</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2021</w:t>
            </w:r>
          </w:p>
        </w:tc>
        <w:tc>
          <w:tcPr>
            <w:tcW w:w="300" w:type="dxa"/>
            <w:vAlign w:val="bottom"/>
          </w:tcPr>
          <w:p>
            <w:pPr>
              <w:spacing w:after="0"/>
              <w:rPr>
                <w:sz w:val="12"/>
                <w:szCs w:val="12"/>
                <w:color w:val="auto"/>
              </w:rPr>
            </w:pPr>
          </w:p>
        </w:tc>
        <w:tc>
          <w:tcPr>
            <w:tcW w:w="920" w:type="dxa"/>
            <w:vAlign w:val="bottom"/>
            <w:tcBorders>
              <w:top w:val="single" w:sz="8" w:color="auto"/>
              <w:bottom w:val="single" w:sz="8" w:color="auto"/>
            </w:tcBorders>
            <w:gridSpan w:val="2"/>
            <w:vMerge w:val="restart"/>
          </w:tcPr>
          <w:p>
            <w:pPr>
              <w:jc w:val="right"/>
              <w:ind w:right="440"/>
              <w:spacing w:after="0"/>
              <w:rPr>
                <w:sz w:val="20"/>
                <w:szCs w:val="20"/>
                <w:color w:val="auto"/>
              </w:rPr>
            </w:pPr>
            <w:r>
              <w:rPr>
                <w:rFonts w:ascii="Arial" w:cs="Arial" w:eastAsia="Arial" w:hAnsi="Arial"/>
                <w:sz w:val="14"/>
                <w:szCs w:val="14"/>
                <w:color w:val="auto"/>
              </w:rPr>
              <w:t>£’000</w:t>
            </w:r>
          </w:p>
        </w:tc>
        <w:tc>
          <w:tcPr>
            <w:tcW w:w="380" w:type="dxa"/>
            <w:vAlign w:val="bottom"/>
            <w:tcBorders>
              <w:top w:val="single" w:sz="8" w:color="auto"/>
              <w:bottom w:val="single" w:sz="8" w:color="auto"/>
            </w:tcBorders>
            <w:vMerge w:val="restart"/>
          </w:tcPr>
          <w:p>
            <w:pPr>
              <w:jc w:val="right"/>
              <w:ind w:right="3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color w:val="auto"/>
                <w:w w:val="99"/>
              </w:rPr>
              <w:t>£’000</w:t>
            </w:r>
          </w:p>
        </w:tc>
        <w:tc>
          <w:tcPr>
            <w:tcW w:w="3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color w:val="auto"/>
                <w:w w:val="93"/>
              </w:rPr>
              <w:t>£’000</w:t>
            </w: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36,464</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(36,464)</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(100)</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Cost of revenue</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352</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(18,137)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18,489</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(13,322)</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(3,464)</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(8,840)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(8,673)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(21,810)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(21,606)</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Finance income</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172</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(1,859)</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Changes in fair value of financial instruments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1,210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14,363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(13,153)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gain/(loss)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1,582</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(1,269)</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2,851</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income and expenses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811</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811</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before tax</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(19,893)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10,904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(30,797)</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Taxation</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735</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1,184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(449)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profit attributable to equity holders of the parent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(19,158)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12,088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(31,246)</w:t>
            </w: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Percentage change not meaningful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was nil for the six months ended June 30, 2022 compared to £36.5 million for the six months ended June 30, 2021.</w:t>
      </w:r>
    </w:p>
    <w:p>
      <w:pPr>
        <w:sectPr>
          <w:pgSz w:w="11900" w:h="16838" w:orient="portrait"/>
          <w:cols w:equalWidth="0" w:num="1">
            <w:col w:w="11020"/>
          </w:cols>
          <w:pgMar w:left="440" w:top="274" w:right="439" w:bottom="1440" w:gutter="0" w:footer="0" w:header="0"/>
        </w:sectPr>
      </w:pPr>
    </w:p>
    <w:bookmarkStart w:id="23" w:name="page24"/>
    <w:bookmarkEnd w:id="23"/>
    <w:p>
      <w:pPr>
        <w:ind w:right="1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January 2021, the Company’s licensing and collaboration agreement with Ultragenyx for the development and commercialization of setrusumab for OI became effective. Under the terms of the agreement,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w:t>
      </w:r>
    </w:p>
    <w:p>
      <w:pPr>
        <w:spacing w:after="0" w:line="15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Ultragenyx made an upfront payment of £36.5 million ($50 million) to Mereo in January 2021 and will fund global development of the program until approval and has agreed to pay a total of up to $254 million upon achievement of certain clinical, regulatory and commercial milestones. Ultragenyx will pay tiered double digit percentage royalties to us on net sales outside of Europe and the UK and we will pay a fixed double digit percentage royalty to Ultragenyx on net sales in Europe and the UK.</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Cost of revenue for the six months ended June 30, 2022 was a credit of £0.4 million compared to £18.1 million of expense for the six months ended June 30, 2021.</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2021, cost of revenue was comprised of £9.5 million, representing the carrying value of the setrusumab rights granted to Ultragenyx under the licensing and collaboration agreement, and £8.6 million in relation to our 2015 agreement with Novartis, under which the Company pays a percentage of proceeds, subject to certain exceptions. Under the terms of this agreement, we made a payment of £7.2 million to Novartis for the six months ended June 30, 2021. The payment included a deduction for costs of £2.4 million which was deferred to be recognized in the statement of comprehensive income when the associated costs are incurred. In the six-month period ended June 30, 2022, £0.4 million of these deductions were recognized in cost of revenue compared to £0.9 million in the six-month period ended June 30, 2021.</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(“R&amp;D”)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R&amp;D expenses by product development program for the six months ended June 30, 2022 and 2021.</w:t>
      </w:r>
    </w:p>
    <w:p>
      <w:pPr>
        <w:spacing w:after="0" w:line="259"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680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Arial" w:cs="Arial" w:eastAsia="Arial" w:hAnsi="Arial"/>
                <w:sz w:val="14"/>
                <w:szCs w:val="14"/>
                <w:color w:val="auto"/>
              </w:rPr>
              <w:t>Six months ended June 30,</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2022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2021</w:t>
            </w:r>
          </w:p>
        </w:tc>
        <w:tc>
          <w:tcPr>
            <w:tcW w:w="320" w:type="dxa"/>
            <w:vAlign w:val="bottom"/>
          </w:tcPr>
          <w:p>
            <w:pPr>
              <w:spacing w:after="0"/>
              <w:rPr>
                <w:sz w:val="12"/>
                <w:szCs w:val="12"/>
                <w:color w:val="auto"/>
              </w:rPr>
            </w:pPr>
          </w:p>
        </w:tc>
        <w:tc>
          <w:tcPr>
            <w:tcW w:w="760" w:type="dxa"/>
            <w:vAlign w:val="bottom"/>
            <w:tcBorders>
              <w:top w:val="single" w:sz="8" w:color="auto"/>
              <w:bottom w:val="single" w:sz="8" w:color="auto"/>
            </w:tcBorders>
            <w:gridSpan w:val="2"/>
            <w:vMerge w:val="restart"/>
          </w:tcPr>
          <w:p>
            <w:pPr>
              <w:jc w:val="right"/>
              <w:ind w:right="360"/>
              <w:spacing w:after="0"/>
              <w:rPr>
                <w:sz w:val="20"/>
                <w:szCs w:val="20"/>
                <w:color w:val="auto"/>
              </w:rPr>
            </w:pPr>
            <w:r>
              <w:rPr>
                <w:rFonts w:ascii="Arial" w:cs="Arial" w:eastAsia="Arial" w:hAnsi="Arial"/>
                <w:sz w:val="14"/>
                <w:szCs w:val="14"/>
                <w:color w:val="auto"/>
              </w:rPr>
              <w:t>£’000</w:t>
            </w:r>
          </w:p>
        </w:tc>
        <w:tc>
          <w:tcPr>
            <w:tcW w:w="2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color w:val="auto"/>
                <w:w w:val="99"/>
              </w:rPr>
              <w:t>£’000</w:t>
            </w:r>
          </w:p>
        </w:tc>
        <w:tc>
          <w:tcPr>
            <w:tcW w:w="340" w:type="dxa"/>
            <w:vAlign w:val="bottom"/>
            <w:gridSpan w:val="2"/>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color w:val="auto"/>
                <w:w w:val="99"/>
              </w:rPr>
              <w:t>£’000</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Setrusumab (BPS-804)</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(35)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Alvelestat (MPH-966)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3,561</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2,549</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1,012</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Etigilimab</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7,641</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3,865</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3,776</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Leflutrozole (BGS-649)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Acumapimod (BCT-197)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Unallocated costs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Total R&amp;D expenses</w:t>
            </w: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13,322</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9,858</w:t>
            </w:r>
          </w:p>
        </w:tc>
        <w:tc>
          <w:tcPr>
            <w:tcW w:w="32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3,464</w:t>
            </w:r>
          </w:p>
        </w:tc>
        <w:tc>
          <w:tcPr>
            <w:tcW w:w="300" w:type="dxa"/>
            <w:vAlign w:val="bottom"/>
            <w:vMerge w:val="continue"/>
          </w:tcPr>
          <w:p>
            <w:pPr>
              <w:spacing w:after="0"/>
              <w:rPr>
                <w:sz w:val="19"/>
                <w:szCs w:val="19"/>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R&amp;D expenses increased by £3.5 million, or 35%, from £9.9 million for the six months ended June 30, 2021 to £13.3 million for the six months ended June 30, 2022.</w:t>
      </w:r>
    </w:p>
    <w:p>
      <w:pPr>
        <w:spacing w:after="0" w:line="170"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R&amp;D expenses relating to etigilimab increased by £3.8 million. The increase was due to the costs associated with ongoing enrollment in the open label Phase 1b/2 basket study in combination with an anti-PD-1 in a range of tumor types. R&amp;D expenses relating to alvelestat increased by</w:t>
      </w:r>
    </w:p>
    <w:p>
      <w:pPr>
        <w:ind w:right="100"/>
        <w:spacing w:after="0" w:line="323" w:lineRule="auto"/>
        <w:rPr>
          <w:sz w:val="20"/>
          <w:szCs w:val="20"/>
          <w:color w:val="auto"/>
        </w:rPr>
      </w:pPr>
      <w:r>
        <w:rPr>
          <w:rFonts w:ascii="Arial" w:cs="Arial" w:eastAsia="Arial" w:hAnsi="Arial"/>
          <w:sz w:val="16"/>
          <w:szCs w:val="16"/>
          <w:color w:val="auto"/>
        </w:rPr>
        <w:t>£1.0 million, reflecting the end of study related costs for the Phase 2 proof-of-concept study in AATD. Partially offsetting the increases, R&amp;D expenses relating to setrusumab decreased by £1.0 million, or 35%, following the licensing and collaboration agreement with Ultragenyx in January 2021.</w:t>
      </w:r>
    </w:p>
    <w:p>
      <w:pPr>
        <w:sectPr>
          <w:pgSz w:w="11900" w:h="16838" w:orient="portrait"/>
          <w:cols w:equalWidth="0" w:num="1">
            <w:col w:w="11000"/>
          </w:cols>
          <w:pgMar w:left="440" w:top="274" w:right="45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expenses</w:t>
      </w:r>
    </w:p>
    <w:p>
      <w:pPr>
        <w:spacing w:after="0" w:line="11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Administrative expenses increased by £0.2 million, or 2%, from £8.7 million for the six months ended June 30, 2021 to £8.8 million for the six months ended June 30, 2022.</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Finance income and costs</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Total finance costs decreased by £0.1 million from £2.0 million for the six months ended June 30, 2021 to £1.9 million for the six months ended June 30, 2022.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Finance income increased by £0.2 million from nil to £0.2 million as a result of interest income on short-term deposits.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Changes in fair value of financial instruments</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total change in fair value of financial instruments for the six months ended June 30, 2022 was an unrealized gain of £1.2 million compared to a gain of £14.4 million for the six months ended June 30, 2021. The unrealized gain in both periods was primarily related to the June 2020 Private Placement warrant liability.</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Foreign Exchange Gain/(Loss)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net foreign exchange gain for the six months ended June 30, 2022 was £1.6 million, an increase of £2.9 million from a loss of £1.3 million for the six months ended June 30, 2021, primarily reflecting the weakening of the pound sterling against U.S. dollars in 2022.</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The income tax benefit for the six months ended June 30, 2022 was £0.7 million, a decrease of £0.4 million or 38% from £1.2 million for the six months ended June 30, 2021. The income tax benefit represents eligible cash rebates paid or receivable from the tax authorities in the jurisdictions within which we operate for eligible types of research and development activities and associated expenditure.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Under the current business plan and cash flow forecasts, and in consideration of our ongoing research and development efforts and our general corporate funding requirements, we anticipate that our current on-hand cash resources will extend into 2026. However, we will need additional external funding to complete our development plans and potentially commercialize selected rare disease products.</w:t>
      </w:r>
    </w:p>
    <w:p>
      <w:pPr>
        <w:spacing w:after="0" w:line="16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do not currently have any approved product candidates and have never generated any revenue from product sales. As a result, to date, we have financed our operations primarily through the issuances of our equity securities and convertible debt and our previous credit facility, which we entered into in August 2017 and subsequently repaid in full in December 2020. We raised $183 million (£137.9 million) in private placements of ordinary shares and convertible loan notes in 2020 and in a public offering of ADSs in February 2021. We also received upfront payment of $50 million under the license and collaboration agreement with Ultragenyx for setrusumab in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table below summarizes our cash flows (used in)/from operating, investing and financing activities for the six months ended June 30, 2022 and June 30, 2021.</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1640" w:type="dxa"/>
            <w:vAlign w:val="bottom"/>
            <w:gridSpan w:val="4"/>
          </w:tcPr>
          <w:p>
            <w:pPr>
              <w:jc w:val="right"/>
              <w:ind w:right="80"/>
              <w:spacing w:after="0"/>
              <w:rPr>
                <w:sz w:val="20"/>
                <w:szCs w:val="20"/>
                <w:color w:val="auto"/>
              </w:rPr>
            </w:pPr>
            <w:r>
              <w:rPr>
                <w:rFonts w:ascii="Arial" w:cs="Arial" w:eastAsia="Arial" w:hAnsi="Arial"/>
                <w:sz w:val="14"/>
                <w:szCs w:val="14"/>
                <w:color w:val="auto"/>
                <w:w w:val="90"/>
              </w:rPr>
              <w:t>Six months ended June 30,</w:t>
            </w:r>
          </w:p>
        </w:tc>
      </w:tr>
      <w:tr>
        <w:trPr>
          <w:trHeight w:val="142"/>
        </w:trPr>
        <w:tc>
          <w:tcPr>
            <w:tcW w:w="58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2022</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2021</w:t>
            </w:r>
          </w:p>
        </w:tc>
        <w:tc>
          <w:tcPr>
            <w:tcW w:w="60" w:type="dxa"/>
            <w:vAlign w:val="bottom"/>
          </w:tcPr>
          <w:p>
            <w:pPr>
              <w:spacing w:after="0"/>
              <w:rPr>
                <w:sz w:val="12"/>
                <w:szCs w:val="12"/>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£’000</w:t>
            </w:r>
          </w:p>
        </w:tc>
        <w:tc>
          <w:tcPr>
            <w:tcW w:w="2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£’000</w:t>
            </w:r>
          </w:p>
        </w:tc>
        <w:tc>
          <w:tcPr>
            <w:tcW w:w="60" w:type="dxa"/>
            <w:vAlign w:val="bottom"/>
            <w:tcBorders>
              <w:bottom w:val="single" w:sz="8" w:color="CCEEFF"/>
            </w:tcBorders>
          </w:tcPr>
          <w:p>
            <w:pPr>
              <w:spacing w:after="0"/>
              <w:rPr>
                <w:sz w:val="12"/>
                <w:szCs w:val="12"/>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in)/from operating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(18,806)</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974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in)/from financing activities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78,008</w:t>
            </w: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(18,124)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87,911</w:t>
            </w:r>
          </w:p>
        </w:tc>
      </w:tr>
    </w:tbl>
    <w:p>
      <w:pPr>
        <w:sectPr>
          <w:pgSz w:w="11900" w:h="16838" w:orient="portrait"/>
          <w:cols w:equalWidth="0" w:num="1">
            <w:col w:w="10980"/>
          </w:cols>
          <w:pgMar w:left="440" w:top="274" w:right="47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Operating Activities</w:t>
      </w:r>
    </w:p>
    <w:p>
      <w:pPr>
        <w:spacing w:after="0" w:line="117"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Net cash used in operating activities for the six months ended June 30, 2022 was £18.8 million, compared to net cash from operating activities of £9.9 million in 2021. In 2021, the operating cash expenditure of the Company was offset by the upfront proceeds from Ultragenyx of £36.5 million less the associated payments to Novartis of £7.2 million.</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Net cash from investing activities for the six months ended June 30, 2022 increased by £1.0 million compared to the same period in 2021. The increase was due to interest earned on short-term deposits of £0.2 million and milestone payments of £1.5 million received under the Navi License Agreement with OncXerna, partially offset by an associated payment of £0.7 million to the former shareholders of Mereo BioPharma 5, Inc. under the CVR.</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Net cash used in financing activities for the six months ended June 30, 2022 was £0.3 million, a decrease of £78.3 million from a cash inflow of £78.0 million for the six months ended June 30, 2021. The decrease is primarily attributable to £78.4 million net proceeds from the Public Offering in February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of June 30, 2022, we had an accumulated loss of £316.1 million. We expect to continue to report significant operating losses for the foreseeable future as we continue our research and development efforts and potentially seek regulatory approval of our product candidates and any future product we develop. See also “Risk Factors—Risks Related to Our Business and Industry” in our Annual Report on Form 20-F filed with the SEC on March 31, 2022.</w:t>
      </w:r>
    </w:p>
    <w:p>
      <w:pPr>
        <w:spacing w:after="0" w:line="187" w:lineRule="exact"/>
        <w:rPr>
          <w:sz w:val="20"/>
          <w:szCs w:val="20"/>
          <w:color w:val="auto"/>
        </w:rPr>
      </w:pPr>
    </w:p>
    <w:p>
      <w:pPr>
        <w:ind w:right="560" w:firstLine="440"/>
        <w:spacing w:after="0" w:line="311" w:lineRule="auto"/>
        <w:rPr>
          <w:sz w:val="20"/>
          <w:szCs w:val="20"/>
          <w:color w:val="auto"/>
        </w:rPr>
      </w:pPr>
      <w:r>
        <w:rPr>
          <w:rFonts w:ascii="Arial" w:cs="Arial" w:eastAsia="Arial" w:hAnsi="Arial"/>
          <w:sz w:val="16"/>
          <w:szCs w:val="16"/>
          <w:color w:val="auto"/>
        </w:rPr>
        <w:t>We expect to continue to incur our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These costs will increase further if we:</w:t>
      </w:r>
    </w:p>
    <w:p>
      <w:pPr>
        <w:spacing w:after="0" w:line="54"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to develop additional product candidates;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completes clinical trials;</w:t>
      </w:r>
    </w:p>
    <w:p>
      <w:pPr>
        <w:spacing w:after="0" w:line="130" w:lineRule="exact"/>
        <w:rPr>
          <w:rFonts w:ascii="Arial" w:cs="Arial" w:eastAsia="Arial" w:hAnsi="Arial"/>
          <w:sz w:val="18"/>
          <w:szCs w:val="18"/>
          <w:color w:val="auto"/>
        </w:rPr>
      </w:pPr>
    </w:p>
    <w:p>
      <w:pPr>
        <w:ind w:left="960" w:right="340" w:hanging="532"/>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intellectual property portfolio;</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 further central clinical, scientific, operational, financial and management information systems, and personnel, including personnel to support our development and to support our operations as a U.S. public company listed on Nasdaq; or</w:t>
      </w:r>
    </w:p>
    <w:p>
      <w:pPr>
        <w:spacing w:after="0" w:line="75" w:lineRule="exact"/>
        <w:rPr>
          <w:rFonts w:ascii="Arial" w:cs="Arial" w:eastAsia="Arial" w:hAnsi="Arial"/>
          <w:sz w:val="18"/>
          <w:szCs w:val="18"/>
          <w:color w:val="auto"/>
        </w:rPr>
      </w:pPr>
    </w:p>
    <w:p>
      <w:pPr>
        <w:ind w:left="960" w:right="28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17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We expect that our existing cash and short-term deposits will enable us to fund our currently committed clinical trials, operating expenses and capital expenditure requirements into 2026.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70" w:lineRule="exact"/>
        <w:rPr>
          <w:sz w:val="20"/>
          <w:szCs w:val="20"/>
          <w:color w:val="auto"/>
        </w:rPr>
      </w:pPr>
    </w:p>
    <w:p>
      <w:pPr>
        <w:ind w:left="960" w:right="28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for our activities related to our ongoing collaboration with Ultragenyx for setrusumab for the treatment of adults and children with OI; and potential future clinical trials for alvelestat in AATD and other potential indications;</w:t>
      </w:r>
    </w:p>
    <w:p>
      <w:pPr>
        <w:sectPr>
          <w:pgSz w:w="11900" w:h="16838" w:orient="portrait"/>
          <w:cols w:equalWidth="0" w:num="1">
            <w:col w:w="11000"/>
          </w:cols>
          <w:pgMar w:left="440" w:top="274" w:right="459" w:bottom="1440" w:gutter="0" w:footer="0" w:header="0"/>
        </w:sectPr>
      </w:pPr>
    </w:p>
    <w:bookmarkStart w:id="26" w:name="page27"/>
    <w:bookmarkEnd w:id="26"/>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costs and timing of manufacturing clinical supplies of our product candidates;</w:t>
      </w:r>
    </w:p>
    <w:p>
      <w:pPr>
        <w:spacing w:after="0" w:line="130"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including post- marketing studies that could be required by regulatory authorities;</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our product candidates;</w:t>
      </w:r>
    </w:p>
    <w:p>
      <w:pPr>
        <w:spacing w:after="0" w:line="130"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sales price and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competitors and market developments;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collaborators and partners under the existing agreements on setrusumab and navicixizumab;</w:t>
      </w:r>
    </w:p>
    <w:p>
      <w:pPr>
        <w:spacing w:after="0" w:line="130" w:lineRule="exact"/>
        <w:rPr>
          <w:rFonts w:ascii="Arial" w:cs="Arial" w:eastAsia="Arial" w:hAnsi="Arial"/>
          <w:sz w:val="18"/>
          <w:szCs w:val="18"/>
          <w:color w:val="auto"/>
        </w:rPr>
      </w:pPr>
    </w:p>
    <w:p>
      <w:pPr>
        <w:ind w:left="960" w:right="320" w:hanging="532"/>
        <w:spacing w:after="0" w:line="308"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milestone and deferred payments under Mereo’s license and option agreement with AstraZeneca;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HMRC’s enquiries with respect to claims in respect of all filed and future years.</w:t>
      </w:r>
    </w:p>
    <w:p>
      <w:pPr>
        <w:spacing w:after="0" w:line="225"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Our revenues, if any, will be derived from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24"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65"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2022-11-02T16:06:58Z</dcterms:created>
  <dcterms:modified xsi:type="dcterms:W3CDTF">2022-11-02T16:06:58Z</dcterms:modified>
</cp:coreProperties>
</file>