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20-F/A</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0" w:right="200" w:hanging="436"/>
        <w:spacing w:after="0" w:line="237"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right="100" w:hanging="436"/>
        <w:spacing w:after="0" w:line="256" w:lineRule="auto"/>
        <w:tabs>
          <w:tab w:leader="none" w:pos="4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280"/>
        <w:spacing w:after="0"/>
        <w:tabs>
          <w:tab w:leader="none" w:pos="6580" w:val="left"/>
          <w:tab w:leader="none" w:pos="7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3592195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right="440" w:hanging="436"/>
        <w:spacing w:after="0" w:line="256" w:lineRule="auto"/>
        <w:tabs>
          <w:tab w:leader="none" w:pos="4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 Cavendish Place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 +44-333-023-7300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Charles Sermon, General Counsel</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 +44-333-023-7300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Email: cs@mereobiopharma.com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 Cavendish Place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4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7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8"/>
              </w:rPr>
              <w:t>Symbol(s)</w:t>
            </w:r>
          </w:p>
        </w:tc>
        <w:tc>
          <w:tcPr>
            <w:tcW w:w="1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5"/>
        </w:trPr>
        <w:tc>
          <w:tcPr>
            <w:tcW w:w="51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b w:val="1"/>
                <w:bCs w:val="1"/>
                <w:color w:val="auto"/>
                <w:w w:val="89"/>
              </w:rPr>
              <w:t>American Depositary Shares, each representing five ordinary</w:t>
            </w:r>
          </w:p>
        </w:tc>
        <w:tc>
          <w:tcPr>
            <w:tcW w:w="140" w:type="dxa"/>
            <w:vAlign w:val="bottom"/>
          </w:tcPr>
          <w:p>
            <w:pPr>
              <w:spacing w:after="0"/>
              <w:rPr>
                <w:sz w:val="16"/>
                <w:szCs w:val="16"/>
                <w:color w:val="auto"/>
              </w:rPr>
            </w:pPr>
          </w:p>
        </w:tc>
        <w:tc>
          <w:tcPr>
            <w:tcW w:w="6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b w:val="1"/>
                <w:bCs w:val="1"/>
                <w:color w:val="auto"/>
              </w:rPr>
              <w:t>MREO</w:t>
            </w:r>
          </w:p>
        </w:tc>
        <w:tc>
          <w:tcPr>
            <w:tcW w:w="140" w:type="dxa"/>
            <w:vAlign w:val="bottom"/>
          </w:tcPr>
          <w:p>
            <w:pPr>
              <w:spacing w:after="0"/>
              <w:rPr>
                <w:sz w:val="16"/>
                <w:szCs w:val="16"/>
                <w:color w:val="auto"/>
              </w:rPr>
            </w:pPr>
          </w:p>
        </w:tc>
        <w:tc>
          <w:tcPr>
            <w:tcW w:w="4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nominal value of £0.003 per share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0" w:gutter="0" w:footer="0" w:header="0"/>
        </w:sectPr>
      </w:pPr>
    </w:p>
    <w:bookmarkStart w:id="1" w:name="page2"/>
    <w:bookmarkEnd w:id="1"/>
    <w:p>
      <w:pPr>
        <w:ind w:left="600"/>
        <w:spacing w:after="0"/>
        <w:rPr>
          <w:sz w:val="20"/>
          <w:szCs w:val="20"/>
          <w:color w:val="auto"/>
        </w:rPr>
      </w:pPr>
      <w:r>
        <w:rPr>
          <w:rFonts w:ascii="Arial" w:cs="Arial" w:eastAsia="Arial" w:hAnsi="Arial"/>
          <w:sz w:val="18"/>
          <w:szCs w:val="18"/>
          <w:b w:val="1"/>
          <w:bCs w:val="1"/>
          <w:color w:val="auto"/>
        </w:rPr>
        <w:t>Ordinary Shares, nominal value of £0.003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38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American Depositary Shares representing such Ordinary Shares pursuant to the requirements of the U.S. Securities and Exchange Commission.</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outstanding shares as of December 31, 2018 was: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Shares Outstanding</w:t>
            </w:r>
          </w:p>
        </w:tc>
        <w:tc>
          <w:tcPr>
            <w:tcW w:w="0" w:type="dxa"/>
            <w:vAlign w:val="bottom"/>
          </w:tcPr>
          <w:p>
            <w:pPr>
              <w:spacing w:after="0"/>
              <w:rPr>
                <w:sz w:val="1"/>
                <w:szCs w:val="1"/>
                <w:color w:val="auto"/>
              </w:rPr>
            </w:pPr>
          </w:p>
        </w:tc>
      </w:tr>
      <w:tr>
        <w:trPr>
          <w:trHeight w:val="185"/>
        </w:trPr>
        <w:tc>
          <w:tcPr>
            <w:tcW w:w="5660" w:type="dxa"/>
            <w:vAlign w:val="bottom"/>
            <w:gridSpan w:val="2"/>
            <w:vMerge w:val="continue"/>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at December 31, 2018</w:t>
            </w:r>
          </w:p>
        </w:tc>
        <w:tc>
          <w:tcPr>
            <w:tcW w:w="0" w:type="dxa"/>
            <w:vAlign w:val="bottom"/>
          </w:tcPr>
          <w:p>
            <w:pPr>
              <w:spacing w:after="0"/>
              <w:rPr>
                <w:sz w:val="1"/>
                <w:szCs w:val="1"/>
                <w:color w:val="auto"/>
              </w:rPr>
            </w:pP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nominal value of £0.003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71,240,272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20"/>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9"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(as defined in Rule 12b-2 of the Act).</w:t>
      </w:r>
    </w:p>
    <w:p>
      <w:pPr>
        <w:sectPr>
          <w:pgSz w:w="11900" w:h="16838" w:orient="portrait"/>
          <w:cols w:equalWidth="0" w:num="1">
            <w:col w:w="11040"/>
          </w:cols>
          <w:pgMar w:left="440" w:top="135" w:right="419" w:bottom="848"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2260" w:space="180"/>
            <w:col w:w="1780" w:space="720"/>
            <w:col w:w="1240" w:space="100"/>
            <w:col w:w="1680" w:space="720"/>
            <w:col w:w="1560" w:space="620"/>
            <w:col w:w="180"/>
          </w:cols>
          <w:pgMar w:left="440" w:top="135" w:right="419" w:bottom="848" w:gutter="0" w:footer="0" w:header="0"/>
          <w:type w:val="continuous"/>
        </w:sectPr>
      </w:pPr>
    </w:p>
    <w:p>
      <w:pPr>
        <w:spacing w:after="0" w:line="33"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640" w:space="220"/>
            <w:col w:w="180"/>
          </w:cols>
          <w:pgMar w:left="440" w:top="135" w:right="419" w:bottom="848" w:gutter="0" w:footer="0" w:header="0"/>
          <w:type w:val="continuous"/>
        </w:sectPr>
      </w:pPr>
    </w:p>
    <w:p>
      <w:pPr>
        <w:spacing w:after="0" w:line="48" w:lineRule="exact"/>
        <w:rPr>
          <w:sz w:val="20"/>
          <w:szCs w:val="20"/>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40"/>
          </w:cols>
          <w:pgMar w:left="440" w:top="135" w:right="419" w:bottom="848" w:gutter="0" w:footer="0" w:header="0"/>
          <w:type w:val="continuous"/>
        </w:sect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6">
            <w:col w:w="1420" w:space="80"/>
            <w:col w:w="920" w:space="720"/>
            <w:col w:w="3840" w:space="100"/>
            <w:col w:w="2560" w:space="720"/>
            <w:col w:w="420" w:space="80"/>
            <w:col w:w="180"/>
          </w:cols>
          <w:pgMar w:left="440" w:top="135" w:right="419" w:bottom="848"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p>
      <w:pPr>
        <w:ind w:left="4860" w:hanging="243"/>
        <w:spacing w:after="0" w:line="207" w:lineRule="exact"/>
        <w:tabs>
          <w:tab w:leader="none" w:pos="4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204"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35" w:right="419" w:bottom="848"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Amendment No. 1 to the Annual Report on Form 20-F of Mereo BioPharma Group plc (“Mereo”) amends Mereo’s Annual Report on Form 20-F for the year ended December 31, 2018 (the “Original 20-F”), which was filed with the Securities and Exchange Commission on April 29, 2019. The Company is filing this Amendment No. 1 solely to furnish Exhibit 101, which was not included in the Original 20-F. Exhibit 101 includes information about the Company in eXtensible Business Reporting Language (XBRL).</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above, this Amendment No. 1 does not amend any information set forth in the Original 20-F, and Mereo has not updated disclosures included therein to reflect any events that occurred subsequent to April 29, 2019.</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Pursuant to Rule 406T of Regulation S-T, these interactive data files are deemed furnished and not filed or part of a registration statement or prospectus for purposes of Sections 11 or 12 of the Securities Act of 1933, as amended, and are deemed not filed for purposes of Section 18 of the Securities and Exchange Act of 1934, as amended, and are otherwise not subject to liability under those sections.</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103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648"/>
        </w:trPr>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8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24"/>
                <w:szCs w:val="24"/>
                <w:color w:val="auto"/>
              </w:rPr>
            </w:pPr>
          </w:p>
        </w:tc>
        <w:tc>
          <w:tcPr>
            <w:tcW w:w="9480" w:type="dxa"/>
            <w:vAlign w:val="bottom"/>
            <w:tcBorders>
              <w:bottom w:val="single" w:sz="8" w:color="auto"/>
            </w:tcBorders>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320" w:type="dxa"/>
            <w:vAlign w:val="bottom"/>
            <w:gridSpan w:val="2"/>
          </w:tcPr>
          <w:p>
            <w:pPr>
              <w:ind w:left="840"/>
              <w:spacing w:after="0"/>
              <w:rPr>
                <w:sz w:val="20"/>
                <w:szCs w:val="20"/>
                <w:color w:val="auto"/>
              </w:rPr>
            </w:pPr>
            <w:r>
              <w:rPr>
                <w:rFonts w:ascii="Arial" w:cs="Arial" w:eastAsia="Arial" w:hAnsi="Arial"/>
                <w:sz w:val="18"/>
                <w:szCs w:val="18"/>
                <w:color w:val="auto"/>
                <w:w w:val="93"/>
              </w:rPr>
              <w:t>The following materials from this annual report on Form 20-F formatted in XBRL (Extensible Business Reporting Language) are</w:t>
            </w:r>
          </w:p>
        </w:tc>
      </w:tr>
      <w:tr>
        <w:trPr>
          <w:trHeight w:val="216"/>
        </w:trPr>
        <w:tc>
          <w:tcPr>
            <w:tcW w:w="720" w:type="dxa"/>
            <w:vAlign w:val="bottom"/>
          </w:tcPr>
          <w:p>
            <w:pPr>
              <w:spacing w:after="0"/>
              <w:rPr>
                <w:sz w:val="18"/>
                <w:szCs w:val="18"/>
                <w:color w:val="auto"/>
              </w:rPr>
            </w:pPr>
          </w:p>
        </w:tc>
        <w:tc>
          <w:tcPr>
            <w:tcW w:w="10320" w:type="dxa"/>
            <w:vAlign w:val="bottom"/>
            <w:gridSpan w:val="2"/>
          </w:tcPr>
          <w:p>
            <w:pPr>
              <w:ind w:left="840"/>
              <w:spacing w:after="0"/>
              <w:rPr>
                <w:sz w:val="20"/>
                <w:szCs w:val="20"/>
                <w:color w:val="auto"/>
              </w:rPr>
            </w:pPr>
            <w:r>
              <w:rPr>
                <w:rFonts w:ascii="Arial" w:cs="Arial" w:eastAsia="Arial" w:hAnsi="Arial"/>
                <w:sz w:val="18"/>
                <w:szCs w:val="18"/>
                <w:color w:val="auto"/>
                <w:w w:val="92"/>
              </w:rPr>
              <w:t>furnished herewith: (i) the Report of Independent Registered Public Accounting Firm, (ii) the consolidated statements of financial</w:t>
            </w:r>
          </w:p>
        </w:tc>
      </w:tr>
      <w:tr>
        <w:trPr>
          <w:trHeight w:val="216"/>
        </w:trPr>
        <w:tc>
          <w:tcPr>
            <w:tcW w:w="720" w:type="dxa"/>
            <w:vAlign w:val="bottom"/>
          </w:tcPr>
          <w:p>
            <w:pPr>
              <w:spacing w:after="0"/>
              <w:rPr>
                <w:sz w:val="18"/>
                <w:szCs w:val="18"/>
                <w:color w:val="auto"/>
              </w:rPr>
            </w:pPr>
          </w:p>
        </w:tc>
        <w:tc>
          <w:tcPr>
            <w:tcW w:w="10320" w:type="dxa"/>
            <w:vAlign w:val="bottom"/>
            <w:gridSpan w:val="2"/>
          </w:tcPr>
          <w:p>
            <w:pPr>
              <w:ind w:left="840"/>
              <w:spacing w:after="0"/>
              <w:rPr>
                <w:sz w:val="20"/>
                <w:szCs w:val="20"/>
                <w:color w:val="auto"/>
              </w:rPr>
            </w:pPr>
            <w:r>
              <w:rPr>
                <w:rFonts w:ascii="Arial" w:cs="Arial" w:eastAsia="Arial" w:hAnsi="Arial"/>
                <w:sz w:val="18"/>
                <w:szCs w:val="18"/>
                <w:color w:val="auto"/>
                <w:w w:val="97"/>
              </w:rPr>
              <w:t>position data, (iii) the consolidated statements of comprehensive loss data, (iv) the consolidated statements of changes in</w:t>
            </w:r>
          </w:p>
        </w:tc>
      </w:tr>
      <w:tr>
        <w:trPr>
          <w:trHeight w:val="216"/>
        </w:trPr>
        <w:tc>
          <w:tcPr>
            <w:tcW w:w="720" w:type="dxa"/>
            <w:vAlign w:val="bottom"/>
          </w:tcPr>
          <w:p>
            <w:pPr>
              <w:spacing w:after="0"/>
              <w:rPr>
                <w:sz w:val="18"/>
                <w:szCs w:val="18"/>
                <w:color w:val="auto"/>
              </w:rPr>
            </w:pPr>
          </w:p>
        </w:tc>
        <w:tc>
          <w:tcPr>
            <w:tcW w:w="10320" w:type="dxa"/>
            <w:vAlign w:val="bottom"/>
            <w:gridSpan w:val="2"/>
          </w:tcPr>
          <w:p>
            <w:pPr>
              <w:ind w:left="840"/>
              <w:spacing w:after="0"/>
              <w:rPr>
                <w:sz w:val="20"/>
                <w:szCs w:val="20"/>
                <w:color w:val="auto"/>
              </w:rPr>
            </w:pPr>
            <w:r>
              <w:rPr>
                <w:rFonts w:ascii="Arial" w:cs="Arial" w:eastAsia="Arial" w:hAnsi="Arial"/>
                <w:sz w:val="18"/>
                <w:szCs w:val="18"/>
                <w:color w:val="auto"/>
                <w:w w:val="91"/>
              </w:rPr>
              <w:t>shareholders’ equity (capital deficiency), (v) the consolidated statements of cash flows, and (vi) the notes to consolidated financial</w:t>
            </w:r>
          </w:p>
        </w:tc>
      </w:tr>
      <w:tr>
        <w:trPr>
          <w:trHeight w:val="230"/>
        </w:trPr>
        <w:tc>
          <w:tcPr>
            <w:tcW w:w="720" w:type="dxa"/>
            <w:vAlign w:val="bottom"/>
          </w:tcPr>
          <w:p>
            <w:pPr>
              <w:spacing w:after="0"/>
              <w:rPr>
                <w:sz w:val="20"/>
                <w:szCs w:val="20"/>
                <w:color w:val="auto"/>
              </w:rPr>
            </w:pPr>
          </w:p>
        </w:tc>
        <w:tc>
          <w:tcPr>
            <w:tcW w:w="10320" w:type="dxa"/>
            <w:vAlign w:val="bottom"/>
            <w:gridSpan w:val="2"/>
          </w:tcPr>
          <w:p>
            <w:pPr>
              <w:ind w:left="840"/>
              <w:spacing w:after="0"/>
              <w:rPr>
                <w:sz w:val="20"/>
                <w:szCs w:val="20"/>
                <w:color w:val="auto"/>
              </w:rPr>
            </w:pPr>
            <w:r>
              <w:rPr>
                <w:rFonts w:ascii="Arial" w:cs="Arial" w:eastAsia="Arial" w:hAnsi="Arial"/>
                <w:sz w:val="18"/>
                <w:szCs w:val="18"/>
                <w:color w:val="auto"/>
              </w:rPr>
              <w:t>statements, in each case tagged as blocks of text and in detail.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11040"/>
          </w:cols>
          <w:pgMar w:left="440" w:top="270" w:right="419" w:bottom="1440" w:gutter="0" w:footer="0" w:header="0"/>
        </w:sectPr>
      </w:pPr>
    </w:p>
    <w:bookmarkStart w:id="4" w:name="page5"/>
    <w:bookmarkEnd w:id="4"/>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Mereo BioPharma Group plc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sectPr>
      <w:pgSz w:w="11900" w:h="16838" w:orient="portrait"/>
      <w:cols w:equalWidth="0" w:num="1">
        <w:col w:w="10280"/>
      </w:cols>
      <w:pgMar w:left="440" w:top="27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2019-12-02T07:34:01Z</dcterms:created>
  <dcterms:modified xsi:type="dcterms:W3CDTF">2019-12-02T07:34:01Z</dcterms:modified>
</cp:coreProperties>
</file>