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8"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-226060</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4"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-612775</wp:posOffset>
            </wp:positionV>
            <wp:extent cx="5715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3936365</wp:posOffset>
            </wp:positionH>
            <wp:positionV relativeFrom="paragraph">
              <wp:posOffset>-612775</wp:posOffset>
            </wp:positionV>
            <wp:extent cx="57150" cy="626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611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725805</wp:posOffset>
            </wp:positionV>
            <wp:extent cx="7047865" cy="4832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483298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1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Jenkins Annalisa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right="300"/>
        <w:spacing w:after="0" w:line="368" w:lineRule="auto"/>
        <w:rPr>
          <w:sz w:val="20"/>
          <w:szCs w:val="20"/>
          <w:color w:val="auto"/>
        </w:rPr>
      </w:pPr>
      <w:r>
        <w:rPr>
          <w:rFonts w:ascii="Times New Roman" w:cs="Times New Roman" w:eastAsia="Times New Roman" w:hAnsi="Times New Roman"/>
          <w:sz w:val="16"/>
          <w:szCs w:val="16"/>
          <w:color w:val="0000FF"/>
        </w:rPr>
        <w:t>C/O MEREO BIOPHARMA GROUP PLC 4TH FLOOR, ONE CAVENDISH PLACE</w:t>
      </w:r>
    </w:p>
    <w:p>
      <w:pPr>
        <w:spacing w:after="0" w:line="15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7"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LONDON</w:t>
      </w:r>
      <w:r>
        <w:rPr>
          <w:sz w:val="20"/>
          <w:szCs w:val="20"/>
          <w:color w:val="auto"/>
        </w:rPr>
        <w:tab/>
      </w:r>
      <w:r>
        <w:rPr>
          <w:rFonts w:ascii="Times New Roman" w:cs="Times New Roman" w:eastAsia="Times New Roman" w:hAnsi="Times New Roman"/>
          <w:sz w:val="16"/>
          <w:szCs w:val="16"/>
          <w:color w:val="0000FF"/>
        </w:rPr>
        <w:t>X0</w:t>
      </w:r>
      <w:r>
        <w:rPr>
          <w:sz w:val="20"/>
          <w:szCs w:val="20"/>
          <w:color w:val="auto"/>
        </w:rPr>
        <w:tab/>
      </w:r>
      <w:r>
        <w:rPr>
          <w:rFonts w:ascii="Times New Roman" w:cs="Times New Roman" w:eastAsia="Times New Roman" w:hAnsi="Times New Roman"/>
          <w:sz w:val="16"/>
          <w:szCs w:val="16"/>
          <w:color w:val="0000FF"/>
        </w:rPr>
        <w:t>W1G 0QF</w:t>
      </w:r>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3820" w:type="dxa"/>
            <w:vAlign w:val="bottom"/>
            <w:gridSpan w:val="4"/>
          </w:tcPr>
          <w:p>
            <w:pPr>
              <w:ind w:left="60"/>
              <w:spacing w:after="0" w:line="214"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Mereo BioPharma Group plc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MREO</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220" w:type="dxa"/>
            <w:vAlign w:val="bottom"/>
            <w:tcBorders>
              <w:top w:val="single" w:sz="8" w:color="0000EE"/>
            </w:tcBorders>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ind w:left="420"/>
              <w:spacing w:after="0" w:line="146"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7"/>
        </w:trPr>
        <w:tc>
          <w:tcPr>
            <w:tcW w:w="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0"/>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20"/>
              <w:spacing w:after="0" w:line="126"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24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02/26/2026</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220" w:type="dxa"/>
            <w:vAlign w:val="bottom"/>
            <w:tcBorders>
              <w:bottom w:val="single" w:sz="8" w:color="2C2C2C"/>
            </w:tcBorders>
          </w:tcPr>
          <w:p>
            <w:pPr>
              <w:spacing w:after="0"/>
              <w:rPr>
                <w:sz w:val="23"/>
                <w:szCs w:val="23"/>
                <w:color w:val="auto"/>
              </w:rPr>
            </w:pPr>
          </w:p>
        </w:tc>
        <w:tc>
          <w:tcPr>
            <w:tcW w:w="142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312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68" w:lineRule="exact"/>
        <w:rPr>
          <w:sz w:val="24"/>
          <w:szCs w:val="24"/>
          <w:color w:val="auto"/>
        </w:rPr>
      </w:pPr>
    </w:p>
    <w:p>
      <w:pPr>
        <w:sectPr>
          <w:pgSz w:w="11900" w:h="16838" w:orient="portrait"/>
          <w:cols w:equalWidth="0" w:num="2">
            <w:col w:w="3260" w:space="580"/>
            <w:col w:w="724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0"/>
                <w:szCs w:val="10"/>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0"/>
                <w:szCs w:val="10"/>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0"/>
                <w:szCs w:val="10"/>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American</w:t>
            </w: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
        </w:trPr>
        <w:tc>
          <w:tcPr>
            <w:tcW w:w="6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Options</w:t>
            </w: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680" w:type="dxa"/>
            <w:vAlign w:val="bottom"/>
            <w:vMerge w:val="restart"/>
          </w:tcPr>
          <w:p>
            <w:pPr>
              <w:jc w:val="right"/>
              <w:ind w:right="35"/>
              <w:spacing w:after="0"/>
              <w:rPr>
                <w:sz w:val="20"/>
                <w:szCs w:val="20"/>
                <w:color w:val="auto"/>
              </w:rPr>
            </w:pPr>
            <w:r>
              <w:rPr>
                <w:rFonts w:ascii="Times New Roman" w:cs="Times New Roman" w:eastAsia="Times New Roman" w:hAnsi="Times New Roman"/>
                <w:sz w:val="16"/>
                <w:szCs w:val="16"/>
                <w:color w:val="0000FF"/>
              </w:rPr>
              <w:t>66,000</w:t>
            </w:r>
          </w:p>
        </w:tc>
        <w:tc>
          <w:tcPr>
            <w:tcW w:w="680" w:type="dxa"/>
            <w:vAlign w:val="bottom"/>
          </w:tcPr>
          <w:p>
            <w:pPr>
              <w:spacing w:after="0"/>
              <w:rPr>
                <w:sz w:val="4"/>
                <w:szCs w:val="4"/>
                <w:color w:val="auto"/>
              </w:rPr>
            </w:pPr>
          </w:p>
        </w:tc>
        <w:tc>
          <w:tcPr>
            <w:tcW w:w="9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660" w:type="dxa"/>
            <w:vAlign w:val="bottom"/>
            <w:vMerge w:val="continue"/>
          </w:tcPr>
          <w:p>
            <w:pPr>
              <w:spacing w:after="0"/>
              <w:rPr>
                <w:sz w:val="7"/>
                <w:szCs w:val="7"/>
                <w:color w:val="auto"/>
              </w:rPr>
            </w:pPr>
          </w:p>
        </w:tc>
        <w:tc>
          <w:tcPr>
            <w:tcW w:w="760" w:type="dxa"/>
            <w:vAlign w:val="bottom"/>
            <w:vMerge w:val="restart"/>
          </w:tcPr>
          <w:p>
            <w:pPr>
              <w:jc w:val="center"/>
              <w:ind w:right="144"/>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0.39</w:t>
            </w:r>
          </w:p>
        </w:tc>
        <w:tc>
          <w:tcPr>
            <w:tcW w:w="1060" w:type="dxa"/>
            <w:vAlign w:val="bottom"/>
            <w:vMerge w:val="restart"/>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02/26/2026</w:t>
            </w:r>
          </w:p>
        </w:tc>
        <w:tc>
          <w:tcPr>
            <w:tcW w:w="1080" w:type="dxa"/>
            <w:vAlign w:val="bottom"/>
          </w:tcPr>
          <w:p>
            <w:pPr>
              <w:spacing w:after="0"/>
              <w:rPr>
                <w:sz w:val="7"/>
                <w:szCs w:val="7"/>
                <w:color w:val="auto"/>
              </w:rPr>
            </w:pPr>
          </w:p>
        </w:tc>
        <w:tc>
          <w:tcPr>
            <w:tcW w:w="780" w:type="dxa"/>
            <w:vAlign w:val="bottom"/>
            <w:vMerge w:val="restart"/>
          </w:tcPr>
          <w:p>
            <w:pPr>
              <w:ind w:left="16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vMerge w:val="restart"/>
          </w:tcPr>
          <w:p>
            <w:pPr>
              <w:jc w:val="right"/>
              <w:ind w:right="102"/>
              <w:spacing w:after="0" w:line="139" w:lineRule="exact"/>
              <w:rPr>
                <w:sz w:val="20"/>
                <w:szCs w:val="20"/>
                <w:color w:val="auto"/>
              </w:rPr>
            </w:pPr>
            <w:r>
              <w:rPr>
                <w:rFonts w:ascii="Times New Roman" w:cs="Times New Roman" w:eastAsia="Times New Roman" w:hAnsi="Times New Roman"/>
                <w:sz w:val="13"/>
                <w:szCs w:val="13"/>
                <w:color w:val="0000FF"/>
              </w:rPr>
              <w:t>66,000</w:t>
            </w:r>
          </w:p>
        </w:tc>
        <w:tc>
          <w:tcPr>
            <w:tcW w:w="220" w:type="dxa"/>
            <w:vAlign w:val="bottom"/>
          </w:tcPr>
          <w:p>
            <w:pPr>
              <w:spacing w:after="0"/>
              <w:rPr>
                <w:sz w:val="7"/>
                <w:szCs w:val="7"/>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3"/>
              <w:spacing w:after="0" w:line="139" w:lineRule="exact"/>
              <w:rPr>
                <w:sz w:val="20"/>
                <w:szCs w:val="20"/>
                <w:color w:val="auto"/>
              </w:rPr>
            </w:pPr>
            <w:r>
              <w:rPr>
                <w:rFonts w:ascii="Times New Roman" w:cs="Times New Roman" w:eastAsia="Times New Roman" w:hAnsi="Times New Roman"/>
                <w:sz w:val="13"/>
                <w:szCs w:val="13"/>
                <w:color w:val="0000FF"/>
              </w:rPr>
              <w:t>02/26/2036</w:t>
            </w:r>
          </w:p>
        </w:tc>
        <w:tc>
          <w:tcPr>
            <w:tcW w:w="68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Depositary</w:t>
            </w:r>
          </w:p>
        </w:tc>
        <w:tc>
          <w:tcPr>
            <w:tcW w:w="680" w:type="dxa"/>
            <w:vAlign w:val="bottom"/>
            <w:vMerge w:val="continue"/>
          </w:tcPr>
          <w:p>
            <w:pPr>
              <w:spacing w:after="0"/>
              <w:rPr>
                <w:sz w:val="7"/>
                <w:szCs w:val="7"/>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00" w:type="dxa"/>
            <w:vAlign w:val="bottom"/>
            <w:vMerge w:val="restart"/>
          </w:tcPr>
          <w:p>
            <w:pPr>
              <w:jc w:val="right"/>
              <w:ind w:right="222"/>
              <w:spacing w:after="0" w:line="139" w:lineRule="exact"/>
              <w:rPr>
                <w:sz w:val="20"/>
                <w:szCs w:val="20"/>
                <w:color w:val="auto"/>
              </w:rPr>
            </w:pPr>
            <w:r>
              <w:rPr>
                <w:rFonts w:ascii="Times New Roman" w:cs="Times New Roman" w:eastAsia="Times New Roman" w:hAnsi="Times New Roman"/>
                <w:sz w:val="13"/>
                <w:szCs w:val="13"/>
                <w:color w:val="0000FF"/>
              </w:rPr>
              <w:t>66,000</w:t>
            </w:r>
          </w:p>
        </w:tc>
        <w:tc>
          <w:tcPr>
            <w:tcW w:w="72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1"/>
        </w:trPr>
        <w:tc>
          <w:tcPr>
            <w:tcW w:w="66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jc w:val="center"/>
              <w:spacing w:after="0" w:line="151"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7"/>
                <w:szCs w:val="17"/>
                <w:color w:val="008000"/>
                <w:vertAlign w:val="superscript"/>
              </w:rPr>
              <w:t>(2)</w:t>
            </w: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60" w:type="dxa"/>
            <w:vAlign w:val="bottom"/>
            <w:tcBorders>
              <w:bottom w:val="single" w:sz="8" w:color="2C2C2C"/>
            </w:tcBorders>
          </w:tcPr>
          <w:p>
            <w:pPr>
              <w:ind w:left="60"/>
              <w:spacing w:after="0" w:line="139" w:lineRule="exact"/>
              <w:rPr>
                <w:sz w:val="20"/>
                <w:szCs w:val="20"/>
                <w:color w:val="auto"/>
              </w:rPr>
            </w:pPr>
            <w:r>
              <w:rPr>
                <w:rFonts w:ascii="Times New Roman" w:cs="Times New Roman" w:eastAsia="Times New Roman" w:hAnsi="Times New Roman"/>
                <w:sz w:val="13"/>
                <w:szCs w:val="13"/>
                <w:color w:val="0000FF"/>
              </w:rPr>
              <w:t>buy)</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American</w:t>
            </w: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
        </w:trPr>
        <w:tc>
          <w:tcPr>
            <w:tcW w:w="6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106,848</w:t>
            </w:r>
          </w:p>
        </w:tc>
        <w:tc>
          <w:tcPr>
            <w:tcW w:w="680" w:type="dxa"/>
            <w:vAlign w:val="bottom"/>
          </w:tcPr>
          <w:p>
            <w:pPr>
              <w:spacing w:after="0"/>
              <w:rPr>
                <w:sz w:val="4"/>
                <w:szCs w:val="4"/>
                <w:color w:val="auto"/>
              </w:rPr>
            </w:pPr>
          </w:p>
        </w:tc>
        <w:tc>
          <w:tcPr>
            <w:tcW w:w="9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660" w:type="dxa"/>
            <w:vAlign w:val="bottom"/>
            <w:vMerge w:val="continue"/>
          </w:tcPr>
          <w:p>
            <w:pPr>
              <w:spacing w:after="0"/>
              <w:rPr>
                <w:sz w:val="7"/>
                <w:szCs w:val="7"/>
                <w:color w:val="auto"/>
              </w:rPr>
            </w:pPr>
          </w:p>
        </w:tc>
        <w:tc>
          <w:tcPr>
            <w:tcW w:w="760" w:type="dxa"/>
            <w:vAlign w:val="bottom"/>
            <w:vMerge w:val="restart"/>
          </w:tcPr>
          <w:p>
            <w:pPr>
              <w:jc w:val="right"/>
              <w:ind w:right="244"/>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vMerge w:val="restart"/>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02/26/2026</w:t>
            </w:r>
          </w:p>
        </w:tc>
        <w:tc>
          <w:tcPr>
            <w:tcW w:w="1080" w:type="dxa"/>
            <w:vAlign w:val="bottom"/>
          </w:tcPr>
          <w:p>
            <w:pPr>
              <w:spacing w:after="0"/>
              <w:rPr>
                <w:sz w:val="7"/>
                <w:szCs w:val="7"/>
                <w:color w:val="auto"/>
              </w:rPr>
            </w:pPr>
          </w:p>
        </w:tc>
        <w:tc>
          <w:tcPr>
            <w:tcW w:w="780" w:type="dxa"/>
            <w:vAlign w:val="bottom"/>
            <w:vMerge w:val="restart"/>
          </w:tcPr>
          <w:p>
            <w:pPr>
              <w:ind w:left="16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620" w:type="dxa"/>
            <w:vAlign w:val="bottom"/>
            <w:vMerge w:val="restart"/>
          </w:tcPr>
          <w:p>
            <w:pPr>
              <w:jc w:val="right"/>
              <w:ind w:right="82"/>
              <w:spacing w:after="0" w:line="139" w:lineRule="exact"/>
              <w:rPr>
                <w:sz w:val="20"/>
                <w:szCs w:val="20"/>
                <w:color w:val="auto"/>
              </w:rPr>
            </w:pPr>
            <w:r>
              <w:rPr>
                <w:rFonts w:ascii="Times New Roman" w:cs="Times New Roman" w:eastAsia="Times New Roman" w:hAnsi="Times New Roman"/>
                <w:sz w:val="13"/>
                <w:szCs w:val="13"/>
                <w:color w:val="0000FF"/>
              </w:rPr>
              <w:t>106,848</w:t>
            </w:r>
          </w:p>
        </w:tc>
        <w:tc>
          <w:tcPr>
            <w:tcW w:w="220" w:type="dxa"/>
            <w:vAlign w:val="bottom"/>
          </w:tcPr>
          <w:p>
            <w:pPr>
              <w:spacing w:after="0"/>
              <w:rPr>
                <w:sz w:val="7"/>
                <w:szCs w:val="7"/>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Depository</w:t>
            </w:r>
          </w:p>
        </w:tc>
        <w:tc>
          <w:tcPr>
            <w:tcW w:w="680" w:type="dxa"/>
            <w:vAlign w:val="bottom"/>
            <w:vMerge w:val="continue"/>
          </w:tcPr>
          <w:p>
            <w:pPr>
              <w:spacing w:after="0"/>
              <w:rPr>
                <w:sz w:val="7"/>
                <w:szCs w:val="7"/>
                <w:color w:val="auto"/>
              </w:rPr>
            </w:pP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900" w:type="dxa"/>
            <w:vAlign w:val="bottom"/>
            <w:vMerge w:val="restart"/>
          </w:tcPr>
          <w:p>
            <w:pPr>
              <w:jc w:val="right"/>
              <w:ind w:right="182"/>
              <w:spacing w:after="0" w:line="139" w:lineRule="exact"/>
              <w:rPr>
                <w:sz w:val="20"/>
                <w:szCs w:val="20"/>
                <w:color w:val="auto"/>
              </w:rPr>
            </w:pPr>
            <w:r>
              <w:rPr>
                <w:rFonts w:ascii="Times New Roman" w:cs="Times New Roman" w:eastAsia="Times New Roman" w:hAnsi="Times New Roman"/>
                <w:sz w:val="13"/>
                <w:szCs w:val="13"/>
                <w:color w:val="0000FF"/>
              </w:rPr>
              <w:t>106,848</w:t>
            </w:r>
          </w:p>
        </w:tc>
        <w:tc>
          <w:tcPr>
            <w:tcW w:w="72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1"/>
        </w:trPr>
        <w:tc>
          <w:tcPr>
            <w:tcW w:w="66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jc w:val="center"/>
              <w:spacing w:after="0" w:line="151" w:lineRule="exact"/>
              <w:rPr>
                <w:sz w:val="20"/>
                <w:szCs w:val="20"/>
                <w:color w:val="auto"/>
              </w:rPr>
            </w:pPr>
            <w:r>
              <w:rPr>
                <w:rFonts w:ascii="Times New Roman" w:cs="Times New Roman" w:eastAsia="Times New Roman" w:hAnsi="Times New Roman"/>
                <w:sz w:val="11"/>
                <w:szCs w:val="11"/>
                <w:color w:val="0000FF"/>
              </w:rPr>
              <w:t>Shares</w:t>
            </w:r>
            <w:r>
              <w:rPr>
                <w:rFonts w:ascii="Times New Roman" w:cs="Times New Roman" w:eastAsia="Times New Roman" w:hAnsi="Times New Roman"/>
                <w:sz w:val="17"/>
                <w:szCs w:val="17"/>
                <w:color w:val="008000"/>
                <w:vertAlign w:val="superscript"/>
              </w:rPr>
              <w:t>(2)</w:t>
            </w: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Vests in substantially equal monthly installments over a one year period from the February 26, 2026 grant date.</w:t>
      </w:r>
    </w:p>
    <w:p>
      <w:pPr>
        <w:spacing w:after="0" w:line="39"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("ADS") represents five ordinary shares, nominal value GBP 0.003 per ordinary share, of the Issuer.</w:t>
      </w:r>
    </w:p>
    <w:p>
      <w:pPr>
        <w:spacing w:after="0" w:line="39" w:lineRule="exact"/>
        <w:rPr>
          <w:rFonts w:ascii="Times New Roman" w:cs="Times New Roman" w:eastAsia="Times New Roman" w:hAnsi="Times New Roman"/>
          <w:sz w:val="13"/>
          <w:szCs w:val="13"/>
          <w:color w:val="008000"/>
        </w:rPr>
      </w:pPr>
    </w:p>
    <w:p>
      <w:pPr>
        <w:ind w:left="40" w:right="160" w:hanging="1"/>
        <w:spacing w:after="0" w:line="246"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Deferred restricted stock units ("DRSU") are granted to non-executive directors who elected to receive DRSUs in the form of ADSs in lieu of annual cash compensation. DRSUs vest in substantially equal monthly installments over the plan year following the grant date. Payment of DRSUs in ADSs will generally be made 180 days following separation of service.</w:t>
      </w:r>
    </w:p>
    <w:p>
      <w:pPr>
        <w:spacing w:after="0" w:line="40"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Christine Fox, by power of</w:t>
            </w: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02/27/2026</w:t>
            </w:r>
          </w:p>
        </w:tc>
        <w:tc>
          <w:tcPr>
            <w:tcW w:w="0" w:type="dxa"/>
            <w:vAlign w:val="bottom"/>
          </w:tcPr>
          <w:p>
            <w:pPr>
              <w:spacing w:after="0"/>
              <w:rPr>
                <w:sz w:val="1"/>
                <w:szCs w:val="1"/>
                <w:color w:val="auto"/>
              </w:rPr>
            </w:pPr>
          </w:p>
        </w:tc>
      </w:tr>
      <w:tr>
        <w:trPr>
          <w:trHeight w:val="81"/>
        </w:trPr>
        <w:tc>
          <w:tcPr>
            <w:tcW w:w="540" w:type="dxa"/>
            <w:vAlign w:val="bottom"/>
            <w:tcBorders>
              <w:top w:val="single" w:sz="8" w:color="auto"/>
            </w:tcBorders>
            <w:vMerge w:val="restart"/>
          </w:tcPr>
          <w:p>
            <w:pPr>
              <w:spacing w:after="0" w:line="182" w:lineRule="exact"/>
              <w:rPr>
                <w:sz w:val="20"/>
                <w:szCs w:val="20"/>
                <w:color w:val="auto"/>
              </w:rPr>
            </w:pPr>
            <w:r>
              <w:rPr>
                <w:rFonts w:ascii="Times New Roman" w:cs="Times New Roman" w:eastAsia="Times New Roman" w:hAnsi="Times New Roman"/>
                <w:sz w:val="16"/>
                <w:szCs w:val="16"/>
                <w:color w:val="0000FF"/>
                <w:w w:val="99"/>
              </w:rPr>
              <w:t>attorney</w:t>
            </w:r>
          </w:p>
        </w:tc>
        <w:tc>
          <w:tcPr>
            <w:tcW w:w="142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540" w:type="dxa"/>
            <w:vAlign w:val="bottom"/>
            <w:tcBorders>
              <w:top w:val="single" w:sz="8" w:color="auto"/>
              <w:bottom w:val="single" w:sz="8" w:color="auto"/>
            </w:tcBorders>
            <w:vMerge w:val="continue"/>
          </w:tcPr>
          <w:p>
            <w:pPr>
              <w:spacing w:after="0"/>
              <w:rPr>
                <w:sz w:val="7"/>
                <w:szCs w:val="7"/>
                <w:color w:val="auto"/>
              </w:rPr>
            </w:pPr>
          </w:p>
        </w:tc>
        <w:tc>
          <w:tcPr>
            <w:tcW w:w="142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9"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39481" TargetMode="External"/><Relationship Id="rId14" Type="http://schemas.openxmlformats.org/officeDocument/2006/relationships/hyperlink" Target="http://www.sec.gov/cgi-bin/browse-edgar?action=getcompany&amp;CIK=00017197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2026-02-27T16:39:23Z</dcterms:created>
  <dcterms:modified xsi:type="dcterms:W3CDTF">2026-02-27T16:39:23Z</dcterms:modified>
</cp:coreProperties>
</file>