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2) *</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American Depositary Share, each representing five 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26"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84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8435" cy="171450"/>
                    </a:xfrm>
                    <a:prstGeom prst="rect">
                      <a:avLst/>
                    </a:prstGeom>
                    <a:noFill/>
                  </pic:spPr>
                </pic:pic>
              </a:graphicData>
            </a:graphic>
          </wp:anchor>
        </w:drawing>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259" w:lineRule="exact"/>
        <w:rPr>
          <w:sz w:val="20"/>
          <w:szCs w:val="20"/>
          <w:color w:val="auto"/>
        </w:rPr>
      </w:pPr>
    </w:p>
    <w:p>
      <w:pPr>
        <w:ind w:left="920" w:hanging="545"/>
        <w:spacing w:after="0"/>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Vivo Capital IX, LLC</w:t>
      </w:r>
    </w:p>
    <w:p>
      <w:pPr>
        <w:spacing w:after="0" w:line="40" w:lineRule="exact"/>
        <w:rPr>
          <w:sz w:val="20"/>
          <w:szCs w:val="20"/>
          <w:color w:val="auto"/>
        </w:rPr>
      </w:pPr>
    </w:p>
    <w:p>
      <w:pPr>
        <w:ind w:left="920" w:hanging="54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b w:val="1"/>
          <w:bCs w:val="1"/>
          <w:color w:val="auto"/>
        </w:rPr>
      </w:pPr>
    </w:p>
    <w:p>
      <w:pPr>
        <w:ind w:left="1160" w:hanging="239"/>
        <w:spacing w:after="0" w:line="207" w:lineRule="exact"/>
        <w:tabs>
          <w:tab w:leader="none" w:pos="11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59"/>
        <w:spacing w:after="0" w:line="207" w:lineRule="exact"/>
        <w:tabs>
          <w:tab w:leader="none" w:pos="11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920" w:hanging="545"/>
        <w:spacing w:after="0"/>
        <w:tabs>
          <w:tab w:leader="none" w:pos="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20" w:hanging="545"/>
        <w:spacing w:after="0"/>
        <w:tabs>
          <w:tab w:leader="none" w:pos="9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36" w:lineRule="exact"/>
        <w:rPr>
          <w:rFonts w:ascii="Arial" w:cs="Arial" w:eastAsia="Arial" w:hAnsi="Arial"/>
          <w:sz w:val="18"/>
          <w:szCs w:val="18"/>
          <w:b w:val="1"/>
          <w:bCs w:val="1"/>
          <w:color w:val="auto"/>
        </w:rPr>
      </w:pPr>
    </w:p>
    <w:p>
      <w:pPr>
        <w:ind w:left="2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34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xml:space="preserve">1,999,386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15"/>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886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8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9"/>
                <w:szCs w:val="19"/>
                <w:color w:val="auto"/>
              </w:rPr>
            </w:pPr>
          </w:p>
        </w:tc>
        <w:tc>
          <w:tcPr>
            <w:tcW w:w="8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7</w:t>
            </w:r>
          </w:p>
        </w:tc>
        <w:tc>
          <w:tcPr>
            <w:tcW w:w="886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6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680" w:type="dxa"/>
            <w:vAlign w:val="bottom"/>
          </w:tcPr>
          <w:p>
            <w:pPr>
              <w:spacing w:after="0"/>
              <w:rPr>
                <w:sz w:val="20"/>
                <w:szCs w:val="20"/>
                <w:color w:val="auto"/>
              </w:rPr>
            </w:pPr>
          </w:p>
        </w:tc>
        <w:tc>
          <w:tcPr>
            <w:tcW w:w="886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1,999,386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61"/>
        </w:trPr>
        <w:tc>
          <w:tcPr>
            <w:tcW w:w="148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20" w:hanging="545"/>
        <w:spacing w:after="0"/>
        <w:tabs>
          <w:tab w:leader="none" w:pos="9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1,999,386 </w:t>
      </w:r>
      <w:r>
        <w:rPr>
          <w:rFonts w:ascii="Arial" w:cs="Arial" w:eastAsia="Arial" w:hAnsi="Arial"/>
          <w:sz w:val="29"/>
          <w:szCs w:val="29"/>
          <w:b w:val="1"/>
          <w:bCs w:val="1"/>
          <w:color w:val="auto"/>
          <w:vertAlign w:val="superscript"/>
        </w:rPr>
        <w:t>(1)</w:t>
      </w:r>
    </w:p>
    <w:p>
      <w:pPr>
        <w:ind w:left="920" w:hanging="590"/>
        <w:spacing w:after="0"/>
        <w:tabs>
          <w:tab w:leader="none" w:pos="9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76"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920" w:hanging="585"/>
        <w:spacing w:after="0"/>
        <w:tabs>
          <w:tab w:leader="none" w:pos="9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83"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1.822% </w:t>
      </w:r>
      <w:r>
        <w:rPr>
          <w:rFonts w:ascii="Arial" w:cs="Arial" w:eastAsia="Arial" w:hAnsi="Arial"/>
          <w:sz w:val="29"/>
          <w:szCs w:val="29"/>
          <w:b w:val="1"/>
          <w:bCs w:val="1"/>
          <w:color w:val="auto"/>
          <w:vertAlign w:val="superscript"/>
        </w:rPr>
        <w:t>(2)</w:t>
      </w:r>
    </w:p>
    <w:p>
      <w:pPr>
        <w:ind w:left="920" w:hanging="590"/>
        <w:spacing w:after="0"/>
        <w:tabs>
          <w:tab w:leader="none" w:pos="9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5"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42" w:lineRule="exact"/>
        <w:rPr>
          <w:rFonts w:ascii="Arial" w:cs="Arial" w:eastAsia="Arial" w:hAnsi="Arial"/>
          <w:sz w:val="18"/>
          <w:szCs w:val="18"/>
          <w:b w:val="1"/>
          <w:bCs w:val="1"/>
          <w:color w:val="auto"/>
        </w:rPr>
      </w:pPr>
    </w:p>
    <w:p>
      <w:pPr>
        <w:ind w:left="340" w:hanging="332"/>
        <w:spacing w:after="0" w:line="233"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number represents (i) 770,030 American Depositary Shares (“ADS”) of Mereo BioPharma Group plc (the “Issuer”), with each ADS representing 5 ordinary shares, nominal value £0.003 per share (the “Ordinary Share”) of the Issuer, (ii) 839,435 ADSs, issuable upon exercise of certain warrants, the exercise of which is subject to a beneficial ownership limitation of 9.99% of the Issuer’s outstanding Ordinary Shares, and (iii) 389,921 ADSs, issuable upon conversion of certain convertible loan notes, the conversion of which is subject to a beneficial ownership limitation of 9.99% of the Issuer’s outstanding Ordinary Shares. The number excludes 151,415 ADSs, issuable upon conversion of certain convertible loan notes (including interest accrued until June 3, 2023, the maturity date of such notes), the conversion of which is subject to a beneficial ownership limitation of 9.99% of the Issuer’s outstanding Ordinary Shares. The securities are held of record by Vivo Capital Fund IX, L.P. Vivo Capital IX, LLC is the general partner of Vivo Capital Fund IX, L.P.</w:t>
      </w:r>
    </w:p>
    <w:p>
      <w:pPr>
        <w:spacing w:after="0" w:line="188" w:lineRule="exact"/>
        <w:rPr>
          <w:rFonts w:ascii="Arial" w:cs="Arial" w:eastAsia="Arial" w:hAnsi="Arial"/>
          <w:sz w:val="30"/>
          <w:szCs w:val="30"/>
          <w:color w:val="auto"/>
          <w:vertAlign w:val="superscript"/>
        </w:rPr>
      </w:pPr>
    </w:p>
    <w:p>
      <w:pPr>
        <w:ind w:left="340" w:right="20" w:hanging="332"/>
        <w:spacing w:after="0" w:line="239"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7"/>
          <w:szCs w:val="17"/>
          <w:color w:val="auto"/>
        </w:rPr>
        <w:t>Based on (i) 102,967,781ADSs of the Issuer, as disclosed in the prospectus supplement filed by the Issuer on February 10, 2021 with the Securities and Exchange Commission pursuant to Rule 424(b)(5), which forms part of the Issuer’s Registration Statement on Form F-3 (File No. 333-249341), (ii) 4,601,382 ADSs, issuable upon exercise of certain warrants held of records by Vivo Capital Fund IX, L.P. and Vivo Opportunity Fund, L.P., the exercise of which is subject to a beneficial ownership limitation of 9.99% of the Issuer’s outstanding Ordinary Shares, and (iii) 2,137,362 ADSs, issuable upon conversion of certain convertible loan notes held of records by Vivo Capital Fund IX, L.P. and Vivo Opportunity Fund, L.P, the conversion of which is subject to a beneficial ownership limitation of 9.99% of the Issuer’s outstanding Ordinary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84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171450"/>
                    </a:xfrm>
                    <a:prstGeom prst="rect">
                      <a:avLst/>
                    </a:prstGeom>
                    <a:noFill/>
                  </pic:spPr>
                </pic:pic>
              </a:graphicData>
            </a:graphic>
          </wp:anchor>
        </w:drawing>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526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286" w:lineRule="exact"/>
        <w:rPr>
          <w:sz w:val="20"/>
          <w:szCs w:val="20"/>
          <w:color w:val="auto"/>
        </w:rPr>
      </w:pPr>
    </w:p>
    <w:p>
      <w:pPr>
        <w:ind w:left="920" w:hanging="545"/>
        <w:spacing w:after="0"/>
        <w:tabs>
          <w:tab w:leader="none" w:pos="9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Vivo Opportunity, LLC</w:t>
      </w:r>
    </w:p>
    <w:p>
      <w:pPr>
        <w:spacing w:after="0" w:line="40" w:lineRule="exact"/>
        <w:rPr>
          <w:sz w:val="20"/>
          <w:szCs w:val="20"/>
          <w:color w:val="auto"/>
        </w:rPr>
      </w:pPr>
    </w:p>
    <w:p>
      <w:pPr>
        <w:ind w:left="920" w:hanging="545"/>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b w:val="1"/>
          <w:bCs w:val="1"/>
          <w:color w:val="auto"/>
        </w:rPr>
      </w:pPr>
    </w:p>
    <w:p>
      <w:pPr>
        <w:ind w:left="1160" w:hanging="239"/>
        <w:spacing w:after="0" w:line="207" w:lineRule="exact"/>
        <w:tabs>
          <w:tab w:leader="none" w:pos="11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59"/>
        <w:spacing w:after="0" w:line="207" w:lineRule="exact"/>
        <w:tabs>
          <w:tab w:leader="none" w:pos="118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p>
      <w:pPr>
        <w:ind w:left="920" w:hanging="545"/>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45" w:lineRule="exact"/>
        <w:rPr>
          <w:sz w:val="20"/>
          <w:szCs w:val="20"/>
          <w:color w:val="auto"/>
        </w:rPr>
      </w:pPr>
    </w:p>
    <w:p>
      <w:pPr>
        <w:ind w:left="920" w:hanging="545"/>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Delaware</w:t>
      </w:r>
    </w:p>
    <w:p>
      <w:pPr>
        <w:spacing w:after="0" w:line="36" w:lineRule="exact"/>
        <w:rPr>
          <w:rFonts w:ascii="Arial" w:cs="Arial" w:eastAsia="Arial" w:hAnsi="Arial"/>
          <w:sz w:val="18"/>
          <w:szCs w:val="18"/>
          <w:b w:val="1"/>
          <w:bCs w:val="1"/>
          <w:color w:val="auto"/>
        </w:rPr>
      </w:pPr>
    </w:p>
    <w:p>
      <w:pPr>
        <w:ind w:left="2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34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68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xml:space="preserve">8,960,296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15"/>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94"/>
              </w:rPr>
              <w:t>SHARES</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886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8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4"/>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tcBorders>
          </w:tcPr>
          <w:p>
            <w:pPr>
              <w:spacing w:after="0"/>
              <w:rPr>
                <w:sz w:val="19"/>
                <w:szCs w:val="19"/>
                <w:color w:val="auto"/>
              </w:rPr>
            </w:pPr>
          </w:p>
        </w:tc>
        <w:tc>
          <w:tcPr>
            <w:tcW w:w="8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7</w:t>
            </w:r>
          </w:p>
        </w:tc>
        <w:tc>
          <w:tcPr>
            <w:tcW w:w="8860" w:type="dxa"/>
            <w:vAlign w:val="bottom"/>
          </w:tcPr>
          <w:p>
            <w:pPr>
              <w:ind w:left="22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6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90"/>
              <w:spacing w:after="0"/>
              <w:rPr>
                <w:sz w:val="20"/>
                <w:szCs w:val="20"/>
                <w:color w:val="auto"/>
              </w:rPr>
            </w:pPr>
            <w:r>
              <w:rPr>
                <w:rFonts w:ascii="Arial" w:cs="Arial" w:eastAsia="Arial" w:hAnsi="Arial"/>
                <w:sz w:val="18"/>
                <w:szCs w:val="18"/>
                <w:color w:val="auto"/>
                <w:w w:val="92"/>
              </w:rPr>
              <w:t>PERSON</w:t>
            </w:r>
          </w:p>
        </w:tc>
        <w:tc>
          <w:tcPr>
            <w:tcW w:w="680" w:type="dxa"/>
            <w:vAlign w:val="bottom"/>
          </w:tcPr>
          <w:p>
            <w:pPr>
              <w:spacing w:after="0"/>
              <w:rPr>
                <w:sz w:val="20"/>
                <w:szCs w:val="20"/>
                <w:color w:val="auto"/>
              </w:rPr>
            </w:pPr>
          </w:p>
        </w:tc>
        <w:tc>
          <w:tcPr>
            <w:tcW w:w="886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8,960,296 </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61"/>
        </w:trPr>
        <w:tc>
          <w:tcPr>
            <w:tcW w:w="148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80" w:type="dxa"/>
            <w:vAlign w:val="bottom"/>
            <w:vMerge w:val="continue"/>
          </w:tcPr>
          <w:p>
            <w:pPr>
              <w:spacing w:after="0"/>
              <w:rPr>
                <w:sz w:val="12"/>
                <w:szCs w:val="12"/>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w:t>
            </w:r>
          </w:p>
        </w:tc>
        <w:tc>
          <w:tcPr>
            <w:tcW w:w="886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4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920" w:hanging="545"/>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8,960,296 </w:t>
      </w:r>
      <w:r>
        <w:rPr>
          <w:rFonts w:ascii="Arial" w:cs="Arial" w:eastAsia="Arial" w:hAnsi="Arial"/>
          <w:sz w:val="29"/>
          <w:szCs w:val="29"/>
          <w:b w:val="1"/>
          <w:bCs w:val="1"/>
          <w:color w:val="auto"/>
          <w:vertAlign w:val="superscript"/>
        </w:rPr>
        <w:t>(1)</w:t>
      </w:r>
    </w:p>
    <w:p>
      <w:pPr>
        <w:ind w:left="920" w:hanging="590"/>
        <w:spacing w:after="0"/>
        <w:tabs>
          <w:tab w:leader="none" w:pos="9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176" w:lineRule="exact"/>
        <w:rPr>
          <w:rFonts w:ascii="Arial" w:cs="Arial" w:eastAsia="Arial" w:hAnsi="Arial"/>
          <w:sz w:val="18"/>
          <w:szCs w:val="18"/>
          <w:b w:val="1"/>
          <w:bCs w:val="1"/>
          <w:color w:val="auto"/>
        </w:rPr>
      </w:pPr>
    </w:p>
    <w:p>
      <w:pPr>
        <w:ind w:left="9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920" w:hanging="585"/>
        <w:spacing w:after="0"/>
        <w:tabs>
          <w:tab w:leader="none" w:pos="9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83"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8.168% </w:t>
      </w:r>
      <w:r>
        <w:rPr>
          <w:rFonts w:ascii="Arial" w:cs="Arial" w:eastAsia="Arial" w:hAnsi="Arial"/>
          <w:sz w:val="29"/>
          <w:szCs w:val="29"/>
          <w:b w:val="1"/>
          <w:bCs w:val="1"/>
          <w:color w:val="auto"/>
          <w:vertAlign w:val="superscript"/>
        </w:rPr>
        <w:t>(2)</w:t>
      </w:r>
    </w:p>
    <w:p>
      <w:pPr>
        <w:ind w:left="920" w:hanging="590"/>
        <w:spacing w:after="0"/>
        <w:tabs>
          <w:tab w:leader="none" w:pos="92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05"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56" w:lineRule="exact"/>
        <w:rPr>
          <w:rFonts w:ascii="Arial" w:cs="Arial" w:eastAsia="Arial" w:hAnsi="Arial"/>
          <w:sz w:val="18"/>
          <w:szCs w:val="18"/>
          <w:b w:val="1"/>
          <w:bCs w:val="1"/>
          <w:color w:val="auto"/>
        </w:rPr>
      </w:pPr>
    </w:p>
    <w:p>
      <w:pPr>
        <w:ind w:left="340" w:right="100" w:hanging="332"/>
        <w:spacing w:after="0" w:line="258" w:lineRule="auto"/>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The number represents (i) 3,450,908 ADSs, (ii) 3,761,947 ADSs, issuable upon exercise of certain warrants, the exercise of which is subject to a beneficial ownership limitation of 9.99% of the Issuer’s outstanding Ordinary Shares, and (iii) 1,747,441 ADSs, issuable upon conversion of certain convertible loan notes, the conversion of which is subject to a beneficial ownership limitation of 9.99% of the Issuer’s outstanding Ordinary Shares. The number excludes 678,569 ADSs, issuable upon conversion of certain convertible loan notes (including interest accrued until June 3, 2023, the maturity date of such notes), the conversion of which is subject to a beneficial ownership limitation of 9.99% of the Issuer’s outstanding Ordinary Shares. The securities are held of record by Vivo Opportunity Fund, L.P. Vivo Opportunity, LLC is the general partner of Vivo Opportunity Fund, L.P.</w:t>
      </w:r>
    </w:p>
    <w:p>
      <w:pPr>
        <w:spacing w:after="0" w:line="175" w:lineRule="exact"/>
        <w:rPr>
          <w:rFonts w:ascii="Arial" w:cs="Arial" w:eastAsia="Arial" w:hAnsi="Arial"/>
          <w:sz w:val="27"/>
          <w:szCs w:val="27"/>
          <w:color w:val="auto"/>
          <w:vertAlign w:val="superscript"/>
        </w:rPr>
      </w:pPr>
    </w:p>
    <w:p>
      <w:pPr>
        <w:ind w:left="340" w:right="20" w:hanging="332"/>
        <w:spacing w:after="0" w:line="239" w:lineRule="auto"/>
        <w:tabs>
          <w:tab w:leader="none" w:pos="340"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Based on (i) 102,967,781ADSs of the Issuer, as disclosed in the prospectus supplement filed by the Issuer on February 10, 2021 with the Securities and Exchange Commission pursuant to Rule 424(b)(5), which forms part of the Issuer’s Registration Statement on Form F-3 (File No. 333-249341), (ii) 4,601,382 ADSs, issuable upon exercise of certain warrants held of records by Vivo Capital Fund IX, L.P. and Vivo Opportunity Fund, L.P., the exercise of which is subject to a beneficial ownership limitation of 9.99% of the Issuer’s outstanding Ordinary Shares, and (iii) 2,137,362 ADSs, issuable upon conversion of certain convertible loan notes held of records by Vivo Capital Fund IX, L.P. and Vivo Opportunity Fund, L.P, the conversion of which is subject to a beneficial ownership limitation of 9.99% of the Issuer’s outstanding Ordinary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ind w:left="1040" w:hanging="452"/>
        <w:spacing w:after="0"/>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4th Floor, One Cavendish Place,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London, W1G 0QF,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Amendment No. 2 to Schedule 13G is filed jointly by Vivo Capital IX, LLC and Vivo Opportunity, LLC.</w:t>
      </w:r>
    </w:p>
    <w:p>
      <w:pPr>
        <w:spacing w:after="0" w:line="221" w:lineRule="exact"/>
        <w:rPr>
          <w:sz w:val="20"/>
          <w:szCs w:val="20"/>
          <w:color w:val="auto"/>
        </w:rPr>
      </w:pPr>
    </w:p>
    <w:p>
      <w:pPr>
        <w:ind w:left="1040" w:hanging="452"/>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040" w:hanging="452"/>
        <w:spacing w:after="0"/>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040" w:hanging="452"/>
        <w:spacing w:after="0"/>
        <w:tabs>
          <w:tab w:leader="none" w:pos="10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Ordinary Shares, nominal value £0.003, represented by American Depositary Shares, each of which represents five Ordinary Shares.</w:t>
      </w:r>
    </w:p>
    <w:p>
      <w:pPr>
        <w:spacing w:after="0" w:line="233" w:lineRule="exact"/>
        <w:rPr>
          <w:sz w:val="20"/>
          <w:szCs w:val="20"/>
          <w:color w:val="auto"/>
        </w:rPr>
      </w:pPr>
    </w:p>
    <w:p>
      <w:pPr>
        <w:ind w:left="1040" w:hanging="452"/>
        <w:spacing w:after="0"/>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589492107</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880" w:hanging="900"/>
        <w:spacing w:after="0" w:line="239" w:lineRule="exact"/>
        <w:tabs>
          <w:tab w:leader="none" w:pos="1434"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420" w:hanging="440"/>
        <w:spacing w:after="0" w:line="207" w:lineRule="exact"/>
        <w:tabs>
          <w:tab w:leader="none" w:pos="142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040" w:hanging="452"/>
        <w:spacing w:after="0"/>
        <w:tabs>
          <w:tab w:leader="none" w:pos="104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ind w:right="20" w:firstLine="972"/>
        <w:spacing w:after="0" w:line="259" w:lineRule="auto"/>
        <w:rPr>
          <w:sz w:val="20"/>
          <w:szCs w:val="20"/>
          <w:color w:val="auto"/>
        </w:rPr>
      </w:pPr>
      <w:r>
        <w:rPr>
          <w:rFonts w:ascii="Arial" w:cs="Arial" w:eastAsia="Arial" w:hAnsi="Arial"/>
          <w:sz w:val="18"/>
          <w:szCs w:val="18"/>
          <w:color w:val="auto"/>
        </w:rPr>
        <w:t>The 1,999,386 ADSs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shares and each of whom disclaims beneficial ownership of such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The 8,960,296 ADSs, are held of record by Vivo Opportunity Fund, L.P. Vivo Opportunity, LLC is the general partner of Vivo Opportunity Fund, L.P. The voting members of Vivo Opportunity, LLC are Gaurav Aggarwal, Shan Fu, Frank Kung and Michael Chang, none of whom has individual voting or investment power with respect to these shares and each of whom disclaims beneficial ownership of such shares.</w:t>
      </w:r>
    </w:p>
    <w:p>
      <w:pPr>
        <w:spacing w:after="0" w:line="161" w:lineRule="exact"/>
        <w:rPr>
          <w:sz w:val="20"/>
          <w:szCs w:val="20"/>
          <w:color w:val="auto"/>
        </w:rPr>
      </w:pPr>
    </w:p>
    <w:p>
      <w:pPr>
        <w:ind w:left="1040" w:hanging="452"/>
        <w:spacing w:after="0"/>
        <w:tabs>
          <w:tab w:leader="none" w:pos="10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1.822%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Opportunity, LLC: 8.168%</w:t>
      </w:r>
    </w:p>
    <w:p>
      <w:pPr>
        <w:spacing w:after="0" w:line="221" w:lineRule="exact"/>
        <w:rPr>
          <w:sz w:val="20"/>
          <w:szCs w:val="20"/>
          <w:color w:val="auto"/>
        </w:rPr>
      </w:pPr>
    </w:p>
    <w:p>
      <w:pPr>
        <w:ind w:left="1040" w:hanging="452"/>
        <w:spacing w:after="0"/>
        <w:tabs>
          <w:tab w:leader="none" w:pos="10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right="6480" w:hanging="640"/>
        <w:spacing w:after="0" w:line="563" w:lineRule="auto"/>
        <w:tabs>
          <w:tab w:leader="none" w:pos="1625" w:val="left"/>
        </w:tabs>
        <w:numPr>
          <w:ilvl w:val="1"/>
          <w:numId w:val="28"/>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1,999,386 ADSs Vivo Opportunity, LLC: 8,960,296 ADSs</w:t>
      </w:r>
    </w:p>
    <w:p>
      <w:pPr>
        <w:spacing w:after="0" w:line="1" w:lineRule="exact"/>
        <w:rPr>
          <w:rFonts w:ascii="Arial" w:cs="Arial" w:eastAsia="Arial" w:hAnsi="Arial"/>
          <w:sz w:val="16"/>
          <w:szCs w:val="16"/>
          <w:color w:val="auto"/>
        </w:rPr>
      </w:pPr>
    </w:p>
    <w:p>
      <w:pPr>
        <w:ind w:left="1620" w:hanging="640"/>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right="5680" w:hanging="640"/>
        <w:spacing w:after="0" w:line="530" w:lineRule="auto"/>
        <w:tabs>
          <w:tab w:leader="none" w:pos="16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1,999,386 ADSs</w:t>
      </w:r>
    </w:p>
    <w:p>
      <w:pPr>
        <w:ind w:left="1620"/>
        <w:spacing w:after="0"/>
        <w:rPr>
          <w:rFonts w:ascii="Arial" w:cs="Arial" w:eastAsia="Arial" w:hAnsi="Arial"/>
          <w:sz w:val="17"/>
          <w:szCs w:val="17"/>
          <w:color w:val="auto"/>
        </w:rPr>
      </w:pPr>
      <w:r>
        <w:rPr>
          <w:rFonts w:ascii="Arial" w:cs="Arial" w:eastAsia="Arial" w:hAnsi="Arial"/>
          <w:sz w:val="18"/>
          <w:szCs w:val="18"/>
          <w:color w:val="auto"/>
        </w:rPr>
        <w:t>Vivo Opportunity, LLC: 8,960,296 ADSs</w:t>
      </w:r>
    </w:p>
    <w:p>
      <w:pPr>
        <w:spacing w:after="0" w:line="225" w:lineRule="exact"/>
        <w:rPr>
          <w:rFonts w:ascii="Arial" w:cs="Arial" w:eastAsia="Arial" w:hAnsi="Arial"/>
          <w:sz w:val="17"/>
          <w:szCs w:val="17"/>
          <w:color w:val="auto"/>
        </w:rPr>
      </w:pPr>
    </w:p>
    <w:p>
      <w:pPr>
        <w:ind w:left="1620" w:hanging="640"/>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r>
      <w:r>
        <w:rPr>
          <w:sz w:val="20"/>
          <w:szCs w:val="20"/>
          <w:color w:val="auto"/>
        </w:rPr>
        <w:tab/>
      </w: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2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 xml:space="preserve">OR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ONTROL </w:t>
      </w:r>
      <w:r>
        <w:rPr>
          <w:rFonts w:ascii="Arial" w:cs="Arial" w:eastAsia="Arial" w:hAnsi="Arial"/>
          <w:sz w:val="17"/>
          <w:szCs w:val="17"/>
          <w:b w:val="1"/>
          <w:bCs w:val="1"/>
          <w:color w:val="auto"/>
        </w:rPr>
        <w:t>P</w:t>
      </w:r>
      <w:r>
        <w:rPr>
          <w:rFonts w:ascii="Arial" w:cs="Arial" w:eastAsia="Arial" w:hAnsi="Arial"/>
          <w:sz w:val="12"/>
          <w:szCs w:val="12"/>
          <w:b w:val="1"/>
          <w:bCs w:val="1"/>
          <w:color w:val="auto"/>
        </w:rPr>
        <w:t>ERSON</w:t>
      </w:r>
      <w:r>
        <w:rPr>
          <w:rFonts w:ascii="Arial" w:cs="Arial" w:eastAsia="Arial" w:hAnsi="Arial"/>
          <w:sz w:val="17"/>
          <w:szCs w:val="17"/>
          <w:b w:val="1"/>
          <w:bCs w:val="1"/>
          <w:color w:val="auto"/>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972"/>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Gaurav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lvl w:ilvl="1">
      <w:lvlJc w:val="left"/>
      <w:lvlText w:val="(%2)"/>
      <w:numFmt w:val="lowerLetter"/>
      <w:start w:val="1"/>
    </w:lvl>
  </w:abstractNum>
  <w:abstractNum w:abstractNumId="6">
    <w:nsid w:val="519B500D"/>
    <w:multiLevelType w:val="hybridMultilevel"/>
    <w:lvl w:ilvl="0">
      <w:lvlJc w:val="left"/>
      <w:lvlText w:val="3"/>
      <w:numFmt w:val="bullet"/>
      <w:start w:val="1"/>
    </w:lvl>
  </w:abstractNum>
  <w:abstractNum w:abstractNumId="7">
    <w:nsid w:val="431BD7B7"/>
    <w:multiLevelType w:val="hybridMultilevel"/>
    <w:lvl w:ilvl="0">
      <w:lvlJc w:val="left"/>
      <w:lvlText w:val="4"/>
      <w:numFmt w:val="bullet"/>
      <w:start w:val="1"/>
    </w:lvl>
  </w:abstractNum>
  <w:abstractNum w:abstractNumId="8">
    <w:nsid w:val="3F2DBA31"/>
    <w:multiLevelType w:val="hybridMultilevel"/>
    <w:lvl w:ilvl="0">
      <w:lvlJc w:val="left"/>
      <w:lvlText w:val="9"/>
      <w:numFmt w:val="bullet"/>
      <w:start w:val="1"/>
    </w:lvl>
  </w:abstractNum>
  <w:abstractNum w:abstractNumId="9">
    <w:nsid w:val="7C83E458"/>
    <w:multiLevelType w:val="hybridMultilevel"/>
    <w:lvl w:ilvl="0">
      <w:lvlJc w:val="left"/>
      <w:lvlText w:val="%1"/>
      <w:numFmt w:val="decimal"/>
      <w:start w:val="1"/>
    </w:lvl>
    <w:lvl w:ilvl="1">
      <w:lvlJc w:val="left"/>
      <w:lvlText w:val="%2"/>
      <w:numFmt w:val="decimal"/>
      <w:start w:val="10"/>
    </w:lvl>
  </w:abstractNum>
  <w:abstractNum w:abstractNumId="10">
    <w:nsid w:val="257130A3"/>
    <w:multiLevelType w:val="hybridMultilevel"/>
    <w:lvl w:ilvl="0">
      <w:lvlJc w:val="left"/>
      <w:lvlText w:val="(%1)"/>
      <w:numFmt w:val="decimal"/>
      <w:start w:val="1"/>
    </w:lvl>
    <w:lvl w:ilvl="1">
      <w:lvlJc w:val="left"/>
      <w:lvlText w:val="%2"/>
      <w:numFmt w:val="decimal"/>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2"/>
      <w:numFmt w:val="bullet"/>
      <w:start w:val="1"/>
    </w:lvl>
    <w:lvl w:ilvl="1">
      <w:lvlJc w:val="left"/>
      <w:lvlText w:val="(%2)"/>
      <w:numFmt w:val="lowerLetter"/>
      <w:start w:val="1"/>
    </w:lvl>
  </w:abstractNum>
  <w:abstractNum w:abstractNumId="13">
    <w:nsid w:val="628C895D"/>
    <w:multiLevelType w:val="hybridMultilevel"/>
    <w:lvl w:ilvl="0">
      <w:lvlJc w:val="left"/>
      <w:lvlText w:val="3"/>
      <w:numFmt w:val="bullet"/>
      <w:start w:val="1"/>
    </w:lvl>
  </w:abstractNum>
  <w:abstractNum w:abstractNumId="14">
    <w:nsid w:val="333AB105"/>
    <w:multiLevelType w:val="hybridMultilevel"/>
    <w:lvl w:ilvl="0">
      <w:lvlJc w:val="left"/>
      <w:lvlText w:val="4"/>
      <w:numFmt w:val="bullet"/>
      <w:start w:val="1"/>
    </w:lvl>
  </w:abstractNum>
  <w:abstractNum w:abstractNumId="15">
    <w:nsid w:val="721DA317"/>
    <w:multiLevelType w:val="hybridMultilevel"/>
    <w:lvl w:ilvl="0">
      <w:lvlJc w:val="left"/>
      <w:lvlText w:val="9"/>
      <w:numFmt w:val="bullet"/>
      <w:start w:val="1"/>
    </w:lvl>
  </w:abstractNum>
  <w:abstractNum w:abstractNumId="16">
    <w:nsid w:val="2443A858"/>
    <w:multiLevelType w:val="hybridMultilevel"/>
    <w:lvl w:ilvl="0">
      <w:lvlJc w:val="left"/>
      <w:lvlText w:val="%1"/>
      <w:numFmt w:val="decimal"/>
      <w:start w:val="1"/>
    </w:lvl>
    <w:lvl w:ilvl="1">
      <w:lvlJc w:val="left"/>
      <w:lvlText w:val="%2"/>
      <w:numFmt w:val="decimal"/>
      <w:start w:val="10"/>
    </w:lvl>
  </w:abstractNum>
  <w:abstractNum w:abstractNumId="17">
    <w:nsid w:val="2D1D5AE9"/>
    <w:multiLevelType w:val="hybridMultilevel"/>
    <w:lvl w:ilvl="0">
      <w:lvlJc w:val="left"/>
      <w:lvlText w:val="(%1)"/>
      <w:numFmt w:val="decimal"/>
      <w:start w:val="1"/>
    </w:lvl>
    <w:lvl w:ilvl="1">
      <w:lvlJc w:val="left"/>
      <w:lvlText w:val="%2"/>
      <w:numFmt w:val="decimal"/>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lowerLetter"/>
      <w:start w:val="3"/>
    </w:lvl>
  </w:abstractNum>
  <w:abstractNum w:abstractNumId="21">
    <w:nsid w:val="79838CB2"/>
    <w:multiLevelType w:val="hybridMultilevel"/>
    <w:lvl w:ilvl="0">
      <w:lvlJc w:val="left"/>
      <w:lvlText w:val="(%1)"/>
      <w:numFmt w:val="lowerLetter"/>
      <w:start w:val="4"/>
    </w:lvl>
  </w:abstractNum>
  <w:abstractNum w:abstractNumId="22">
    <w:nsid w:val="4353D0CD"/>
    <w:multiLevelType w:val="hybridMultilevel"/>
    <w:lvl w:ilvl="0">
      <w:lvlJc w:val="left"/>
      <w:lvlText w:val="(%1)"/>
      <w:numFmt w:val="lowerLetter"/>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lowerLetter"/>
      <w:start w:val="2"/>
    </w:lvl>
  </w:abstractNum>
  <w:abstractNum w:abstractNumId="27">
    <w:nsid w:val="2CA8861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2021-02-16T16:19:09Z</dcterms:created>
  <dcterms:modified xsi:type="dcterms:W3CDTF">2021-02-16T16:19:09Z</dcterms:modified>
</cp:coreProperties>
</file>