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7" w:lineRule="exact"/>
        <w:rPr>
          <w:sz w:val="20"/>
          <w:szCs w:val="20"/>
          <w:color w:val="auto"/>
        </w:rPr>
      </w:pPr>
    </w:p>
    <w:p>
      <w:pPr>
        <w:ind w:left="660" w:hanging="660"/>
        <w:spacing w:after="0" w:line="260"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May 26, 2022 titled “Mereo BioPharma Announces the Presentation of Updated Data From a Phase 1b/2 Study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Etigilimab as a Poster at the 2022 American Society of Clinical Oncology Annual Meeting.”</w:t>
        </w:r>
      </w:hyperlink>
    </w:p>
    <w:p>
      <w:pPr>
        <w:sectPr>
          <w:pgSz w:w="11900" w:h="16838" w:orient="portrait"/>
          <w:cols w:equalWidth="0" w:num="1">
            <w:col w:w="10320"/>
          </w:cols>
          <w:pgMar w:left="440" w:top="270" w:right="11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Mereo BioPharma Announces the Presentation of Updated Data From a Phase 1b/2 Study of Etigilimab as a Poster at the 2022 American Society of Clinical Oncology Annual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1b/2 Study of Etigilimab and Nivolumab in Subjects with Select Locally Advanced or Metastatic Solid Tumors (ACTIVATE)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 Complete Response (CR), 2 Partial Responses (PR) and 9 cases of Stable Diseases (SD) as of the February 10, 2022 abstract deadline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Additional data to be presented during the poster presentation at ASCO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Etigilimab safe and well tolerated, no new safety signals</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London and Redwood City, Calif., May 26, 2022 </w:t>
      </w:r>
      <w:r>
        <w:rPr>
          <w:rFonts w:ascii="Arial" w:cs="Arial" w:eastAsia="Arial" w:hAnsi="Arial"/>
          <w:sz w:val="18"/>
          <w:szCs w:val="18"/>
          <w:color w:val="auto"/>
        </w:rPr>
        <w:t>- Mereo BioPharma Group plc (NASDAQ: MREO), “Mereo”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oncology and rare diseases, today announced the presentation of interim clinical data from its Phase 1b/2 Study of Etigilimab and Nivolumab in Subjects with Select Locally Advanced or Metastatic Solid Tumors in a poster at the 2022 American Society of Clinical Oncology (ASCO) Annual Meeting taking place June 3 – 7, 2022 in Chicago IL.</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very pleased that the interim results from our ACTIVATE study have been accepted for presentation at ASCO,” said Dr. Denise Scots-Knight, Chief Executive Officer of Mereo. “We are encouraged by the results reported as of the cut off date for the abstract, especially the early efficacy noted in cervical cancer, where we have seen one patient with a complete response, one with a partial response and one with stable disease, as well as the uveal melanoma arm where we saw three patients achieving stable disease with over 20 weeks of treatment. We look forward to sharing the updated data in our ASCO presentation with the oncology community.”</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the time of the February 10, ASCO abstract deadline, of the 27 efficacy-evaluable subjects with minimum of 1 staging scan or radiological/clinical progression, 12 subjects had a clinical benefit with 1 CR, 2 PRs and 9 SDs and 15 subjects had radiological/clinical progression, with an overall response rate (ORR) of 11% and disease control rate (DCR) of 44%. The combination of etigilimab and nivolumab has been safe and well tolerated, with no new safety signals observed to-date.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data presentation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Abstract Title: </w:t>
      </w:r>
      <w:r>
        <w:rPr>
          <w:rFonts w:ascii="Arial" w:cs="Arial" w:eastAsia="Arial" w:hAnsi="Arial"/>
          <w:sz w:val="16"/>
          <w:szCs w:val="16"/>
          <w:color w:val="auto"/>
        </w:rPr>
        <w:t>A Phase 1b/2 Study of Etigilimab and Nivolumab in Subjects with Select Locally Advanced or Metastatic Solid Tumors (ACTIVATE)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Date &amp; Time: </w:t>
      </w:r>
      <w:r>
        <w:rPr>
          <w:rFonts w:ascii="Arial" w:cs="Arial" w:eastAsia="Arial" w:hAnsi="Arial"/>
          <w:sz w:val="18"/>
          <w:szCs w:val="18"/>
          <w:color w:val="auto"/>
        </w:rPr>
        <w:t>Sunday, June 5 at 9AM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Title: </w:t>
      </w:r>
      <w:r>
        <w:rPr>
          <w:rFonts w:ascii="Arial" w:cs="Arial" w:eastAsia="Arial" w:hAnsi="Arial"/>
          <w:sz w:val="18"/>
          <w:szCs w:val="18"/>
          <w:color w:val="auto"/>
        </w:rPr>
        <w:t>Developmental Therapeutics—Immunotherapy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Abstract ID</w:t>
      </w:r>
      <w:r>
        <w:rPr>
          <w:rFonts w:ascii="Arial" w:cs="Arial" w:eastAsia="Arial" w:hAnsi="Arial"/>
          <w:sz w:val="18"/>
          <w:szCs w:val="18"/>
          <w:color w:val="auto"/>
        </w:rPr>
        <w:t>: 2651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Poster</w:t>
      </w:r>
      <w:r>
        <w:rPr>
          <w:rFonts w:ascii="Arial" w:cs="Arial" w:eastAsia="Arial" w:hAnsi="Arial"/>
          <w:sz w:val="18"/>
          <w:szCs w:val="18"/>
          <w:color w:val="auto"/>
        </w:rPr>
        <w:t>: 305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Mereo BioPharma is a biopharmaceutical company focused on the development of innovative therapeutics that aim to improve outcomes for oncology and rare diseases and plans to commercialize selected rare disease programs.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Bronchiolitis Obliterans Syndrome (BOS), and setrusumab for the treatment of osteogenesis imperfecta (OI). Alvelestat has received U.S. Orphan Drug Designation for the treatment of AATD and positive top-line data were recently reported from a Phase 2 proof-of-concept study in North America, Europe and the UK. The Company’s partner, Ultragenyx Pharmaceutical, Inc., has initiated a pivotal Phase 2/3 pediatric study in young adults (5-25 years old) for setrusumab in OI and expects to initiate a study in pediatric patients (2-5 years old) in the second half of 2022.</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1"/>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2022-05-26T17:22:55Z</dcterms:created>
  <dcterms:modified xsi:type="dcterms:W3CDTF">2022-05-26T17:22:55Z</dcterms:modified>
</cp:coreProperties>
</file>