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873"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3" w:lineRule="exact"/>
        <w:rPr>
          <w:sz w:val="24"/>
          <w:szCs w:val="24"/>
          <w:color w:val="auto"/>
        </w:rPr>
      </w:pPr>
    </w:p>
    <w:p>
      <w:pPr>
        <w:sectPr>
          <w:pgSz w:w="11900" w:h="16838" w:orient="portrait"/>
          <w:cols w:equalWidth="0" w:num="2">
            <w:col w:w="7180" w:space="720"/>
            <w:col w:w="2180"/>
          </w:cols>
          <w:pgMar w:left="1440" w:top="873" w:right="37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4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6760" w:space="720"/>
            <w:col w:w="2600"/>
          </w:cols>
          <w:pgMar w:left="1440" w:top="873" w:right="379" w:bottom="1440" w:gutter="0" w:footer="0" w:header="0"/>
          <w:type w:val="continuous"/>
        </w:sect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4th Floor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One Cavendish Place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+44 33 3023 7300</w:t>
      </w:r>
    </w:p>
    <w:p>
      <w:pPr>
        <w:spacing w:after="0" w:line="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ectPr>
          <w:pgSz w:w="11900" w:h="16838" w:orient="portrait"/>
          <w:cols w:equalWidth="0" w:num="1">
            <w:col w:w="10080"/>
          </w:cols>
          <w:pgMar w:left="1440" w:top="873" w:right="379" w:bottom="1440" w:gutter="0" w:footer="0" w:header="0"/>
          <w:type w:val="continuous"/>
        </w:sectPr>
      </w:pP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Mereo BioPharma Group plc 2019 Equity Incentive Plan, as amended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Mereo BioPharma Group plc 2019 Non-Employee Equity Incentive Plan, as amended</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Mereo US Holdings,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No.: +1 302 636 5401</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Copy to: David S. Bakst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Mayer Brown LLP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+1 212 506 2500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1510665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297180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873" w:right="379" w:bottom="1440" w:gutter="0" w:footer="0" w:header="0"/>
          <w:type w:val="continuous"/>
        </w:sectPr>
      </w:pPr>
    </w:p>
    <w:bookmarkStart w:id="1" w:name="page2"/>
    <w:bookmarkEnd w:id="1"/>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45" w:right="4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Mereo BioPharma Group plc (the “Company”) to register 42,249,466 additional ordinary shares, nominal value £0.003 per share (the “Ordinary Shares”) under the Mereo BioPharma Group plc 2019 Equity Incentive Plan, as amended on February 13, 2020 and January 15, 2021, and the Mereo BioPharma Group plc 2019 Non-Employee Equity Incentive Plan, as amended on February 13, 2020 and January 15, 2021 (collectively, the “Plans”) which share a common Ordinary Share pool, consisting of (i) Ordinary Shares for future share grants under the Plans and (ii) Ordinary Shares reserved for issuance upon the vesting of restricted stock units and performance based stock unit awards which may be granted to employees and executives pursuant to and in accordance with the terms of the Plans in connection with their employment and positions with the Company under the Securities Act of 1933, as amended (the “Securities Act”). The number of Ordinary Shares available for issuance under the Plans is subject to increase on January 1 of each year in an amount equal to the lesser of (i) 5.31% of the Company’s issued and outstanding shares and (ii) such number of shares as determined by the plan administrator, in its discretion.</w:t>
      </w:r>
    </w:p>
    <w:p>
      <w:pPr>
        <w:spacing w:after="0" w:line="18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the instructional note to Part I of Form S-8 as promulgated by the Securities and Exchange Commission (the “SEC”), the information specified by Part I of the Form S-8 has been omitted from this Registration Statement.</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INCORPORATION BY REFERENCE OF CONTENTS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May 21, 2019, the Company filed with the SEC a Registration Statement on Form S-8 (File No. 333-231636), on February 18, 2020 the Company filed a Registration Statement on Form S-8 (File No. 333-236498), on January 15, 2021 the Company filed a Registration Statement on Form S-8 (File No. 333-252147), on January 13, 2022 the Company filed a Registration Statement on Form S-8 (File No. 333-262151), on January 24, 2023 the Company filed a Registration Statement on Form S-8 (File No. 333-269388) and on January 23, 2024 the Company filed a Registration Statement on Form S-8 (File No. 333-276656) and on January 23, 2025 the Company filed a Registration Statement on Form S-8 (File No. 333-284432) (collectively, the “Prior Registration Statements”) to register a total of 180,380,058 Ordinary Shares issuable under the plans described in those registration statements. The Company is filing this Registration Statement to register an additional 42,249,466 Ordinary Shares, which may be issued pursuant to new and previously issued awards under the Plans. Pursuant to General Instruction E to Form S-8, this S-8 Registration Statement hereby incorporates by reference the contents of the Registration Statements referenced above, except as otherwise updated or modified by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117" w:lineRule="exact"/>
        <w:rPr>
          <w:sz w:val="20"/>
          <w:szCs w:val="20"/>
          <w:color w:val="auto"/>
        </w:rPr>
      </w:pPr>
    </w:p>
    <w:p>
      <w:pPr>
        <w:ind w:right="360" w:firstLine="877"/>
        <w:spacing w:after="0" w:line="282" w:lineRule="auto"/>
        <w:tabs>
          <w:tab w:leader="none" w:pos="1229" w:val="left"/>
        </w:tabs>
        <w:numPr>
          <w:ilvl w:val="2"/>
          <w:numId w:val="1"/>
        </w:numPr>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The Company’s Annual Report on Form 10-K for the year ended December 31, 2024 (the “2024 Form 10-K”), filed with the SEC on</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March 26, 2025 (File No. 001-38452);</w:t>
        </w:r>
      </w:hyperlink>
    </w:p>
    <w:p>
      <w:pPr>
        <w:spacing w:after="0" w:line="53" w:lineRule="exact"/>
        <w:rPr>
          <w:rFonts w:ascii="Times New Roman" w:cs="Times New Roman" w:eastAsia="Times New Roman" w:hAnsi="Times New Roman"/>
          <w:sz w:val="18"/>
          <w:szCs w:val="18"/>
          <w:u w:val="single" w:color="auto"/>
          <w:color w:val="0000FF"/>
        </w:rPr>
      </w:pPr>
    </w:p>
    <w:p>
      <w:pPr>
        <w:ind w:right="220" w:firstLine="877"/>
        <w:spacing w:after="0" w:line="266" w:lineRule="auto"/>
        <w:tabs>
          <w:tab w:leader="none" w:pos="1229" w:val="left"/>
        </w:tabs>
        <w:numPr>
          <w:ilvl w:val="2"/>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Company’s Quarterly Reports on Form 10-Q for the fiscal quarter ended March 31, 2025, </w:t>
      </w:r>
      <w:hyperlink r:id="rId18">
        <w:r>
          <w:rPr>
            <w:rFonts w:ascii="Times New Roman" w:cs="Times New Roman" w:eastAsia="Times New Roman" w:hAnsi="Times New Roman"/>
            <w:sz w:val="18"/>
            <w:szCs w:val="18"/>
            <w:u w:val="single" w:color="auto"/>
            <w:color w:val="0000FF"/>
          </w:rPr>
          <w:t>filed with the SEC on May 13, 2025</w:t>
        </w:r>
      </w:hyperlink>
      <w:r>
        <w:rPr>
          <w:rFonts w:ascii="Times New Roman" w:cs="Times New Roman" w:eastAsia="Times New Roman" w:hAnsi="Times New Roman"/>
          <w:sz w:val="18"/>
          <w:szCs w:val="18"/>
          <w:color w:val="auto"/>
        </w:rPr>
        <w:t xml:space="preserve">, the </w:t>
      </w:r>
      <w:hyperlink r:id="rId19">
        <w:r>
          <w:rPr>
            <w:rFonts w:ascii="Times New Roman" w:cs="Times New Roman" w:eastAsia="Times New Roman" w:hAnsi="Times New Roman"/>
            <w:sz w:val="18"/>
            <w:szCs w:val="18"/>
            <w:color w:val="auto"/>
          </w:rPr>
          <w:t xml:space="preserve">fiscal quarter ended June 30, 2025, </w:t>
        </w:r>
        <w:r>
          <w:rPr>
            <w:rFonts w:ascii="Times New Roman" w:cs="Times New Roman" w:eastAsia="Times New Roman" w:hAnsi="Times New Roman"/>
            <w:sz w:val="18"/>
            <w:szCs w:val="18"/>
            <w:u w:val="single" w:color="auto"/>
            <w:color w:val="0000FF"/>
          </w:rPr>
          <w:t>filed with the SEC on August 12, 2025</w:t>
        </w:r>
        <w:r>
          <w:rPr>
            <w:rFonts w:ascii="Times New Roman" w:cs="Times New Roman" w:eastAsia="Times New Roman" w:hAnsi="Times New Roman"/>
            <w:sz w:val="18"/>
            <w:szCs w:val="18"/>
            <w:color w:val="auto"/>
          </w:rPr>
          <w:t xml:space="preserve">, and the fiscal quarter ended September 30, 2025, </w:t>
        </w:r>
        <w:r>
          <w:rPr>
            <w:rFonts w:ascii="Times New Roman" w:cs="Times New Roman" w:eastAsia="Times New Roman" w:hAnsi="Times New Roman"/>
            <w:sz w:val="18"/>
            <w:szCs w:val="18"/>
            <w:u w:val="single" w:color="auto"/>
            <w:color w:val="0000FF"/>
          </w:rPr>
          <w:t>filed with the SEC on</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November 10, 2025</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FF"/>
        </w:rPr>
      </w:pPr>
    </w:p>
    <w:p>
      <w:pPr>
        <w:ind w:left="1120" w:hanging="363"/>
        <w:spacing w:after="0"/>
        <w:tabs>
          <w:tab w:leader="none" w:pos="1120" w:val="left"/>
        </w:tabs>
        <w:numPr>
          <w:ilvl w:val="1"/>
          <w:numId w:val="2"/>
        </w:numPr>
        <w:rPr>
          <w:rFonts w:ascii="Times New Roman" w:cs="Times New Roman" w:eastAsia="Times New Roman" w:hAnsi="Times New Roman"/>
          <w:sz w:val="18"/>
          <w:szCs w:val="18"/>
          <w:color w:val="auto"/>
        </w:rPr>
      </w:pPr>
      <w:hyperlink r:id="rId20">
        <w:r>
          <w:rPr>
            <w:rFonts w:ascii="Times New Roman" w:cs="Times New Roman" w:eastAsia="Times New Roman" w:hAnsi="Times New Roman"/>
            <w:sz w:val="18"/>
            <w:szCs w:val="18"/>
            <w:color w:val="auto"/>
          </w:rPr>
          <w:t xml:space="preserve">The Company’s Current Reports on Form 8-K filed with the SEC on </w:t>
        </w:r>
        <w:r>
          <w:rPr>
            <w:rFonts w:ascii="Times New Roman" w:cs="Times New Roman" w:eastAsia="Times New Roman" w:hAnsi="Times New Roman"/>
            <w:sz w:val="18"/>
            <w:szCs w:val="18"/>
            <w:u w:val="single" w:color="auto"/>
            <w:color w:val="0000FF"/>
          </w:rPr>
          <w:t>May 14,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December 29,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January 12,</w:t>
        </w:r>
      </w:hyperlink>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 and</w:t>
        </w:r>
      </w:hyperlink>
    </w:p>
    <w:p>
      <w:pPr>
        <w:spacing w:after="0" w:line="98" w:lineRule="exact"/>
        <w:rPr>
          <w:rFonts w:ascii="Times New Roman" w:cs="Times New Roman" w:eastAsia="Times New Roman" w:hAnsi="Times New Roman"/>
          <w:sz w:val="18"/>
          <w:szCs w:val="18"/>
          <w:color w:val="0000FF"/>
        </w:rPr>
      </w:pPr>
    </w:p>
    <w:p>
      <w:pPr>
        <w:jc w:val="both"/>
        <w:ind w:firstLine="368"/>
        <w:spacing w:after="0" w:line="281" w:lineRule="auto"/>
        <w:tabs>
          <w:tab w:leader="none" w:pos="720" w:val="left"/>
        </w:tabs>
        <w:numPr>
          <w:ilvl w:val="0"/>
          <w:numId w:val="3"/>
        </w:numPr>
        <w:rPr>
          <w:rFonts w:ascii="Times New Roman" w:cs="Times New Roman" w:eastAsia="Times New Roman" w:hAnsi="Times New Roman"/>
          <w:sz w:val="17"/>
          <w:szCs w:val="17"/>
          <w:color w:val="000000"/>
        </w:rPr>
      </w:pPr>
      <w:hyperlink r:id="rId21">
        <w:r>
          <w:rPr>
            <w:rFonts w:ascii="Times New Roman" w:cs="Times New Roman" w:eastAsia="Times New Roman" w:hAnsi="Times New Roman"/>
            <w:sz w:val="17"/>
            <w:szCs w:val="17"/>
            <w:color w:val="auto"/>
          </w:rPr>
          <w:t xml:space="preserve">The description of the Company’s Ordinary Shares and ADSs contained in the Company’s registration statement on </w:t>
        </w:r>
        <w:r>
          <w:rPr>
            <w:rFonts w:ascii="Times New Roman" w:cs="Times New Roman" w:eastAsia="Times New Roman" w:hAnsi="Times New Roman"/>
            <w:sz w:val="17"/>
            <w:szCs w:val="17"/>
            <w:u w:val="single" w:color="auto"/>
            <w:color w:val="0000FF"/>
          </w:rPr>
          <w:t>Form 8-A, filed with the</w:t>
        </w:r>
      </w:hyperlink>
      <w:r>
        <w:rPr>
          <w:rFonts w:ascii="Times New Roman" w:cs="Times New Roman" w:eastAsia="Times New Roman" w:hAnsi="Times New Roman"/>
          <w:sz w:val="17"/>
          <w:szCs w:val="17"/>
          <w:color w:val="auto"/>
        </w:rPr>
        <w:t xml:space="preserve"> </w:t>
      </w:r>
      <w:hyperlink r:id="rId21">
        <w:r>
          <w:rPr>
            <w:rFonts w:ascii="Times New Roman" w:cs="Times New Roman" w:eastAsia="Times New Roman" w:hAnsi="Times New Roman"/>
            <w:sz w:val="17"/>
            <w:szCs w:val="17"/>
            <w:u w:val="single" w:color="auto"/>
            <w:color w:val="0000FF"/>
          </w:rPr>
          <w:t>SEC on April 9, 2018 (File No. 001-38452)</w:t>
        </w:r>
        <w:r>
          <w:rPr>
            <w:rFonts w:ascii="Times New Roman" w:cs="Times New Roman" w:eastAsia="Times New Roman" w:hAnsi="Times New Roman"/>
            <w:sz w:val="17"/>
            <w:szCs w:val="17"/>
            <w:color w:val="000000"/>
          </w:rPr>
          <w:t>, as amended on April 15, 2019, May 17, 2022 and December 18, 2023, including any amendment or report</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filed for the purpose of updating such description as updated by </w:t>
      </w:r>
      <w:hyperlink r:id="rId22">
        <w:r>
          <w:rPr>
            <w:rFonts w:ascii="Times New Roman" w:cs="Times New Roman" w:eastAsia="Times New Roman" w:hAnsi="Times New Roman"/>
            <w:sz w:val="17"/>
            <w:szCs w:val="17"/>
            <w:u w:val="single" w:color="auto"/>
            <w:color w:val="0000FF"/>
          </w:rPr>
          <w:t>Exhibit 4.2 to the 2024 Form 10-K</w:t>
        </w:r>
      </w:hyperlink>
      <w:r>
        <w:rPr>
          <w:rFonts w:ascii="Times New Roman" w:cs="Times New Roman" w:eastAsia="Times New Roman" w:hAnsi="Times New Roman"/>
          <w:sz w:val="17"/>
          <w:szCs w:val="17"/>
          <w:color w:val="000000"/>
        </w:rPr>
        <w:t>, including the “Description of Ordinary Shares” and the “Description of American Depositary Shares” contained therein and any amendment or report filed for the purpose of further updating such descriptions.</w:t>
      </w:r>
    </w:p>
    <w:p>
      <w:pPr>
        <w:spacing w:after="0" w:line="164" w:lineRule="exact"/>
        <w:rPr>
          <w:rFonts w:ascii="Times New Roman" w:cs="Times New Roman" w:eastAsia="Times New Roman" w:hAnsi="Times New Roman"/>
          <w:sz w:val="17"/>
          <w:szCs w:val="17"/>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All documents that the Company subsequently files pursuant to Sections 13(a), 13(c), 14 and 15(d) of the Exchange Act prior to the filing of a post-effective amendment to this Registration Statement which indicates that all of the securities offered have been sold or which deregisters all of such securities then remaining unsold, shall be deemed to be incorporated by reference in this registration statement and to be a part hereof from the date of the filing of such documents. The Company is not incorporating by reference any document or portion thereof, whether specifically listed above or to be filed in the future, that is not deemed “filed” with the SEC.</w:t>
      </w:r>
    </w:p>
    <w:p>
      <w:pPr>
        <w:spacing w:after="0" w:line="183" w:lineRule="exact"/>
        <w:rPr>
          <w:rFonts w:ascii="Times New Roman" w:cs="Times New Roman" w:eastAsia="Times New Roman" w:hAnsi="Times New Roman"/>
          <w:sz w:val="17"/>
          <w:szCs w:val="17"/>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7"/>
          <w:szCs w:val="17"/>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Items 2.02 or 7.01 (or corresponding information furnished under item 9.01 or included as an exhibit) of a Current Report on Form 8-K be deemed incorporated herein by reference, unless such Form 8-K expressly provides to the contrary.</w:t>
      </w:r>
    </w:p>
    <w:p>
      <w:pPr>
        <w:spacing w:after="0" w:line="320" w:lineRule="exact"/>
        <w:rPr>
          <w:rFonts w:ascii="Times New Roman" w:cs="Times New Roman" w:eastAsia="Times New Roman" w:hAnsi="Times New Roman"/>
          <w:sz w:val="17"/>
          <w:szCs w:val="17"/>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rFonts w:ascii="Times New Roman" w:cs="Times New Roman" w:eastAsia="Times New Roman" w:hAnsi="Times New Roman"/>
          <w:sz w:val="17"/>
          <w:szCs w:val="17"/>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Under the Company’s Articles of Association, the Company may indemnify its directors and other officers in respect of any proceedings, whether civil or criminal, brought against them by reason of their being directors or officers of the Company and to the fullest extent permitted by the Companies Act 2006 of the United Kingdom (“CA 2006”) and other applicable law.</w:t>
      </w:r>
    </w:p>
    <w:p>
      <w:pPr>
        <w:spacing w:after="0" w:line="176" w:lineRule="exact"/>
        <w:rPr>
          <w:rFonts w:ascii="Times New Roman" w:cs="Times New Roman" w:eastAsia="Times New Roman" w:hAnsi="Times New Roman"/>
          <w:sz w:val="17"/>
          <w:szCs w:val="17"/>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Generally, under CA 2006, any provision by which the Company directly or indirectly provides an indemnity (to any extent) for a director of the Company or of an “associated company” (i.e., a company that is a parent, subsidiary or sister company of the Company)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80" w:lineRule="exact"/>
        <w:rPr>
          <w:rFonts w:ascii="Times New Roman" w:cs="Times New Roman" w:eastAsia="Times New Roman" w:hAnsi="Times New Roman"/>
          <w:sz w:val="17"/>
          <w:szCs w:val="17"/>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The Company has entered into a deed of indemnity with each of its directors, the form of which was filed as Exhibit 10.26 to the Company’s registration statement on Form F-4 (Registration No. 333-229351), as originally filed by the Company on January 25, 2019 and subsequently amended. Except as prohibited by applicable law, these deeds of indemnity may require the Company, among other things, to indemnify its directors and executive officers for certain expenses, including attorneys’ fees, costs and expenses, incurred by such directors and executive officers with the prior written consent of the Company in any action or proceeding arising out of their service as a director or executive officer of the Company, or one of its subsidiaries.</w:t>
      </w:r>
    </w:p>
    <w:p>
      <w:pPr>
        <w:spacing w:after="0" w:line="168" w:lineRule="exact"/>
        <w:rPr>
          <w:rFonts w:ascii="Times New Roman" w:cs="Times New Roman" w:eastAsia="Times New Roman" w:hAnsi="Times New Roman"/>
          <w:sz w:val="17"/>
          <w:szCs w:val="17"/>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directors and officers insurance coverage, which, subject to policy terms and limitations, is expected to include coverage to reimburse the Company for amounts that it may be required or permitted by law to pay directors or officers of the Company.</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 w:name="page5"/>
    <w:bookmarkEnd w:id="4"/>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in the “Exhibit Index” are filed as a part of, or incorporated by reference into, this Registration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10"/>
          </w:tcPr>
          <w:p>
            <w:pPr>
              <w:ind w:left="560"/>
              <w:spacing w:after="0"/>
              <w:rPr>
                <w:sz w:val="20"/>
                <w:szCs w:val="20"/>
                <w:color w:val="auto"/>
              </w:rPr>
            </w:pPr>
            <w:r>
              <w:rPr>
                <w:rFonts w:ascii="Times New Roman" w:cs="Times New Roman" w:eastAsia="Times New Roman" w:hAnsi="Times New Roman"/>
                <w:sz w:val="14"/>
                <w:szCs w:val="14"/>
                <w:color w:val="auto"/>
              </w:rPr>
              <w:t>Description</w:t>
            </w: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New Articles of Association of the Company (incorporated herein by reference to Exhibit 3.1 to the Company’s Form 6-K, filed with the SEC</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on December 18, 2023 (File No. 001-38452))</w:t>
              </w:r>
            </w:hyperlink>
          </w:p>
        </w:tc>
        <w:tc>
          <w:tcPr>
            <w:tcW w:w="6960" w:type="dxa"/>
            <w:vAlign w:val="bottom"/>
            <w:gridSpan w:val="12"/>
          </w:tcPr>
          <w:p>
            <w:pPr>
              <w:spacing w:after="0"/>
              <w:rPr>
                <w:sz w:val="17"/>
                <w:szCs w:val="17"/>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2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Mereo BioPharma Group plc 2019 Equity Incentive Plan, as amended on February 13, 2020 and January 15, 2021 (incorporated by reference</w:t>
              </w:r>
            </w:hyperlink>
          </w:p>
        </w:tc>
        <w:tc>
          <w:tcPr>
            <w:tcW w:w="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to Exhibit 99.1 to the Company’s Form S-8 filed with the SEC on January 15, 2021 (File No. 333-252147))</w:t>
              </w:r>
            </w:hyperlink>
          </w:p>
        </w:tc>
        <w:tc>
          <w:tcPr>
            <w:tcW w:w="2480" w:type="dxa"/>
            <w:vAlign w:val="bottom"/>
            <w:gridSpan w:val="5"/>
          </w:tcPr>
          <w:p>
            <w:pPr>
              <w:spacing w:after="0"/>
              <w:rPr>
                <w:sz w:val="17"/>
                <w:szCs w:val="17"/>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94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Mereo BioPharma Group plc 2019 Non-Employee Equity Incentive Plan, as amended on February 13, 2020 and January 15, 2021</w:t>
              </w:r>
            </w:hyperlink>
          </w:p>
        </w:tc>
        <w:tc>
          <w:tcPr>
            <w:tcW w:w="86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(incorporated by reference to Exhibit 99.2 to the Company’s Form S-8 filed with the SEC on January 15, 2021 (File No. 333-252147))</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02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Deferred Compensation Plan for Non-Employee Directors, as amended on December 13, 2023 (incorporated by reference to Exhibit 4.3 to the</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Company’s S-8 filed with the SEC on January 23, 2024 (File No. 333-276656))</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01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Form of Restricted Stock Unit Award Agreement under the Plans (incorporated by reference to Exhibit 4.5 to the Company’s Form S-8 filed</w:t>
              </w:r>
            </w:hyperlink>
          </w:p>
        </w:tc>
        <w:tc>
          <w:tcPr>
            <w:tcW w:w="10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with the SEC on January 24, 2023 (File No. 333-269388))</w:t>
              </w:r>
            </w:hyperlink>
          </w:p>
        </w:tc>
        <w:tc>
          <w:tcPr>
            <w:tcW w:w="6040" w:type="dxa"/>
            <w:vAlign w:val="bottom"/>
            <w:gridSpan w:val="10"/>
          </w:tcPr>
          <w:p>
            <w:pPr>
              <w:spacing w:after="0"/>
              <w:rPr>
                <w:sz w:val="17"/>
                <w:szCs w:val="17"/>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5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Opinion of Latham &amp; Watkins (London) LLP, counsel of the Registrant</w:t>
            </w:r>
          </w:p>
        </w:tc>
        <w:tc>
          <w:tcPr>
            <w:tcW w:w="5040" w:type="dxa"/>
            <w:vAlign w:val="bottom"/>
            <w:gridSpan w:val="9"/>
          </w:tcPr>
          <w:p>
            <w:pPr>
              <w:spacing w:after="0"/>
              <w:rPr>
                <w:sz w:val="24"/>
                <w:szCs w:val="24"/>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7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Latham &amp; Watkins (London) LLP, counsel of the Registrant (included in Exhibit 5.1)</w:t>
            </w:r>
          </w:p>
        </w:tc>
        <w:tc>
          <w:tcPr>
            <w:tcW w:w="3240" w:type="dxa"/>
            <w:vAlign w:val="bottom"/>
            <w:gridSpan w:val="6"/>
          </w:tcPr>
          <w:p>
            <w:pPr>
              <w:spacing w:after="0"/>
              <w:rPr>
                <w:sz w:val="24"/>
                <w:szCs w:val="24"/>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Powers of Attorney (included in signature page hereto)</w:t>
            </w:r>
          </w:p>
        </w:tc>
        <w:tc>
          <w:tcPr>
            <w:tcW w:w="2460" w:type="dxa"/>
            <w:vAlign w:val="bottom"/>
            <w:tcBorders>
              <w:top w:val="single" w:sz="8" w:color="0000FF"/>
            </w:tcBorders>
            <w:gridSpan w:val="4"/>
          </w:tcPr>
          <w:p>
            <w:pPr>
              <w:spacing w:after="0"/>
              <w:rPr>
                <w:sz w:val="24"/>
                <w:szCs w:val="24"/>
                <w:color w:val="auto"/>
              </w:rPr>
            </w:pPr>
          </w:p>
        </w:tc>
        <w:tc>
          <w:tcPr>
            <w:tcW w:w="3800" w:type="dxa"/>
            <w:vAlign w:val="bottom"/>
            <w:gridSpan w:val="7"/>
          </w:tcPr>
          <w:p>
            <w:pPr>
              <w:spacing w:after="0"/>
              <w:rPr>
                <w:sz w:val="24"/>
                <w:szCs w:val="24"/>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9040" w:type="dxa"/>
            <w:vAlign w:val="bottom"/>
            <w:gridSpan w:val="13"/>
          </w:tcPr>
          <w:p>
            <w:pPr>
              <w:spacing w:after="0"/>
              <w:rPr>
                <w:sz w:val="24"/>
                <w:szCs w:val="24"/>
                <w:color w:val="auto"/>
              </w:rPr>
            </w:pPr>
          </w:p>
        </w:tc>
      </w:tr>
    </w:tbl>
    <w:p>
      <w:pPr>
        <w:spacing w:after="0" w:line="9" w:lineRule="exact"/>
        <w:rPr>
          <w:sz w:val="20"/>
          <w:szCs w:val="20"/>
          <w:color w:val="auto"/>
        </w:rPr>
      </w:pPr>
    </w:p>
    <w:p>
      <w:pPr>
        <w:ind w:left="860" w:hanging="79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London, the United Kingdom on February 2, 2026.</w:t>
      </w:r>
    </w:p>
    <w:p>
      <w:pPr>
        <w:spacing w:after="0" w:line="200" w:lineRule="exact"/>
        <w:rPr>
          <w:sz w:val="20"/>
          <w:szCs w:val="20"/>
          <w:color w:val="auto"/>
        </w:rPr>
      </w:pPr>
    </w:p>
    <w:p>
      <w:pPr>
        <w:spacing w:after="0" w:line="2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66"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32"/>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Denise Scots-Knight</w:t>
            </w:r>
          </w:p>
        </w:tc>
      </w:tr>
      <w:tr>
        <w:trPr>
          <w:trHeight w:val="234"/>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1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hereby constitutes and appoints Denise Scots-Knight, Ph.D. and Christine Fox,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February 2, 2026 in the capacities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60" w:type="dxa"/>
            <w:vAlign w:val="bottom"/>
          </w:tcPr>
          <w:p>
            <w:pPr>
              <w:spacing w:after="0"/>
              <w:rPr>
                <w:sz w:val="16"/>
                <w:szCs w:val="16"/>
                <w:color w:val="auto"/>
              </w:rPr>
            </w:pPr>
          </w:p>
        </w:tc>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3"/>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Denise Scots-Knight</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Denise Scots-Knight</w:t>
            </w:r>
          </w:p>
        </w:tc>
        <w:tc>
          <w:tcPr>
            <w:tcW w:w="36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Fox</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Fox</w:t>
            </w:r>
          </w:p>
        </w:tc>
        <w:tc>
          <w:tcPr>
            <w:tcW w:w="36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and Financial Officer)</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Wyzga</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Wyzga</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Jeremy Bender</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Jeremy Bender</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Anders Ekblom</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Anders Ekblom</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Pierre Jacquet</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Pierre Jacquet</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Annalisa Jenkins</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Annalisa Jenkins</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Deepika Pakianathan</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Deepika Pakianathan</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Justin Roberts</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Justin Roberts</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Shames</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Shames</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9"/>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Yoskowitz</w:t>
            </w:r>
          </w:p>
        </w:tc>
        <w:tc>
          <w:tcPr>
            <w:tcW w:w="36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2026</w:t>
            </w:r>
          </w:p>
        </w:tc>
      </w:tr>
      <w:tr>
        <w:trPr>
          <w:trHeight w:val="22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 Yoskowitz</w:t>
            </w:r>
          </w:p>
        </w:tc>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974"/>
        </w:trPr>
        <w:tc>
          <w:tcPr>
            <w:tcW w:w="2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Mereo BioPharma Group plc has signed this registration statement on February 2, 2026.</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5960"/>
              <w:spacing w:after="0"/>
              <w:rPr>
                <w:sz w:val="20"/>
                <w:szCs w:val="20"/>
                <w:color w:val="auto"/>
              </w:rPr>
            </w:pPr>
            <w:r>
              <w:rPr>
                <w:rFonts w:ascii="Times New Roman" w:cs="Times New Roman" w:eastAsia="Times New Roman" w:hAnsi="Times New Roman"/>
                <w:sz w:val="18"/>
                <w:szCs w:val="18"/>
                <w:color w:val="auto"/>
              </w:rPr>
              <w:t>Mereo US Holdings, Inc.</w:t>
            </w:r>
          </w:p>
        </w:tc>
        <w:tc>
          <w:tcPr>
            <w:tcW w:w="3440" w:type="dxa"/>
            <w:vAlign w:val="bottom"/>
          </w:tcPr>
          <w:p>
            <w:pPr>
              <w:spacing w:after="0"/>
              <w:rPr>
                <w:sz w:val="20"/>
                <w:szCs w:val="20"/>
                <w:color w:val="auto"/>
              </w:rPr>
            </w:pPr>
          </w:p>
        </w:tc>
      </w:tr>
      <w:tr>
        <w:trPr>
          <w:trHeight w:val="540"/>
        </w:trPr>
        <w:tc>
          <w:tcPr>
            <w:tcW w:w="6640" w:type="dxa"/>
            <w:vAlign w:val="bottom"/>
          </w:tcPr>
          <w:p>
            <w:pPr>
              <w:ind w:left="59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77"/>
        </w:trPr>
        <w:tc>
          <w:tcPr>
            <w:tcW w:w="66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w:t>
            </w:r>
          </w:p>
        </w:tc>
      </w:tr>
      <w:tr>
        <w:trPr>
          <w:trHeight w:val="270"/>
        </w:trPr>
        <w:tc>
          <w:tcPr>
            <w:tcW w:w="66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1033"/>
        </w:trPr>
        <w:tc>
          <w:tcPr>
            <w:tcW w:w="6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-1511300</wp:posOffset>
            </wp:positionV>
            <wp:extent cx="18859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885950" cy="1371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Mereo BioPharma Group plc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4th Floor</w:t>
      </w:r>
    </w:p>
    <w:p>
      <w:pPr>
        <w:spacing w:after="0"/>
        <w:rPr>
          <w:sz w:val="20"/>
          <w:szCs w:val="20"/>
          <w:color w:val="auto"/>
        </w:rPr>
      </w:pPr>
      <w:r>
        <w:rPr>
          <w:rFonts w:ascii="Times New Roman" w:cs="Times New Roman" w:eastAsia="Times New Roman" w:hAnsi="Times New Roman"/>
          <w:sz w:val="20"/>
          <w:szCs w:val="20"/>
          <w:color w:val="auto"/>
        </w:rPr>
        <w:t>One Cavendish Place</w:t>
      </w:r>
    </w:p>
    <w:p>
      <w:pPr>
        <w:spacing w:after="0"/>
        <w:rPr>
          <w:sz w:val="20"/>
          <w:szCs w:val="20"/>
          <w:color w:val="auto"/>
        </w:rPr>
      </w:pPr>
      <w:r>
        <w:rPr>
          <w:rFonts w:ascii="Times New Roman" w:cs="Times New Roman" w:eastAsia="Times New Roman" w:hAnsi="Times New Roman"/>
          <w:sz w:val="20"/>
          <w:szCs w:val="20"/>
          <w:color w:val="auto"/>
        </w:rPr>
        <w:t>London W1G 0QF</w:t>
      </w:r>
    </w:p>
    <w:p>
      <w:pPr>
        <w:spacing w:after="0"/>
        <w:rPr>
          <w:sz w:val="20"/>
          <w:szCs w:val="20"/>
          <w:color w:val="auto"/>
        </w:rPr>
      </w:pPr>
      <w:r>
        <w:rPr>
          <w:rFonts w:ascii="Times New Roman" w:cs="Times New Roman" w:eastAsia="Times New Roman" w:hAnsi="Times New Roman"/>
          <w:sz w:val="20"/>
          <w:szCs w:val="20"/>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3300" w:firstLine="6"/>
        <w:spacing w:after="0" w:line="241" w:lineRule="auto"/>
        <w:tabs>
          <w:tab w:leader="none" w:pos="175" w:val="left"/>
        </w:tabs>
        <w:numPr>
          <w:ilvl w:val="0"/>
          <w:numId w:val="5"/>
        </w:numPr>
        <w:rPr>
          <w:rFonts w:ascii="Arial" w:cs="Arial" w:eastAsia="Arial" w:hAnsi="Arial"/>
          <w:sz w:val="12"/>
          <w:szCs w:val="12"/>
          <w:color w:val="auto"/>
        </w:rPr>
      </w:pPr>
      <w:r>
        <w:rPr>
          <w:rFonts w:ascii="Arial" w:cs="Arial" w:eastAsia="Arial" w:hAnsi="Arial"/>
          <w:sz w:val="12"/>
          <w:szCs w:val="12"/>
          <w:color w:val="auto"/>
        </w:rPr>
        <w:t>Bishopsgate London EC2M 3XF United Kingdom</w:t>
      </w:r>
    </w:p>
    <w:p>
      <w:pPr>
        <w:spacing w:after="0" w:line="1" w:lineRule="exact"/>
        <w:rPr>
          <w:rFonts w:ascii="Arial" w:cs="Arial" w:eastAsia="Arial" w:hAnsi="Arial"/>
          <w:sz w:val="12"/>
          <w:szCs w:val="12"/>
          <w:color w:val="auto"/>
        </w:rPr>
      </w:pPr>
    </w:p>
    <w:p>
      <w:pPr>
        <w:ind w:right="1500"/>
        <w:spacing w:after="0" w:line="231" w:lineRule="auto"/>
        <w:rPr>
          <w:rFonts w:ascii="Arial" w:cs="Arial" w:eastAsia="Arial" w:hAnsi="Arial"/>
          <w:sz w:val="12"/>
          <w:szCs w:val="12"/>
          <w:color w:val="auto"/>
        </w:rPr>
      </w:pPr>
      <w:r>
        <w:rPr>
          <w:rFonts w:ascii="Arial" w:cs="Arial" w:eastAsia="Arial" w:hAnsi="Arial"/>
          <w:sz w:val="13"/>
          <w:szCs w:val="13"/>
          <w:color w:val="auto"/>
        </w:rPr>
        <w:t>Tel: +44(0)20.7710.1000 Fax: +44(0)20.7374.4460 www.lw.com</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Austin</w:t>
      </w:r>
      <w:r>
        <w:rPr>
          <w:sz w:val="20"/>
          <w:szCs w:val="20"/>
          <w:color w:val="auto"/>
        </w:rPr>
        <w:tab/>
      </w:r>
      <w:r>
        <w:rPr>
          <w:rFonts w:ascii="Arial" w:cs="Arial" w:eastAsia="Arial" w:hAnsi="Arial"/>
          <w:sz w:val="13"/>
          <w:szCs w:val="13"/>
          <w:color w:val="auto"/>
        </w:rPr>
        <w:t>Milan</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Munich</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New York</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Orange County</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Diego</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Silicon Valley</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Singapore</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Tel Aviv</w:t>
      </w:r>
    </w:p>
    <w:p>
      <w:pPr>
        <w:spacing w:after="0" w:line="53"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3"/>
          <w:szCs w:val="13"/>
          <w:color w:val="auto"/>
        </w:rPr>
        <w:t>Tokyo</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1485" w:lineRule="exact"/>
        <w:rPr>
          <w:sz w:val="20"/>
          <w:szCs w:val="20"/>
          <w:color w:val="auto"/>
        </w:rPr>
      </w:pPr>
    </w:p>
    <w:p>
      <w:pPr>
        <w:sectPr>
          <w:pgSz w:w="11900" w:h="16838" w:orient="portrait"/>
          <w:cols w:equalWidth="0" w:num="2">
            <w:col w:w="6140" w:space="720"/>
            <w:col w:w="4380"/>
          </w:cols>
          <w:pgMar w:left="320" w:top="756"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Mereo BioPharma Group plc (the “Company”) – Registration Statement on Form S-8</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acted as English legal advisers to the Company, a public limited company incorporated in England and Wales, in connection with the preparation and filing of the registration statement on Form S-8 to which this opinion letter is attached as an exhibit (such registration statement, as amended, including the documents incorporated by reference therein,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filed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pursuant to the United States Securities Act of 1933, as amended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set out in the Registration Statement, it is proposed that up to 42,249,466 ordinary shares of the Company each having a nominal value of £0.003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may become issuable under the Mereo BioPharma Group plc 2019 Equity Incentive Plan (including the Mereo BioPharma Group plc 2019 Non-Employee Equity Incentive Plan, which is a sub-plan thereof) (the “</w:t>
      </w:r>
      <w:r>
        <w:rPr>
          <w:rFonts w:ascii="Times New Roman" w:cs="Times New Roman" w:eastAsia="Times New Roman" w:hAnsi="Times New Roman"/>
          <w:sz w:val="20"/>
          <w:szCs w:val="20"/>
          <w:b w:val="1"/>
          <w:bCs w:val="1"/>
          <w:color w:val="auto"/>
        </w:rPr>
        <w:t>2019 EIP</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740" w:hanging="732"/>
        <w:spacing w:after="0"/>
        <w:tabs>
          <w:tab w:leader="none" w:pos="74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b w:val="1"/>
          <w:bCs w:val="1"/>
          <w:color w:val="auto"/>
        </w:rPr>
        <w:t>Purpose</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In connection with the Registration Statement, we have been asked to provide an opinion on certain matters, as set out below. We have taken instructions in this regard solely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spacing w:after="0" w:line="245" w:lineRule="auto"/>
        <w:rPr>
          <w:sz w:val="20"/>
          <w:szCs w:val="20"/>
          <w:color w:val="auto"/>
        </w:rPr>
      </w:pPr>
      <w:r>
        <w:rPr>
          <w:rFonts w:ascii="Arial" w:cs="Arial" w:eastAsia="Arial" w:hAnsi="Arial"/>
          <w:sz w:val="11"/>
          <w:szCs w:val="11"/>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8" w:name="page9"/>
    <w:bookmarkEnd w:id="8"/>
    <w:p>
      <w:pPr>
        <w:spacing w:after="0" w:line="7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b w:val="1"/>
          <w:bCs w:val="1"/>
          <w:color w:val="auto"/>
        </w:rPr>
        <w:t>Defined terms and headings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this letter:</w:t>
      </w:r>
    </w:p>
    <w:p>
      <w:pPr>
        <w:spacing w:after="0" w:line="185"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FSMA</w:t>
      </w:r>
      <w:r>
        <w:rPr>
          <w:rFonts w:ascii="Times New Roman" w:cs="Times New Roman" w:eastAsia="Times New Roman" w:hAnsi="Times New Roman"/>
          <w:sz w:val="19"/>
          <w:szCs w:val="19"/>
          <w:color w:val="auto"/>
        </w:rPr>
        <w:t>” means the Financial Services and Markets Act 2000;</w:t>
      </w:r>
    </w:p>
    <w:p>
      <w:pPr>
        <w:spacing w:after="0" w:line="202" w:lineRule="exact"/>
        <w:rPr>
          <w:sz w:val="20"/>
          <w:szCs w:val="20"/>
          <w:color w:val="auto"/>
        </w:rPr>
      </w:pPr>
    </w:p>
    <w:p>
      <w:pPr>
        <w:ind w:left="1480" w:right="80" w:hanging="736"/>
        <w:spacing w:after="0" w:line="250" w:lineRule="auto"/>
        <w:tabs>
          <w:tab w:leader="none" w:pos="1460" w:val="left"/>
        </w:tabs>
        <w:rPr>
          <w:sz w:val="20"/>
          <w:szCs w:val="20"/>
          <w:color w:val="auto"/>
        </w:rPr>
      </w:pPr>
      <w:r>
        <w:rPr>
          <w:rFonts w:ascii="Times New Roman" w:cs="Times New Roman" w:eastAsia="Times New Roman" w:hAnsi="Times New Roman"/>
          <w:sz w:val="20"/>
          <w:szCs w:val="20"/>
          <w:color w:val="auto"/>
        </w:rPr>
        <w:t>1.2.2.</w:t>
        <w:tab/>
        <w:t>“</w:t>
      </w:r>
      <w:r>
        <w:rPr>
          <w:rFonts w:ascii="Times New Roman" w:cs="Times New Roman" w:eastAsia="Times New Roman" w:hAnsi="Times New Roman"/>
          <w:sz w:val="20"/>
          <w:szCs w:val="20"/>
          <w:b w:val="1"/>
          <w:bCs w:val="1"/>
          <w:color w:val="auto"/>
        </w:rPr>
        <w:t>POATR 2024</w:t>
      </w:r>
      <w:r>
        <w:rPr>
          <w:rFonts w:ascii="Times New Roman" w:cs="Times New Roman" w:eastAsia="Times New Roman" w:hAnsi="Times New Roman"/>
          <w:sz w:val="20"/>
          <w:szCs w:val="20"/>
          <w:color w:val="auto"/>
        </w:rPr>
        <w:t>” means the Public Offers and Admissions to Trading Regulations 2024 (SI 2024/105) and “PRM” means the Prospectus Rules: Admission to Trading on a Regulated Market produced by the FCA pursuant to rule-making powers under FSMA and POATR 2024 and forming part of the FCA’s Handbook of rules and guidance, as from time to time amended;</w:t>
      </w:r>
    </w:p>
    <w:p>
      <w:pPr>
        <w:spacing w:after="0" w:line="166" w:lineRule="exact"/>
        <w:rPr>
          <w:sz w:val="20"/>
          <w:szCs w:val="20"/>
          <w:color w:val="auto"/>
        </w:rPr>
      </w:pPr>
    </w:p>
    <w:p>
      <w:pPr>
        <w:ind w:left="1480" w:right="280" w:hanging="736"/>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1.2.3.</w:t>
        <w:tab/>
        <w:t>capitalised terms used without definition in this letter or the schedules hereto have the meanings assigned to them in the Registration Statement unless a contrary indication appears; and</w:t>
      </w:r>
    </w:p>
    <w:p>
      <w:pPr>
        <w:spacing w:after="0" w:line="132"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headings are for ease of reference only and shall not affect interpretation.</w:t>
      </w:r>
    </w:p>
    <w:p>
      <w:pPr>
        <w:spacing w:after="0" w:line="19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b w:val="1"/>
          <w:bCs w:val="1"/>
          <w:color w:val="auto"/>
        </w:rPr>
        <w:t>Legal review</w:t>
      </w:r>
    </w:p>
    <w:p>
      <w:pPr>
        <w:spacing w:after="0" w:line="20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For the purpose of issuing this letter, we have reviewed only the following documents and conducted only the following enquiries and searches:</w:t>
      </w:r>
    </w:p>
    <w:p>
      <w:pPr>
        <w:spacing w:after="0" w:line="132" w:lineRule="exact"/>
        <w:rPr>
          <w:sz w:val="20"/>
          <w:szCs w:val="20"/>
          <w:color w:val="auto"/>
        </w:rPr>
      </w:pPr>
    </w:p>
    <w:p>
      <w:pPr>
        <w:ind w:left="1480" w:right="20" w:hanging="736"/>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1.3.1.</w:t>
        <w:tab/>
        <w:t>an online search at Companies House in respect of information available for inspection about the Company conducted on 2 February 2026 at 9:49am;</w:t>
      </w:r>
    </w:p>
    <w:p>
      <w:pPr>
        <w:spacing w:after="0" w:line="146" w:lineRule="exact"/>
        <w:rPr>
          <w:sz w:val="20"/>
          <w:szCs w:val="20"/>
          <w:color w:val="auto"/>
        </w:rPr>
      </w:pPr>
    </w:p>
    <w:p>
      <w:pPr>
        <w:ind w:left="1480" w:right="180" w:hanging="736"/>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1.3.2.</w:t>
        <w:tab/>
        <w:t>an online search at the Central Registry of Winding Up Petitions, London on 2 February 2026 at 10:06am with respect to the Company (paragraphs 1.3(a) and 1.3(b) together, the “</w:t>
      </w:r>
      <w:r>
        <w:rPr>
          <w:rFonts w:ascii="Times New Roman" w:cs="Times New Roman" w:eastAsia="Times New Roman" w:hAnsi="Times New Roman"/>
          <w:sz w:val="20"/>
          <w:szCs w:val="20"/>
          <w:b w:val="1"/>
          <w:bCs w:val="1"/>
          <w:color w:val="auto"/>
        </w:rPr>
        <w:t>Searches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1480" w:hanging="736"/>
        <w:spacing w:after="0" w:line="256" w:lineRule="auto"/>
        <w:tabs>
          <w:tab w:leader="none" w:pos="1460" w:val="left"/>
        </w:tabs>
        <w:rPr>
          <w:sz w:val="20"/>
          <w:szCs w:val="20"/>
          <w:color w:val="auto"/>
        </w:rPr>
      </w:pPr>
      <w:r>
        <w:rPr>
          <w:rFonts w:ascii="Times New Roman" w:cs="Times New Roman" w:eastAsia="Times New Roman" w:hAnsi="Times New Roman"/>
          <w:sz w:val="20"/>
          <w:szCs w:val="20"/>
          <w:color w:val="auto"/>
        </w:rPr>
        <w:t>1.3.3.</w:t>
        <w:tab/>
        <w:t>a copy of extracts from the minutes of a meeting of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held on 13 December 2023, at which it was resolved, inter alia, to adopt the current terms of reference for the remuneration committee (“</w:t>
      </w:r>
      <w:r>
        <w:rPr>
          <w:rFonts w:ascii="Times New Roman" w:cs="Times New Roman" w:eastAsia="Times New Roman" w:hAnsi="Times New Roman"/>
          <w:sz w:val="20"/>
          <w:szCs w:val="20"/>
          <w:b w:val="1"/>
          <w:bCs w:val="1"/>
          <w:color w:val="auto"/>
        </w:rPr>
        <w:t>Remuneration Committee</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9"/>
          <w:szCs w:val="19"/>
          <w:color w:val="auto"/>
        </w:rPr>
        <w:t>a copy of the minutes of a meeting of the Board held on 4 April 2019, at which it was resolved, inter alia, to approve the</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2019 EIP;</w:t>
      </w:r>
    </w:p>
    <w:p>
      <w:pPr>
        <w:spacing w:after="0" w:line="180"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color w:val="auto"/>
        </w:rPr>
        <w:t>a copy of the 2019 EIP (as amended on 13 February 2020 and 15 January 2021);</w:t>
      </w:r>
    </w:p>
    <w:p>
      <w:pPr>
        <w:spacing w:after="0" w:line="202" w:lineRule="exact"/>
        <w:rPr>
          <w:sz w:val="20"/>
          <w:szCs w:val="20"/>
          <w:color w:val="auto"/>
        </w:rPr>
      </w:pPr>
    </w:p>
    <w:p>
      <w:pPr>
        <w:ind w:left="1480" w:right="360" w:hanging="736"/>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1.3.6.</w:t>
        <w:tab/>
        <w:t>a copy of the certificate of incorporation of the Company as a private company dated 10 March 2015 and a copy of the certificate of incorporation on re-registration of the Company as a public company dated 3 June 2016;</w:t>
      </w:r>
    </w:p>
    <w:p>
      <w:pPr>
        <w:spacing w:after="0" w:line="132"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9"/>
          <w:szCs w:val="19"/>
          <w:color w:val="auto"/>
        </w:rPr>
        <w:t>a copy of the current articles of association of the Company which were adopted pursuant to a special resolution passed on</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18 December 2023; and</w:t>
      </w:r>
    </w:p>
    <w:p>
      <w:pPr>
        <w:spacing w:after="0" w:line="180"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color w:val="auto"/>
        </w:rPr>
        <w:t>a draft copy of the Registration Statement as at 27 January 2026 and to be filed with the SEC on or around 2 February</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7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b w:val="1"/>
          <w:bCs w:val="1"/>
          <w:color w:val="auto"/>
        </w:rPr>
        <w:t>Applicable law</w:t>
      </w:r>
    </w:p>
    <w:p>
      <w:pPr>
        <w:spacing w:after="0" w:line="206"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spacing w:after="0" w:line="147" w:lineRule="exact"/>
        <w:rPr>
          <w:sz w:val="20"/>
          <w:szCs w:val="20"/>
          <w:color w:val="auto"/>
        </w:rPr>
      </w:pPr>
    </w:p>
    <w:p>
      <w:pPr>
        <w:ind w:left="1480" w:right="60" w:hanging="736"/>
        <w:spacing w:after="0" w:line="269" w:lineRule="auto"/>
        <w:tabs>
          <w:tab w:leader="none" w:pos="1460" w:val="left"/>
        </w:tabs>
        <w:rPr>
          <w:sz w:val="20"/>
          <w:szCs w:val="20"/>
          <w:color w:val="auto"/>
        </w:rPr>
      </w:pPr>
      <w:r>
        <w:rPr>
          <w:rFonts w:ascii="Times New Roman" w:cs="Times New Roman" w:eastAsia="Times New Roman" w:hAnsi="Times New Roman"/>
          <w:sz w:val="20"/>
          <w:szCs w:val="20"/>
          <w:color w:val="auto"/>
        </w:rPr>
        <w:t>1.4.1.</w:t>
        <w:tab/>
        <w:t>we have not investigated the laws of any country other than England and we assume that no foreign law (including, for the avoidance of doubt, European Union law on and after 1 January 2021) affects the opinion stated below; and</w:t>
      </w:r>
    </w:p>
    <w:p>
      <w:pPr>
        <w:spacing w:after="0" w:line="146"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color w:val="auto"/>
        </w:rPr>
        <w:t>we express no opinion in this letter on the laws of any jurisdiction other than England.</w:t>
      </w:r>
    </w:p>
    <w:p>
      <w:pPr>
        <w:spacing w:after="0" w:line="19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b w:val="1"/>
          <w:bCs w:val="1"/>
          <w:color w:val="auto"/>
        </w:rPr>
        <w:t>Assumptions and reservations</w:t>
      </w:r>
    </w:p>
    <w:p>
      <w:pPr>
        <w:spacing w:after="0" w:line="189" w:lineRule="exact"/>
        <w:rPr>
          <w:sz w:val="20"/>
          <w:szCs w:val="20"/>
          <w:color w:val="auto"/>
        </w:rPr>
      </w:pPr>
    </w:p>
    <w:p>
      <w:pPr>
        <w:jc w:val="both"/>
        <w:ind w:left="740"/>
        <w:spacing w:after="0" w:line="250" w:lineRule="auto"/>
        <w:rPr>
          <w:sz w:val="20"/>
          <w:szCs w:val="20"/>
          <w:color w:val="auto"/>
        </w:rPr>
      </w:pPr>
      <w:r>
        <w:rPr>
          <w:rFonts w:ascii="Times New Roman" w:cs="Times New Roman" w:eastAsia="Times New Roman" w:hAnsi="Times New Roman"/>
          <w:sz w:val="20"/>
          <w:szCs w:val="20"/>
          <w:color w:val="auto"/>
        </w:rPr>
        <w:t>The opinion given in this letter is given on the basis of each of the assumptions set out in Schedule 1(</w:t>
      </w:r>
      <w:r>
        <w:rPr>
          <w:rFonts w:ascii="Times New Roman" w:cs="Times New Roman" w:eastAsia="Times New Roman" w:hAnsi="Times New Roman"/>
          <w:sz w:val="20"/>
          <w:szCs w:val="20"/>
          <w:i w:val="1"/>
          <w:iCs w:val="1"/>
          <w:color w:val="auto"/>
        </w:rPr>
        <w:t>Assumptions</w:t>
      </w:r>
      <w:r>
        <w:rPr>
          <w:rFonts w:ascii="Times New Roman" w:cs="Times New Roman" w:eastAsia="Times New Roman" w:hAnsi="Times New Roman"/>
          <w:sz w:val="20"/>
          <w:szCs w:val="20"/>
          <w:color w:val="auto"/>
        </w:rPr>
        <w:t>) and is subject to each of the reservations set out in Schedule 2(</w:t>
      </w:r>
      <w:r>
        <w:rPr>
          <w:rFonts w:ascii="Times New Roman" w:cs="Times New Roman" w:eastAsia="Times New Roman" w:hAnsi="Times New Roman"/>
          <w:sz w:val="20"/>
          <w:szCs w:val="20"/>
          <w:i w:val="1"/>
          <w:iCs w:val="1"/>
          <w:color w:val="auto"/>
        </w:rPr>
        <w:t>Reservations</w:t>
      </w:r>
      <w:r>
        <w:rPr>
          <w:rFonts w:ascii="Times New Roman" w:cs="Times New Roman" w:eastAsia="Times New Roman" w:hAnsi="Times New Roman"/>
          <w:sz w:val="20"/>
          <w:szCs w:val="20"/>
          <w:color w:val="auto"/>
        </w:rPr>
        <w:t>) to this letter. The opinion given in this letter is strictly limited to the matters stated in paragraph 2(</w:t>
      </w:r>
      <w:r>
        <w:rPr>
          <w:rFonts w:ascii="Times New Roman" w:cs="Times New Roman" w:eastAsia="Times New Roman" w:hAnsi="Times New Roman"/>
          <w:sz w:val="20"/>
          <w:szCs w:val="20"/>
          <w:i w:val="1"/>
          <w:iCs w:val="1"/>
          <w:color w:val="auto"/>
        </w:rPr>
        <w:t>Opinion</w:t>
      </w:r>
      <w:r>
        <w:rPr>
          <w:rFonts w:ascii="Times New Roman" w:cs="Times New Roman" w:eastAsia="Times New Roman" w:hAnsi="Times New Roman"/>
          <w:sz w:val="20"/>
          <w:szCs w:val="20"/>
          <w:color w:val="auto"/>
        </w:rPr>
        <w:t>) below and does not extend, and should not be read as extending, by implication or otherwise, to any other matters.</w:t>
      </w:r>
    </w:p>
    <w:p>
      <w:pPr>
        <w:spacing w:after="0" w:line="162" w:lineRule="exact"/>
        <w:rPr>
          <w:sz w:val="20"/>
          <w:szCs w:val="20"/>
          <w:color w:val="auto"/>
        </w:rPr>
      </w:pPr>
    </w:p>
    <w:p>
      <w:pPr>
        <w:ind w:left="740" w:hanging="732"/>
        <w:spacing w:after="0"/>
        <w:tabs>
          <w:tab w:leader="none" w:pos="7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OPINION</w:t>
      </w:r>
    </w:p>
    <w:p>
      <w:pPr>
        <w:spacing w:after="0" w:line="202" w:lineRule="exact"/>
        <w:rPr>
          <w:rFonts w:ascii="Times New Roman" w:cs="Times New Roman" w:eastAsia="Times New Roman" w:hAnsi="Times New Roman"/>
          <w:sz w:val="20"/>
          <w:szCs w:val="20"/>
          <w:b w:val="1"/>
          <w:bCs w:val="1"/>
          <w:color w:val="auto"/>
        </w:rPr>
      </w:pPr>
    </w:p>
    <w:p>
      <w:pPr>
        <w:ind w:left="740"/>
        <w:spacing w:after="0" w:line="27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paragraph 1(</w:t>
      </w:r>
      <w:r>
        <w:rPr>
          <w:rFonts w:ascii="Times New Roman" w:cs="Times New Roman" w:eastAsia="Times New Roman" w:hAnsi="Times New Roman"/>
          <w:sz w:val="20"/>
          <w:szCs w:val="20"/>
          <w:i w:val="1"/>
          <w:iCs w:val="1"/>
          <w:color w:val="auto"/>
        </w:rPr>
        <w:t>Introduction</w:t>
      </w:r>
      <w:r>
        <w:rPr>
          <w:rFonts w:ascii="Times New Roman" w:cs="Times New Roman" w:eastAsia="Times New Roman" w:hAnsi="Times New Roman"/>
          <w:sz w:val="20"/>
          <w:szCs w:val="20"/>
          <w:color w:val="auto"/>
        </w:rPr>
        <w:t>) and the other matters set out in this letter and its Schedules, and subject further to the following:</w:t>
      </w:r>
    </w:p>
    <w:p>
      <w:pPr>
        <w:spacing w:after="0" w:line="128" w:lineRule="exact"/>
        <w:rPr>
          <w:rFonts w:ascii="Times New Roman" w:cs="Times New Roman" w:eastAsia="Times New Roman" w:hAnsi="Times New Roman"/>
          <w:sz w:val="20"/>
          <w:szCs w:val="20"/>
          <w:b w:val="1"/>
          <w:bCs w:val="1"/>
          <w:color w:val="auto"/>
        </w:rPr>
      </w:pPr>
    </w:p>
    <w:p>
      <w:pPr>
        <w:ind w:left="1480" w:right="160" w:hanging="735"/>
        <w:spacing w:after="0" w:line="269" w:lineRule="auto"/>
        <w:tabs>
          <w:tab w:leader="none" w:pos="14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as finally amended, having become effective under the Securities Act and continuing to be so effective;</w:t>
      </w:r>
    </w:p>
    <w:p>
      <w:pPr>
        <w:spacing w:after="0" w:line="145" w:lineRule="exact"/>
        <w:rPr>
          <w:rFonts w:ascii="Times New Roman" w:cs="Times New Roman" w:eastAsia="Times New Roman" w:hAnsi="Times New Roman"/>
          <w:sz w:val="20"/>
          <w:szCs w:val="20"/>
          <w:color w:val="auto"/>
        </w:rPr>
      </w:pPr>
    </w:p>
    <w:p>
      <w:pPr>
        <w:ind w:left="1480" w:right="20" w:hanging="735"/>
        <w:spacing w:after="0" w:line="259" w:lineRule="auto"/>
        <w:tabs>
          <w:tab w:leader="none" w:pos="1480"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shareholders of the Company in a general meeting or within the Company’s articles of association duly and validly having resolved: (i) as may be required, as an ordinary resolution, or within the Company’s articles of association, to authorise the Board pursuant to section 551 of the Companies Act 2006 (the “</w:t>
      </w:r>
      <w:r>
        <w:rPr>
          <w:rFonts w:ascii="Times New Roman" w:cs="Times New Roman" w:eastAsia="Times New Roman" w:hAnsi="Times New Roman"/>
          <w:sz w:val="19"/>
          <w:szCs w:val="19"/>
          <w:b w:val="1"/>
          <w:bCs w:val="1"/>
          <w:color w:val="auto"/>
        </w:rPr>
        <w:t>Companies Act</w:t>
      </w:r>
      <w:r>
        <w:rPr>
          <w:rFonts w:ascii="Times New Roman" w:cs="Times New Roman" w:eastAsia="Times New Roman" w:hAnsi="Times New Roman"/>
          <w:sz w:val="19"/>
          <w:szCs w:val="19"/>
          <w:color w:val="auto"/>
        </w:rPr>
        <w:t>”) to allot Shares, or to grant rights to subscribe for Shares, pursuant to the 2019 EIP;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158" w:lineRule="exact"/>
        <w:rPr>
          <w:rFonts w:ascii="Times New Roman" w:cs="Times New Roman" w:eastAsia="Times New Roman" w:hAnsi="Times New Roman"/>
          <w:sz w:val="19"/>
          <w:szCs w:val="19"/>
          <w:color w:val="auto"/>
        </w:rPr>
      </w:pPr>
    </w:p>
    <w:p>
      <w:pPr>
        <w:ind w:left="1480" w:right="880" w:hanging="735"/>
        <w:spacing w:after="0" w:line="269" w:lineRule="auto"/>
        <w:tabs>
          <w:tab w:leader="none" w:pos="14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delegation of authority to the Remuneration Committee having been validly effected (among other things, in accordance with the Company’s articles of association and the 2019 EIP);</w:t>
      </w:r>
    </w:p>
    <w:p>
      <w:pPr>
        <w:spacing w:after="0" w:line="132" w:lineRule="exact"/>
        <w:rPr>
          <w:rFonts w:ascii="Times New Roman" w:cs="Times New Roman" w:eastAsia="Times New Roman" w:hAnsi="Times New Roman"/>
          <w:sz w:val="20"/>
          <w:szCs w:val="20"/>
          <w:color w:val="auto"/>
        </w:rPr>
      </w:pPr>
    </w:p>
    <w:p>
      <w:pPr>
        <w:ind w:left="1480" w:hanging="735"/>
        <w:spacing w:after="0"/>
        <w:tabs>
          <w:tab w:leader="none" w:pos="14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Company or the Remuneration Committee having validly approved the 2019 EIP;</w:t>
      </w:r>
    </w:p>
    <w:p>
      <w:pPr>
        <w:spacing w:after="0" w:line="202" w:lineRule="exact"/>
        <w:rPr>
          <w:rFonts w:ascii="Times New Roman" w:cs="Times New Roman" w:eastAsia="Times New Roman" w:hAnsi="Times New Roman"/>
          <w:sz w:val="20"/>
          <w:szCs w:val="20"/>
          <w:color w:val="auto"/>
        </w:rPr>
      </w:pPr>
    </w:p>
    <w:p>
      <w:pPr>
        <w:ind w:left="1480" w:right="220" w:hanging="735"/>
        <w:spacing w:after="0" w:line="269" w:lineRule="auto"/>
        <w:tabs>
          <w:tab w:leader="none" w:pos="14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Company or the Remuneration Committee having validly granted the awards in respect of the Shares under the 2019 EIP;</w:t>
      </w:r>
    </w:p>
    <w:p>
      <w:pPr>
        <w:spacing w:after="0" w:line="145" w:lineRule="exact"/>
        <w:rPr>
          <w:rFonts w:ascii="Times New Roman" w:cs="Times New Roman" w:eastAsia="Times New Roman" w:hAnsi="Times New Roman"/>
          <w:sz w:val="20"/>
          <w:szCs w:val="20"/>
          <w:color w:val="auto"/>
        </w:rPr>
      </w:pPr>
    </w:p>
    <w:p>
      <w:pPr>
        <w:ind w:left="1480" w:right="420" w:hanging="735"/>
        <w:spacing w:after="0" w:line="269" w:lineRule="auto"/>
        <w:tabs>
          <w:tab w:leader="none" w:pos="14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Company or the Remuneration Committee having validly resolved to allot and issue the Shares, or grant rights to subscribe for the Shares, at duly convened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left="1480" w:right="20"/>
        <w:spacing w:after="0" w:line="254" w:lineRule="auto"/>
        <w:rPr>
          <w:sz w:val="20"/>
          <w:szCs w:val="20"/>
          <w:color w:val="auto"/>
        </w:rPr>
      </w:pPr>
      <w:r>
        <w:rPr>
          <w:rFonts w:ascii="Times New Roman" w:cs="Times New Roman" w:eastAsia="Times New Roman" w:hAnsi="Times New Roman"/>
          <w:sz w:val="20"/>
          <w:szCs w:val="20"/>
          <w:color w:val="auto"/>
        </w:rPr>
        <w:t>and quorate meetings of the Board or the Remuneration Committee or by way of duly passed written resolutions of the Board or the Remuneration Committee and such resolutions being in full force and effect and not having been rescinded or amended;</w:t>
      </w:r>
    </w:p>
    <w:p>
      <w:pPr>
        <w:spacing w:after="0" w:line="161" w:lineRule="exact"/>
        <w:rPr>
          <w:sz w:val="20"/>
          <w:szCs w:val="20"/>
          <w:color w:val="auto"/>
        </w:rPr>
      </w:pPr>
    </w:p>
    <w:p>
      <w:pPr>
        <w:ind w:left="1480" w:right="160" w:hanging="735"/>
        <w:spacing w:after="0" w:line="263" w:lineRule="auto"/>
        <w:tabs>
          <w:tab w:leader="none" w:pos="14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2019 EIP are duly authorised by all necessary corporate action as described in (e)above and duly granted or awarded and exercised in accordance with the requirements of law, the Company’s articles of association and the 2019 EIP (and the agreements and awards duly adopted thereunder and in accordance therewith); and</w:t>
      </w:r>
    </w:p>
    <w:p>
      <w:pPr>
        <w:spacing w:after="0" w:line="139" w:lineRule="exact"/>
        <w:rPr>
          <w:rFonts w:ascii="Times New Roman" w:cs="Times New Roman" w:eastAsia="Times New Roman" w:hAnsi="Times New Roman"/>
          <w:sz w:val="19"/>
          <w:szCs w:val="19"/>
          <w:color w:val="auto"/>
        </w:rPr>
      </w:pPr>
    </w:p>
    <w:p>
      <w:pPr>
        <w:ind w:left="1480" w:right="700" w:hanging="735"/>
        <w:spacing w:after="0" w:line="269" w:lineRule="auto"/>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valid entries having been made in relation to the allotment and issue of the Shares in the books and registers of the Company,</w:t>
      </w:r>
    </w:p>
    <w:p>
      <w:pPr>
        <w:spacing w:after="0" w:line="146" w:lineRule="exact"/>
        <w:rPr>
          <w:sz w:val="20"/>
          <w:szCs w:val="20"/>
          <w:color w:val="auto"/>
        </w:rPr>
      </w:pPr>
    </w:p>
    <w:p>
      <w:pPr>
        <w:jc w:val="both"/>
        <w:ind w:left="740"/>
        <w:spacing w:after="0" w:line="246" w:lineRule="auto"/>
        <w:rPr>
          <w:sz w:val="20"/>
          <w:szCs w:val="20"/>
          <w:color w:val="auto"/>
        </w:rPr>
      </w:pPr>
      <w:r>
        <w:rPr>
          <w:rFonts w:ascii="Times New Roman" w:cs="Times New Roman" w:eastAsia="Times New Roman" w:hAnsi="Times New Roman"/>
          <w:sz w:val="20"/>
          <w:szCs w:val="20"/>
          <w:color w:val="auto"/>
        </w:rPr>
        <w:t>it is our opinion that, as of today’s date, the Shares, if and when allotted and issued, registered in the name of the recipient in the register of members of the Company and delivered in accordance with the terms and conditions referred to above and/or in the 2019 EIP,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167" w:lineRule="exact"/>
        <w:rPr>
          <w:sz w:val="20"/>
          <w:szCs w:val="20"/>
          <w:color w:val="auto"/>
        </w:rPr>
      </w:pPr>
    </w:p>
    <w:p>
      <w:pPr>
        <w:ind w:left="740" w:hanging="732"/>
        <w:spacing w:after="0"/>
        <w:tabs>
          <w:tab w:leader="none" w:pos="74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EXTENT OF OPINION</w:t>
      </w:r>
    </w:p>
    <w:p>
      <w:pPr>
        <w:spacing w:after="0" w:line="192" w:lineRule="exact"/>
        <w:rPr>
          <w:rFonts w:ascii="Times New Roman" w:cs="Times New Roman" w:eastAsia="Times New Roman" w:hAnsi="Times New Roman"/>
          <w:sz w:val="20"/>
          <w:szCs w:val="20"/>
          <w:b w:val="1"/>
          <w:bCs w:val="1"/>
          <w:color w:val="auto"/>
        </w:rPr>
      </w:pPr>
    </w:p>
    <w:p>
      <w:pPr>
        <w:ind w:left="7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express no opinion as to any agreement, instrument or other document other than as specified in this letter or as to any liability to tax which may arise or be suffered as a result of or in connection with the transactions contemplated by the 2019 EIP.</w:t>
      </w:r>
    </w:p>
    <w:p>
      <w:pPr>
        <w:spacing w:after="0" w:line="145" w:lineRule="exact"/>
        <w:rPr>
          <w:rFonts w:ascii="Times New Roman" w:cs="Times New Roman" w:eastAsia="Times New Roman" w:hAnsi="Times New Roman"/>
          <w:sz w:val="20"/>
          <w:szCs w:val="20"/>
          <w:b w:val="1"/>
          <w:bCs w:val="1"/>
          <w:color w:val="auto"/>
        </w:rPr>
      </w:pPr>
    </w:p>
    <w:p>
      <w:pPr>
        <w:jc w:val="both"/>
        <w:ind w:left="7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62"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RELIANCE AND DISCLOSURE</w:t>
      </w:r>
    </w:p>
    <w:p>
      <w:pPr>
        <w:spacing w:after="0" w:line="192" w:lineRule="exact"/>
        <w:rPr>
          <w:rFonts w:ascii="Times New Roman" w:cs="Times New Roman" w:eastAsia="Times New Roman" w:hAnsi="Times New Roman"/>
          <w:sz w:val="20"/>
          <w:szCs w:val="20"/>
          <w:b w:val="1"/>
          <w:bCs w:val="1"/>
          <w:color w:val="auto"/>
        </w:rPr>
      </w:pPr>
    </w:p>
    <w:p>
      <w:pPr>
        <w:jc w:val="both"/>
        <w:ind w:left="7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60" w:lineRule="exact"/>
        <w:rPr>
          <w:rFonts w:ascii="Times New Roman" w:cs="Times New Roman" w:eastAsia="Times New Roman" w:hAnsi="Times New Roman"/>
          <w:sz w:val="20"/>
          <w:szCs w:val="20"/>
          <w:b w:val="1"/>
          <w:bCs w:val="1"/>
          <w:color w:val="auto"/>
        </w:rPr>
      </w:pPr>
    </w:p>
    <w:p>
      <w:pPr>
        <w:jc w:val="both"/>
        <w:ind w:left="7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LATHAM &amp; WATKINS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LATHAM &amp; WATKINS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77" w:lineRule="exact"/>
        <w:rPr>
          <w:sz w:val="20"/>
          <w:szCs w:val="20"/>
          <w:color w:val="auto"/>
        </w:rPr>
      </w:pPr>
    </w:p>
    <w:p>
      <w:pPr>
        <w:ind w:left="5520" w:hanging="515"/>
        <w:spacing w:after="0"/>
        <w:tabs>
          <w:tab w:leader="none" w:pos="5520" w:val="left"/>
        </w:tabs>
        <w:numPr>
          <w:ilvl w:val="2"/>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SCHEDULE 1</w:t>
      </w:r>
    </w:p>
    <w:p>
      <w:pPr>
        <w:spacing w:after="0" w:line="107" w:lineRule="exact"/>
        <w:rPr>
          <w:rFonts w:ascii="Times New Roman" w:cs="Times New Roman" w:eastAsia="Times New Roman" w:hAnsi="Times New Roman"/>
          <w:sz w:val="20"/>
          <w:szCs w:val="20"/>
          <w:b w:val="1"/>
          <w:bCs w:val="1"/>
          <w:color w:val="auto"/>
        </w:rPr>
      </w:pPr>
    </w:p>
    <w:p>
      <w:pPr>
        <w:ind w:left="49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II.   ASSUMPTIONS</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opinion in this letter has been given on the basis of the following assumptions:</w:t>
      </w:r>
    </w:p>
    <w:p>
      <w:pPr>
        <w:spacing w:after="0" w:line="180" w:lineRule="exact"/>
        <w:rPr>
          <w:rFonts w:ascii="Times New Roman" w:cs="Times New Roman" w:eastAsia="Times New Roman" w:hAnsi="Times New Roman"/>
          <w:sz w:val="20"/>
          <w:szCs w:val="20"/>
          <w:b w:val="1"/>
          <w:bCs w:val="1"/>
          <w:color w:val="auto"/>
        </w:rPr>
      </w:pPr>
    </w:p>
    <w:p>
      <w:pPr>
        <w:jc w:val="both"/>
        <w:ind w:left="2560" w:right="60" w:hanging="516"/>
        <w:spacing w:after="0" w:line="254" w:lineRule="auto"/>
        <w:tabs>
          <w:tab w:leader="none" w:pos="2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66" w:lineRule="exact"/>
        <w:rPr>
          <w:rFonts w:ascii="Times New Roman" w:cs="Times New Roman" w:eastAsia="Times New Roman" w:hAnsi="Times New Roman"/>
          <w:sz w:val="20"/>
          <w:szCs w:val="20"/>
          <w:color w:val="auto"/>
        </w:rPr>
      </w:pPr>
    </w:p>
    <w:p>
      <w:pPr>
        <w:ind w:left="2560" w:right="240" w:hanging="516"/>
        <w:spacing w:after="0" w:line="269" w:lineRule="auto"/>
        <w:tabs>
          <w:tab w:leader="none" w:pos="2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the case of a document signed electronically, the person signing it intended to sign and be bound by the document;</w:t>
      </w:r>
    </w:p>
    <w:p>
      <w:pPr>
        <w:spacing w:after="0" w:line="51" w:lineRule="exact"/>
        <w:rPr>
          <w:rFonts w:ascii="Times New Roman" w:cs="Times New Roman" w:eastAsia="Times New Roman" w:hAnsi="Times New Roman"/>
          <w:sz w:val="20"/>
          <w:szCs w:val="20"/>
          <w:color w:val="auto"/>
        </w:rPr>
      </w:pPr>
    </w:p>
    <w:p>
      <w:pPr>
        <w:ind w:left="2560" w:right="580" w:hanging="516"/>
        <w:spacing w:after="0" w:line="269" w:lineRule="auto"/>
        <w:tabs>
          <w:tab w:leader="none" w:pos="2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where a document has been examined by us in draft or specimen form, it will be or has been duly executed in the form of that draft or specimen;</w:t>
      </w:r>
    </w:p>
    <w:p>
      <w:pPr>
        <w:spacing w:after="0" w:line="51" w:lineRule="exact"/>
        <w:rPr>
          <w:rFonts w:ascii="Times New Roman" w:cs="Times New Roman" w:eastAsia="Times New Roman" w:hAnsi="Times New Roman"/>
          <w:sz w:val="20"/>
          <w:szCs w:val="20"/>
          <w:color w:val="auto"/>
        </w:rPr>
      </w:pPr>
    </w:p>
    <w:p>
      <w:pPr>
        <w:ind w:left="2560" w:right="20" w:hanging="516"/>
        <w:spacing w:after="0" w:line="249" w:lineRule="auto"/>
        <w:tabs>
          <w:tab w:leader="none" w:pos="2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articles of association of the Company referred to in paragraph 1.3(g)of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Times New Roman" w:cs="Times New Roman" w:eastAsia="Times New Roman" w:hAnsi="Times New Roman"/>
          <w:sz w:val="20"/>
          <w:szCs w:val="20"/>
          <w:b w:val="1"/>
          <w:bCs w:val="1"/>
          <w:color w:val="auto"/>
        </w:rPr>
        <w:t>Allotment Date</w:t>
      </w:r>
      <w:r>
        <w:rPr>
          <w:rFonts w:ascii="Times New Roman" w:cs="Times New Roman" w:eastAsia="Times New Roman" w:hAnsi="Times New Roman"/>
          <w:sz w:val="20"/>
          <w:szCs w:val="20"/>
          <w:color w:val="auto"/>
        </w:rPr>
        <w:t>”);</w:t>
      </w:r>
    </w:p>
    <w:p>
      <w:pPr>
        <w:spacing w:after="0" w:line="71" w:lineRule="exact"/>
        <w:rPr>
          <w:rFonts w:ascii="Times New Roman" w:cs="Times New Roman" w:eastAsia="Times New Roman" w:hAnsi="Times New Roman"/>
          <w:sz w:val="20"/>
          <w:szCs w:val="20"/>
          <w:color w:val="auto"/>
        </w:rPr>
      </w:pPr>
    </w:p>
    <w:p>
      <w:pPr>
        <w:ind w:left="2560" w:right="40" w:hanging="516"/>
        <w:spacing w:after="0" w:line="269" w:lineRule="auto"/>
        <w:tabs>
          <w:tab w:leader="none" w:pos="2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2019 EIP was validly adopted and remains in full force and effect and no alteration has been made or will be made to it prior to an Allotment Date;</w:t>
      </w:r>
    </w:p>
    <w:p>
      <w:pPr>
        <w:spacing w:after="0" w:line="51" w:lineRule="exact"/>
        <w:rPr>
          <w:rFonts w:ascii="Times New Roman" w:cs="Times New Roman" w:eastAsia="Times New Roman" w:hAnsi="Times New Roman"/>
          <w:sz w:val="20"/>
          <w:szCs w:val="20"/>
          <w:color w:val="auto"/>
        </w:rPr>
      </w:pPr>
    </w:p>
    <w:p>
      <w:pPr>
        <w:ind w:left="2560" w:right="20" w:hanging="516"/>
        <w:spacing w:after="0" w:line="249" w:lineRule="auto"/>
        <w:tabs>
          <w:tab w:leader="none" w:pos="2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documents, forms and notices which should have been delivered to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71" w:lineRule="exact"/>
        <w:rPr>
          <w:rFonts w:ascii="Times New Roman" w:cs="Times New Roman" w:eastAsia="Times New Roman" w:hAnsi="Times New Roman"/>
          <w:sz w:val="20"/>
          <w:szCs w:val="20"/>
          <w:color w:val="auto"/>
        </w:rPr>
      </w:pPr>
    </w:p>
    <w:p>
      <w:pPr>
        <w:ind w:left="2560" w:hanging="516"/>
        <w:spacing w:after="0" w:line="243" w:lineRule="auto"/>
        <w:tabs>
          <w:tab w:leader="none" w:pos="2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proceedings and resolutions described in the minutes of the meetings of the Board provided to us in connection with the giving of this opinion or otherwise contemplated in connection with the matters referred to herein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77" w:lineRule="exact"/>
        <w:rPr>
          <w:rFonts w:ascii="Times New Roman" w:cs="Times New Roman" w:eastAsia="Times New Roman" w:hAnsi="Times New Roman"/>
          <w:sz w:val="20"/>
          <w:szCs w:val="20"/>
          <w:color w:val="auto"/>
        </w:rPr>
      </w:pPr>
    </w:p>
    <w:p>
      <w:pPr>
        <w:ind w:left="2560" w:hanging="516"/>
        <w:spacing w:after="0" w:line="244" w:lineRule="auto"/>
        <w:tabs>
          <w:tab w:leader="none" w:pos="2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resolutions of the shareholders of the Company provided to us in connection with the giving of this opinion and as referred to at paragraph 2(b)of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1" w:lineRule="exact"/>
        <w:rPr>
          <w:sz w:val="20"/>
          <w:szCs w:val="20"/>
          <w:color w:val="auto"/>
        </w:rPr>
      </w:pPr>
    </w:p>
    <w:p>
      <w:pPr>
        <w:ind w:left="1440" w:right="100" w:hanging="516"/>
        <w:spacing w:after="0" w:line="246"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76" w:lineRule="exact"/>
        <w:rPr>
          <w:rFonts w:ascii="Times New Roman" w:cs="Times New Roman" w:eastAsia="Times New Roman" w:hAnsi="Times New Roman"/>
          <w:sz w:val="20"/>
          <w:szCs w:val="20"/>
          <w:color w:val="auto"/>
        </w:rPr>
      </w:pPr>
    </w:p>
    <w:p>
      <w:pPr>
        <w:ind w:left="1440" w:right="20" w:hanging="516"/>
        <w:spacing w:after="0" w:line="246"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relation to any allotment and issue of any Shares by the Company pursuant to the 2019 EIP, the recipient will have become entitled to such Shares under the terms of the 2019 EIP and such Shares will, where applicable, be fully vested each in accordance with the terms of the 2019 EIP and such recipient has or will have complied with all other requirements of the 2019 EIP in connection with the allotment and issue of such Shares;</w:t>
      </w:r>
    </w:p>
    <w:p>
      <w:pPr>
        <w:spacing w:after="0" w:line="76" w:lineRule="exact"/>
        <w:rPr>
          <w:rFonts w:ascii="Times New Roman" w:cs="Times New Roman" w:eastAsia="Times New Roman" w:hAnsi="Times New Roman"/>
          <w:sz w:val="20"/>
          <w:szCs w:val="20"/>
          <w:color w:val="auto"/>
        </w:rPr>
      </w:pPr>
    </w:p>
    <w:p>
      <w:pPr>
        <w:ind w:left="1440" w:right="180" w:hanging="516"/>
        <w:spacing w:after="0" w:line="249"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awards have been made under the terms of the 2019 EIP, that the terms of all awards have not materially deviated from the terms set out in the 2019 EIP and that any Shares will be allotted and issued in accordance with the terms set out in the 2019 EIP and in accordance with the Company’s articles of association;</w:t>
      </w:r>
    </w:p>
    <w:p>
      <w:pPr>
        <w:spacing w:after="0" w:line="71" w:lineRule="exact"/>
        <w:rPr>
          <w:rFonts w:ascii="Times New Roman" w:cs="Times New Roman" w:eastAsia="Times New Roman" w:hAnsi="Times New Roman"/>
          <w:sz w:val="20"/>
          <w:szCs w:val="20"/>
          <w:color w:val="auto"/>
        </w:rPr>
      </w:pPr>
    </w:p>
    <w:p>
      <w:pPr>
        <w:ind w:left="1440" w:hanging="516"/>
        <w:spacing w:after="0" w:line="243"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immediately prior to each Allotment Date, the directors of the Company and/or the Remuneration Committee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and/or the Remuneration Committee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81" w:lineRule="exact"/>
        <w:rPr>
          <w:rFonts w:ascii="Times New Roman" w:cs="Times New Roman" w:eastAsia="Times New Roman" w:hAnsi="Times New Roman"/>
          <w:sz w:val="20"/>
          <w:szCs w:val="20"/>
          <w:color w:val="auto"/>
        </w:rPr>
      </w:pPr>
    </w:p>
    <w:p>
      <w:pPr>
        <w:ind w:left="1440" w:right="280" w:hanging="516"/>
        <w:spacing w:after="0" w:line="254"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relation to the allotment and issue of Shares pursuant to the 2019 EIP or otherwise to an employee benefit trust, that such Shares will be allotted and issued in accordance with the terms of the 2019 EIP, the Company’s articles of association and the requirements of all applicable laws;</w:t>
      </w:r>
    </w:p>
    <w:p>
      <w:pPr>
        <w:spacing w:after="0" w:line="66" w:lineRule="exact"/>
        <w:rPr>
          <w:rFonts w:ascii="Times New Roman" w:cs="Times New Roman" w:eastAsia="Times New Roman" w:hAnsi="Times New Roman"/>
          <w:sz w:val="20"/>
          <w:szCs w:val="20"/>
          <w:color w:val="auto"/>
        </w:rPr>
      </w:pPr>
    </w:p>
    <w:p>
      <w:pPr>
        <w:ind w:left="1440" w:right="40" w:hanging="516"/>
        <w:spacing w:after="0" w:line="269"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Shares shall be allotted or issued, or are or shall be committed to be allotted or issued, at a discount to their nominal value (whether in sterling or equivalent in any other currency);</w:t>
      </w:r>
    </w:p>
    <w:p>
      <w:pPr>
        <w:spacing w:after="0" w:line="51" w:lineRule="exact"/>
        <w:rPr>
          <w:rFonts w:ascii="Times New Roman" w:cs="Times New Roman" w:eastAsia="Times New Roman" w:hAnsi="Times New Roman"/>
          <w:sz w:val="20"/>
          <w:szCs w:val="20"/>
          <w:color w:val="auto"/>
        </w:rPr>
      </w:pPr>
    </w:p>
    <w:p>
      <w:pPr>
        <w:ind w:left="1440" w:right="60" w:hanging="516"/>
        <w:spacing w:after="0" w:line="254"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Shares have been or will be offered to the public in the United Kingdom by the Company (or any person acting on their behalf) other than in the circumstances which do not contravene Regulation 12 of POATR 2024 as set out in Part 1 of Schedule 1 of POATR 2024;</w:t>
      </w:r>
    </w:p>
    <w:p>
      <w:pPr>
        <w:spacing w:after="0" w:line="66" w:lineRule="exact"/>
        <w:rPr>
          <w:rFonts w:ascii="Times New Roman" w:cs="Times New Roman" w:eastAsia="Times New Roman" w:hAnsi="Times New Roman"/>
          <w:sz w:val="20"/>
          <w:szCs w:val="20"/>
          <w:color w:val="auto"/>
        </w:rPr>
      </w:pPr>
    </w:p>
    <w:p>
      <w:pPr>
        <w:ind w:left="1440" w:right="680" w:hanging="516"/>
        <w:spacing w:after="0" w:line="269"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issuing and allotting and granting rights to acquire Shares and administering the 2019 EIP, the Company is not carrying on a regulated activity for the purposes of section 19 of FSMA;</w:t>
      </w:r>
    </w:p>
    <w:p>
      <w:pPr>
        <w:spacing w:after="0" w:line="51" w:lineRule="exact"/>
        <w:rPr>
          <w:rFonts w:ascii="Times New Roman" w:cs="Times New Roman" w:eastAsia="Times New Roman" w:hAnsi="Times New Roman"/>
          <w:sz w:val="20"/>
          <w:szCs w:val="20"/>
          <w:color w:val="auto"/>
        </w:rPr>
      </w:pPr>
    </w:p>
    <w:p>
      <w:pPr>
        <w:ind w:left="1440" w:right="260" w:hanging="516"/>
        <w:spacing w:after="0" w:line="254"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Company has complied and will comply with all applicable anti-terrorism, anti-money laundering, sanctions and human rights laws and regulations and that each allotment and issue of Shares and grant of rights to</w:t>
      </w:r>
    </w:p>
    <w:p>
      <w:pPr>
        <w:spacing w:after="0" w:line="39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 w:name="page14"/>
    <w:bookmarkEnd w:id="13"/>
    <w:p>
      <w:pPr>
        <w:spacing w:after="0" w:line="8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acquire Shares pursuant to the 2019 EIP will be consistent with all such laws and regulations;</w:t>
      </w:r>
    </w:p>
    <w:p>
      <w:pPr>
        <w:spacing w:after="0" w:line="108" w:lineRule="exact"/>
        <w:rPr>
          <w:sz w:val="20"/>
          <w:szCs w:val="20"/>
          <w:color w:val="auto"/>
        </w:rPr>
      </w:pPr>
    </w:p>
    <w:p>
      <w:pPr>
        <w:ind w:left="2040" w:hanging="516"/>
        <w:spacing w:after="0" w:line="246" w:lineRule="auto"/>
        <w:tabs>
          <w:tab w:leader="none" w:pos="2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2019 EIP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2019 EIP, and the allotment and issue of the Shares, will promote the success of the Company for the benefit of its members as a whole; and</w:t>
      </w:r>
    </w:p>
    <w:p>
      <w:pPr>
        <w:spacing w:after="0" w:line="76" w:lineRule="exact"/>
        <w:rPr>
          <w:rFonts w:ascii="Times New Roman" w:cs="Times New Roman" w:eastAsia="Times New Roman" w:hAnsi="Times New Roman"/>
          <w:sz w:val="20"/>
          <w:szCs w:val="20"/>
          <w:color w:val="auto"/>
        </w:rPr>
      </w:pPr>
    </w:p>
    <w:p>
      <w:pPr>
        <w:ind w:left="2040" w:hanging="516"/>
        <w:spacing w:after="0" w:line="242" w:lineRule="auto"/>
        <w:tabs>
          <w:tab w:leader="none" w:pos="2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Company has not taken any corporate or other action nor have any steps been taken or legal proceedings been started against the Company for the liquidation, administration, winding-up, dissolution, reorganisation or bankruptcy or similar procedures in other relevant jurisdictions, of, or for the commencement of a moratorium in respect of or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III.</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IV.</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VII.</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VIII.</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IX.</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XII.</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XIII.</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XIV. SCHEDULE 2</w:t>
      </w: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40" w:top="1440" w:right="379" w:bottom="1440" w:gutter="0" w:footer="0" w:header="0"/>
        </w:sectPr>
      </w:pPr>
    </w:p>
    <w:bookmarkStart w:id="14" w:name="page15"/>
    <w:bookmarkEnd w:id="14"/>
    <w:p>
      <w:pPr>
        <w:spacing w:after="0" w:line="77" w:lineRule="exact"/>
        <w:rPr>
          <w:sz w:val="20"/>
          <w:szCs w:val="20"/>
          <w:color w:val="auto"/>
        </w:rPr>
      </w:pPr>
    </w:p>
    <w:p>
      <w:pPr>
        <w:ind w:left="4840"/>
        <w:spacing w:after="0"/>
        <w:tabs>
          <w:tab w:leader="none" w:pos="5340" w:val="left"/>
        </w:tabs>
        <w:rPr>
          <w:sz w:val="20"/>
          <w:szCs w:val="20"/>
          <w:color w:val="auto"/>
        </w:rPr>
      </w:pPr>
      <w:r>
        <w:rPr>
          <w:rFonts w:ascii="Times New Roman" w:cs="Times New Roman" w:eastAsia="Times New Roman" w:hAnsi="Times New Roman"/>
          <w:sz w:val="20"/>
          <w:szCs w:val="20"/>
          <w:b w:val="1"/>
          <w:bCs w:val="1"/>
          <w:color w:val="auto"/>
        </w:rPr>
        <w:t>XV.</w:t>
      </w:r>
      <w:r>
        <w:rPr>
          <w:sz w:val="20"/>
          <w:szCs w:val="20"/>
          <w:color w:val="auto"/>
        </w:rPr>
        <w:tab/>
      </w:r>
      <w:r>
        <w:rPr>
          <w:rFonts w:ascii="Times New Roman" w:cs="Times New Roman" w:eastAsia="Times New Roman" w:hAnsi="Times New Roman"/>
          <w:sz w:val="19"/>
          <w:szCs w:val="19"/>
          <w:b w:val="1"/>
          <w:bCs w:val="1"/>
          <w:color w:val="auto"/>
        </w:rPr>
        <w:t>RESERVATIONS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opinion in this letter is subject to the following reservations:</w:t>
      </w:r>
    </w:p>
    <w:p>
      <w:pPr>
        <w:spacing w:after="0" w:line="180" w:lineRule="exact"/>
        <w:rPr>
          <w:sz w:val="20"/>
          <w:szCs w:val="20"/>
          <w:color w:val="auto"/>
        </w:rPr>
      </w:pPr>
    </w:p>
    <w:p>
      <w:pPr>
        <w:ind w:left="2560" w:right="240" w:hanging="516"/>
        <w:spacing w:after="0" w:line="249" w:lineRule="auto"/>
        <w:tabs>
          <w:tab w:leader="none" w:pos="25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7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b)</w:t>
      </w:r>
    </w:p>
    <w:p>
      <w:pPr>
        <w:spacing w:after="0" w:line="108" w:lineRule="exact"/>
        <w:rPr>
          <w:sz w:val="20"/>
          <w:szCs w:val="20"/>
          <w:color w:val="auto"/>
        </w:rPr>
      </w:pPr>
    </w:p>
    <w:p>
      <w:pPr>
        <w:ind w:left="2560" w:right="720" w:hanging="516"/>
        <w:spacing w:after="0" w:line="295" w:lineRule="auto"/>
        <w:tabs>
          <w:tab w:leader="none" w:pos="25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limitations arising from applicable laws relating to insolvency, bankruptcy, administration, reorganisation, liquidation, moratoria, schemes, restructuring plans or analogous circumstances; and</w:t>
      </w:r>
    </w:p>
    <w:p>
      <w:pPr>
        <w:spacing w:after="0" w:line="25" w:lineRule="exact"/>
        <w:rPr>
          <w:rFonts w:ascii="Times New Roman" w:cs="Times New Roman" w:eastAsia="Times New Roman" w:hAnsi="Times New Roman"/>
          <w:sz w:val="19"/>
          <w:szCs w:val="19"/>
          <w:color w:val="auto"/>
        </w:rPr>
      </w:pPr>
    </w:p>
    <w:p>
      <w:pPr>
        <w:ind w:left="2560" w:right="40" w:hanging="516"/>
        <w:spacing w:after="0" w:line="256" w:lineRule="auto"/>
        <w:tabs>
          <w:tab w:leader="none" w:pos="25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English court exercising its discretion under section 426 of the Insolvency Act 1986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between courts exercising jurisdiction in relation to insolvency</w:t>
      </w:r>
      <w:r>
        <w:rPr>
          <w:rFonts w:ascii="Times New Roman" w:cs="Times New Roman" w:eastAsia="Times New Roman" w:hAnsi="Times New Roman"/>
          <w:sz w:val="20"/>
          <w:szCs w:val="20"/>
          <w:color w:val="auto"/>
        </w:rPr>
        <w:t>) to assist the courts having the corresponding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jurisdiction in any part of the United Kingdom or any relevant country or territory;</w:t>
      </w:r>
    </w:p>
    <w:p>
      <w:pPr>
        <w:spacing w:after="0" w:line="65" w:lineRule="exact"/>
        <w:rPr>
          <w:sz w:val="20"/>
          <w:szCs w:val="20"/>
          <w:color w:val="auto"/>
        </w:rPr>
      </w:pPr>
    </w:p>
    <w:p>
      <w:pPr>
        <w:ind w:left="2560" w:hanging="516"/>
        <w:spacing w:after="0"/>
        <w:tabs>
          <w:tab w:leader="none" w:pos="2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express no opinion as to matters of fact;</w:t>
      </w:r>
    </w:p>
    <w:p>
      <w:pPr>
        <w:spacing w:after="0" w:line="107" w:lineRule="exact"/>
        <w:rPr>
          <w:rFonts w:ascii="Times New Roman" w:cs="Times New Roman" w:eastAsia="Times New Roman" w:hAnsi="Times New Roman"/>
          <w:sz w:val="20"/>
          <w:szCs w:val="20"/>
          <w:color w:val="auto"/>
        </w:rPr>
      </w:pPr>
    </w:p>
    <w:p>
      <w:pPr>
        <w:ind w:left="2560" w:right="40" w:hanging="516"/>
        <w:spacing w:after="0" w:line="254" w:lineRule="auto"/>
        <w:tabs>
          <w:tab w:leader="none" w:pos="2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express no opinion on the compliance of the 2019 EIP, or the compliance of any award made under the 2019 EIP, with the rules or regulations of the NASDAQ Stock Market LLC or the rules or regulations of any other securities exchange that are applicable to the Company;</w:t>
      </w:r>
    </w:p>
    <w:p>
      <w:pPr>
        <w:spacing w:after="0" w:line="66" w:lineRule="exact"/>
        <w:rPr>
          <w:rFonts w:ascii="Times New Roman" w:cs="Times New Roman" w:eastAsia="Times New Roman" w:hAnsi="Times New Roman"/>
          <w:sz w:val="20"/>
          <w:szCs w:val="20"/>
          <w:color w:val="auto"/>
        </w:rPr>
      </w:pPr>
    </w:p>
    <w:p>
      <w:pPr>
        <w:ind w:left="2560" w:right="40" w:hanging="516"/>
        <w:spacing w:after="0" w:line="243" w:lineRule="auto"/>
        <w:tabs>
          <w:tab w:leader="none" w:pos="2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express no opinion in relation to the legality, enforceability or validity of the 2019 EIP or any award agreement entered into pursuant to it. In particular, but without prejudice to the generality of the foregoing, we have assumed that the Shares to be allotted under the 2019 EIP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81" w:lineRule="exact"/>
        <w:rPr>
          <w:rFonts w:ascii="Times New Roman" w:cs="Times New Roman" w:eastAsia="Times New Roman" w:hAnsi="Times New Roman"/>
          <w:sz w:val="20"/>
          <w:szCs w:val="20"/>
          <w:color w:val="auto"/>
        </w:rPr>
      </w:pPr>
    </w:p>
    <w:p>
      <w:pPr>
        <w:ind w:left="2560" w:hanging="516"/>
        <w:spacing w:after="0" w:line="249" w:lineRule="auto"/>
        <w:tabs>
          <w:tab w:leader="none" w:pos="2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award under the 2019 EIP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71" w:lineRule="exact"/>
        <w:rPr>
          <w:rFonts w:ascii="Times New Roman" w:cs="Times New Roman" w:eastAsia="Times New Roman" w:hAnsi="Times New Roman"/>
          <w:sz w:val="20"/>
          <w:szCs w:val="20"/>
          <w:color w:val="auto"/>
        </w:rPr>
      </w:pPr>
    </w:p>
    <w:p>
      <w:pPr>
        <w:jc w:val="both"/>
        <w:ind w:left="2560" w:right="180" w:hanging="516"/>
        <w:spacing w:after="0" w:line="254" w:lineRule="auto"/>
        <w:tabs>
          <w:tab w:leader="none" w:pos="2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139"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We hereby consent to the incorporation by reference in this Registration Statement on Form S-8 of Mereo BioPharma Group plc of our report dated March 26, 2025 relating to the financial statements, which appears in Mereo BioPharma Group plc's Annual Report on Form 10-K for the year ended December 31, 2024.</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Reading, United Kingdom</w:t>
      </w:r>
    </w:p>
    <w:p>
      <w:pPr>
        <w:spacing w:after="0"/>
        <w:rPr>
          <w:sz w:val="20"/>
          <w:szCs w:val="20"/>
          <w:color w:val="auto"/>
        </w:rPr>
      </w:pPr>
      <w:r>
        <w:rPr>
          <w:rFonts w:ascii="Times New Roman" w:cs="Times New Roman" w:eastAsia="Times New Roman" w:hAnsi="Times New Roman"/>
          <w:sz w:val="22"/>
          <w:szCs w:val="22"/>
          <w:color w:val="auto"/>
        </w:rPr>
        <w:t>February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Tables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w:t>
      </w:r>
      <w:r>
        <w:rPr>
          <w:rFonts w:ascii="Times New Roman" w:cs="Times New Roman" w:eastAsia="Times New Roman" w:hAnsi="Times New Roman"/>
          <w:sz w:val="18"/>
          <w:szCs w:val="18"/>
          <w:color w:val="auto"/>
        </w:rPr>
        <w:t xml:space="preserve">ly </w:t>
      </w:r>
      <w:r>
        <w:rPr>
          <w:rFonts w:ascii="Times New Roman" w:cs="Times New Roman" w:eastAsia="Times New Roman" w:hAnsi="Times New Roman"/>
          <w:sz w:val="18"/>
          <w:szCs w:val="18"/>
          <w:u w:val="single" w:color="auto"/>
          <w:color w:val="auto"/>
        </w:rPr>
        <w:t>Registered and Carry Forward Securities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040" w:type="dxa"/>
            <w:vAlign w:val="bottom"/>
            <w:tcBorders>
              <w:top w:val="single" w:sz="8" w:color="auto"/>
              <w:left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60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spacing w:after="0"/>
              <w:rPr>
                <w:sz w:val="20"/>
                <w:szCs w:val="20"/>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2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Security Class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2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 of</w:t>
            </w:r>
          </w:p>
        </w:tc>
      </w:tr>
      <w:tr>
        <w:trPr>
          <w:trHeight w:val="234"/>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Type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Registered (2)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 (4)</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Registration Fee</w:t>
            </w:r>
          </w:p>
        </w:tc>
      </w:tr>
      <w:tr>
        <w:trPr>
          <w:trHeight w:val="5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r>
      <w:tr>
        <w:trPr>
          <w:trHeight w:val="201"/>
        </w:trPr>
        <w:tc>
          <w:tcPr>
            <w:tcW w:w="1040" w:type="dxa"/>
            <w:vAlign w:val="bottom"/>
            <w:tcBorders>
              <w:left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Equity</w:t>
            </w:r>
          </w:p>
        </w:tc>
        <w:tc>
          <w:tcPr>
            <w:tcW w:w="1480" w:type="dxa"/>
            <w:vAlign w:val="bottom"/>
            <w:tcBorders>
              <w:right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color w:val="auto"/>
              </w:rPr>
              <w:t>Ordinary shares,</w:t>
            </w:r>
          </w:p>
        </w:tc>
        <w:tc>
          <w:tcPr>
            <w:tcW w:w="12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nominal value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£0.003 per share</w:t>
            </w:r>
          </w:p>
        </w:tc>
        <w:tc>
          <w:tcPr>
            <w:tcW w:w="12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and Rule</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$ 138.10 per</w:t>
            </w:r>
          </w:p>
        </w:tc>
        <w:tc>
          <w:tcPr>
            <w:tcW w:w="1660" w:type="dxa"/>
            <w:vAlign w:val="bottom"/>
            <w:tcBorders>
              <w:right w:val="single" w:sz="8" w:color="auto"/>
            </w:tcBorders>
          </w:tcPr>
          <w:p>
            <w:pPr>
              <w:spacing w:after="0"/>
              <w:rPr>
                <w:sz w:val="18"/>
                <w:szCs w:val="18"/>
                <w:color w:val="auto"/>
              </w:rPr>
            </w:pPr>
          </w:p>
        </w:tc>
      </w:tr>
      <w:tr>
        <w:trPr>
          <w:trHeight w:val="234"/>
        </w:trPr>
        <w:tc>
          <w:tcPr>
            <w:tcW w:w="104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457(h)(1)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42,249,466 (3)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$4,224,946.60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$583.47</w:t>
            </w: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1040" w:type="dxa"/>
            <w:vAlign w:val="bottom"/>
            <w:tcBorders>
              <w:left w:val="single" w:sz="8" w:color="auto"/>
            </w:tcBorders>
          </w:tcPr>
          <w:p>
            <w:pPr>
              <w:spacing w:after="0"/>
              <w:rPr>
                <w:sz w:val="20"/>
                <w:szCs w:val="20"/>
                <w:color w:val="auto"/>
              </w:rPr>
            </w:pPr>
          </w:p>
        </w:tc>
        <w:tc>
          <w:tcPr>
            <w:tcW w:w="27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$4,224,946.60</w:t>
            </w:r>
          </w:p>
        </w:tc>
        <w:tc>
          <w:tcPr>
            <w:tcW w:w="12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$583.47</w:t>
            </w: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1040" w:type="dxa"/>
            <w:vAlign w:val="bottom"/>
            <w:tcBorders>
              <w:left w:val="single" w:sz="8" w:color="auto"/>
            </w:tcBorders>
          </w:tcPr>
          <w:p>
            <w:pPr>
              <w:spacing w:after="0"/>
              <w:rPr>
                <w:sz w:val="20"/>
                <w:szCs w:val="20"/>
                <w:color w:val="auto"/>
              </w:rPr>
            </w:pPr>
          </w:p>
        </w:tc>
        <w:tc>
          <w:tcPr>
            <w:tcW w:w="27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Total Fee Offsets</w:t>
            </w: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7"/>
        </w:trPr>
        <w:tc>
          <w:tcPr>
            <w:tcW w:w="1040" w:type="dxa"/>
            <w:vAlign w:val="bottom"/>
            <w:tcBorders>
              <w:left w:val="single" w:sz="8" w:color="auto"/>
            </w:tcBorders>
          </w:tcPr>
          <w:p>
            <w:pPr>
              <w:spacing w:after="0"/>
              <w:rPr>
                <w:sz w:val="20"/>
                <w:szCs w:val="20"/>
                <w:color w:val="auto"/>
              </w:rPr>
            </w:pPr>
          </w:p>
        </w:tc>
        <w:tc>
          <w:tcPr>
            <w:tcW w:w="27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8"/>
              </w:rPr>
              <w:t>Net Fee Due</w:t>
            </w: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$583.47</w:t>
            </w: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60" w:hanging="452"/>
        <w:spacing w:after="0" w:line="261" w:lineRule="auto"/>
        <w:tabs>
          <w:tab w:leader="none" w:pos="3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par value £0.003 per share (the “Ordinary Shares”) of Mereo BioPharma Group plc (the “Company”) registered hereunder may be represented by the Company’s American Depositary Shares (“ADSs”), with each ADS representing five Ordinary Shares. The Company’s ADSs issuable upon deposit of the ordinary shares have been registered under separate registration statements on Form F-6 (333-223890, 333-249338 and 333-258824).</w:t>
      </w:r>
    </w:p>
    <w:p>
      <w:pPr>
        <w:spacing w:after="0" w:line="71" w:lineRule="exact"/>
        <w:rPr>
          <w:rFonts w:ascii="Times New Roman" w:cs="Times New Roman" w:eastAsia="Times New Roman" w:hAnsi="Times New Roman"/>
          <w:sz w:val="18"/>
          <w:szCs w:val="18"/>
          <w:color w:val="auto"/>
        </w:rPr>
      </w:pPr>
    </w:p>
    <w:p>
      <w:pPr>
        <w:ind w:left="460" w:right="20" w:hanging="452"/>
        <w:spacing w:after="0" w:line="266"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is deemed to cover an indeterminate number of additional Ordinary Shares that may be offered or issued pursuant to the Plans to prevent dilution resulting from any share dividend, share split or other similar transaction.</w:t>
      </w:r>
    </w:p>
    <w:p>
      <w:pPr>
        <w:spacing w:after="0" w:line="67" w:lineRule="exact"/>
        <w:rPr>
          <w:rFonts w:ascii="Times New Roman" w:cs="Times New Roman" w:eastAsia="Times New Roman" w:hAnsi="Times New Roman"/>
          <w:sz w:val="18"/>
          <w:szCs w:val="18"/>
          <w:color w:val="auto"/>
        </w:rPr>
      </w:pPr>
    </w:p>
    <w:p>
      <w:pPr>
        <w:ind w:left="460" w:hanging="452"/>
        <w:spacing w:after="0" w:line="261"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Ordinary Shares issuable pursuant to the Mereo BioPharma Group plc 2019 Equity Incentive Plan, as amended on February 13, 2020 and January 15, 2021, and the Mereo BioPharma Group plc 2019 Non-Employee Equity Incentive Plan, as amended on February 13, 2020 and January 15, 2021 (collectively, the “Plans”), and (ii) Ordinary Shares issuable upon vesting of restricted stock units and performance awards granted to employees and executives pursuant to and in accordance with the Plans.</w:t>
      </w:r>
    </w:p>
    <w:p>
      <w:pPr>
        <w:spacing w:after="0" w:line="71" w:lineRule="exact"/>
        <w:rPr>
          <w:rFonts w:ascii="Times New Roman" w:cs="Times New Roman" w:eastAsia="Times New Roman" w:hAnsi="Times New Roman"/>
          <w:sz w:val="18"/>
          <w:szCs w:val="18"/>
          <w:color w:val="auto"/>
        </w:rPr>
      </w:pPr>
    </w:p>
    <w:p>
      <w:pPr>
        <w:ind w:left="460" w:hanging="452"/>
        <w:spacing w:after="0" w:line="266"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solely for the purpose of calculating the registration fee pursuant to Rule 457(c) and 457(h) under the Securities Act on the basis of $0.50, the average high and low sale price of the ADSs on the Nasdaq Capital Market on January 26, 2026 divided by five to reflect the Ordinary Share to ADS ratio.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DOCVARIABLE #DNDocID \* MERGEFORMAT 777265735.1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
    <w:nsid w:val="1220085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
    <w:nsid w:val="4DB127F8"/>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99"/>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2"/>
    </w:lvl>
    <w:lvl w:ilvl="1">
      <w:lvlJc w:val="left"/>
      <w:lvlText w:val="%2."/>
      <w:numFmt w:val="lowerLetter"/>
      <w:start w:val="1"/>
    </w:lvl>
  </w:abstractNum>
  <w:abstractNum w:abstractNumId="7">
    <w:nsid w:val="140E0F76"/>
    <w:multiLevelType w:val="hybridMultilevel"/>
    <w:lvl w:ilvl="0">
      <w:lvlJc w:val="left"/>
      <w:lvlText w:val="%1."/>
      <w:numFmt w:val="lowerLetter"/>
      <w:start w:val="7"/>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9"/>
    </w:lvl>
  </w:abstractNum>
  <w:abstractNum w:abstractNumId="10">
    <w:nsid w:val="DED7263"/>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abstractNum>
  <w:abstractNum w:abstractNumId="11">
    <w:nsid w:val="7FDCC233"/>
    <w:multiLevelType w:val="hybridMultilevel"/>
    <w:lvl w:ilvl="0">
      <w:lvlJc w:val="left"/>
      <w:lvlText w:val="%1)"/>
      <w:numFmt w:val="lowerLetter"/>
      <w:start w:val="9"/>
    </w:lvl>
  </w:abstractNum>
  <w:abstractNum w:abstractNumId="12">
    <w:nsid w:val="1BEFD79F"/>
    <w:multiLevelType w:val="hybridMultilevel"/>
    <w:lvl w:ilvl="0">
      <w:lvlJc w:val="left"/>
      <w:lvlText w:val="%1)"/>
      <w:numFmt w:val="lowerLetter"/>
      <w:start w:val="18"/>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jpe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17" Type="http://schemas.openxmlformats.org/officeDocument/2006/relationships/hyperlink" Target="https://www.sec.gov/ix?doc=/Archives/edgar/data/0001719714/000095017025044787/mreo-20241231.htm" TargetMode="External"/><Relationship Id="rId18" Type="http://schemas.openxmlformats.org/officeDocument/2006/relationships/hyperlink" Target="https://www.sec.gov/ix?doc=/Archives/edgar/data/0001719714/000095017025069816/mreo-20250331.htm" TargetMode="External"/><Relationship Id="rId19" Type="http://schemas.openxmlformats.org/officeDocument/2006/relationships/hyperlink" Target="https://www.sec.gov/ix?doc=/Archives/edgar/data/0001719714/000119312525274272/mreo-20250930.htm" TargetMode="External"/><Relationship Id="rId20" Type="http://schemas.openxmlformats.org/officeDocument/2006/relationships/hyperlink" Target="https://www.sec.gov/ix?doc=/Archives/edgar/data/0001719714/000119312526009829/mreo-20260112.htm" TargetMode="External"/><Relationship Id="rId21" Type="http://schemas.openxmlformats.org/officeDocument/2006/relationships/hyperlink" Target="https://www.sec.gov/Archives/edgar/data/1719714/000119312518111700/d566514d8a12b.htm" TargetMode="External"/><Relationship Id="rId22" Type="http://schemas.openxmlformats.org/officeDocument/2006/relationships/hyperlink" Target="https://www.sec.gov/Archives/edgar/data/1719714/000095017024037348/mreo-ex4_2.htm" TargetMode="External"/><Relationship Id="rId24" Type="http://schemas.openxmlformats.org/officeDocument/2006/relationships/hyperlink" Target="https://www.sec.gov/Archives/edgar/data/1719714/000119312523297624/d677335dex31.htm" TargetMode="External"/><Relationship Id="rId25" Type="http://schemas.openxmlformats.org/officeDocument/2006/relationships/hyperlink" Target="https://www.sec.gov/Archives/edgar/data/1719714/000119312521010098/d35302dex991.htm" TargetMode="External"/><Relationship Id="rId26" Type="http://schemas.openxmlformats.org/officeDocument/2006/relationships/hyperlink" Target="https://www.sec.gov/Archives/edgar/data/1719714/000119312524012995/d735625dex43.htm" TargetMode="External"/><Relationship Id="rId27" Type="http://schemas.openxmlformats.org/officeDocument/2006/relationships/hyperlink" Target="https://www.sec.gov/Archives/edgar/data/1719714/000119312523014256/d421215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2026-02-02T16:07:51Z</dcterms:created>
  <dcterms:modified xsi:type="dcterms:W3CDTF">2026-02-02T16:07:51Z</dcterms:modified>
</cp:coreProperties>
</file>