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4) *</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American Depositary Share, each representing five 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2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09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ind w:left="260"/>
        <w:spacing w:after="0" w:line="190" w:lineRule="auto"/>
        <w:rPr>
          <w:sz w:val="20"/>
          <w:szCs w:val="20"/>
          <w:color w:val="auto"/>
        </w:rPr>
      </w:pPr>
      <w:r>
        <w:rPr>
          <w:rFonts w:ascii="Arial" w:cs="Arial" w:eastAsia="Arial" w:hAnsi="Arial"/>
          <w:sz w:val="12"/>
          <w:szCs w:val="12"/>
          <w:b w:val="1"/>
          <w:bCs w:val="1"/>
          <w:color w:val="auto"/>
        </w:rPr>
        <w:t>1</w:t>
      </w:r>
    </w:p>
    <w:p>
      <w:pPr>
        <w:ind w:left="740"/>
        <w:spacing w:after="0"/>
        <w:rPr>
          <w:sz w:val="20"/>
          <w:szCs w:val="20"/>
          <w:color w:val="auto"/>
        </w:rPr>
      </w:pPr>
      <w:r>
        <w:rPr>
          <w:rFonts w:ascii="Arial" w:cs="Arial" w:eastAsia="Arial" w:hAnsi="Arial"/>
          <w:sz w:val="18"/>
          <w:szCs w:val="18"/>
          <w:b w:val="1"/>
          <w:bCs w:val="1"/>
          <w:color w:val="auto"/>
        </w:rPr>
        <w:t>Vivo Capital IX, LLC</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260"/>
        <w:spacing w:after="0" w:line="207" w:lineRule="exact"/>
        <w:tabs>
          <w:tab w:leader="none" w:pos="720" w:val="left"/>
          <w:tab w:leader="none" w:pos="12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ind w:left="1280" w:hanging="532"/>
        <w:spacing w:after="0" w:line="207" w:lineRule="exact"/>
        <w:tabs>
          <w:tab w:leader="none" w:pos="1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700" w:hanging="440"/>
        <w:spacing w:after="0" w:line="191" w:lineRule="auto"/>
        <w:tabs>
          <w:tab w:leader="none" w:pos="700" w:val="left"/>
        </w:tabs>
        <w:numPr>
          <w:ilvl w:val="0"/>
          <w:numId w:val="6"/>
        </w:numPr>
        <w:rPr>
          <w:rFonts w:ascii="Arial" w:cs="Arial" w:eastAsia="Arial" w:hAnsi="Arial"/>
          <w:sz w:val="28"/>
          <w:szCs w:val="28"/>
          <w:b w:val="1"/>
          <w:bCs w:val="1"/>
          <w:color w:val="auto"/>
          <w:vertAlign w:val="subscript"/>
        </w:rPr>
      </w:pPr>
      <w:r>
        <w:rPr>
          <w:rFonts w:ascii="Arial" w:cs="Arial" w:eastAsia="Arial" w:hAnsi="Arial"/>
          <w:sz w:val="15"/>
          <w:szCs w:val="15"/>
          <w:color w:val="auto"/>
        </w:rPr>
        <w:t>SEC USE ONLY</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3840" w:type="dxa"/>
            <w:vAlign w:val="bottom"/>
          </w:tcPr>
          <w:p>
            <w:pPr>
              <w:ind w:left="180"/>
              <w:spacing w:after="0"/>
              <w:rPr>
                <w:sz w:val="20"/>
                <w:szCs w:val="20"/>
                <w:color w:val="auto"/>
              </w:rPr>
            </w:pPr>
            <w:r>
              <w:rPr>
                <w:rFonts w:ascii="Arial" w:cs="Arial" w:eastAsia="Arial" w:hAnsi="Arial"/>
                <w:sz w:val="18"/>
                <w:szCs w:val="18"/>
                <w:color w:val="auto"/>
                <w:w w:val="95"/>
              </w:rPr>
              <w:t>CITIZENSHIP OR PLACE OF ORGANIZATION</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38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9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9"/>
              </w:rPr>
              <w:t>839,435</w:t>
            </w:r>
          </w:p>
        </w:tc>
        <w:tc>
          <w:tcPr>
            <w:tcW w:w="8360" w:type="dxa"/>
            <w:vAlign w:val="bottom"/>
            <w:vMerge w:val="restart"/>
          </w:tcPr>
          <w:p>
            <w:pPr>
              <w:jc w:val="right"/>
              <w:ind w:right="808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43"/>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40" w:type="dxa"/>
            <w:vAlign w:val="bottom"/>
            <w:tcBorders>
              <w:right w:val="single" w:sz="8" w:color="auto"/>
            </w:tcBorders>
            <w:vMerge w:val="continue"/>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916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9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4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vMerge w:val="continue"/>
          </w:tcPr>
          <w:p>
            <w:pPr>
              <w:spacing w:after="0"/>
              <w:rPr>
                <w:sz w:val="3"/>
                <w:szCs w:val="3"/>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8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right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540" w:type="dxa"/>
            <w:vAlign w:val="bottom"/>
            <w:tcBorders>
              <w:right w:val="single" w:sz="8" w:color="auto"/>
            </w:tcBorders>
            <w:vMerge w:val="continue"/>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916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9"/>
              </w:rPr>
              <w:t>839,435</w:t>
            </w:r>
          </w:p>
        </w:tc>
        <w:tc>
          <w:tcPr>
            <w:tcW w:w="8360" w:type="dxa"/>
            <w:vAlign w:val="bottom"/>
            <w:vMerge w:val="restart"/>
          </w:tcPr>
          <w:p>
            <w:pPr>
              <w:jc w:val="right"/>
              <w:ind w:right="808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29"/>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w:t>
            </w:r>
          </w:p>
        </w:tc>
        <w:tc>
          <w:tcPr>
            <w:tcW w:w="5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3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916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4"/>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9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8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8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ind w:left="700"/>
        <w:spacing w:after="0" w:line="184" w:lineRule="auto"/>
        <w:rPr>
          <w:sz w:val="20"/>
          <w:szCs w:val="20"/>
          <w:color w:val="auto"/>
        </w:rPr>
      </w:pPr>
      <w:r>
        <w:rPr>
          <w:rFonts w:ascii="Arial" w:cs="Arial" w:eastAsia="Arial" w:hAnsi="Arial"/>
          <w:sz w:val="17"/>
          <w:szCs w:val="17"/>
          <w:color w:val="auto"/>
        </w:rPr>
        <w:t>AGGREGATE AMOUNT BENEFICIALLY OWNED BY EACH REPORTING PERSON</w:t>
      </w:r>
    </w:p>
    <w:p>
      <w:pPr>
        <w:ind w:left="260"/>
        <w:spacing w:after="0" w:line="186" w:lineRule="auto"/>
        <w:rPr>
          <w:sz w:val="20"/>
          <w:szCs w:val="20"/>
          <w:color w:val="auto"/>
        </w:rPr>
      </w:pPr>
      <w:r>
        <w:rPr>
          <w:rFonts w:ascii="Arial" w:cs="Arial" w:eastAsia="Arial" w:hAnsi="Arial"/>
          <w:sz w:val="18"/>
          <w:szCs w:val="18"/>
          <w:b w:val="1"/>
          <w:bCs w:val="1"/>
          <w:color w:val="auto"/>
        </w:rPr>
        <w:t>9</w:t>
      </w:r>
    </w:p>
    <w:p>
      <w:pPr>
        <w:ind w:left="700"/>
        <w:spacing w:after="0" w:line="182" w:lineRule="auto"/>
        <w:rPr>
          <w:sz w:val="20"/>
          <w:szCs w:val="20"/>
          <w:color w:val="auto"/>
        </w:rPr>
      </w:pPr>
      <w:r>
        <w:rPr>
          <w:rFonts w:ascii="Arial" w:cs="Arial" w:eastAsia="Arial" w:hAnsi="Arial"/>
          <w:sz w:val="17"/>
          <w:szCs w:val="17"/>
          <w:b w:val="1"/>
          <w:bCs w:val="1"/>
          <w:color w:val="auto"/>
        </w:rPr>
        <w:t xml:space="preserve">839,435 </w:t>
      </w:r>
      <w:r>
        <w:rPr>
          <w:rFonts w:ascii="Arial" w:cs="Arial" w:eastAsia="Arial" w:hAnsi="Arial"/>
          <w:sz w:val="28"/>
          <w:szCs w:val="28"/>
          <w:b w:val="1"/>
          <w:bCs w:val="1"/>
          <w:color w:val="auto"/>
          <w:vertAlign w:val="superscript"/>
        </w:rPr>
        <w:t>(1)</w:t>
      </w:r>
    </w:p>
    <w:p>
      <w:pPr>
        <w:sectPr>
          <w:pgSz w:w="11900" w:h="16838" w:orient="portrait"/>
          <w:cols w:equalWidth="0" w:num="1">
            <w:col w:w="11240"/>
          </w:cols>
          <w:pgMar w:left="320" w:top="935" w:right="339" w:bottom="1440" w:gutter="0" w:footer="0" w:header="0"/>
        </w:sectPr>
      </w:pPr>
    </w:p>
    <w:p>
      <w:pPr>
        <w:spacing w:after="0" w:line="1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BOX IF THE AGGREGATE AMOUNT IN ROW (9) EXCLUDES CERTAIN SHARES (See Instructions)</w:t>
      </w:r>
    </w:p>
    <w:p>
      <w:pPr>
        <w:spacing w:after="0" w:line="2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sectPr>
          <w:pgSz w:w="11900" w:h="16838" w:orient="portrait"/>
          <w:cols w:equalWidth="0" w:num="2">
            <w:col w:w="400" w:space="300"/>
            <w:col w:w="10540"/>
          </w:cols>
          <w:pgMar w:left="320" w:top="935" w:right="33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ind w:left="220"/>
        <w:spacing w:after="0" w:line="194" w:lineRule="auto"/>
        <w:rPr>
          <w:sz w:val="20"/>
          <w:szCs w:val="20"/>
          <w:color w:val="auto"/>
        </w:rPr>
      </w:pPr>
      <w:r>
        <w:rPr>
          <w:rFonts w:ascii="Arial" w:cs="Arial" w:eastAsia="Arial" w:hAnsi="Arial"/>
          <w:sz w:val="13"/>
          <w:szCs w:val="13"/>
          <w:b w:val="1"/>
          <w:bCs w:val="1"/>
          <w:color w:val="auto"/>
        </w:rPr>
        <w:t>11</w:t>
      </w:r>
    </w:p>
    <w:p>
      <w:pPr>
        <w:ind w:left="700"/>
        <w:spacing w:after="0" w:line="204" w:lineRule="auto"/>
        <w:rPr>
          <w:sz w:val="20"/>
          <w:szCs w:val="20"/>
          <w:color w:val="auto"/>
        </w:rPr>
      </w:pPr>
      <w:r>
        <w:rPr>
          <w:rFonts w:ascii="Arial" w:cs="Arial" w:eastAsia="Arial" w:hAnsi="Arial"/>
          <w:sz w:val="18"/>
          <w:szCs w:val="18"/>
          <w:b w:val="1"/>
          <w:bCs w:val="1"/>
          <w:color w:val="auto"/>
        </w:rPr>
        <w:t xml:space="preserve">0.7% </w:t>
      </w:r>
      <w:r>
        <w:rPr>
          <w:rFonts w:ascii="Arial" w:cs="Arial" w:eastAsia="Arial" w:hAnsi="Arial"/>
          <w:sz w:val="29"/>
          <w:szCs w:val="29"/>
          <w:b w:val="1"/>
          <w:bCs w:val="1"/>
          <w:color w:val="auto"/>
          <w:vertAlign w:val="superscript"/>
        </w:rPr>
        <w:t>(2)</w:t>
      </w:r>
    </w:p>
    <w:p>
      <w:pPr>
        <w:ind w:left="700"/>
        <w:spacing w:after="0" w:line="186" w:lineRule="auto"/>
        <w:rPr>
          <w:sz w:val="20"/>
          <w:szCs w:val="20"/>
          <w:color w:val="auto"/>
        </w:rPr>
      </w:pPr>
      <w:r>
        <w:rPr>
          <w:rFonts w:ascii="Arial" w:cs="Arial" w:eastAsia="Arial" w:hAnsi="Arial"/>
          <w:sz w:val="18"/>
          <w:szCs w:val="18"/>
          <w:color w:val="auto"/>
        </w:rPr>
        <w:t>TYPE OF REPORTING PERSON (See Instructions)</w:t>
      </w:r>
    </w:p>
    <w:p>
      <w:pPr>
        <w:ind w:left="220"/>
        <w:spacing w:after="0" w:line="191" w:lineRule="auto"/>
        <w:rPr>
          <w:sz w:val="20"/>
          <w:szCs w:val="20"/>
          <w:color w:val="auto"/>
        </w:rPr>
      </w:pPr>
      <w:r>
        <w:rPr>
          <w:rFonts w:ascii="Arial" w:cs="Arial" w:eastAsia="Arial" w:hAnsi="Arial"/>
          <w:sz w:val="12"/>
          <w:szCs w:val="12"/>
          <w:b w:val="1"/>
          <w:bCs w:val="1"/>
          <w:color w:val="auto"/>
        </w:rPr>
        <w:t>12</w:t>
      </w:r>
    </w:p>
    <w:p>
      <w:pPr>
        <w:ind w:left="740"/>
        <w:spacing w:after="0"/>
        <w:rPr>
          <w:sz w:val="20"/>
          <w:szCs w:val="20"/>
          <w:color w:val="auto"/>
        </w:rPr>
      </w:pPr>
      <w:r>
        <w:rPr>
          <w:rFonts w:ascii="Arial" w:cs="Arial" w:eastAsia="Arial" w:hAnsi="Arial"/>
          <w:sz w:val="18"/>
          <w:szCs w:val="18"/>
          <w:b w:val="1"/>
          <w:bCs w:val="1"/>
          <w:color w:val="auto"/>
        </w:rPr>
        <w:t>OO</w:t>
      </w:r>
    </w:p>
    <w:p>
      <w:pPr>
        <w:spacing w:after="0" w:line="236" w:lineRule="exact"/>
        <w:rPr>
          <w:sz w:val="20"/>
          <w:szCs w:val="20"/>
          <w:color w:val="auto"/>
        </w:rPr>
      </w:pPr>
    </w:p>
    <w:p>
      <w:pPr>
        <w:ind w:left="340" w:right="80" w:hanging="332"/>
        <w:spacing w:after="0" w:line="219" w:lineRule="auto"/>
        <w:tabs>
          <w:tab w:leader="none" w:pos="34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The number represents 839,435 American Depositary Shares (“ADS”) of Mereo BioPharma Group plc (the “Issuer”), with each ADS representing 5 ordinary shares, nominal value £0.003 per share (the “Ordinary Share”) of the Issuer, issuable upon exercise of certain warrants. The warrants are held of record by Vivo Capital Fund IX, L.P. Vivo Capital IX, LLC is the general partner of Vivo Capital Fund IX, L.P.</w:t>
      </w:r>
    </w:p>
    <w:p>
      <w:pPr>
        <w:spacing w:after="0" w:line="1" w:lineRule="exact"/>
        <w:rPr>
          <w:rFonts w:ascii="Arial" w:cs="Arial" w:eastAsia="Arial" w:hAnsi="Arial"/>
          <w:sz w:val="29"/>
          <w:szCs w:val="29"/>
          <w:color w:val="auto"/>
          <w:vertAlign w:val="superscript"/>
        </w:rPr>
      </w:pPr>
    </w:p>
    <w:p>
      <w:pPr>
        <w:ind w:left="340" w:right="200" w:hanging="332"/>
        <w:spacing w:after="0" w:line="20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Based on (i)116,778,489 ADSs of the Issuer outstanding as of June 30, 2022, as disclosed in the Issuer’s 6-K, filed with the Securities and Exchange Commission (the “SEC”) on November 2, 2022 and (ii) 839,435 ADSs, issuable upon exercise of certain warrants held of records by Vivo Capital Fund IX, L.P.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097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ind w:left="260"/>
        <w:spacing w:after="0" w:line="190" w:lineRule="auto"/>
        <w:rPr>
          <w:sz w:val="20"/>
          <w:szCs w:val="20"/>
          <w:color w:val="auto"/>
        </w:rPr>
      </w:pPr>
      <w:r>
        <w:rPr>
          <w:rFonts w:ascii="Arial" w:cs="Arial" w:eastAsia="Arial" w:hAnsi="Arial"/>
          <w:sz w:val="12"/>
          <w:szCs w:val="12"/>
          <w:b w:val="1"/>
          <w:bCs w:val="1"/>
          <w:color w:val="auto"/>
        </w:rPr>
        <w:t>1</w:t>
      </w:r>
    </w:p>
    <w:p>
      <w:pPr>
        <w:ind w:left="740"/>
        <w:spacing w:after="0"/>
        <w:rPr>
          <w:sz w:val="20"/>
          <w:szCs w:val="20"/>
          <w:color w:val="auto"/>
        </w:rPr>
      </w:pPr>
      <w:r>
        <w:rPr>
          <w:rFonts w:ascii="Arial" w:cs="Arial" w:eastAsia="Arial" w:hAnsi="Arial"/>
          <w:sz w:val="18"/>
          <w:szCs w:val="18"/>
          <w:b w:val="1"/>
          <w:bCs w:val="1"/>
          <w:color w:val="auto"/>
        </w:rPr>
        <w:t>Vivo Opportunity, LLC</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260"/>
        <w:spacing w:after="0" w:line="207" w:lineRule="exact"/>
        <w:tabs>
          <w:tab w:leader="none" w:pos="720" w:val="left"/>
          <w:tab w:leader="none" w:pos="12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ind w:left="1280" w:hanging="532"/>
        <w:spacing w:after="0" w:line="207" w:lineRule="exact"/>
        <w:tabs>
          <w:tab w:leader="none" w:pos="12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700" w:hanging="440"/>
        <w:spacing w:after="0" w:line="191" w:lineRule="auto"/>
        <w:tabs>
          <w:tab w:leader="none" w:pos="700" w:val="left"/>
        </w:tabs>
        <w:numPr>
          <w:ilvl w:val="0"/>
          <w:numId w:val="9"/>
        </w:numPr>
        <w:rPr>
          <w:rFonts w:ascii="Arial" w:cs="Arial" w:eastAsia="Arial" w:hAnsi="Arial"/>
          <w:sz w:val="28"/>
          <w:szCs w:val="28"/>
          <w:b w:val="1"/>
          <w:bCs w:val="1"/>
          <w:color w:val="auto"/>
          <w:vertAlign w:val="subscript"/>
        </w:rPr>
      </w:pPr>
      <w:r>
        <w:rPr>
          <w:rFonts w:ascii="Arial" w:cs="Arial" w:eastAsia="Arial" w:hAnsi="Arial"/>
          <w:sz w:val="15"/>
          <w:szCs w:val="15"/>
          <w:color w:val="auto"/>
        </w:rPr>
        <w:t>SEC USE ONLY</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3840" w:type="dxa"/>
            <w:vAlign w:val="bottom"/>
          </w:tcPr>
          <w:p>
            <w:pPr>
              <w:ind w:left="180"/>
              <w:spacing w:after="0"/>
              <w:rPr>
                <w:sz w:val="20"/>
                <w:szCs w:val="20"/>
                <w:color w:val="auto"/>
              </w:rPr>
            </w:pPr>
            <w:r>
              <w:rPr>
                <w:rFonts w:ascii="Arial" w:cs="Arial" w:eastAsia="Arial" w:hAnsi="Arial"/>
                <w:sz w:val="18"/>
                <w:szCs w:val="18"/>
                <w:color w:val="auto"/>
                <w:w w:val="95"/>
              </w:rPr>
              <w:t>CITIZENSHIP OR PLACE OF ORGANIZATION</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38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5</w:t>
            </w:r>
          </w:p>
        </w:tc>
        <w:tc>
          <w:tcPr>
            <w:tcW w:w="9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9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9"/>
              </w:rPr>
              <w:t>3,761,947</w:t>
            </w:r>
          </w:p>
        </w:tc>
        <w:tc>
          <w:tcPr>
            <w:tcW w:w="8220" w:type="dxa"/>
            <w:vAlign w:val="bottom"/>
            <w:vMerge w:val="restart"/>
          </w:tcPr>
          <w:p>
            <w:pPr>
              <w:jc w:val="right"/>
              <w:ind w:right="794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43"/>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40" w:type="dxa"/>
            <w:vAlign w:val="bottom"/>
            <w:tcBorders>
              <w:right w:val="single" w:sz="8" w:color="auto"/>
            </w:tcBorders>
            <w:vMerge w:val="continue"/>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916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6</w:t>
            </w:r>
          </w:p>
        </w:tc>
        <w:tc>
          <w:tcPr>
            <w:tcW w:w="9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4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vMerge w:val="continue"/>
          </w:tcPr>
          <w:p>
            <w:pPr>
              <w:spacing w:after="0"/>
              <w:rPr>
                <w:sz w:val="3"/>
                <w:szCs w:val="3"/>
                <w:color w:val="auto"/>
              </w:rPr>
            </w:pPr>
          </w:p>
        </w:tc>
        <w:tc>
          <w:tcPr>
            <w:tcW w:w="9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8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right w:val="single" w:sz="8" w:color="auto"/>
            </w:tcBorders>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540" w:type="dxa"/>
            <w:vAlign w:val="bottom"/>
            <w:tcBorders>
              <w:right w:val="single" w:sz="8" w:color="auto"/>
            </w:tcBorders>
            <w:vMerge w:val="continue"/>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916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18"/>
                <w:szCs w:val="18"/>
                <w:color w:val="auto"/>
              </w:rPr>
            </w:pPr>
          </w:p>
        </w:tc>
        <w:tc>
          <w:tcPr>
            <w:tcW w:w="94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9"/>
              </w:rPr>
              <w:t>3,761,947</w:t>
            </w:r>
          </w:p>
        </w:tc>
        <w:tc>
          <w:tcPr>
            <w:tcW w:w="8220" w:type="dxa"/>
            <w:vAlign w:val="bottom"/>
            <w:vMerge w:val="restart"/>
          </w:tcPr>
          <w:p>
            <w:pPr>
              <w:jc w:val="right"/>
              <w:ind w:right="794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29"/>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w:t>
            </w:r>
          </w:p>
        </w:tc>
        <w:tc>
          <w:tcPr>
            <w:tcW w:w="54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916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4"/>
        </w:trPr>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5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9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9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8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ind w:left="700"/>
        <w:spacing w:after="0" w:line="184" w:lineRule="auto"/>
        <w:rPr>
          <w:sz w:val="20"/>
          <w:szCs w:val="20"/>
          <w:color w:val="auto"/>
        </w:rPr>
      </w:pPr>
      <w:r>
        <w:rPr>
          <w:rFonts w:ascii="Arial" w:cs="Arial" w:eastAsia="Arial" w:hAnsi="Arial"/>
          <w:sz w:val="17"/>
          <w:szCs w:val="17"/>
          <w:color w:val="auto"/>
        </w:rPr>
        <w:t>AGGREGATE AMOUNT BENEFICIALLY OWNED BY EACH REPORTING PERSON</w:t>
      </w:r>
    </w:p>
    <w:p>
      <w:pPr>
        <w:ind w:left="260"/>
        <w:spacing w:after="0" w:line="186" w:lineRule="auto"/>
        <w:rPr>
          <w:sz w:val="20"/>
          <w:szCs w:val="20"/>
          <w:color w:val="auto"/>
        </w:rPr>
      </w:pPr>
      <w:r>
        <w:rPr>
          <w:rFonts w:ascii="Arial" w:cs="Arial" w:eastAsia="Arial" w:hAnsi="Arial"/>
          <w:sz w:val="18"/>
          <w:szCs w:val="18"/>
          <w:b w:val="1"/>
          <w:bCs w:val="1"/>
          <w:color w:val="auto"/>
        </w:rPr>
        <w:t>9</w:t>
      </w:r>
    </w:p>
    <w:p>
      <w:pPr>
        <w:ind w:left="700"/>
        <w:spacing w:after="0" w:line="182" w:lineRule="auto"/>
        <w:rPr>
          <w:sz w:val="20"/>
          <w:szCs w:val="20"/>
          <w:color w:val="auto"/>
        </w:rPr>
      </w:pPr>
      <w:r>
        <w:rPr>
          <w:rFonts w:ascii="Arial" w:cs="Arial" w:eastAsia="Arial" w:hAnsi="Arial"/>
          <w:sz w:val="17"/>
          <w:szCs w:val="17"/>
          <w:b w:val="1"/>
          <w:bCs w:val="1"/>
          <w:color w:val="auto"/>
        </w:rPr>
        <w:t xml:space="preserve">3,761,947 </w:t>
      </w:r>
      <w:r>
        <w:rPr>
          <w:rFonts w:ascii="Arial" w:cs="Arial" w:eastAsia="Arial" w:hAnsi="Arial"/>
          <w:sz w:val="28"/>
          <w:szCs w:val="28"/>
          <w:b w:val="1"/>
          <w:bCs w:val="1"/>
          <w:color w:val="auto"/>
          <w:vertAlign w:val="superscript"/>
        </w:rPr>
        <w:t>(1)</w:t>
      </w:r>
    </w:p>
    <w:p>
      <w:pPr>
        <w:sectPr>
          <w:pgSz w:w="11900" w:h="16838" w:orient="portrait"/>
          <w:cols w:equalWidth="0" w:num="1">
            <w:col w:w="11240"/>
          </w:cols>
          <w:pgMar w:left="320" w:top="908" w:right="339" w:bottom="1440" w:gutter="0" w:footer="0" w:header="0"/>
        </w:sectPr>
      </w:pPr>
    </w:p>
    <w:p>
      <w:pPr>
        <w:spacing w:after="0" w:line="1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BOX IF THE AGGREGATE AMOUNT IN ROW (9) EXCLUDES CERTAIN SHARES (See Instructions)</w:t>
      </w:r>
    </w:p>
    <w:p>
      <w:pPr>
        <w:spacing w:after="0" w:line="26"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sectPr>
          <w:pgSz w:w="11900" w:h="16838" w:orient="portrait"/>
          <w:cols w:equalWidth="0" w:num="2">
            <w:col w:w="400" w:space="300"/>
            <w:col w:w="10540"/>
          </w:cols>
          <w:pgMar w:left="320" w:top="908" w:right="33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ind w:left="220"/>
        <w:spacing w:after="0" w:line="194" w:lineRule="auto"/>
        <w:rPr>
          <w:sz w:val="20"/>
          <w:szCs w:val="20"/>
          <w:color w:val="auto"/>
        </w:rPr>
      </w:pPr>
      <w:r>
        <w:rPr>
          <w:rFonts w:ascii="Arial" w:cs="Arial" w:eastAsia="Arial" w:hAnsi="Arial"/>
          <w:sz w:val="13"/>
          <w:szCs w:val="13"/>
          <w:b w:val="1"/>
          <w:bCs w:val="1"/>
          <w:color w:val="auto"/>
        </w:rPr>
        <w:t>11</w:t>
      </w:r>
    </w:p>
    <w:p>
      <w:pPr>
        <w:ind w:left="700"/>
        <w:spacing w:after="0" w:line="204"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29"/>
          <w:szCs w:val="29"/>
          <w:b w:val="1"/>
          <w:bCs w:val="1"/>
          <w:color w:val="auto"/>
          <w:vertAlign w:val="superscript"/>
        </w:rPr>
        <w:t>(2)</w:t>
      </w:r>
    </w:p>
    <w:p>
      <w:pPr>
        <w:ind w:left="700"/>
        <w:spacing w:after="0" w:line="186" w:lineRule="auto"/>
        <w:rPr>
          <w:sz w:val="20"/>
          <w:szCs w:val="20"/>
          <w:color w:val="auto"/>
        </w:rPr>
      </w:pPr>
      <w:r>
        <w:rPr>
          <w:rFonts w:ascii="Arial" w:cs="Arial" w:eastAsia="Arial" w:hAnsi="Arial"/>
          <w:sz w:val="18"/>
          <w:szCs w:val="18"/>
          <w:color w:val="auto"/>
        </w:rPr>
        <w:t>TYPE OF REPORTING PERSON (See Instructions)</w:t>
      </w:r>
    </w:p>
    <w:p>
      <w:pPr>
        <w:ind w:left="220"/>
        <w:spacing w:after="0" w:line="191" w:lineRule="auto"/>
        <w:rPr>
          <w:sz w:val="20"/>
          <w:szCs w:val="20"/>
          <w:color w:val="auto"/>
        </w:rPr>
      </w:pPr>
      <w:r>
        <w:rPr>
          <w:rFonts w:ascii="Arial" w:cs="Arial" w:eastAsia="Arial" w:hAnsi="Arial"/>
          <w:sz w:val="12"/>
          <w:szCs w:val="12"/>
          <w:b w:val="1"/>
          <w:bCs w:val="1"/>
          <w:color w:val="auto"/>
        </w:rPr>
        <w:t>12</w:t>
      </w:r>
    </w:p>
    <w:p>
      <w:pPr>
        <w:ind w:left="740"/>
        <w:spacing w:after="0"/>
        <w:rPr>
          <w:sz w:val="20"/>
          <w:szCs w:val="20"/>
          <w:color w:val="auto"/>
        </w:rPr>
      </w:pPr>
      <w:r>
        <w:rPr>
          <w:rFonts w:ascii="Arial" w:cs="Arial" w:eastAsia="Arial" w:hAnsi="Arial"/>
          <w:sz w:val="18"/>
          <w:szCs w:val="18"/>
          <w:b w:val="1"/>
          <w:bCs w:val="1"/>
          <w:color w:val="auto"/>
        </w:rPr>
        <w:t>OO</w:t>
      </w:r>
    </w:p>
    <w:p>
      <w:pPr>
        <w:spacing w:after="0" w:line="223" w:lineRule="exact"/>
        <w:rPr>
          <w:sz w:val="20"/>
          <w:szCs w:val="20"/>
          <w:color w:val="auto"/>
        </w:rPr>
      </w:pPr>
    </w:p>
    <w:p>
      <w:pPr>
        <w:ind w:left="340" w:right="60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number represents 3,761,947 ADSs, issuable upon exercise of certain warrants. The warrants are held of record by Vivo Opportunity Fund Holdings, L.P. Vivo Opportunity, LLC is the general partner of Vivo Opportunity Fund Holdings, L.P.</w:t>
      </w:r>
    </w:p>
    <w:p>
      <w:pPr>
        <w:ind w:left="340" w:right="40" w:hanging="332"/>
        <w:spacing w:after="0" w:line="196"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Based on (i)116,778,489 ADSs of the Issuer outstanding as of June 30, 2022, as disclosed in the Issuer’s 6-K, filed with the SEC on November 2, 2022 and (ii) 3,761,947 ADSs, issuable upon exercise of certain warrants held of records by Vivo Opportunity Fund Holdings, L.P.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Mereo BioPharma Group plc</w:t>
      </w:r>
    </w:p>
    <w:p>
      <w:pPr>
        <w:spacing w:after="0" w:line="22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4th Floor, One Cavendish Place,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W1G 0QF,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4 to Schedule 13G is filed jointly by Vivo Capital IX, LLC and Vivo Opportunity, LLC.</w:t>
      </w:r>
    </w:p>
    <w:p>
      <w:pPr>
        <w:spacing w:after="0" w:line="22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Ordinary Shares, nominal value £0.003, represented by American Depositary Shares, each of which represents five Ordinary Shares.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589492107</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620" w:hanging="640"/>
        <w:spacing w:after="0" w:line="239" w:lineRule="exact"/>
        <w:tabs>
          <w:tab w:leader="none" w:pos="1296"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77" w:right="6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20" w:hanging="316"/>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rFonts w:ascii="Arial" w:cs="Arial" w:eastAsia="Arial" w:hAnsi="Arial"/>
          <w:sz w:val="18"/>
          <w:szCs w:val="18"/>
          <w:color w:val="auto"/>
        </w:rPr>
      </w:pPr>
    </w:p>
    <w:p>
      <w:pPr>
        <w:ind w:left="1620" w:right="300"/>
        <w:spacing w:after="0" w:line="301" w:lineRule="auto"/>
        <w:rPr>
          <w:rFonts w:ascii="Arial" w:cs="Arial" w:eastAsia="Arial" w:hAnsi="Arial"/>
          <w:sz w:val="18"/>
          <w:szCs w:val="18"/>
          <w:color w:val="auto"/>
        </w:rPr>
      </w:pPr>
      <w:r>
        <w:rPr>
          <w:rFonts w:ascii="Arial" w:cs="Arial" w:eastAsia="Arial" w:hAnsi="Arial"/>
          <w:sz w:val="16"/>
          <w:szCs w:val="16"/>
          <w:color w:val="auto"/>
        </w:rPr>
        <w:t>The 839,435 ADSs, issuable upon exercise of certain warrants, are held of record by Vivo Capital Fund IX, L.P. Vivo Capital IX, LLC is the general partner of Vivo Capital Fund IX, L.P. The voting members of Vivo Capital IX, LLC are Frank Kung, Edgar Engleman, Shan Fu, Hongbo Lu, Mahendra Shah, Jack Nielsen and Michael Chang, none of whom has individual voting or investment power with respect to these warrants and each of whom disclaims beneficial ownership of such warrants.</w:t>
      </w:r>
    </w:p>
    <w:p>
      <w:pPr>
        <w:spacing w:after="0" w:line="157" w:lineRule="exact"/>
        <w:rPr>
          <w:rFonts w:ascii="Arial" w:cs="Arial" w:eastAsia="Arial" w:hAnsi="Arial"/>
          <w:sz w:val="18"/>
          <w:szCs w:val="18"/>
          <w:color w:val="auto"/>
        </w:rPr>
      </w:pPr>
    </w:p>
    <w:p>
      <w:pPr>
        <w:ind w:left="1620" w:hanging="316"/>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Vivo Opportunity, LLC</w:t>
      </w:r>
    </w:p>
    <w:p>
      <w:pPr>
        <w:spacing w:after="0" w:line="225" w:lineRule="exact"/>
        <w:rPr>
          <w:rFonts w:ascii="Arial" w:cs="Arial" w:eastAsia="Arial" w:hAnsi="Arial"/>
          <w:sz w:val="18"/>
          <w:szCs w:val="18"/>
          <w:color w:val="auto"/>
        </w:rPr>
      </w:pPr>
    </w:p>
    <w:p>
      <w:pPr>
        <w:ind w:left="1620"/>
        <w:spacing w:after="0" w:line="279" w:lineRule="auto"/>
        <w:rPr>
          <w:rFonts w:ascii="Arial" w:cs="Arial" w:eastAsia="Arial" w:hAnsi="Arial"/>
          <w:sz w:val="18"/>
          <w:szCs w:val="18"/>
          <w:color w:val="auto"/>
        </w:rPr>
      </w:pPr>
      <w:r>
        <w:rPr>
          <w:rFonts w:ascii="Arial" w:cs="Arial" w:eastAsia="Arial" w:hAnsi="Arial"/>
          <w:sz w:val="17"/>
          <w:szCs w:val="17"/>
          <w:color w:val="auto"/>
        </w:rPr>
        <w:t>The 3,761,947 ADSs, issuable upon exercise of certain warrants, are held of record by Vivo Opportunity Fund Holdings, L.P. Vivo Opportunity, LLC is the general partner of Vivo Opportunity Fund Holdings, L.P. The voting members of Vivo Opportunity, LLC are Gaurav Aggarwal, Hongbo Lu, Kevin Dai, Frank Kung and Michael Chang, none of whom has individual voting or investment power with respect to these warrants and each of whom disclaims beneficial ownership of such warrants.</w:t>
      </w:r>
    </w:p>
    <w:p>
      <w:pPr>
        <w:spacing w:after="0" w:line="167"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Capital IX, LLC: 0.7%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Opportunity, LLC: 3.1%</w:t>
      </w:r>
    </w:p>
    <w:p>
      <w:pPr>
        <w:spacing w:after="0" w:line="22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20" w:right="6620" w:hanging="316"/>
        <w:spacing w:after="0" w:line="563"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Sole power to vote or to direct the vote: Vivo Capital IX, LLC: 839,435 ADSs Vivo Opportunity, LLC: 3,761,947 ADSs</w:t>
      </w:r>
    </w:p>
    <w:p>
      <w:pPr>
        <w:spacing w:after="0" w:line="1" w:lineRule="exact"/>
        <w:rPr>
          <w:rFonts w:ascii="Arial" w:cs="Arial" w:eastAsia="Arial" w:hAnsi="Arial"/>
          <w:sz w:val="16"/>
          <w:szCs w:val="16"/>
          <w:color w:val="auto"/>
        </w:rPr>
      </w:pPr>
    </w:p>
    <w:p>
      <w:pPr>
        <w:ind w:left="1620" w:hanging="316"/>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right="5820" w:hanging="316"/>
        <w:spacing w:after="0" w:line="530"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Vivo Capital IX, LLC: 839,435 ADSs</w:t>
      </w:r>
    </w:p>
    <w:p>
      <w:pPr>
        <w:ind w:left="1620"/>
        <w:spacing w:after="0"/>
        <w:rPr>
          <w:rFonts w:ascii="Arial" w:cs="Arial" w:eastAsia="Arial" w:hAnsi="Arial"/>
          <w:sz w:val="17"/>
          <w:szCs w:val="17"/>
          <w:color w:val="auto"/>
        </w:rPr>
      </w:pPr>
      <w:r>
        <w:rPr>
          <w:rFonts w:ascii="Arial" w:cs="Arial" w:eastAsia="Arial" w:hAnsi="Arial"/>
          <w:sz w:val="18"/>
          <w:szCs w:val="18"/>
          <w:color w:val="auto"/>
        </w:rPr>
        <w:t>Vivo Opportunity, LLC: 3,761,947 ADSs</w:t>
      </w:r>
    </w:p>
    <w:p>
      <w:pPr>
        <w:spacing w:after="0" w:line="225" w:lineRule="exact"/>
        <w:rPr>
          <w:rFonts w:ascii="Arial" w:cs="Arial" w:eastAsia="Arial" w:hAnsi="Arial"/>
          <w:sz w:val="17"/>
          <w:szCs w:val="17"/>
          <w:color w:val="auto"/>
        </w:rPr>
      </w:pPr>
    </w:p>
    <w:p>
      <w:pPr>
        <w:ind w:left="1620" w:hanging="316"/>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right="1020" w:hanging="809"/>
        <w:spacing w:after="0" w:line="261"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40" w:firstLine="81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Gaurav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87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3"/>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lvl w:ilvl="1">
      <w:lvlJc w:val="left"/>
      <w:lvlText w:val="(%2)"/>
      <w:numFmt w:val="decimal"/>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2023-02-14T05:28:46Z</dcterms:created>
  <dcterms:modified xsi:type="dcterms:W3CDTF">2023-02-14T05:28:46Z</dcterms:modified>
</cp:coreProperties>
</file>