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6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2"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REPORT OF FOREIGN PRIVATE ISSUER PURSUANT</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TO RULE 13a-16 or 15d-16 UNDER THE</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April, 2019</w:t>
      </w:r>
    </w:p>
    <w:p>
      <w:pPr>
        <w:spacing w:after="0" w:line="229"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Commission File Number: 001-38452</w:t>
      </w:r>
    </w:p>
    <w:p>
      <w:pPr>
        <w:spacing w:after="0" w:line="198"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(Translation of registrant’s name into English)</w:t>
      </w:r>
    </w:p>
    <w:p>
      <w:pPr>
        <w:spacing w:after="0" w:line="13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 One Cavendish Place,</w:t>
      </w:r>
    </w:p>
    <w:p>
      <w:pPr>
        <w:jc w:val="center"/>
        <w:ind w:right="-1200"/>
        <w:spacing w:after="0"/>
        <w:rPr>
          <w:sz w:val="20"/>
          <w:szCs w:val="20"/>
          <w:color w:val="auto"/>
        </w:rPr>
      </w:pPr>
      <w:r>
        <w:rPr>
          <w:rFonts w:ascii="Arial" w:cs="Arial" w:eastAsia="Arial" w:hAnsi="Arial"/>
          <w:sz w:val="18"/>
          <w:szCs w:val="18"/>
          <w:b w:val="1"/>
          <w:bCs w:val="1"/>
          <w:color w:val="auto"/>
        </w:rPr>
        <w:t>London, W1G 0QF, United Kingdom</w:t>
      </w:r>
    </w:p>
    <w:p>
      <w:pPr>
        <w:spacing w:after="0" w:line="7"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801" w:right="1440" w:bottom="1440" w:gutter="0" w:footer="0" w:header="0"/>
        </w:sectPr>
      </w:pPr>
    </w:p>
    <w:bookmarkStart w:id="1" w:name="page2"/>
    <w:bookmarkEnd w:id="1"/>
    <w:p>
      <w:pPr>
        <w:ind w:left="4480"/>
        <w:spacing w:after="0"/>
        <w:rPr>
          <w:sz w:val="20"/>
          <w:szCs w:val="20"/>
          <w:color w:val="auto"/>
        </w:rPr>
      </w:pPr>
      <w:r>
        <w:rPr>
          <w:rFonts w:ascii="Arial" w:cs="Arial" w:eastAsia="Arial" w:hAnsi="Arial"/>
          <w:sz w:val="18"/>
          <w:szCs w:val="18"/>
          <w:b w:val="1"/>
          <w:bCs w:val="1"/>
          <w:color w:val="auto"/>
        </w:rPr>
        <w:t>Mereo BioPharma Group plc</w:t>
      </w:r>
    </w:p>
    <w:p>
      <w:pPr>
        <w:spacing w:after="0" w:line="18"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("Mereo" or the "Company" or the "Group")</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 of the Merger with OncoMed Pharmaceuticals,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Preliminary Results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London, 23 April 2019 </w:t>
      </w:r>
      <w:r>
        <w:rPr>
          <w:rFonts w:ascii="Arial" w:cs="Arial" w:eastAsia="Arial" w:hAnsi="Arial"/>
          <w:sz w:val="18"/>
          <w:szCs w:val="18"/>
          <w:color w:val="auto"/>
        </w:rPr>
        <w:t>– Mereo BioPharma Group plc (AIM: MPH), a clinical stage, UK-based, biopharmaceutical company focused on rare</w:t>
      </w:r>
      <w:r>
        <w:rPr>
          <w:rFonts w:ascii="Arial" w:cs="Arial" w:eastAsia="Arial" w:hAnsi="Arial"/>
          <w:sz w:val="18"/>
          <w:szCs w:val="18"/>
          <w:b w:val="1"/>
          <w:bCs w:val="1"/>
          <w:color w:val="auto"/>
        </w:rPr>
        <w:t xml:space="preserve"> </w:t>
      </w:r>
      <w:r>
        <w:rPr>
          <w:rFonts w:ascii="Arial" w:cs="Arial" w:eastAsia="Arial" w:hAnsi="Arial"/>
          <w:sz w:val="18"/>
          <w:szCs w:val="18"/>
          <w:color w:val="auto"/>
        </w:rPr>
        <w:t>diseases, announces that the merger with OncoMed Pharmaceuticals, Inc. ("OncoMed" NASDAQ:OMED) announced on 5 December 2018 has today completed.</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follows the approval from the stockholders of OncoMed on 17 April 2019 of the transactions contemplated by the merger agreement dated 5 December 2018 (the "Merger") between Mereo, OncoMed and certain other parties thereto (the “Merger Agreement”), and OncoMed has today become a wholly-owned indirect subsidiary of Mereo following the effective filing of a certificate of merger with the Secretary of State of the State of Delaware. In connection with completion of the Merger:</w:t>
      </w:r>
    </w:p>
    <w:p>
      <w:pPr>
        <w:spacing w:after="0" w:line="188" w:lineRule="exact"/>
        <w:rPr>
          <w:sz w:val="20"/>
          <w:szCs w:val="20"/>
          <w:color w:val="auto"/>
        </w:rPr>
      </w:pPr>
    </w:p>
    <w:p>
      <w:pPr>
        <w:jc w:val="both"/>
        <w:ind w:left="700" w:hanging="327"/>
        <w:spacing w:after="0" w:line="239" w:lineRule="auto"/>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Mereo has today issued 24,783,320 new ordinary shares (the “New Shares”) to Citibank, N.A., London Branch, as custodian, and will instruct Citibank, N.A., as depositary, to deliver 4,956,664 American Depositary Shares (the "ADSs") to former OncoMed stockholders, each ADS representing five New Shares. The ADSs are expected to be admitted to trading on the Global Market of Nasdaq Stock Exchange Market LLC on 24 April 2019, under the ticker symbol “MREO”; and</w:t>
      </w:r>
    </w:p>
    <w:p>
      <w:pPr>
        <w:spacing w:after="0" w:line="188" w:lineRule="exact"/>
        <w:rPr>
          <w:rFonts w:ascii="Arial" w:cs="Arial" w:eastAsia="Arial" w:hAnsi="Arial"/>
          <w:sz w:val="18"/>
          <w:szCs w:val="18"/>
          <w:color w:val="auto"/>
        </w:rPr>
      </w:pPr>
    </w:p>
    <w:p>
      <w:pPr>
        <w:ind w:left="700" w:hanging="327"/>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Michael Wyzga and Deepa Pakianathan, Ph.D. today become non-executive directors of Mereo.</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Mereo also announces today that its preliminary results for the Financial Year ended 31 December 2018 will be published on Monday 29 April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Commenting on the announcement, Mereo's Chief Executive Officer, Dr. Denise Scots-Knight, said: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We are pleased to have completed our merger with OncoMed which has broadened our asset base, strengthened our cash position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enable us to further progress our two rare disease programmes. We are delighted to welcome both Michael and Deepa to our Board.</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ADR programme we have now initiated on NASDAQ, together with our existing AIM listing, will facilitate a deeper engagement with a broader international pool of capital. As we look forward to the remainder of 2019 we continue to anticipate several important data points from our two rare disease products. These include initial 6 month data from the open label arm our Phase 2b dose ranging study for BPS-804 in the treatment osteogenesis imperfecta in Q2 2019, 12 month data for this programme in Q4 2019 and data from our Phase 2 dose-ranging study with MPH-966 for alpha-1 antitrypsin deficiency (AATD), which we expect around the end of 2019.</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Partnering discussions for BCT-197 for severe exacerbations of COPD are progressing following our successful end of Phase 2 Type B meeting with the FDA. We also intend to initiate partnering discussions for navicixizumab, which has generated encouraging clinical data in ovarian cancer and for BGS-649 in hypogonadotrophic hypogonadism in parallel with the regulatory interactions to determine the next development steps. We look forward to updating our shareholders on the progress of our pipeline more comprehensively on the publication of our preliminary financial results for 2018 at the end of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Issue of New Shares and Total Voting Rights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New Shares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existing ordinary shares of Mereo. Application has been made for the New Shares to be admitted to trading on AIM ("Admission") and it is expected that Admission will take place at 8.00 a.m. (BST) on 24 April 2019.</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New Shares represent approximately 25.8% of the enlarged issued share capital of Mereo which, following the issue, consists of an aggregate total of 96,023,592 ordinary shares of £0.003 each, none of which are held in treasury. Shareholders may use this figure as the denominator for the calculations by which they will determine if they are required to notify their interest in, or to notify a change to their interest in, the issued share capital of Mereo.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of Michael Wyzga and Deepa Pakianathan, Ph.D. as Non-Executive Directors of Mereo</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accordance with the Merger Agreement, Mereo has appointed Michael Wyzga and Deepa Pakianathan, Ph.D. as non-executive directors of Mereo.</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Michael Wyzga served as a director of OncoMed from October 2013 until the closing of the Merger today.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Exact Sciences Corporation and LogicBio and is Chairman of the board of directors of GenSight Biologics S.A. and of X4 Biologics. Mr. Wyzga previously served as a member of the boards of directors of Idenix Pharmaceuticals, Inc. and Altus Pharmaceuticals, Inc., and as a member of the supervisory board of Prosensa Holding B.V. He received an M.B.A. from Providence College and a B.S. from Suffolk University.</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Deepa Pakianathan, Ph.D. served as a director of OncoMed from December 2008 until the closing of the Merger today. Since 2001, Dr. Pakianathan has been a Managing Member at Delphi Ventures, a venture capital firm focused on biotechnology and medical device investments. Dr. Pakianathan serves on the boards of directors of Alder Biopharmaceuticals, Inc., Karyopharm Therapeutics, Inc., and Calithera Biosciences, Inc. Dr. Pakianathan previously served on the boards of directors of Alexza Pharmaceuticals, Inc., PTC Therapeutics, Inc. and Relypsa, Inc. Dr. Pakianathan received a B.Sc. from the University of Bombay, India, a M.Sc. from The Cancer Research Institute at the University of Bombay, India, and an M.S. and Ph.D. from Wake Forest University.</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information is disclosed pursuant to Schedule Two paragraph (g) of the AIM Rules for Companies. Michael Stephen Wyzga, aged 63 years, and Deepa Rachel Pakianathan, Ph.D., aged 54 years, have been a director of the following companies during the five years preceding the date of this announcement: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Stephen Wyzga</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7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Current directorships/partnerships</w:t>
            </w:r>
          </w:p>
        </w:tc>
        <w:tc>
          <w:tcPr>
            <w:tcW w:w="5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Past directorships/partnerships</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Exact Sciences Corporation</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Idenix Pharmaceuticals,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GenSight Biologics S.A.</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Prosensa Holding B.V.</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LogicBio</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Akebia Therapeutics,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MSW Consulting</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Aura Biosciences,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X4 Biologics</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Dohman Co.</w:t>
            </w:r>
          </w:p>
        </w:tc>
      </w:tr>
      <w:tr>
        <w:trPr>
          <w:trHeight w:val="250"/>
        </w:trPr>
        <w:tc>
          <w:tcPr>
            <w:tcW w:w="5720" w:type="dxa"/>
            <w:vAlign w:val="bottom"/>
            <w:tcBorders>
              <w:left w:val="single" w:sz="8" w:color="auto"/>
              <w:bottom w:val="single" w:sz="8" w:color="auto"/>
              <w:right w:val="single" w:sz="8" w:color="auto"/>
            </w:tcBorders>
          </w:tcPr>
          <w:p>
            <w:pPr>
              <w:spacing w:after="0"/>
              <w:rPr>
                <w:sz w:val="21"/>
                <w:szCs w:val="21"/>
                <w:color w:val="auto"/>
              </w:rPr>
            </w:pP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OncoMed Pharmaceuticals, Inc.</w:t>
            </w:r>
          </w:p>
        </w:tc>
      </w:tr>
      <w:tr>
        <w:trPr>
          <w:trHeight w:val="311"/>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7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Deepa Rachel Pakianathan</w:t>
      </w: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57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Current directorships/partnerships</w:t>
            </w:r>
          </w:p>
        </w:tc>
        <w:tc>
          <w:tcPr>
            <w:tcW w:w="57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Past directorships/partnerships</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Delphi Management Partners VI, LLC</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Alexza Pharmaceuticals,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Alder Biopharmaceuticals, Inc.</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ForsightVision5</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Calithera Biosciences, Inc.</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NeurAxon,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Karyopharm Therapeutics, Inc.</w:t>
            </w:r>
          </w:p>
        </w:tc>
        <w:tc>
          <w:tcPr>
            <w:tcW w:w="57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OncoMed Pharmaceuticals, Inc.</w:t>
            </w:r>
          </w:p>
        </w:tc>
      </w:tr>
      <w:tr>
        <w:trPr>
          <w:trHeight w:val="250"/>
        </w:trPr>
        <w:tc>
          <w:tcPr>
            <w:tcW w:w="57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Serplus Bio</w:t>
            </w:r>
          </w:p>
        </w:tc>
        <w:tc>
          <w:tcPr>
            <w:tcW w:w="5700" w:type="dxa"/>
            <w:vAlign w:val="bottom"/>
            <w:tcBorders>
              <w:bottom w:val="single" w:sz="8" w:color="auto"/>
              <w:right w:val="single" w:sz="8" w:color="auto"/>
            </w:tcBorders>
          </w:tcPr>
          <w:p>
            <w:pPr>
              <w:spacing w:after="0"/>
              <w:rPr>
                <w:sz w:val="21"/>
                <w:szCs w:val="21"/>
                <w:color w:val="auto"/>
              </w:rPr>
            </w:pPr>
          </w:p>
        </w:tc>
      </w:tr>
    </w:tbl>
    <w:p>
      <w:pPr>
        <w:spacing w:after="0" w:line="215"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Save as set out above there are no further disclosures pursuant to Rule 17 or Schedule Two paragraph (g) of the AIM Rules for Companies in respect of the appointment of Michael Wyzga and Deepa Pakianathan, Ph.D.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Deepa Pakianathan, Ph.D. holds a beneficial interest in 256,734 ADSs.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Mereo is a biopharmaceutical company focused on the development and commercialisation of innovative therapeutics that aim to improve outcomes for patients with rare diseases. Mereo's strategy is to selectively acquire product candidates that have substantial preclinical, clinical and manufacturing data packages. Mereo's four product candidates have previously generated positive clinical data for Mereo's target indications or in related indications. Mereo has commenced randomised Phase 2 clinical trials for all four of the product candidates. In connection with the merger with OncoMed, Mereo added two candidates to its pipeline, Navicixizumb and Etigilimab.</w:t>
      </w:r>
    </w:p>
    <w:p>
      <w:pPr>
        <w:spacing w:after="0" w:line="189" w:lineRule="exact"/>
        <w:rPr>
          <w:sz w:val="20"/>
          <w:szCs w:val="20"/>
          <w:color w:val="auto"/>
        </w:rPr>
      </w:pPr>
    </w:p>
    <w:p>
      <w:pPr>
        <w:jc w:val="both"/>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BPS-804 for osteogenesis imperfecta (OI). In October 2018, the Company announced completion of enrollment of 112 adult patients in a Phase 2b dose ranging study with initial data expected in Q2 2019 and top-line dose ranging data in late 2019. A pediatric Phase 3 study design has also been approved by the EMA. BPS-804 has orphan designation in the U.S. and the EU and has been accepted into the PRIME and Adaptive Pathways in EU;</w:t>
      </w:r>
    </w:p>
    <w:p>
      <w:pPr>
        <w:spacing w:after="0" w:line="39"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MPH-966 for alpha-1 antitrypsin deficiency (AATD). The Company recently announced dosing of the first patient in a Phase 2 dose ranging study in the U.S. with data expected around the end of 2019;</w:t>
      </w:r>
    </w:p>
    <w:p>
      <w:pPr>
        <w:spacing w:after="0" w:line="34" w:lineRule="exact"/>
        <w:rPr>
          <w:rFonts w:ascii="Arial" w:cs="Arial" w:eastAsia="Arial" w:hAnsi="Arial"/>
          <w:sz w:val="18"/>
          <w:szCs w:val="18"/>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BCT-197 for severe exacerbations of COPD. The Company announced positive Phase 2 data in May 2018 and recently announced the outline of the pivotal Phase 3 study including the primary and key secondary endpoints following the successful end of Phase 2 Type B meeting with the FDA;</w:t>
      </w:r>
    </w:p>
    <w:p>
      <w:pPr>
        <w:spacing w:after="0" w:line="40" w:lineRule="exact"/>
        <w:rPr>
          <w:rFonts w:ascii="Arial" w:cs="Arial" w:eastAsia="Arial" w:hAnsi="Arial"/>
          <w:sz w:val="18"/>
          <w:szCs w:val="18"/>
          <w:color w:val="auto"/>
        </w:rPr>
      </w:pPr>
    </w:p>
    <w:p>
      <w:pPr>
        <w:ind w:left="66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BGS-649 for hypogonadotropic hypogonadism (HH). The Company announced positive top-line Phase 2b data in March 2018 and positive results from the Phase 2b safety extension study in December 2018;</w:t>
      </w:r>
    </w:p>
    <w:p>
      <w:pPr>
        <w:spacing w:after="0" w:line="34" w:lineRule="exact"/>
        <w:rPr>
          <w:rFonts w:ascii="Arial" w:cs="Arial" w:eastAsia="Arial" w:hAnsi="Arial"/>
          <w:sz w:val="18"/>
          <w:szCs w:val="18"/>
          <w:color w:val="auto"/>
        </w:rPr>
      </w:pPr>
    </w:p>
    <w:p>
      <w:pPr>
        <w:jc w:val="both"/>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Navicixizumab has completed a Phase 1a single-agent clinical trial in patients with advanced solid tumors and is currently in a Phase 1b trial in combination with a standard paclitaxel regimen in patients with platinum-resistant ovarian cancer. This study recently completed enrolment; and</w:t>
      </w:r>
    </w:p>
    <w:p>
      <w:pPr>
        <w:spacing w:after="0" w:line="40" w:lineRule="exact"/>
        <w:rPr>
          <w:rFonts w:ascii="Arial" w:cs="Arial" w:eastAsia="Arial" w:hAnsi="Arial"/>
          <w:sz w:val="18"/>
          <w:szCs w:val="18"/>
          <w:color w:val="auto"/>
        </w:rPr>
      </w:pPr>
    </w:p>
    <w:p>
      <w:pPr>
        <w:jc w:val="both"/>
        <w:ind w:lef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Etigilimab has completed a single-agent Phase 1a trial in patients with advanced or metastatic solid tumors and is currently in a Phase 1b combination study with nivolumab. Etigilimab is part of OncoMed’s prior collaboration with Celgene. Celgene has the option to obtain an exclusive licence to develop and commercialize the product. If Celgene exercises such option, OncoMed (now a wholly-owned indirect subsidiary of Mereo) will be eligible to receive a $35 million opt in payment.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conference call to discuss the merger and Mereo’s preliminary results will take place at 1pm (BST) on Monday April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Richard Jones, Chief Financial Officer</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7"/>
        </w:trPr>
        <w:tc>
          <w:tcPr>
            <w:tcW w:w="7560" w:type="dxa"/>
            <w:vAlign w:val="bottom"/>
          </w:tcPr>
          <w:p>
            <w:pPr>
              <w:spacing w:after="0"/>
              <w:rPr>
                <w:sz w:val="20"/>
                <w:szCs w:val="20"/>
                <w:color w:val="auto"/>
              </w:rPr>
            </w:pPr>
            <w:r>
              <w:rPr>
                <w:rFonts w:ascii="Arial" w:cs="Arial" w:eastAsia="Arial" w:hAnsi="Arial"/>
                <w:sz w:val="18"/>
                <w:szCs w:val="18"/>
                <w:b w:val="1"/>
                <w:bCs w:val="1"/>
                <w:color w:val="auto"/>
              </w:rPr>
              <w:t>Evercore (Financial Adviser to Mereo)</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7653 6000</w:t>
            </w: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Julian Oakley</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Tom Watson</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7"/>
        </w:trPr>
        <w:tc>
          <w:tcPr>
            <w:tcW w:w="7560" w:type="dxa"/>
            <w:vAlign w:val="bottom"/>
          </w:tcPr>
          <w:p>
            <w:pPr>
              <w:spacing w:after="0"/>
              <w:rPr>
                <w:sz w:val="20"/>
                <w:szCs w:val="20"/>
                <w:color w:val="auto"/>
              </w:rPr>
            </w:pPr>
            <w:r>
              <w:rPr>
                <w:rFonts w:ascii="Arial" w:cs="Arial" w:eastAsia="Arial" w:hAnsi="Arial"/>
                <w:sz w:val="18"/>
                <w:szCs w:val="18"/>
                <w:b w:val="1"/>
                <w:bCs w:val="1"/>
                <w:color w:val="auto"/>
              </w:rPr>
              <w:t>Cantor Fitzgerald Europe (Nominated Adviser and Joint Broker to Mereo)</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7894 7000</w:t>
            </w: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Phil Davies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Will Goode</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7"/>
        </w:trPr>
        <w:tc>
          <w:tcPr>
            <w:tcW w:w="7560" w:type="dxa"/>
            <w:vAlign w:val="bottom"/>
          </w:tcPr>
          <w:p>
            <w:pPr>
              <w:spacing w:after="0"/>
              <w:rPr>
                <w:sz w:val="20"/>
                <w:szCs w:val="20"/>
                <w:color w:val="auto"/>
              </w:rPr>
            </w:pPr>
            <w:r>
              <w:rPr>
                <w:rFonts w:ascii="Arial" w:cs="Arial" w:eastAsia="Arial" w:hAnsi="Arial"/>
                <w:sz w:val="18"/>
                <w:szCs w:val="18"/>
                <w:b w:val="1"/>
                <w:bCs w:val="1"/>
                <w:color w:val="auto"/>
              </w:rPr>
              <w:t>RBC Capital Markets (Joint Broker to Mereo)</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7653 4000</w:t>
            </w:r>
          </w:p>
        </w:tc>
      </w:tr>
      <w:tr>
        <w:trPr>
          <w:trHeight w:val="269"/>
        </w:trPr>
        <w:tc>
          <w:tcPr>
            <w:tcW w:w="7560" w:type="dxa"/>
            <w:vAlign w:val="bottom"/>
          </w:tcPr>
          <w:p>
            <w:pPr>
              <w:spacing w:after="0"/>
              <w:rPr>
                <w:sz w:val="20"/>
                <w:szCs w:val="20"/>
                <w:color w:val="auto"/>
              </w:rPr>
            </w:pPr>
            <w:r>
              <w:rPr>
                <w:rFonts w:ascii="Arial" w:cs="Arial" w:eastAsia="Arial" w:hAnsi="Arial"/>
                <w:sz w:val="18"/>
                <w:szCs w:val="18"/>
                <w:color w:val="auto"/>
              </w:rPr>
              <w:t>Rupert Walford</w:t>
            </w:r>
          </w:p>
        </w:tc>
        <w:tc>
          <w:tcPr>
            <w:tcW w:w="16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17"/>
        </w:trPr>
        <w:tc>
          <w:tcPr>
            <w:tcW w:w="7560" w:type="dxa"/>
            <w:vAlign w:val="bottom"/>
          </w:tcPr>
          <w:p>
            <w:pPr>
              <w:spacing w:after="0"/>
              <w:rPr>
                <w:sz w:val="20"/>
                <w:szCs w:val="20"/>
                <w:color w:val="auto"/>
              </w:rPr>
            </w:pPr>
            <w:r>
              <w:rPr>
                <w:rFonts w:ascii="Arial" w:cs="Arial" w:eastAsia="Arial" w:hAnsi="Arial"/>
                <w:sz w:val="18"/>
                <w:szCs w:val="18"/>
                <w:color w:val="auto"/>
              </w:rPr>
              <w:t>Jamil Miah</w:t>
            </w: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567"/>
        </w:trPr>
        <w:tc>
          <w:tcPr>
            <w:tcW w:w="7560" w:type="dxa"/>
            <w:vAlign w:val="bottom"/>
          </w:tcPr>
          <w:p>
            <w:pPr>
              <w:spacing w:after="0"/>
              <w:rPr>
                <w:sz w:val="20"/>
                <w:szCs w:val="20"/>
                <w:color w:val="auto"/>
              </w:rPr>
            </w:pPr>
            <w:r>
              <w:rPr>
                <w:rFonts w:ascii="Arial" w:cs="Arial" w:eastAsia="Arial" w:hAnsi="Arial"/>
                <w:sz w:val="18"/>
                <w:szCs w:val="18"/>
                <w:b w:val="1"/>
                <w:bCs w:val="1"/>
                <w:color w:val="auto"/>
              </w:rPr>
              <w:t>FTI Consulting (Public Relations Adviser to Mereo)</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Simon Conway</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rPr>
              <w:t>(0)20 3727 1000</w:t>
            </w: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Brett Pollard</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67"/>
        </w:trPr>
        <w:tc>
          <w:tcPr>
            <w:tcW w:w="7560" w:type="dxa"/>
            <w:vAlign w:val="bottom"/>
          </w:tcPr>
          <w:p>
            <w:pPr>
              <w:spacing w:after="0"/>
              <w:rPr>
                <w:sz w:val="20"/>
                <w:szCs w:val="20"/>
                <w:color w:val="auto"/>
              </w:rPr>
            </w:pPr>
            <w:r>
              <w:rPr>
                <w:rFonts w:ascii="Arial" w:cs="Arial" w:eastAsia="Arial" w:hAnsi="Arial"/>
                <w:sz w:val="18"/>
                <w:szCs w:val="18"/>
                <w:b w:val="1"/>
                <w:bCs w:val="1"/>
                <w:color w:val="auto"/>
              </w:rPr>
              <w:t>Burns McClellan (US Public Relations Adviser to Mereo)</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1380" w:type="dxa"/>
            <w:vAlign w:val="bottom"/>
          </w:tcPr>
          <w:p>
            <w:pPr>
              <w:ind w:left="20"/>
              <w:spacing w:after="0"/>
              <w:rPr>
                <w:sz w:val="20"/>
                <w:szCs w:val="20"/>
                <w:color w:val="auto"/>
              </w:rPr>
            </w:pPr>
            <w:r>
              <w:rPr>
                <w:rFonts w:ascii="Arial" w:cs="Arial" w:eastAsia="Arial" w:hAnsi="Arial"/>
                <w:sz w:val="18"/>
                <w:szCs w:val="18"/>
                <w:b w:val="1"/>
                <w:bCs w:val="1"/>
                <w:color w:val="auto"/>
                <w:w w:val="97"/>
              </w:rPr>
              <w:t>(0) 212 213 0006</w:t>
            </w: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Lisa Burns</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84"/>
        </w:trPr>
        <w:tc>
          <w:tcPr>
            <w:tcW w:w="7560" w:type="dxa"/>
            <w:vAlign w:val="bottom"/>
          </w:tcPr>
          <w:p>
            <w:pPr>
              <w:spacing w:after="0"/>
              <w:rPr>
                <w:sz w:val="20"/>
                <w:szCs w:val="20"/>
                <w:color w:val="auto"/>
              </w:rPr>
            </w:pPr>
            <w:r>
              <w:rPr>
                <w:rFonts w:ascii="Arial" w:cs="Arial" w:eastAsia="Arial" w:hAnsi="Arial"/>
                <w:sz w:val="18"/>
                <w:szCs w:val="18"/>
                <w:color w:val="auto"/>
              </w:rPr>
              <w:t>Jill Steier</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Each of Evercore Partners International LLP ("Evercore"), Cantor Fitzgerald Europe (“Cantor Fitzgerald”) and RBC Europe Limited (“RBC”), which is authorised and regulated in the United Kingdom by the FCA, is acting exclusively for </w:t>
      </w:r>
      <w:r>
        <w:rPr>
          <w:rFonts w:ascii="Arial" w:cs="Arial" w:eastAsia="Arial" w:hAnsi="Arial"/>
          <w:sz w:val="18"/>
          <w:szCs w:val="18"/>
          <w:b w:val="1"/>
          <w:bCs w:val="1"/>
          <w:color w:val="auto"/>
        </w:rPr>
        <w:t>Mereo</w:t>
      </w:r>
      <w:r>
        <w:rPr>
          <w:rFonts w:ascii="Arial" w:cs="Arial" w:eastAsia="Arial" w:hAnsi="Arial"/>
          <w:sz w:val="18"/>
          <w:szCs w:val="18"/>
          <w:color w:val="auto"/>
        </w:rPr>
        <w:t xml:space="preserve"> and no one else in connection with the merger and accordingly will not be responsible to anyone other than </w:t>
      </w:r>
      <w:r>
        <w:rPr>
          <w:rFonts w:ascii="Arial" w:cs="Arial" w:eastAsia="Arial" w:hAnsi="Arial"/>
          <w:sz w:val="18"/>
          <w:szCs w:val="18"/>
          <w:b w:val="1"/>
          <w:bCs w:val="1"/>
          <w:color w:val="auto"/>
        </w:rPr>
        <w:t>Mereo</w:t>
      </w:r>
      <w:r>
        <w:rPr>
          <w:rFonts w:ascii="Arial" w:cs="Arial" w:eastAsia="Arial" w:hAnsi="Arial"/>
          <w:sz w:val="18"/>
          <w:szCs w:val="18"/>
          <w:color w:val="auto"/>
        </w:rPr>
        <w:t xml:space="preserve"> in providing the protections afforded to clients of Evercore, Cantor Fitzgerald or RBC (as applicable) nor for providing advice in relation to the Merger, the content of this announcement or any matter referred to herein. None of Evercore, Cantor Fitzgerald or RBC nor any of its subsidiaries, branches or affiliates owes or accepts any duty, liability or responsibility whatsoever (whether direct or indirect, whether in contract, in tort, under statue or otherwise) to any person who is not a client of Evercore, Cantor Fitzgerald or RBC (as applicable) in connection with this announcement, any statement contained herein or otherwise.</w:t>
      </w:r>
    </w:p>
    <w:p>
      <w:pPr>
        <w:spacing w:after="0" w:line="19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Save for the responsibilities and liabilities, if any, of Evercore, Cantor Fitzgerald and RBC under the Financial Services and Markets Act 2000 or the regulatory regime established thereunder or in respect of fraudulent misrepresentation, no representation or warranty, express or implied, is or will be made as to, or in relation to, and no responsibility or liability is or will be accepted by or on behalf of Evercore, Cantor Fitzgerald or RBC or by their respective affiliates, agents, directors, officers and employees as to, or in relation to, the accuracy or completeness of this announcement or any other written or oral information made available to or publicly available to any interested party or its advisers, and any liability therefor is expressly disclaimed.</w:t>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This announcement has been issued by and is the sole responsibility of Mereo. The information contained in this announcement is for background purposes only and does not purport to be full or complete. The information in this announcement is subject to change without notice. Subject to the AIM Rules, the UK Disclosure Guidance and Transparency Rules and MAR, the issue of this announcement shall not, under any circumstances, create any implication that there has been no change in the affairs of Mereo or </w:t>
      </w:r>
      <w:r>
        <w:rPr>
          <w:rFonts w:ascii="Arial" w:cs="Arial" w:eastAsia="Arial" w:hAnsi="Arial"/>
          <w:sz w:val="18"/>
          <w:szCs w:val="18"/>
          <w:b w:val="1"/>
          <w:bCs w:val="1"/>
          <w:color w:val="auto"/>
        </w:rPr>
        <w:t>OncoMed</w:t>
      </w:r>
      <w:r>
        <w:rPr>
          <w:rFonts w:ascii="Arial" w:cs="Arial" w:eastAsia="Arial" w:hAnsi="Arial"/>
          <w:sz w:val="18"/>
          <w:szCs w:val="18"/>
          <w:color w:val="auto"/>
        </w:rPr>
        <w:t xml:space="preserve"> since the date of this announcement or that the information in this announcement is correct as at any time subsequent to the date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32" w:right="239" w:bottom="1440" w:gutter="0" w:footer="0" w:header="0"/>
        </w:sectPr>
      </w:pPr>
    </w:p>
    <w:bookmarkStart w:id="5" w:name="page6"/>
    <w:bookmarkEnd w:id="5"/>
    <w:p>
      <w:pPr>
        <w:jc w:val="both"/>
        <w:spacing w:after="0"/>
        <w:rPr>
          <w:sz w:val="20"/>
          <w:szCs w:val="20"/>
          <w:color w:val="auto"/>
        </w:rPr>
      </w:pPr>
      <w:r>
        <w:rPr>
          <w:rFonts w:ascii="Arial" w:cs="Arial" w:eastAsia="Arial" w:hAnsi="Arial"/>
          <w:sz w:val="18"/>
          <w:szCs w:val="18"/>
          <w:color w:val="auto"/>
        </w:rPr>
        <w:t>The distribution of this announcement may be restricted by law in certain jurisdictions and persons into whose possession this announcement, or other information referred to herein, comes should inform themselves about and observe any such restriction. Any failure to comply with these restrictions may constitute a violation of the securities laws of any such jurisdiction.</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statement in this announcement is intended to be a profit forecast, and no statement in this announcement should be interpreted to mean that earnings per share of Mereo for the current or future financial years would necessarily match or exceed the historical published earnings per share of Mereo.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This communication contains "forward-looking statements". All statements other than statements of historical fact contained in this report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our current expectations, beliefs and assumptions concerning future developments and business conditions and their potential effect on us. While management believes that these forward-looking statements are reasonable as and when made, there can be no assurance that future developments affecting us will be those that we anticipate.</w:t>
      </w:r>
    </w:p>
    <w:p>
      <w:pPr>
        <w:spacing w:after="0" w:line="193" w:lineRule="exact"/>
        <w:rPr>
          <w:sz w:val="20"/>
          <w:szCs w:val="20"/>
          <w:color w:val="auto"/>
        </w:rPr>
      </w:pPr>
    </w:p>
    <w:p>
      <w:pPr>
        <w:jc w:val="both"/>
        <w:ind w:right="20"/>
        <w:spacing w:after="0" w:line="236" w:lineRule="auto"/>
        <w:rPr>
          <w:sz w:val="20"/>
          <w:szCs w:val="20"/>
          <w:color w:val="auto"/>
        </w:rPr>
      </w:pPr>
      <w:r>
        <w:rPr>
          <w:rFonts w:ascii="Arial" w:cs="Arial" w:eastAsia="Arial" w:hAnsi="Arial"/>
          <w:sz w:val="18"/>
          <w:szCs w:val="18"/>
          <w:color w:val="auto"/>
        </w:rPr>
        <w:t>Factors that could cause actual results to differ materially from those in the forward-looking statements include failure to realise anticipated benefits of the Merger; risks relating to unanticipated costs or liabilities associated with of the Merger; failure or delays in research and development programs; unanticipated changes relating to competitive factors in the Company's industry; risks relating to expectations regarding the capitalisation, resources and ownership structure of the combined organisations; the availability of sufficient resources for combined company operations and to conduct or continue planned clinical development programs; the outcome of any legal proceedings related to the merger; risks related to the ability to correctly estimate operating expenses and expenses associated with the merger; risks related to the ability to project future cash utilisation and reserves needed for contingent future liabilities and business operations; risks related to the Company's ability to hire and retain key personnel; the potential impact of consummation of the Merger on the Company's relationships with third parties; changes in law or regulations affecting the companies; international, national or local economic, social or political conditions that could adversely affect the Company and its business; conditions in the credit markets; risks associated with assumptions the Company makes in connection with its critical accounting estimates and other judgments.</w:t>
      </w:r>
    </w:p>
    <w:p>
      <w:pPr>
        <w:spacing w:after="0" w:line="192" w:lineRule="exact"/>
        <w:rPr>
          <w:sz w:val="20"/>
          <w:szCs w:val="20"/>
          <w:color w:val="auto"/>
        </w:rPr>
      </w:pPr>
    </w:p>
    <w:p>
      <w:pPr>
        <w:jc w:val="both"/>
        <w:ind w:right="20"/>
        <w:spacing w:after="0" w:line="237" w:lineRule="auto"/>
        <w:rPr>
          <w:sz w:val="20"/>
          <w:szCs w:val="20"/>
          <w:color w:val="auto"/>
        </w:rPr>
      </w:pPr>
      <w:r>
        <w:rPr>
          <w:rFonts w:ascii="Arial" w:cs="Arial" w:eastAsia="Arial" w:hAnsi="Arial"/>
          <w:sz w:val="18"/>
          <w:szCs w:val="18"/>
          <w:color w:val="auto"/>
        </w:rPr>
        <w:t>All of our forward-looking statements involve risks and uncertainties (some of which are significant or beyond our control) and assumptions that could cause actual results to differ materially from our historical experience and our present expectations or projections. You should carefully consider the foregoing factors and the other risks and uncertainties that affect the Company's business, including those described in the Company's annual reports, relevant reports and other documents published from time to time by the Company or filed by the Company with the SEC. We wish to caution you not to place undue reliance on any forward-looking statements, which speak only as of the date hereof. We undertake no obligation to publicly update or revise any of our forward-looking statements after the date they are made, whether as a result of new information, future events or otherwise, except to the extent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2019</w:t>
      </w:r>
    </w:p>
    <w:p>
      <w:pPr>
        <w:spacing w:after="0" w:line="248"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MEREO BIOPHARMA GROUP PLC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32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tabs>
          <w:tab w:leader="none" w:pos="74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Denise Scots-Knight</w:t>
      </w:r>
    </w:p>
    <w:p>
      <w:pPr>
        <w:spacing w:after="0" w:line="63" w:lineRule="exact"/>
        <w:rPr>
          <w:sz w:val="20"/>
          <w:szCs w:val="20"/>
          <w:color w:val="auto"/>
        </w:rPr>
      </w:pPr>
    </w:p>
    <w:p>
      <w:pPr>
        <w:ind w:left="6880"/>
        <w:spacing w:after="0"/>
        <w:tabs>
          <w:tab w:leader="none" w:pos="748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2019-12-03T07:59:03Z</dcterms:created>
  <dcterms:modified xsi:type="dcterms:W3CDTF">2019-12-03T07:59:03Z</dcterms:modified>
</cp:coreProperties>
</file>