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As filed with the Securities and Exchange Commission on October 6, 2020</w:t>
      </w:r>
    </w:p>
    <w:p>
      <w:pPr>
        <w:spacing w:after="0" w:line="18" w:lineRule="exact"/>
        <w:rPr>
          <w:sz w:val="24"/>
          <w:szCs w:val="24"/>
          <w:color w:val="auto"/>
        </w:rPr>
      </w:pPr>
    </w:p>
    <w:p>
      <w:pPr>
        <w:ind w:left="85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177800</wp:posOffset>
            </wp:positionV>
            <wp:extent cx="1817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4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F-3</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REGISTRATION STATEMENT</w:t>
      </w:r>
    </w:p>
    <w:p>
      <w:pPr>
        <w:jc w:val="center"/>
        <w:ind w:right="-179"/>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169545</wp:posOffset>
            </wp:positionV>
            <wp:extent cx="1817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24"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MEREO BIOPHARMA GROUP PLC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(Translation of Registrant’s Name into English)</w:t>
      </w:r>
    </w:p>
    <w:p>
      <w:pPr>
        <w:spacing w:after="0" w:line="216" w:lineRule="exact"/>
        <w:rPr>
          <w:sz w:val="24"/>
          <w:szCs w:val="24"/>
          <w:color w:val="auto"/>
        </w:rPr>
      </w:pPr>
    </w:p>
    <w:tbl>
      <w:tblPr>
        <w:tblLayout w:type="fixed"/>
        <w:tblInd w:w="1980" w:type="dxa"/>
        <w:tblCellMar>
          <w:top w:w="0" w:type="dxa"/>
          <w:left w:w="0" w:type="dxa"/>
          <w:bottom w:w="0" w:type="dxa"/>
          <w:right w:w="0" w:type="dxa"/>
        </w:tblCellMar>
      </w:tblPr>
      <w:tr>
        <w:trPr>
          <w:trHeight w:val="230"/>
        </w:trPr>
        <w:tc>
          <w:tcPr>
            <w:tcW w:w="3860" w:type="dxa"/>
            <w:vAlign w:val="bottom"/>
          </w:tcPr>
          <w:p>
            <w:pPr>
              <w:jc w:val="center"/>
              <w:ind w:right="1882"/>
              <w:spacing w:after="0"/>
              <w:rPr>
                <w:sz w:val="20"/>
                <w:szCs w:val="20"/>
                <w:color w:val="auto"/>
              </w:rPr>
            </w:pPr>
            <w:r>
              <w:rPr>
                <w:rFonts w:ascii="Arial" w:cs="Arial" w:eastAsia="Arial" w:hAnsi="Arial"/>
                <w:sz w:val="18"/>
                <w:szCs w:val="18"/>
                <w:b w:val="1"/>
                <w:bCs w:val="1"/>
                <w:color w:val="auto"/>
              </w:rPr>
              <w:t>England and Wales</w:t>
            </w:r>
          </w:p>
        </w:tc>
        <w:tc>
          <w:tcPr>
            <w:tcW w:w="3360" w:type="dxa"/>
            <w:vAlign w:val="bottom"/>
          </w:tcPr>
          <w:p>
            <w:pPr>
              <w:jc w:val="center"/>
              <w:ind w:left="1862"/>
              <w:spacing w:after="0"/>
              <w:rPr>
                <w:sz w:val="20"/>
                <w:szCs w:val="20"/>
                <w:color w:val="auto"/>
              </w:rPr>
            </w:pPr>
            <w:r>
              <w:rPr>
                <w:rFonts w:ascii="Arial" w:cs="Arial" w:eastAsia="Arial" w:hAnsi="Arial"/>
                <w:sz w:val="18"/>
                <w:szCs w:val="18"/>
                <w:b w:val="1"/>
                <w:bCs w:val="1"/>
                <w:color w:val="auto"/>
                <w:w w:val="99"/>
              </w:rPr>
              <w:t>Not Applicable</w:t>
            </w:r>
          </w:p>
        </w:tc>
      </w:tr>
      <w:tr>
        <w:trPr>
          <w:trHeight w:val="162"/>
        </w:trPr>
        <w:tc>
          <w:tcPr>
            <w:tcW w:w="3860" w:type="dxa"/>
            <w:vAlign w:val="bottom"/>
          </w:tcPr>
          <w:p>
            <w:pPr>
              <w:jc w:val="center"/>
              <w:ind w:right="1882"/>
              <w:spacing w:after="0"/>
              <w:rPr>
                <w:sz w:val="20"/>
                <w:szCs w:val="20"/>
                <w:color w:val="auto"/>
              </w:rPr>
            </w:pPr>
            <w:r>
              <w:rPr>
                <w:rFonts w:ascii="Arial" w:cs="Arial" w:eastAsia="Arial" w:hAnsi="Arial"/>
                <w:sz w:val="14"/>
                <w:szCs w:val="14"/>
                <w:color w:val="auto"/>
              </w:rPr>
              <w:t>(State or Other Jurisdiction of</w:t>
            </w:r>
          </w:p>
        </w:tc>
        <w:tc>
          <w:tcPr>
            <w:tcW w:w="3360" w:type="dxa"/>
            <w:vAlign w:val="bottom"/>
          </w:tcPr>
          <w:p>
            <w:pPr>
              <w:jc w:val="center"/>
              <w:ind w:left="1862"/>
              <w:spacing w:after="0"/>
              <w:rPr>
                <w:sz w:val="20"/>
                <w:szCs w:val="20"/>
                <w:color w:val="auto"/>
              </w:rPr>
            </w:pPr>
            <w:r>
              <w:rPr>
                <w:rFonts w:ascii="Arial" w:cs="Arial" w:eastAsia="Arial" w:hAnsi="Arial"/>
                <w:sz w:val="14"/>
                <w:szCs w:val="14"/>
                <w:color w:val="auto"/>
              </w:rPr>
              <w:t>(I.R.S. Employer</w:t>
            </w:r>
          </w:p>
        </w:tc>
      </w:tr>
      <w:tr>
        <w:trPr>
          <w:trHeight w:val="172"/>
        </w:trPr>
        <w:tc>
          <w:tcPr>
            <w:tcW w:w="3860" w:type="dxa"/>
            <w:vAlign w:val="bottom"/>
          </w:tcPr>
          <w:p>
            <w:pPr>
              <w:jc w:val="center"/>
              <w:ind w:right="1882"/>
              <w:spacing w:after="0"/>
              <w:rPr>
                <w:sz w:val="20"/>
                <w:szCs w:val="20"/>
                <w:color w:val="auto"/>
              </w:rPr>
            </w:pPr>
            <w:r>
              <w:rPr>
                <w:rFonts w:ascii="Arial" w:cs="Arial" w:eastAsia="Arial" w:hAnsi="Arial"/>
                <w:sz w:val="14"/>
                <w:szCs w:val="14"/>
                <w:color w:val="auto"/>
              </w:rPr>
              <w:t>Incorporation or Organization)</w:t>
            </w:r>
          </w:p>
        </w:tc>
        <w:tc>
          <w:tcPr>
            <w:tcW w:w="3360" w:type="dxa"/>
            <w:vAlign w:val="bottom"/>
          </w:tcPr>
          <w:p>
            <w:pPr>
              <w:jc w:val="center"/>
              <w:ind w:left="1862"/>
              <w:spacing w:after="0"/>
              <w:rPr>
                <w:sz w:val="20"/>
                <w:szCs w:val="20"/>
                <w:color w:val="auto"/>
              </w:rPr>
            </w:pPr>
            <w:r>
              <w:rPr>
                <w:rFonts w:ascii="Arial" w:cs="Arial" w:eastAsia="Arial" w:hAnsi="Arial"/>
                <w:sz w:val="14"/>
                <w:szCs w:val="14"/>
                <w:color w:val="auto"/>
              </w:rPr>
              <w:t>Identification Number)</w:t>
            </w:r>
          </w:p>
        </w:tc>
      </w:tr>
    </w:tbl>
    <w:p>
      <w:pPr>
        <w:spacing w:after="0" w:line="17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Fourth Floor</w:t>
      </w:r>
    </w:p>
    <w:p>
      <w:pPr>
        <w:spacing w:after="0" w:line="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One Cavendish Place</w:t>
      </w:r>
    </w:p>
    <w:p>
      <w:pPr>
        <w:jc w:val="center"/>
        <w:ind w:right="-179"/>
        <w:spacing w:after="0" w:line="234" w:lineRule="auto"/>
        <w:rPr>
          <w:sz w:val="20"/>
          <w:szCs w:val="20"/>
          <w:color w:val="auto"/>
        </w:rPr>
      </w:pPr>
      <w:r>
        <w:rPr>
          <w:rFonts w:ascii="Arial" w:cs="Arial" w:eastAsia="Arial" w:hAnsi="Arial"/>
          <w:sz w:val="18"/>
          <w:szCs w:val="18"/>
          <w:b w:val="1"/>
          <w:bCs w:val="1"/>
          <w:color w:val="auto"/>
        </w:rPr>
        <w:t>London W1G 0QF UK</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Telephone: +44 33 3023 7300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220345</wp:posOffset>
            </wp:positionV>
            <wp:extent cx="1817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Mereo US Holdings Inc.</w:t>
      </w:r>
    </w:p>
    <w:p>
      <w:pPr>
        <w:spacing w:after="0" w:line="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251 Little Falls Drive</w:t>
      </w:r>
    </w:p>
    <w:p>
      <w:pPr>
        <w:jc w:val="center"/>
        <w:ind w:right="-179"/>
        <w:spacing w:after="0" w:line="234" w:lineRule="auto"/>
        <w:rPr>
          <w:sz w:val="20"/>
          <w:szCs w:val="20"/>
          <w:color w:val="auto"/>
        </w:rPr>
      </w:pPr>
      <w:r>
        <w:rPr>
          <w:rFonts w:ascii="Arial" w:cs="Arial" w:eastAsia="Arial" w:hAnsi="Arial"/>
          <w:sz w:val="18"/>
          <w:szCs w:val="18"/>
          <w:b w:val="1"/>
          <w:bCs w:val="1"/>
          <w:color w:val="auto"/>
        </w:rPr>
        <w:t>Wilmington, DE 19808</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Telephone: +1 302 636 5401</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8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Copies to:</w:t>
      </w: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David S. Bakst</w:t>
      </w:r>
    </w:p>
    <w:p>
      <w:pPr>
        <w:spacing w:after="0" w:line="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Mayer Brown LLP</w:t>
      </w:r>
    </w:p>
    <w:p>
      <w:pPr>
        <w:jc w:val="center"/>
        <w:ind w:right="-179"/>
        <w:spacing w:after="0" w:line="234" w:lineRule="auto"/>
        <w:rPr>
          <w:sz w:val="20"/>
          <w:szCs w:val="20"/>
          <w:color w:val="auto"/>
        </w:rPr>
      </w:pPr>
      <w:r>
        <w:rPr>
          <w:rFonts w:ascii="Arial" w:cs="Arial" w:eastAsia="Arial" w:hAnsi="Arial"/>
          <w:sz w:val="18"/>
          <w:szCs w:val="18"/>
          <w:b w:val="1"/>
          <w:bCs w:val="1"/>
          <w:color w:val="auto"/>
        </w:rPr>
        <w:t>1221 Avenue of the Americas</w:t>
      </w:r>
    </w:p>
    <w:p>
      <w:pPr>
        <w:jc w:val="center"/>
        <w:ind w:right="-179"/>
        <w:spacing w:after="0" w:line="235" w:lineRule="auto"/>
        <w:rPr>
          <w:sz w:val="20"/>
          <w:szCs w:val="20"/>
          <w:color w:val="auto"/>
        </w:rPr>
      </w:pPr>
      <w:r>
        <w:rPr>
          <w:rFonts w:ascii="Arial" w:cs="Arial" w:eastAsia="Arial" w:hAnsi="Arial"/>
          <w:sz w:val="18"/>
          <w:szCs w:val="18"/>
          <w:b w:val="1"/>
          <w:bCs w:val="1"/>
          <w:color w:val="auto"/>
        </w:rPr>
        <w:t>New York, New York 10020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Telephone: +1 212 506 2500</w:t>
      </w:r>
    </w:p>
    <w:p>
      <w:pPr>
        <w:spacing w:after="0" w:line="19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From time to time after the effective date of this Registration Statement.</w:t>
      </w:r>
    </w:p>
    <w:p>
      <w:pPr>
        <w:spacing w:after="0" w:line="180" w:lineRule="exact"/>
        <w:rPr>
          <w:sz w:val="24"/>
          <w:szCs w:val="24"/>
          <w:color w:val="auto"/>
        </w:rPr>
      </w:pPr>
    </w:p>
    <w:p>
      <w:pPr>
        <w:ind w:left="120"/>
        <w:spacing w:after="0" w:line="161" w:lineRule="exact"/>
        <w:tabs>
          <w:tab w:leader="none" w:pos="9660" w:val="left"/>
        </w:tabs>
        <w:rPr>
          <w:sz w:val="20"/>
          <w:szCs w:val="20"/>
          <w:color w:val="auto"/>
        </w:rPr>
      </w:pPr>
      <w:r>
        <w:rPr>
          <w:rFonts w:ascii="Arial" w:cs="Arial" w:eastAsia="Arial" w:hAnsi="Arial"/>
          <w:sz w:val="14"/>
          <w:szCs w:val="14"/>
          <w:color w:val="auto"/>
        </w:rPr>
        <w:t>If only securities being registered on this Form are being offered pursuant to dividend or interest reinvestment plans, please check the following box.</w:t>
      </w:r>
      <w:r>
        <w:rPr>
          <w:sz w:val="20"/>
          <w:szCs w:val="20"/>
          <w:color w:val="auto"/>
        </w:rPr>
        <w:tab/>
      </w:r>
      <w:r>
        <w:rPr>
          <w:rFonts w:ascii="MS PGothic" w:cs="MS PGothic" w:eastAsia="MS PGothic" w:hAnsi="MS PGothic"/>
          <w:sz w:val="12"/>
          <w:szCs w:val="12"/>
          <w:color w:val="auto"/>
        </w:rPr>
        <w:t>☐</w:t>
      </w:r>
    </w:p>
    <w:p>
      <w:pPr>
        <w:spacing w:after="0" w:line="268" w:lineRule="exact"/>
        <w:rPr>
          <w:sz w:val="24"/>
          <w:szCs w:val="24"/>
          <w:color w:val="auto"/>
        </w:rPr>
      </w:pPr>
    </w:p>
    <w:p>
      <w:pPr>
        <w:ind w:left="120" w:right="26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03" w:lineRule="exact"/>
        <w:rPr>
          <w:sz w:val="24"/>
          <w:szCs w:val="24"/>
          <w:color w:val="auto"/>
        </w:rPr>
      </w:pPr>
    </w:p>
    <w:p>
      <w:pPr>
        <w:ind w:left="120" w:right="56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3" w:lineRule="exact"/>
        <w:rPr>
          <w:sz w:val="24"/>
          <w:szCs w:val="24"/>
          <w:color w:val="auto"/>
        </w:rPr>
      </w:pPr>
    </w:p>
    <w:p>
      <w:pPr>
        <w:ind w:left="120" w:right="22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3" w:lineRule="exact"/>
        <w:rPr>
          <w:sz w:val="24"/>
          <w:szCs w:val="24"/>
          <w:color w:val="auto"/>
        </w:rPr>
      </w:pPr>
    </w:p>
    <w:p>
      <w:pPr>
        <w:ind w:left="120"/>
        <w:spacing w:after="0" w:line="176" w:lineRule="exact"/>
        <w:rPr>
          <w:sz w:val="20"/>
          <w:szCs w:val="20"/>
          <w:color w:val="auto"/>
        </w:rPr>
      </w:pPr>
      <w:r>
        <w:rPr>
          <w:rFonts w:ascii="Arial" w:cs="Arial" w:eastAsia="Arial" w:hAnsi="Arial"/>
          <w:sz w:val="14"/>
          <w:szCs w:val="14"/>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203" w:lineRule="exact"/>
        <w:rPr>
          <w:sz w:val="24"/>
          <w:szCs w:val="24"/>
          <w:color w:val="auto"/>
        </w:rPr>
      </w:pPr>
    </w:p>
    <w:p>
      <w:pPr>
        <w:ind w:left="120" w:right="220"/>
        <w:spacing w:after="0" w:line="176"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66" w:lineRule="exact"/>
        <w:rPr>
          <w:sz w:val="24"/>
          <w:szCs w:val="24"/>
          <w:color w:val="auto"/>
        </w:rPr>
      </w:pPr>
    </w:p>
    <w:p>
      <w:pPr>
        <w:ind w:left="120"/>
        <w:spacing w:after="0" w:line="161" w:lineRule="exact"/>
        <w:tabs>
          <w:tab w:leader="none" w:pos="10340" w:val="left"/>
        </w:tabs>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Emerging growth company</w:t>
      </w:r>
      <w:r>
        <w:rPr>
          <w:sz w:val="20"/>
          <w:szCs w:val="20"/>
          <w:color w:val="auto"/>
        </w:rPr>
        <w:tab/>
      </w:r>
      <w:r>
        <w:rPr>
          <w:rFonts w:ascii="MS PGothic" w:cs="MS PGothic" w:eastAsia="MS PGothic" w:hAnsi="MS PGothic"/>
          <w:sz w:val="12"/>
          <w:szCs w:val="12"/>
          <w:color w:val="auto"/>
        </w:rPr>
        <w:t>☒</w:t>
      </w:r>
    </w:p>
    <w:p>
      <w:pPr>
        <w:spacing w:after="0" w:line="268" w:lineRule="exact"/>
        <w:rPr>
          <w:sz w:val="24"/>
          <w:szCs w:val="24"/>
          <w:color w:val="auto"/>
        </w:rPr>
      </w:pPr>
    </w:p>
    <w:p>
      <w:pPr>
        <w:ind w:left="120" w:right="380"/>
        <w:spacing w:after="0" w:line="176"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3" w:lineRule="exact"/>
        <w:rPr>
          <w:sz w:val="24"/>
          <w:szCs w:val="24"/>
          <w:color w:val="auto"/>
        </w:rPr>
      </w:pPr>
    </w:p>
    <w:p>
      <w:pPr>
        <w:ind w:left="120" w:right="60"/>
        <w:spacing w:after="0" w:line="258" w:lineRule="auto"/>
        <w:rPr>
          <w:sz w:val="20"/>
          <w:szCs w:val="20"/>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11080"/>
          </w:cols>
          <w:pgMar w:left="320" w:top="230" w:right="499" w:bottom="193" w:gutter="0" w:footer="0" w:header="0"/>
        </w:sectPr>
      </w:pPr>
    </w:p>
    <w:p>
      <w:pPr>
        <w:spacing w:after="0" w:line="382"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19050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36195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230" w:right="499" w:bottom="193" w:gutter="0" w:footer="0" w:header="0"/>
          <w:type w:val="continuous"/>
        </w:sectPr>
      </w:pPr>
    </w:p>
    <w:bookmarkStart w:id="1" w:name="page2"/>
    <w:bookmarkEnd w:id="1"/>
    <w:tbl>
      <w:tblPr>
        <w:tblLayout w:type="fixed"/>
        <w:tblInd w:w="4" w:type="dxa"/>
        <w:tblCellMar>
          <w:top w:w="0" w:type="dxa"/>
          <w:left w:w="0" w:type="dxa"/>
          <w:bottom w:w="0" w:type="dxa"/>
          <w:right w:w="0" w:type="dxa"/>
        </w:tblCellMar>
      </w:tblPr>
      <w:tr>
        <w:trPr>
          <w:trHeight w:val="161"/>
        </w:trPr>
        <w:tc>
          <w:tcPr>
            <w:tcW w:w="518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Proposed</w:t>
            </w:r>
          </w:p>
        </w:tc>
        <w:tc>
          <w:tcPr>
            <w:tcW w:w="1460" w:type="dxa"/>
            <w:vAlign w:val="bottom"/>
            <w:tcBorders>
              <w:right w:val="single" w:sz="8" w:color="auto"/>
            </w:tcBorders>
          </w:tcPr>
          <w:p>
            <w:pPr>
              <w:spacing w:after="0"/>
              <w:rPr>
                <w:sz w:val="14"/>
                <w:szCs w:val="14"/>
                <w:color w:val="auto"/>
              </w:rPr>
            </w:pPr>
          </w:p>
        </w:tc>
        <w:tc>
          <w:tcPr>
            <w:tcW w:w="1600" w:type="dxa"/>
            <w:vAlign w:val="bottom"/>
          </w:tcPr>
          <w:p>
            <w:pPr>
              <w:spacing w:after="0"/>
              <w:rPr>
                <w:sz w:val="14"/>
                <w:szCs w:val="14"/>
                <w:color w:val="auto"/>
              </w:rPr>
            </w:pPr>
          </w:p>
        </w:tc>
      </w:tr>
      <w:tr>
        <w:trPr>
          <w:trHeight w:val="162"/>
        </w:trPr>
        <w:tc>
          <w:tcPr>
            <w:tcW w:w="518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460" w:type="dxa"/>
            <w:vAlign w:val="bottom"/>
            <w:tcBorders>
              <w:right w:val="single" w:sz="8" w:color="auto"/>
            </w:tcBorders>
          </w:tcPr>
          <w:p>
            <w:pPr>
              <w:jc w:val="center"/>
              <w:ind w:left="204"/>
              <w:spacing w:after="0"/>
              <w:rPr>
                <w:sz w:val="20"/>
                <w:szCs w:val="20"/>
                <w:color w:val="auto"/>
              </w:rPr>
            </w:pPr>
            <w:r>
              <w:rPr>
                <w:rFonts w:ascii="Arial" w:cs="Arial" w:eastAsia="Arial" w:hAnsi="Arial"/>
                <w:sz w:val="14"/>
                <w:szCs w:val="14"/>
                <w:b w:val="1"/>
                <w:bCs w:val="1"/>
                <w:color w:val="auto"/>
              </w:rPr>
              <w:t>Proposed</w:t>
            </w:r>
          </w:p>
        </w:tc>
        <w:tc>
          <w:tcPr>
            <w:tcW w:w="1600" w:type="dxa"/>
            <w:vAlign w:val="bottom"/>
          </w:tcPr>
          <w:p>
            <w:pPr>
              <w:spacing w:after="0"/>
              <w:rPr>
                <w:sz w:val="14"/>
                <w:szCs w:val="14"/>
                <w:color w:val="auto"/>
              </w:rPr>
            </w:pPr>
          </w:p>
        </w:tc>
      </w:tr>
      <w:tr>
        <w:trPr>
          <w:trHeight w:val="162"/>
        </w:trPr>
        <w:tc>
          <w:tcPr>
            <w:tcW w:w="518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jc w:val="center"/>
              <w:ind w:left="104"/>
              <w:spacing w:after="0"/>
              <w:rPr>
                <w:sz w:val="20"/>
                <w:szCs w:val="20"/>
                <w:color w:val="auto"/>
              </w:rPr>
            </w:pPr>
            <w:r>
              <w:rPr>
                <w:rFonts w:ascii="Arial" w:cs="Arial" w:eastAsia="Arial" w:hAnsi="Arial"/>
                <w:sz w:val="14"/>
                <w:szCs w:val="14"/>
                <w:b w:val="1"/>
                <w:bCs w:val="1"/>
                <w:color w:val="auto"/>
              </w:rPr>
              <w:t>Amount</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Offering</w:t>
            </w:r>
          </w:p>
        </w:tc>
        <w:tc>
          <w:tcPr>
            <w:tcW w:w="1460" w:type="dxa"/>
            <w:vAlign w:val="bottom"/>
            <w:tcBorders>
              <w:right w:val="single" w:sz="8" w:color="auto"/>
            </w:tcBorders>
          </w:tcPr>
          <w:p>
            <w:pPr>
              <w:jc w:val="center"/>
              <w:ind w:left="204"/>
              <w:spacing w:after="0"/>
              <w:rPr>
                <w:sz w:val="20"/>
                <w:szCs w:val="20"/>
                <w:color w:val="auto"/>
              </w:rPr>
            </w:pPr>
            <w:r>
              <w:rPr>
                <w:rFonts w:ascii="Arial" w:cs="Arial" w:eastAsia="Arial" w:hAnsi="Arial"/>
                <w:sz w:val="14"/>
                <w:szCs w:val="14"/>
                <w:b w:val="1"/>
                <w:bCs w:val="1"/>
                <w:color w:val="auto"/>
              </w:rPr>
              <w:t>Maximum</w:t>
            </w:r>
          </w:p>
        </w:tc>
        <w:tc>
          <w:tcPr>
            <w:tcW w:w="1600" w:type="dxa"/>
            <w:vAlign w:val="bottom"/>
          </w:tcPr>
          <w:p>
            <w:pPr>
              <w:spacing w:after="0"/>
              <w:rPr>
                <w:sz w:val="14"/>
                <w:szCs w:val="14"/>
                <w:color w:val="auto"/>
              </w:rPr>
            </w:pPr>
          </w:p>
        </w:tc>
      </w:tr>
      <w:tr>
        <w:trPr>
          <w:trHeight w:val="162"/>
        </w:trPr>
        <w:tc>
          <w:tcPr>
            <w:tcW w:w="51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 Of Securities</w:t>
            </w:r>
          </w:p>
        </w:tc>
        <w:tc>
          <w:tcPr>
            <w:tcW w:w="1320" w:type="dxa"/>
            <w:vAlign w:val="bottom"/>
            <w:tcBorders>
              <w:right w:val="single" w:sz="8" w:color="auto"/>
            </w:tcBorders>
          </w:tcPr>
          <w:p>
            <w:pPr>
              <w:jc w:val="center"/>
              <w:ind w:left="84"/>
              <w:spacing w:after="0"/>
              <w:rPr>
                <w:sz w:val="20"/>
                <w:szCs w:val="20"/>
                <w:color w:val="auto"/>
              </w:rPr>
            </w:pPr>
            <w:r>
              <w:rPr>
                <w:rFonts w:ascii="Arial" w:cs="Arial" w:eastAsia="Arial" w:hAnsi="Arial"/>
                <w:sz w:val="14"/>
                <w:szCs w:val="14"/>
                <w:b w:val="1"/>
                <w:bCs w:val="1"/>
                <w:color w:val="auto"/>
              </w:rPr>
              <w:t>To Be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Price</w:t>
            </w:r>
          </w:p>
        </w:tc>
        <w:tc>
          <w:tcPr>
            <w:tcW w:w="1460" w:type="dxa"/>
            <w:vAlign w:val="bottom"/>
            <w:tcBorders>
              <w:right w:val="single" w:sz="8" w:color="auto"/>
            </w:tcBorders>
          </w:tcPr>
          <w:p>
            <w:pPr>
              <w:jc w:val="center"/>
              <w:ind w:left="184"/>
              <w:spacing w:after="0"/>
              <w:rPr>
                <w:sz w:val="20"/>
                <w:szCs w:val="20"/>
                <w:color w:val="auto"/>
              </w:rPr>
            </w:pPr>
            <w:r>
              <w:rPr>
                <w:rFonts w:ascii="Arial" w:cs="Arial" w:eastAsia="Arial" w:hAnsi="Arial"/>
                <w:sz w:val="14"/>
                <w:szCs w:val="14"/>
                <w:b w:val="1"/>
                <w:bCs w:val="1"/>
                <w:color w:val="auto"/>
              </w:rPr>
              <w:t>Aggregate</w:t>
            </w:r>
          </w:p>
        </w:tc>
        <w:tc>
          <w:tcPr>
            <w:tcW w:w="1600" w:type="dxa"/>
            <w:vAlign w:val="bottom"/>
          </w:tcPr>
          <w:p>
            <w:pPr>
              <w:jc w:val="center"/>
              <w:ind w:left="182"/>
              <w:spacing w:after="0"/>
              <w:rPr>
                <w:sz w:val="20"/>
                <w:szCs w:val="20"/>
                <w:color w:val="auto"/>
              </w:rPr>
            </w:pPr>
            <w:r>
              <w:rPr>
                <w:rFonts w:ascii="Arial" w:cs="Arial" w:eastAsia="Arial" w:hAnsi="Arial"/>
                <w:sz w:val="14"/>
                <w:szCs w:val="14"/>
                <w:b w:val="1"/>
                <w:bCs w:val="1"/>
                <w:color w:val="auto"/>
              </w:rPr>
              <w:t>Amount Of</w:t>
            </w:r>
          </w:p>
        </w:tc>
      </w:tr>
      <w:tr>
        <w:trPr>
          <w:trHeight w:val="189"/>
        </w:trPr>
        <w:tc>
          <w:tcPr>
            <w:tcW w:w="5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 Be Registered</w:t>
            </w:r>
          </w:p>
        </w:tc>
        <w:tc>
          <w:tcPr>
            <w:tcW w:w="132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4"/>
                <w:szCs w:val="14"/>
                <w:b w:val="1"/>
                <w:bCs w:val="1"/>
                <w:color w:val="auto"/>
              </w:rPr>
              <w:t>Registered(2)</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Share(3)</w:t>
            </w:r>
          </w:p>
        </w:tc>
        <w:tc>
          <w:tcPr>
            <w:tcW w:w="1460" w:type="dxa"/>
            <w:vAlign w:val="bottom"/>
            <w:tcBorders>
              <w:bottom w:val="single" w:sz="8" w:color="auto"/>
              <w:right w:val="single" w:sz="8" w:color="auto"/>
            </w:tcBorders>
          </w:tcPr>
          <w:p>
            <w:pPr>
              <w:jc w:val="center"/>
              <w:ind w:left="184"/>
              <w:spacing w:after="0"/>
              <w:rPr>
                <w:sz w:val="20"/>
                <w:szCs w:val="20"/>
                <w:color w:val="auto"/>
              </w:rPr>
            </w:pPr>
            <w:r>
              <w:rPr>
                <w:rFonts w:ascii="Arial" w:cs="Arial" w:eastAsia="Arial" w:hAnsi="Arial"/>
                <w:sz w:val="14"/>
                <w:szCs w:val="14"/>
                <w:b w:val="1"/>
                <w:bCs w:val="1"/>
                <w:color w:val="auto"/>
              </w:rPr>
              <w:t>Offering Price(4)</w:t>
            </w:r>
          </w:p>
        </w:tc>
        <w:tc>
          <w:tcPr>
            <w:tcW w:w="1600" w:type="dxa"/>
            <w:vAlign w:val="bottom"/>
            <w:tcBorders>
              <w:bottom w:val="single" w:sz="8" w:color="auto"/>
            </w:tcBorders>
          </w:tcPr>
          <w:p>
            <w:pPr>
              <w:jc w:val="center"/>
              <w:ind w:left="182"/>
              <w:spacing w:after="0"/>
              <w:rPr>
                <w:sz w:val="20"/>
                <w:szCs w:val="20"/>
                <w:color w:val="auto"/>
              </w:rPr>
            </w:pPr>
            <w:r>
              <w:rPr>
                <w:rFonts w:ascii="Arial" w:cs="Arial" w:eastAsia="Arial" w:hAnsi="Arial"/>
                <w:sz w:val="14"/>
                <w:szCs w:val="14"/>
                <w:b w:val="1"/>
                <w:bCs w:val="1"/>
                <w:color w:val="auto"/>
              </w:rPr>
              <w:t>Registration Fee(5)</w:t>
            </w:r>
          </w:p>
        </w:tc>
      </w:tr>
      <w:tr>
        <w:trPr>
          <w:trHeight w:val="196"/>
        </w:trPr>
        <w:tc>
          <w:tcPr>
            <w:tcW w:w="5180" w:type="dxa"/>
            <w:vAlign w:val="bottom"/>
            <w:tcBorders>
              <w:bottom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Ordinary shares, nominal value £ 0.003, per ordinary share(1)</w:t>
            </w:r>
          </w:p>
        </w:tc>
        <w:tc>
          <w:tcPr>
            <w:tcW w:w="13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$200,000,000</w:t>
            </w:r>
          </w:p>
        </w:tc>
        <w:tc>
          <w:tcPr>
            <w:tcW w:w="1460" w:type="dxa"/>
            <w:vAlign w:val="bottom"/>
            <w:tcBorders>
              <w:bottom w:val="single" w:sz="8" w:color="auto"/>
              <w:right w:val="single" w:sz="8" w:color="auto"/>
            </w:tcBorders>
          </w:tcPr>
          <w:p>
            <w:pPr>
              <w:ind w:left="96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center"/>
              <w:ind w:left="204"/>
              <w:spacing w:after="0" w:line="196" w:lineRule="exact"/>
              <w:rPr>
                <w:sz w:val="20"/>
                <w:szCs w:val="20"/>
                <w:color w:val="auto"/>
              </w:rPr>
            </w:pPr>
            <w:r>
              <w:rPr>
                <w:rFonts w:ascii="Arial" w:cs="Arial" w:eastAsia="Arial" w:hAnsi="Arial"/>
                <w:sz w:val="18"/>
                <w:szCs w:val="18"/>
                <w:color w:val="auto"/>
                <w:w w:val="99"/>
              </w:rPr>
              <w:t>$200,000,000</w:t>
            </w:r>
          </w:p>
        </w:tc>
        <w:tc>
          <w:tcPr>
            <w:tcW w:w="1600" w:type="dxa"/>
            <w:vAlign w:val="bottom"/>
            <w:tcBorders>
              <w:bottom w:val="single" w:sz="8" w:color="auto"/>
            </w:tcBorders>
          </w:tcPr>
          <w:p>
            <w:pPr>
              <w:jc w:val="center"/>
              <w:ind w:left="202"/>
              <w:spacing w:after="0" w:line="196" w:lineRule="exact"/>
              <w:rPr>
                <w:sz w:val="20"/>
                <w:szCs w:val="20"/>
                <w:color w:val="auto"/>
              </w:rPr>
            </w:pPr>
            <w:r>
              <w:rPr>
                <w:rFonts w:ascii="Arial" w:cs="Arial" w:eastAsia="Arial" w:hAnsi="Arial"/>
                <w:sz w:val="18"/>
                <w:szCs w:val="18"/>
                <w:color w:val="auto"/>
                <w:w w:val="98"/>
              </w:rPr>
              <w:t>$21,820</w:t>
            </w: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24" w:right="500" w:hanging="424"/>
        <w:spacing w:after="0" w:line="234"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ordinary shares offered are in the form of American Depositary Shares (“ADSs”), with each ADS representing five (5) of our ordinary shares. ADSs issuable upon deposit of the ordinary shares registered hereby have been registered under a separate registration statement on Form F-6 (File No. 333-223890), as amended and a separate registration statement being filed by the Company with the Securities and Exchange Commission on the date hereof.</w:t>
      </w:r>
    </w:p>
    <w:p>
      <w:pPr>
        <w:spacing w:after="0" w:line="2" w:lineRule="exact"/>
        <w:rPr>
          <w:rFonts w:ascii="Arial" w:cs="Arial" w:eastAsia="Arial" w:hAnsi="Arial"/>
          <w:sz w:val="18"/>
          <w:szCs w:val="18"/>
          <w:color w:val="auto"/>
        </w:rPr>
      </w:pPr>
    </w:p>
    <w:p>
      <w:pPr>
        <w:ind w:left="424" w:right="140" w:hanging="424"/>
        <w:spacing w:after="0" w:line="234"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are being registered hereunder such indeterminate number of ordinary shares as may be sold by the registrant as shall have an aggregate initial offering price not to exceed $200,000,000. Pursuant to Rule 416 under the Securities Act of 1933, as amended (the “Securities Act”), the ordinary shares being registered hereunder include such indeterminate number of ordinary shares as may be issuable with respect to the ordinary shares being registered hereunder as a result of share splits, share dividends or similar transactions.</w:t>
      </w:r>
    </w:p>
    <w:p>
      <w:pPr>
        <w:spacing w:after="0" w:line="3" w:lineRule="exact"/>
        <w:rPr>
          <w:rFonts w:ascii="Arial" w:cs="Arial" w:eastAsia="Arial" w:hAnsi="Arial"/>
          <w:sz w:val="18"/>
          <w:szCs w:val="18"/>
          <w:color w:val="auto"/>
        </w:rPr>
      </w:pPr>
    </w:p>
    <w:p>
      <w:pPr>
        <w:ind w:left="424" w:right="540" w:hanging="424"/>
        <w:spacing w:after="0" w:line="234"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offering price per share for the registrant’s ordinary shares will be determined from time to time by the registrant in connection with the issuance by the registrant of the ordinary shares registered hereunder.</w:t>
      </w:r>
    </w:p>
    <w:p>
      <w:pPr>
        <w:spacing w:after="0" w:line="1" w:lineRule="exact"/>
        <w:rPr>
          <w:rFonts w:ascii="Arial" w:cs="Arial" w:eastAsia="Arial" w:hAnsi="Arial"/>
          <w:sz w:val="18"/>
          <w:szCs w:val="18"/>
          <w:color w:val="auto"/>
        </w:rPr>
      </w:pPr>
    </w:p>
    <w:p>
      <w:pPr>
        <w:ind w:left="424" w:right="200" w:hanging="424"/>
        <w:spacing w:after="0" w:line="234"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under the Securities Act. In no event will the aggregate offering price of all securities sold by the registrant from time to time pursuant to this registration statement exceed $200,000,000.</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168910</wp:posOffset>
            </wp:positionV>
            <wp:extent cx="1817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left="4" w:right="220"/>
        <w:spacing w:after="0" w:line="263"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212090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7"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EXPLANATORY NOTE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registration statement contains two prospectuses:</w:t>
      </w:r>
    </w:p>
    <w:p>
      <w:pPr>
        <w:spacing w:after="0" w:line="202" w:lineRule="exact"/>
        <w:rPr>
          <w:sz w:val="20"/>
          <w:szCs w:val="20"/>
          <w:color w:val="auto"/>
        </w:rPr>
      </w:pPr>
    </w:p>
    <w:p>
      <w:pPr>
        <w:ind w:left="980" w:hanging="432"/>
        <w:spacing w:after="0"/>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base prospectus which covers the offering, issuance and sale of up to $200,000,000 of our ADSs;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sales agreement prospectus supplement covering the offering, issuance and sale of up to $50,000,000 of our ADSs that may be issued and sold under the Sales Agreement (the “Sales Agreement”) dated October 6, 2020 between us and SVB Leerink LLC.</w:t>
      </w:r>
    </w:p>
    <w:p>
      <w:pPr>
        <w:spacing w:after="0" w:line="204"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7"/>
          <w:szCs w:val="17"/>
          <w:color w:val="auto"/>
        </w:rPr>
        <w:t>The base prospectus immediately follows this explanatory note. The specific terms of any securities to be offered pursuant to the base prospectus will be specified in a prospectus supplement to the base prospectus. The sales agreement prospectus supplement immediately follows the base prospectus. The $50,000,000 of ADSs that may be offered, issued and sold under the sales agreement prospectus supplement are included in the $200,000,000 of securities that may be offered, issued and sold by the registrant under the base prospectus. Upon termination of the Sales Agreement, any portion of the $50,000,000 included in the sales agreement prospectus supplement that is not sold pursuant to the Sales Agreement will be available for sale in other offerings pursuant to the base prospectus.</w:t>
      </w:r>
    </w:p>
    <w:p>
      <w:pPr>
        <w:sectPr>
          <w:pgSz w:w="11900" w:h="16838" w:orient="portrait"/>
          <w:cols w:equalWidth="0" w:num="1">
            <w:col w:w="11040"/>
          </w:cols>
          <w:pgMar w:left="320" w:top="459" w:right="5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D6284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420" w:type="dxa"/>
            <w:vAlign w:val="bottom"/>
          </w:tcPr>
          <w:p>
            <w:pPr>
              <w:spacing w:after="0"/>
              <w:rPr>
                <w:sz w:val="20"/>
                <w:szCs w:val="20"/>
                <w:color w:val="auto"/>
              </w:rPr>
            </w:pPr>
            <w:r>
              <w:rPr>
                <w:rFonts w:ascii="Arial" w:cs="Arial" w:eastAsia="Arial" w:hAnsi="Arial"/>
                <w:sz w:val="18"/>
                <w:szCs w:val="18"/>
                <w:b w:val="1"/>
                <w:bCs w:val="1"/>
                <w:color w:val="auto"/>
              </w:rPr>
              <w:t>PROSPECTUS (Subject to completion)</w:t>
            </w:r>
          </w:p>
        </w:tc>
        <w:tc>
          <w:tcPr>
            <w:tcW w:w="4600" w:type="dxa"/>
            <w:vAlign w:val="bottom"/>
          </w:tcPr>
          <w:p>
            <w:pPr>
              <w:jc w:val="right"/>
              <w:spacing w:after="0"/>
              <w:rPr>
                <w:sz w:val="20"/>
                <w:szCs w:val="20"/>
                <w:color w:val="auto"/>
              </w:rPr>
            </w:pPr>
            <w:r>
              <w:rPr>
                <w:rFonts w:ascii="Arial" w:cs="Arial" w:eastAsia="Arial" w:hAnsi="Arial"/>
                <w:sz w:val="18"/>
                <w:szCs w:val="18"/>
                <w:b w:val="1"/>
                <w:bCs w:val="1"/>
                <w:color w:val="D6284A"/>
              </w:rPr>
              <w:t>Dated October 6,</w:t>
            </w:r>
          </w:p>
        </w:tc>
      </w:tr>
      <w:tr>
        <w:trPr>
          <w:trHeight w:val="239"/>
        </w:trPr>
        <w:tc>
          <w:tcPr>
            <w:tcW w:w="6420" w:type="dxa"/>
            <w:vAlign w:val="bottom"/>
          </w:tcPr>
          <w:p>
            <w:pPr>
              <w:spacing w:after="0"/>
              <w:rPr>
                <w:sz w:val="20"/>
                <w:szCs w:val="20"/>
                <w:color w:val="auto"/>
              </w:rPr>
            </w:pPr>
          </w:p>
        </w:tc>
        <w:tc>
          <w:tcPr>
            <w:tcW w:w="4600" w:type="dxa"/>
            <w:vAlign w:val="bottom"/>
          </w:tcPr>
          <w:p>
            <w:pPr>
              <w:jc w:val="right"/>
              <w:spacing w:after="0"/>
              <w:rPr>
                <w:sz w:val="20"/>
                <w:szCs w:val="20"/>
                <w:color w:val="auto"/>
              </w:rPr>
            </w:pPr>
            <w:r>
              <w:rPr>
                <w:rFonts w:ascii="Arial" w:cs="Arial" w:eastAsia="Arial" w:hAnsi="Arial"/>
                <w:sz w:val="18"/>
                <w:szCs w:val="18"/>
                <w:b w:val="1"/>
                <w:bCs w:val="1"/>
                <w:color w:val="D6284A"/>
              </w:rPr>
              <w:t>2020</w:t>
            </w:r>
          </w:p>
        </w:tc>
      </w:tr>
      <w:tr>
        <w:trPr>
          <w:trHeight w:val="169"/>
        </w:trPr>
        <w:tc>
          <w:tcPr>
            <w:tcW w:w="6420" w:type="dxa"/>
            <w:vAlign w:val="bottom"/>
            <w:tcBorders>
              <w:bottom w:val="single" w:sz="8" w:color="334998"/>
            </w:tcBorders>
          </w:tcPr>
          <w:p>
            <w:pPr>
              <w:spacing w:after="0"/>
              <w:rPr>
                <w:sz w:val="14"/>
                <w:szCs w:val="14"/>
                <w:color w:val="auto"/>
              </w:rPr>
            </w:pPr>
          </w:p>
        </w:tc>
        <w:tc>
          <w:tcPr>
            <w:tcW w:w="4600" w:type="dxa"/>
            <w:vAlign w:val="bottom"/>
            <w:tcBorders>
              <w:bottom w:val="single" w:sz="8" w:color="334998"/>
            </w:tcBorders>
          </w:tcPr>
          <w:p>
            <w:pPr>
              <w:spacing w:after="0"/>
              <w:rPr>
                <w:sz w:val="14"/>
                <w:szCs w:val="14"/>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342900</wp:posOffset>
            </wp:positionV>
            <wp:extent cx="2554605" cy="9512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5460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American Depositary Shares Representing Ordinary Shares</w:t>
      </w: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offer, from time to time, the ADSs described in this prospectus, for an aggregate offering price of up to $200,000,000.</w:t>
      </w:r>
    </w:p>
    <w:p>
      <w:pPr>
        <w:spacing w:after="0" w:line="320"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We will provide you with the specific amount, price and terms of the applicable offered ADSs in one or more supplements to this prospectus. You should carefully read this prospectus and the applicable prospectus supplement, as well as the documents incorporated or deemed to be incorporated by reference in this prospectus, before you purchase any of the ADSs offered hereby.</w:t>
      </w:r>
    </w:p>
    <w:p>
      <w:pPr>
        <w:spacing w:after="0" w:line="311"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We may offer and sell the ADSs in the same offering or in separate offerings, to or through underwriters, dealers, and agents, or directly to purchasers. The names of any underwriters, dealers, or agents involved in the sale of our ADSs, their compensation and any options to purchase additional ADSs held by them will be described in the applicable prospectus supplement. See “Plan of Distribution.”</w:t>
      </w:r>
    </w:p>
    <w:p>
      <w:pPr>
        <w:spacing w:after="0" w:line="311"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Our ADSs trade on the Nasdaq Global Market (“Nasdaq”) under the symbol “MREO.” In addition, our ordinary shares trade on AIM, a market of the London Stock Exchange, under the symbol “MPH.” On October 5, 2020, the last reported sale price of our ADSs on Nasdaq was $2.44 per ADS.</w:t>
      </w:r>
    </w:p>
    <w:p>
      <w:pPr>
        <w:spacing w:after="0" w:line="311" w:lineRule="exact"/>
        <w:rPr>
          <w:sz w:val="20"/>
          <w:szCs w:val="20"/>
          <w:color w:val="auto"/>
        </w:rPr>
      </w:pPr>
    </w:p>
    <w:p>
      <w:pPr>
        <w:jc w:val="both"/>
        <w:ind w:left="120" w:right="200"/>
        <w:spacing w:after="0"/>
        <w:rPr>
          <w:sz w:val="20"/>
          <w:szCs w:val="20"/>
          <w:color w:val="auto"/>
        </w:rPr>
      </w:pPr>
      <w:r>
        <w:rPr>
          <w:rFonts w:ascii="Arial" w:cs="Arial" w:eastAsia="Arial" w:hAnsi="Arial"/>
          <w:sz w:val="18"/>
          <w:szCs w:val="18"/>
          <w:color w:val="auto"/>
        </w:rPr>
        <w:t>We are both an “emerging growth company” and a “foreign private issuer” as defined under the Securities Act of 1933, as amended (the “Securities Act”), and, as such, are subject to reduced public company reporting requirements. See “Prospectus Summary—Implications of Being an Emerging Growth Company and a Foreign Private Issuer” for additional information.</w:t>
      </w:r>
    </w:p>
    <w:p>
      <w:pPr>
        <w:spacing w:after="0" w:line="289" w:lineRule="exact"/>
        <w:rPr>
          <w:sz w:val="20"/>
          <w:szCs w:val="20"/>
          <w:color w:val="auto"/>
        </w:rPr>
      </w:pPr>
    </w:p>
    <w:p>
      <w:pPr>
        <w:ind w:left="120" w:right="960"/>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Our business and an investment in our ADSs involve significant risks. See “</w:t>
      </w:r>
      <w:hyperlink w:anchor="page1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5 of this prospectus.</w:t>
      </w:r>
    </w:p>
    <w:p>
      <w:pPr>
        <w:spacing w:after="0" w:line="284"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288290</wp:posOffset>
            </wp:positionV>
            <wp:extent cx="18173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4280" w:type="dxa"/>
        <w:tblCellMar>
          <w:top w:w="0" w:type="dxa"/>
          <w:left w:w="0" w:type="dxa"/>
          <w:bottom w:w="0" w:type="dxa"/>
          <w:right w:w="0" w:type="dxa"/>
        </w:tblCellMar>
      </w:tblPr>
      <w:tr>
        <w:trPr>
          <w:trHeight w:val="217"/>
        </w:trPr>
        <w:tc>
          <w:tcPr>
            <w:tcW w:w="1800" w:type="dxa"/>
            <w:vAlign w:val="bottom"/>
          </w:tcPr>
          <w:p>
            <w:pPr>
              <w:spacing w:after="0"/>
              <w:rPr>
                <w:sz w:val="20"/>
                <w:szCs w:val="20"/>
                <w:color w:val="auto"/>
              </w:rPr>
            </w:pPr>
            <w:r>
              <w:rPr>
                <w:rFonts w:ascii="Arial" w:cs="Arial" w:eastAsia="Arial" w:hAnsi="Arial"/>
                <w:sz w:val="18"/>
                <w:szCs w:val="18"/>
                <w:color w:val="auto"/>
              </w:rPr>
              <w:t>Prospectus dated</w:t>
            </w:r>
          </w:p>
        </w:tc>
        <w:tc>
          <w:tcPr>
            <w:tcW w:w="900" w:type="dxa"/>
            <w:vAlign w:val="bottom"/>
          </w:tcPr>
          <w:p>
            <w:pPr>
              <w:jc w:val="right"/>
              <w:spacing w:after="0"/>
              <w:rPr>
                <w:sz w:val="20"/>
                <w:szCs w:val="20"/>
                <w:color w:val="auto"/>
              </w:rPr>
            </w:pPr>
            <w:r>
              <w:rPr>
                <w:rFonts w:ascii="Arial" w:cs="Arial" w:eastAsia="Arial" w:hAnsi="Arial"/>
                <w:sz w:val="18"/>
                <w:szCs w:val="18"/>
                <w:color w:val="auto"/>
              </w:rPr>
              <w:t>, 2020</w:t>
            </w:r>
          </w:p>
        </w:tc>
      </w:tr>
    </w:tbl>
    <w:p>
      <w:pPr>
        <w:sectPr>
          <w:pgSz w:w="11900" w:h="16838" w:orient="portrait"/>
          <w:cols w:equalWidth="0" w:num="1">
            <w:col w:w="11140"/>
          </w:cols>
          <w:pgMar w:left="320" w:top="459"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tc>
        <w:tc>
          <w:tcPr>
            <w:tcW w:w="2320" w:type="dxa"/>
            <w:vAlign w:val="bottom"/>
          </w:tcPr>
          <w:p>
            <w:pPr>
              <w:spacing w:after="0"/>
              <w:rPr>
                <w:sz w:val="20"/>
                <w:szCs w:val="20"/>
                <w:color w:val="auto"/>
              </w:rPr>
            </w:pPr>
          </w:p>
        </w:tc>
      </w:tr>
      <w:tr>
        <w:trPr>
          <w:trHeight w:val="513"/>
        </w:trPr>
        <w:tc>
          <w:tcPr>
            <w:tcW w:w="87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320" w:type="dxa"/>
            <w:vAlign w:val="bottom"/>
          </w:tcPr>
          <w:p>
            <w:pPr>
              <w:spacing w:after="0"/>
              <w:rPr>
                <w:sz w:val="24"/>
                <w:szCs w:val="24"/>
                <w:color w:val="auto"/>
              </w:rPr>
            </w:pPr>
          </w:p>
        </w:tc>
      </w:tr>
      <w:tr>
        <w:trPr>
          <w:trHeight w:val="567"/>
        </w:trPr>
        <w:tc>
          <w:tcPr>
            <w:tcW w:w="8760" w:type="dxa"/>
            <w:vAlign w:val="bottom"/>
          </w:tcPr>
          <w:p>
            <w:pPr>
              <w:ind w:left="1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ABOUT THIS PROSPECTUS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PROSPECTUS SUMMARY</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760" w:type="dxa"/>
            <w:vAlign w:val="bottom"/>
          </w:tcPr>
          <w:p>
            <w:pPr>
              <w:ind w:left="1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CAUTIONARY STATEMENT REGARDING FORWARD-LOOKING STATEMENTS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CAPITALIZATION</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760" w:type="dxa"/>
            <w:vAlign w:val="bottom"/>
          </w:tcPr>
          <w:p>
            <w:pPr>
              <w:ind w:left="1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USE OF PROCEEDS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MATERIAL TAX CONSIDERATIONS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DESCRIPTION OF SHARE CAPITAL</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760" w:type="dxa"/>
            <w:vAlign w:val="bottom"/>
          </w:tcPr>
          <w:p>
            <w:pPr>
              <w:ind w:left="1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DESCRIPTION OF AMERICAN DEPOSITARY SHARES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PLAN OF DISTRIBUTION</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LEGAL MATTERS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760" w:type="dxa"/>
            <w:vAlign w:val="bottom"/>
          </w:tcPr>
          <w:p>
            <w:pPr>
              <w:ind w:left="1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EXPERTS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SERVICE OF PROCESS AND ENFORCEMENT OF LIABILITIES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8760" w:type="dxa"/>
            <w:vAlign w:val="bottom"/>
          </w:tcPr>
          <w:p>
            <w:pPr>
              <w:ind w:left="12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WHERE YOU CAN FIND MORE INFORMATION</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8760" w:type="dxa"/>
            <w:vAlign w:val="bottom"/>
          </w:tcPr>
          <w:p>
            <w:pPr>
              <w:ind w:left="12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INCORPORATION BY REFERENCE</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427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44272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ABOUT THIS PROSPECTUS</w:t>
      </w:r>
    </w:p>
    <w:p>
      <w:pPr>
        <w:spacing w:after="0" w:line="234" w:lineRule="exact"/>
        <w:rPr>
          <w:sz w:val="20"/>
          <w:szCs w:val="20"/>
          <w:color w:val="auto"/>
        </w:rPr>
      </w:pPr>
    </w:p>
    <w:p>
      <w:pPr>
        <w:ind w:left="300" w:right="20" w:firstLine="426"/>
        <w:spacing w:after="0" w:line="236" w:lineRule="auto"/>
        <w:rPr>
          <w:sz w:val="20"/>
          <w:szCs w:val="20"/>
          <w:color w:val="auto"/>
        </w:rPr>
      </w:pPr>
      <w:r>
        <w:rPr>
          <w:rFonts w:ascii="Arial" w:cs="Arial" w:eastAsia="Arial" w:hAnsi="Arial"/>
          <w:sz w:val="18"/>
          <w:szCs w:val="18"/>
          <w:color w:val="auto"/>
        </w:rPr>
        <w:t>This prospectus is part of a shelf registration statement that we filed with the Securities and Exchange Commission, which we refer to as the “SEC,” utilizing a “shelf” registration process. Under this shelf registration process, we may, over time, offer and sell the ADSs described in this prospectus in one or more offerings, up to a total dollar amount of $200,000,000, as described in this prospectus. This prospectus provides you with a general description of the securities that may be offered. Each time we offer securities under this prospectus, we will provide a prospectus supplement or other offering materials that will contain specific information about the terms of that offering. We may also add, update or change information contained in this prospectus by means of a prospectus supplement or by incorporating by reference information that we file or furnish to the SEC. The registration statement that we filed with the SEC includes exhibits that provide more detail on the matters discussed in this prospectus. If the information in this prospectus is inconsistent with a prospectus supplement, you should rely on the information in that prospectus supplement. Please carefully read this prospectus and any prospectus supplement, together with the additional information described under the headings “Where You Can Find More Information” and “Incorporation by Reference,” before purchasing any securities.</w:t>
      </w:r>
    </w:p>
    <w:p>
      <w:pPr>
        <w:spacing w:after="0" w:line="205" w:lineRule="exact"/>
        <w:rPr>
          <w:sz w:val="20"/>
          <w:szCs w:val="20"/>
          <w:color w:val="auto"/>
        </w:rPr>
      </w:pPr>
    </w:p>
    <w:p>
      <w:pPr>
        <w:ind w:left="300" w:right="20" w:firstLine="426"/>
        <w:spacing w:after="0" w:line="237" w:lineRule="auto"/>
        <w:rPr>
          <w:sz w:val="20"/>
          <w:szCs w:val="20"/>
          <w:color w:val="auto"/>
        </w:rPr>
      </w:pPr>
      <w:r>
        <w:rPr>
          <w:rFonts w:ascii="Arial" w:cs="Arial" w:eastAsia="Arial" w:hAnsi="Arial"/>
          <w:sz w:val="18"/>
          <w:szCs w:val="18"/>
          <w:color w:val="auto"/>
        </w:rPr>
        <w:t>You should rely only on the information contained or incorporated by reference in this prospectus, any prospectus supplement and any issuer free writing prospectus. “Incorporated by reference” means that we can disclose important information to you by referring you to another document filed separately with the SEC. We have not authorized any other person to provide you with different information. If anyone provides you with different information, you should not rely on it. We are not making an offer of these securities in any state or jurisdiction where the offer is not permitted. You should only assume that the information in this prospectus or in any prospectus supplement or issuer free writing prospectus is accurate only as of their respective dates. Our business, financial condition, results of operations and prospects may have changed since those dates.</w:t>
      </w:r>
    </w:p>
    <w:p>
      <w:pPr>
        <w:spacing w:after="0" w:line="203"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Throughout this prospectus, and the documents incorporated by reference, unless otherwise designated, the terms “Mereo,” the “Company,” “we,” “us,” and “our” refer to Mereo BioPharma Group plc and our wholly-owned subsidiaries Mereo BioPharma 1 Limited, Mereo BioPharma 2 Limited, Mereo BioPharma 3 Limited, Mereo BioPharma 4 Limited, Mereo BioPharma 5, Inc. (formerly OncoMed Pharmaceuticals, Inc.), Mereo BioPharma Ireland Limited, Mereo US Holdings Inc. and NAVI Subsidiary, Inc. Our consolidated financial statements also treat Mereo BioPharma Group plc Employee Benefit Trust, an employee benefit trust operated by us, as a wholly-owned subsidiary of ours. References in this prospectus to the “Merger” are to the merger of Mereo MergerCo One Inc. and OncoMed Pharmaceuticals, Inc., with OncoMed Pharmaceuticals, Inc. surviving as a wholly-owned subsidiary of Mereo US Holdings Inc., and as an indirect wholly-owned subsidiary of Mereo BioPharma Group plc pursuant to the Agreement and Plan of Merger and Reorganization, dated December 5, 2018, by and among Mereo BioPharma Group plc, Mereo US Holdings Inc., Mereo MergerCo One Inc. and OncoMed Pharmaceuticals,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05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00" w:right="60" w:firstLine="426"/>
        <w:spacing w:after="0" w:line="242" w:lineRule="auto"/>
        <w:rPr>
          <w:sz w:val="20"/>
          <w:szCs w:val="20"/>
          <w:color w:val="auto"/>
        </w:rPr>
      </w:pPr>
      <w:r>
        <w:rPr>
          <w:rFonts w:ascii="Arial" w:cs="Arial" w:eastAsia="Arial" w:hAnsi="Arial"/>
          <w:sz w:val="18"/>
          <w:szCs w:val="18"/>
          <w:i w:val="1"/>
          <w:iCs w:val="1"/>
          <w:color w:val="auto"/>
        </w:rPr>
        <w:t>This summary highlights information contained elsewhere in this prospectus or incorporated by reference herein. This summary may not contain all the information that may be important to you, and we urge you to read this entire prospectus carefully, including the risks related to our business, our industry, investing in our ordinary shares, that we describe under “Risk Factors” and our consolidated financial statements, including the notes thereto, included and incorporated by reference in this prospectus, before deciding to invest in our ADSs.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6" w:lineRule="exact"/>
        <w:rPr>
          <w:sz w:val="20"/>
          <w:szCs w:val="20"/>
          <w:color w:val="auto"/>
        </w:rPr>
      </w:pPr>
    </w:p>
    <w:p>
      <w:pPr>
        <w:ind w:left="300" w:right="20" w:firstLine="426"/>
        <w:spacing w:after="0" w:line="236" w:lineRule="auto"/>
        <w:rPr>
          <w:sz w:val="20"/>
          <w:szCs w:val="20"/>
          <w:color w:val="auto"/>
        </w:rPr>
      </w:pPr>
      <w:r>
        <w:rPr>
          <w:rFonts w:ascii="Arial" w:cs="Arial" w:eastAsia="Arial" w:hAnsi="Arial"/>
          <w:sz w:val="18"/>
          <w:szCs w:val="18"/>
          <w:color w:val="auto"/>
        </w:rPr>
        <w:t>We are a biopharmaceutical company focused on the development and commercialization of innovative therapeutics that aim to improve outcomes for oncology and rare diseases. We have developed a portfolio of six clinical stage product candidates. Our lead oncology product candidate, etigilimab (“Anti-TIGIT”), has completed a Phase 1a dose escalation clinical trial in patients with advanced solid tumors and has been evaluated in a Phase 1b study in combination with nivolumab in select tumor types. Our second oncology product, navicixizumab, for the treatment of late line ovarian cancer, has completed a Phase 1 study and has been partnered with OncXerna Therapeutics, Inc., formerly Oncologie, Inc. Our rare disease product candidates are setrusumab for the treatment of OI and alvelestat for the treatment of severe AATD which is being investigated in an ongoing Phase 2 proof-of-concept study in the U.S. and Europe and expect to report top line data from this study in the second half of 2021. The FDA recently granted Rare Pediatric Disease designation to setrusumab for the treatment of OI. Following the completion of our Phase 2b ASTEROID study, both the FDA and the European Medicines Agency (“EMA”) have agreed on the principles of a design of a single Phase 3 pivotal pediatric study in OI and we plan to form a strategic partnership for the development of setrusumab prior to the initiation of a Phase 3 study.</w:t>
      </w:r>
    </w:p>
    <w:p>
      <w:pPr>
        <w:spacing w:after="0" w:line="204" w:lineRule="exact"/>
        <w:rPr>
          <w:sz w:val="20"/>
          <w:szCs w:val="20"/>
          <w:color w:val="auto"/>
        </w:rPr>
      </w:pPr>
    </w:p>
    <w:p>
      <w:pPr>
        <w:ind w:left="300" w:right="140" w:firstLine="426"/>
        <w:spacing w:after="0" w:line="238" w:lineRule="auto"/>
        <w:rPr>
          <w:sz w:val="20"/>
          <w:szCs w:val="20"/>
          <w:color w:val="auto"/>
        </w:rPr>
      </w:pPr>
      <w:r>
        <w:rPr>
          <w:rFonts w:ascii="Arial" w:cs="Arial" w:eastAsia="Arial" w:hAnsi="Arial"/>
          <w:sz w:val="18"/>
          <w:szCs w:val="18"/>
          <w:color w:val="auto"/>
        </w:rPr>
        <w:t>We plan to develop our product candidates for oncology and rare diseases through the next key clinical milestone and then partner or in selected cases to develop through regulatory approval and potentially commercialization. We plan to partner or sell our other two product candidates (which do not target oncology or rare diseases), acumapimod for the treatment of AECOPD and leflutrozole for the treatment of infertility and HH in obese men, recognizing the need for greater resources to take these product candidates to market.</w:t>
      </w:r>
    </w:p>
    <w:p>
      <w:pPr>
        <w:spacing w:after="0" w:line="202"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Our strategy is selectively to acquire and develop product candidates for oncology and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through asset purchases or exclusive licenses of certain intellectual property rights, six clinical-stage product candidates four of which were in oncology and rare diseases. We acquired four of these six clinical-stage product candidates from large pharmaceutical companies and acquired two in the Merger. We aim to efficiently develop our product candidates through the clinic and have commenced or completed large, randomized Phase 2 clinical trials for four of our product candidates.</w:t>
      </w:r>
    </w:p>
    <w:p>
      <w:pPr>
        <w:spacing w:after="0" w:line="203" w:lineRule="exact"/>
        <w:rPr>
          <w:sz w:val="20"/>
          <w:szCs w:val="20"/>
          <w:color w:val="auto"/>
        </w:rPr>
      </w:pPr>
    </w:p>
    <w:p>
      <w:pPr>
        <w:ind w:left="300" w:right="60" w:firstLine="426"/>
        <w:spacing w:after="0" w:line="238" w:lineRule="auto"/>
        <w:rPr>
          <w:sz w:val="20"/>
          <w:szCs w:val="20"/>
          <w:color w:val="auto"/>
        </w:rPr>
      </w:pPr>
      <w:r>
        <w:rPr>
          <w:rFonts w:ascii="Arial" w:cs="Arial" w:eastAsia="Arial" w:hAnsi="Arial"/>
          <w:sz w:val="18"/>
          <w:szCs w:val="18"/>
          <w:color w:val="auto"/>
        </w:rPr>
        <w:t>Oncology and 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oncology and rare diseases both involve close collaboration with key opinion leaders and investigators. Development of rare disease products generally involves close coordination with the patient organizations and patients are treated at a limited number of specialized sites which helps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320" w:top="459" w:right="6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47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identification of the patient population and enables a small targeted sales infrastructure to commercialize the products in key markets.</w:t>
      </w:r>
    </w:p>
    <w:p>
      <w:pPr>
        <w:spacing w:after="0" w:line="223"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7"/>
          <w:szCs w:val="17"/>
          <w:color w:val="auto"/>
        </w:rPr>
        <w:t>Our team has extensive experience in the pharmaceutical and biotechnology sector in the identification, acquisition, development, manufacturing and commercialization of product candidates in multiple therapeutic areas. Our senior management has long-standing relationships with senior executives of large pharmaceutical and biotechnology companies, which we believe enhances our ability to form strategic partnerships on our product candidates and to identify and acquire additional product candidates.</w:t>
      </w:r>
    </w:p>
    <w:p>
      <w:pPr>
        <w:spacing w:after="0" w:line="167" w:lineRule="exact"/>
        <w:rPr>
          <w:sz w:val="20"/>
          <w:szCs w:val="20"/>
          <w:color w:val="auto"/>
        </w:rPr>
      </w:pPr>
    </w:p>
    <w:p>
      <w:pPr>
        <w:ind w:left="300" w:right="3640"/>
        <w:spacing w:after="0" w:line="372" w:lineRule="auto"/>
        <w:rPr>
          <w:sz w:val="20"/>
          <w:szCs w:val="20"/>
          <w:color w:val="auto"/>
        </w:rPr>
      </w:pPr>
      <w:r>
        <w:rPr>
          <w:rFonts w:ascii="Arial" w:cs="Arial" w:eastAsia="Arial" w:hAnsi="Arial"/>
          <w:sz w:val="18"/>
          <w:szCs w:val="18"/>
          <w:b w:val="1"/>
          <w:bCs w:val="1"/>
          <w:color w:val="auto"/>
        </w:rPr>
        <w:t>Implications of Being an Emerging Growth Company and a Foreign Private Issuer Emerging Growth Company</w:t>
      </w:r>
    </w:p>
    <w:p>
      <w:pPr>
        <w:spacing w:after="0" w:line="1" w:lineRule="exact"/>
        <w:rPr>
          <w:sz w:val="20"/>
          <w:szCs w:val="20"/>
          <w:color w:val="auto"/>
        </w:rPr>
      </w:pPr>
    </w:p>
    <w:p>
      <w:pPr>
        <w:ind w:left="300" w:right="120" w:firstLine="426"/>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(the “JOBS Act”). As an emerging growth company we have chosen to take advantage of certain exemptions from various reporting requirements that are applicable to other publicly traded entities that are not emerging growth companies. These exemptions include:</w:t>
      </w:r>
    </w:p>
    <w:p>
      <w:pPr>
        <w:spacing w:after="0" w:line="193" w:lineRule="exact"/>
        <w:rPr>
          <w:sz w:val="20"/>
          <w:szCs w:val="20"/>
          <w:color w:val="auto"/>
        </w:rPr>
      </w:pPr>
    </w:p>
    <w:p>
      <w:pPr>
        <w:ind w:left="1120" w:hanging="407"/>
        <w:spacing w:after="0"/>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26" w:lineRule="exact"/>
        <w:rPr>
          <w:rFonts w:ascii="MS PGothic" w:cs="MS PGothic" w:eastAsia="MS PGothic" w:hAnsi="MS PGothic"/>
          <w:sz w:val="25"/>
          <w:szCs w:val="25"/>
          <w:color w:val="auto"/>
          <w:vertAlign w:val="superscript"/>
        </w:rPr>
      </w:pPr>
    </w:p>
    <w:p>
      <w:pPr>
        <w:ind w:left="1120" w:right="20" w:hanging="407"/>
        <w:spacing w:after="0" w:line="223" w:lineRule="auto"/>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8" w:lineRule="exact"/>
        <w:rPr>
          <w:rFonts w:ascii="MS PGothic" w:cs="MS PGothic" w:eastAsia="MS PGothic" w:hAnsi="MS PGothic"/>
          <w:sz w:val="25"/>
          <w:szCs w:val="25"/>
          <w:color w:val="auto"/>
          <w:vertAlign w:val="superscript"/>
        </w:rPr>
      </w:pPr>
    </w:p>
    <w:p>
      <w:pPr>
        <w:ind w:left="1120" w:right="120" w:hanging="407"/>
        <w:spacing w:after="0" w:line="218" w:lineRule="auto"/>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submit certain executive compensation matters to shareholder advisory votes, such as “say-on-pay,” “say-on-frequency,” and “say-on-golden parachutes;” and</w:t>
      </w:r>
    </w:p>
    <w:p>
      <w:pPr>
        <w:spacing w:after="0" w:line="27" w:lineRule="exact"/>
        <w:rPr>
          <w:rFonts w:ascii="MS PGothic" w:cs="MS PGothic" w:eastAsia="MS PGothic" w:hAnsi="MS PGothic"/>
          <w:sz w:val="25"/>
          <w:szCs w:val="25"/>
          <w:color w:val="auto"/>
          <w:vertAlign w:val="superscript"/>
        </w:rPr>
      </w:pPr>
    </w:p>
    <w:p>
      <w:pPr>
        <w:ind w:left="1120" w:right="380" w:hanging="407"/>
        <w:spacing w:after="0" w:line="223" w:lineRule="auto"/>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204" w:lineRule="exact"/>
        <w:rPr>
          <w:sz w:val="20"/>
          <w:szCs w:val="20"/>
          <w:color w:val="auto"/>
        </w:rPr>
      </w:pPr>
    </w:p>
    <w:p>
      <w:pPr>
        <w:ind w:left="300" w:right="160" w:firstLine="426"/>
        <w:spacing w:after="0" w:line="234" w:lineRule="auto"/>
        <w:rPr>
          <w:sz w:val="20"/>
          <w:szCs w:val="20"/>
          <w:color w:val="auto"/>
        </w:rPr>
      </w:pPr>
      <w:r>
        <w:rPr>
          <w:rFonts w:ascii="Arial" w:cs="Arial" w:eastAsia="Arial" w:hAnsi="Arial"/>
          <w:sz w:val="18"/>
          <w:szCs w:val="18"/>
          <w:color w:val="auto"/>
        </w:rPr>
        <w:t>We may take advantage of these provisions until the earliest of: (i) the last day of the first fiscal year in which our annual gross revenues exceed $1.07 billion; (ii) the last day of 2024; (iii) the date that we become a “large accelerated filer” as defined in Rule 12b-2 under the Exchange Act, which would occur if the market value of our common equity held by non-affiliates exceeds</w:t>
      </w:r>
    </w:p>
    <w:p>
      <w:pPr>
        <w:spacing w:after="0" w:line="2" w:lineRule="exact"/>
        <w:rPr>
          <w:sz w:val="20"/>
          <w:szCs w:val="20"/>
          <w:color w:val="auto"/>
        </w:rPr>
      </w:pPr>
    </w:p>
    <w:p>
      <w:pPr>
        <w:ind w:left="300" w:right="520"/>
        <w:spacing w:after="0" w:line="246" w:lineRule="auto"/>
        <w:rPr>
          <w:sz w:val="20"/>
          <w:szCs w:val="20"/>
          <w:color w:val="auto"/>
        </w:rPr>
      </w:pPr>
      <w:r>
        <w:rPr>
          <w:rFonts w:ascii="Arial" w:cs="Arial" w:eastAsia="Arial" w:hAnsi="Arial"/>
          <w:sz w:val="18"/>
          <w:szCs w:val="18"/>
          <w:color w:val="auto"/>
        </w:rPr>
        <w:t>$700 million as of the last business day of our most recently completed second fiscal quarter; or (iv) the date on which we have issued more than $1.0 billion in non-convertible debt securities during any three-year period.</w:t>
      </w:r>
    </w:p>
    <w:p>
      <w:pPr>
        <w:spacing w:after="0" w:line="197" w:lineRule="exact"/>
        <w:rPr>
          <w:sz w:val="20"/>
          <w:szCs w:val="20"/>
          <w:color w:val="auto"/>
        </w:rPr>
      </w:pPr>
    </w:p>
    <w:p>
      <w:pPr>
        <w:ind w:left="300" w:right="180" w:firstLine="426"/>
        <w:spacing w:after="0" w:line="246" w:lineRule="auto"/>
        <w:rPr>
          <w:sz w:val="20"/>
          <w:szCs w:val="20"/>
          <w:color w:val="auto"/>
        </w:rPr>
      </w:pPr>
      <w:r>
        <w:rPr>
          <w:rFonts w:ascii="Arial" w:cs="Arial" w:eastAsia="Arial" w:hAnsi="Arial"/>
          <w:sz w:val="18"/>
          <w:szCs w:val="18"/>
          <w:color w:val="auto"/>
        </w:rPr>
        <w:t>As a result, we do not know if some investors will find our ADSs less attractive. The result may be a less active trading market for our ADSs, and the price of our ADSs may become more volatile.</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Private Issuer</w:t>
      </w:r>
    </w:p>
    <w:p>
      <w:pPr>
        <w:spacing w:after="0" w:line="126" w:lineRule="exact"/>
        <w:rPr>
          <w:sz w:val="20"/>
          <w:szCs w:val="20"/>
          <w:color w:val="auto"/>
        </w:rPr>
      </w:pPr>
    </w:p>
    <w:p>
      <w:pPr>
        <w:ind w:left="300" w:right="60" w:firstLine="426"/>
        <w:spacing w:after="0"/>
        <w:rPr>
          <w:sz w:val="20"/>
          <w:szCs w:val="20"/>
          <w:color w:val="auto"/>
        </w:rPr>
      </w:pPr>
      <w:r>
        <w:rPr>
          <w:rFonts w:ascii="Arial" w:cs="Arial" w:eastAsia="Arial" w:hAnsi="Arial"/>
          <w:sz w:val="18"/>
          <w:szCs w:val="18"/>
          <w:color w:val="auto"/>
        </w:rPr>
        <w:t>We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30" w:lineRule="exact"/>
        <w:rPr>
          <w:sz w:val="20"/>
          <w:szCs w:val="20"/>
          <w:color w:val="auto"/>
        </w:rPr>
      </w:pPr>
    </w:p>
    <w:p>
      <w:pPr>
        <w:ind w:left="1120" w:right="260" w:hanging="407"/>
        <w:spacing w:after="0" w:line="218" w:lineRule="auto"/>
        <w:tabs>
          <w:tab w:leader="none" w:pos="112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320" w:top="459" w:right="6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07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31070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20" w:right="140" w:hanging="407"/>
        <w:spacing w:after="0" w:line="218" w:lineRule="auto"/>
        <w:tabs>
          <w:tab w:leader="none" w:pos="112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27" w:lineRule="exact"/>
        <w:rPr>
          <w:rFonts w:ascii="MS PGothic" w:cs="MS PGothic" w:eastAsia="MS PGothic" w:hAnsi="MS PGothic"/>
          <w:sz w:val="25"/>
          <w:szCs w:val="25"/>
          <w:color w:val="auto"/>
          <w:vertAlign w:val="superscript"/>
        </w:rPr>
      </w:pPr>
    </w:p>
    <w:p>
      <w:pPr>
        <w:ind w:left="1120" w:hanging="407"/>
        <w:spacing w:after="0" w:line="229" w:lineRule="auto"/>
        <w:tabs>
          <w:tab w:leader="none" w:pos="1120" w:val="left"/>
        </w:tabs>
        <w:numPr>
          <w:ilvl w:val="0"/>
          <w:numId w:val="5"/>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203" w:lineRule="exact"/>
        <w:rPr>
          <w:sz w:val="20"/>
          <w:szCs w:val="20"/>
          <w:color w:val="auto"/>
        </w:rPr>
      </w:pPr>
    </w:p>
    <w:p>
      <w:pPr>
        <w:ind w:left="300" w:right="300" w:firstLine="426"/>
        <w:spacing w:after="0" w:line="238"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5" w:lineRule="exact"/>
        <w:rPr>
          <w:sz w:val="20"/>
          <w:szCs w:val="20"/>
          <w:color w:val="auto"/>
        </w:rPr>
      </w:pPr>
    </w:p>
    <w:p>
      <w:pPr>
        <w:jc w:val="both"/>
        <w:ind w:left="300" w:right="100" w:firstLine="426"/>
        <w:spacing w:after="0"/>
        <w:rPr>
          <w:sz w:val="20"/>
          <w:szCs w:val="20"/>
          <w:color w:val="auto"/>
        </w:rPr>
      </w:pPr>
      <w:r>
        <w:rPr>
          <w:rFonts w:ascii="Arial" w:cs="Arial" w:eastAsia="Arial" w:hAnsi="Arial"/>
          <w:sz w:val="18"/>
          <w:szCs w:val="18"/>
          <w:color w:val="auto"/>
        </w:rPr>
        <w:t>As a foreign private issuer, we are permitted to follow the corporate governance practices of our home country in lieu of certain provisions of the Nasdaq. We therefore follow U.K. corporate governance practices in lieu of certain Nasdaq corporate governance requirements including the requirement to seek shareholder approval for a specified issuance of securities.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left="300" w:right="220" w:firstLine="426"/>
        <w:spacing w:after="0" w:line="237"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registered office address is Fourth Floor, One Cavendish Place, London, W1G 0QF, United Kingdom and our telephone number is +44 (0) 33 3023 7300. Our website address is www.mereobiopharma.com. The information contained on, or that can be accessed from, our website does not form part of this prospectus. Our agent for service of process in the United States is Mereo US Holdings Inc.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59"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3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Investing in our securities involves significant risks. Before making an investment decision, you should carefully consider the risks described below and under “Risk Factors” under Item 3.D. – “Risk Factors” in our most recent Annual Report on Form 20-F, and any updates in our Reports on Form 6-K, together with all of the other information appearing in this prospectus or incorporated by reference into this prospectus,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w:t>
      </w:r>
    </w:p>
    <w:p>
      <w:pPr>
        <w:spacing w:after="0" w:line="185"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may identify additional material weaknesses in the future that may cause us to fail to meet our reporting obligations or result in material misstatements of our financial statements. If we fail to remediate our material weakness or if we fail to establish and maintain an effective system of internal control over financial reporting, we may not be able to report our financial results accurately or to prevent fraud.</w:t>
      </w:r>
    </w:p>
    <w:p>
      <w:pPr>
        <w:spacing w:after="0" w:line="196"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Section 404 of the Sarbanes-Oxley Act of 2002 requires management of public companies to develop and implement internal controls over financial reporting and evaluate the effectiveness thereof.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203"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During the six months ended June 30, 2020 the understaffing of our accounting department was driven primarily by the departure of several members of our accounting department following the departure of our former chief financial officer which was announced on March 27, 2020 and occurred on July 31, 2020. As a result. in connection with the preparation of our unaudited interim condensed consolidated financial statements as of and for the six month period ended June 30, 2020, we identified a material weakness in our internal controls related to the lack of IFRS technical accounting skills due to an understaffed accounting department and a lack of effective management review controls, including controls over complex accounting transactions as part of our overall financial statement close process.</w:t>
      </w:r>
    </w:p>
    <w:p>
      <w:pPr>
        <w:spacing w:after="0" w:line="20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In response to such material weakness, we are in the process hiring a full-time chief financial officer and will then expand our accounting and financial department to include professionals with the experience and knowledge necessary to review technical IFRS accounting matters and perform appropriate review procedures over future financial statement close processes to address the material weakness identified. Although we are working to remediate the material weakness as quickly and efficiently as possible, we cannot at this time estimate how long it will take, and our initiatives may not prove to be successful in remediating the material weakness. If we are unable to successfully remediate our identified material weakness, if we discover additional material weaknesses or if we otherwise are unable to report our financial statements accurately or in a timely manner, we would be required to continue disclosing such material weaknesses in future filings with the SEC, which could adversely affect our business, investor confidence in our company and the market price of our ordinary shares and ADSs and could subject us to litigation or regulatory enforcement actions. As a result, shareholders could lose confidence in our financial and other public reporting, which would harm our business and the market value of our ordinary shares and ADSs.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This prospectus and the documents incorporated into it contain statements that constitute forward-looking statements. Many of these forward-looking statements can be identified by the use of forward-looking words such as “anticipate,” “believe,” “could,” “estimate,” “expect,” “intend,” “plan,” “potential” and “should,” among others.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Forward-looking statements appear in a number of places in this prospectus and the documents incorporated into it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39" w:lineRule="exact"/>
        <w:rPr>
          <w:sz w:val="20"/>
          <w:szCs w:val="20"/>
          <w:color w:val="auto"/>
        </w:rPr>
      </w:pPr>
    </w:p>
    <w:p>
      <w:pPr>
        <w:ind w:left="980" w:right="58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attributes and benefits of our product candidates and their competitive position;</w:t>
      </w:r>
    </w:p>
    <w:p>
      <w:pPr>
        <w:spacing w:after="0" w:line="26" w:lineRule="exact"/>
        <w:rPr>
          <w:rFonts w:ascii="MS PGothic" w:cs="MS PGothic" w:eastAsia="MS PGothic" w:hAnsi="MS PGothic"/>
          <w:sz w:val="25"/>
          <w:szCs w:val="25"/>
          <w:color w:val="auto"/>
          <w:vertAlign w:val="superscript"/>
        </w:rPr>
      </w:pPr>
    </w:p>
    <w:p>
      <w:pPr>
        <w:ind w:left="980" w:right="44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partner or sell our two product candidates, acumapimod for the treatment of AECOPD and leflutrozole for the treatment of infertility and HH in obese men, on attractive terms or at all;</w:t>
      </w:r>
    </w:p>
    <w:p>
      <w:pPr>
        <w:spacing w:after="0" w:line="27" w:lineRule="exact"/>
        <w:rPr>
          <w:rFonts w:ascii="MS PGothic" w:cs="MS PGothic" w:eastAsia="MS PGothic" w:hAnsi="MS PGothic"/>
          <w:sz w:val="25"/>
          <w:szCs w:val="25"/>
          <w:color w:val="auto"/>
          <w:vertAlign w:val="superscript"/>
        </w:rPr>
      </w:pPr>
    </w:p>
    <w:p>
      <w:pPr>
        <w:ind w:left="980" w:right="30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26"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volatility in the price of our ordinary shares and ADSs if the shares sold through our recent private placements are sold on the market;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being subject to ongoing regulatory obligations if our products secure regulatory approval;</w:t>
      </w:r>
    </w:p>
    <w:p>
      <w:pPr>
        <w:spacing w:after="0" w:line="26" w:lineRule="exact"/>
        <w:rPr>
          <w:rFonts w:ascii="MS PGothic" w:cs="MS PGothic" w:eastAsia="MS PGothic" w:hAnsi="MS PGothic"/>
          <w:sz w:val="25"/>
          <w:szCs w:val="25"/>
          <w:color w:val="auto"/>
          <w:vertAlign w:val="superscript"/>
        </w:rPr>
      </w:pPr>
    </w:p>
    <w:p>
      <w:pPr>
        <w:ind w:left="980" w:right="86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patient market size of any diseases and market adoption of our products by physicians and patients;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our patent portfolio;</w:t>
      </w:r>
    </w:p>
    <w:p>
      <w:pPr>
        <w:spacing w:after="0" w:line="26" w:lineRule="exact"/>
        <w:rPr>
          <w:rFonts w:ascii="MS PGothic" w:cs="MS PGothic" w:eastAsia="MS PGothic" w:hAnsi="MS PGothic"/>
          <w:sz w:val="25"/>
          <w:szCs w:val="25"/>
          <w:color w:val="auto"/>
          <w:vertAlign w:val="superscript"/>
        </w:rPr>
      </w:pPr>
    </w:p>
    <w:p>
      <w:pPr>
        <w:ind w:left="980" w:right="34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COVID-19 pandemic and the associated disruptions that could materially impact our business including planned clinical developments and our ongoing clinical studies;</w:t>
      </w:r>
    </w:p>
    <w:p>
      <w:pPr>
        <w:spacing w:after="0" w:line="27" w:lineRule="exact"/>
        <w:rPr>
          <w:rFonts w:ascii="MS PGothic" w:cs="MS PGothic" w:eastAsia="MS PGothic" w:hAnsi="MS PGothic"/>
          <w:sz w:val="25"/>
          <w:szCs w:val="25"/>
          <w:color w:val="auto"/>
          <w:vertAlign w:val="superscript"/>
        </w:rPr>
      </w:pPr>
    </w:p>
    <w:p>
      <w:pPr>
        <w:ind w:left="980" w:right="20" w:hanging="432"/>
        <w:spacing w:after="0" w:line="218"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United Kingdom’s withdrawal from the European Union could lead to increased market volatility, make it more difficult for us to do business in Europe or have other adverse effects on our business;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key personnel and recruit additional qualified personnel;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manage growth;</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integrate and realize the benefits of our past or future strategic acquisitions or investments;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 factors discussed under “Risk Factors.”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3"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You should read this prospectus and the documents that we incorporate by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table below sets forth our capitalization, cash and short-term deposits as of June 30, 2020, the latest date for which we have unaudited financial statements and the information below available to us. The following information should be read in conjunction with the consolidated financial statements and related notes incorporated by reference in this prospectus. For more details on how you can obtain the documents incorporated by reference in this prospectus, see “Where You Can Find More Information” and “Incorporation by Reference”.</w:t>
      </w:r>
    </w:p>
    <w:p>
      <w:pPr>
        <w:spacing w:after="0" w:line="2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For the convenience of the reader, we have translated pound sterling amounts in the table below into U.S. dollars at an exchange rate of £0.811 to US$1.00, the exchange rate for pound sterling on June 30, 2020. These translations should not be considered representations that any such amounts have been, could have been or could be converted into U.S. dollars at that or any other exchange rate as of that or any other date.</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left="534"/>
              <w:spacing w:after="0"/>
              <w:rPr>
                <w:sz w:val="20"/>
                <w:szCs w:val="20"/>
                <w:color w:val="auto"/>
              </w:rPr>
            </w:pPr>
            <w:r>
              <w:rPr>
                <w:rFonts w:ascii="Arial" w:cs="Arial" w:eastAsia="Arial" w:hAnsi="Arial"/>
                <w:sz w:val="14"/>
                <w:szCs w:val="14"/>
                <w:b w:val="1"/>
                <w:bCs w:val="1"/>
                <w:color w:val="auto"/>
              </w:rPr>
              <w:t>Unaudited</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jc w:val="center"/>
              <w:ind w:right="10"/>
              <w:spacing w:after="0" w:line="155" w:lineRule="exact"/>
              <w:rPr>
                <w:sz w:val="20"/>
                <w:szCs w:val="20"/>
                <w:color w:val="auto"/>
              </w:rPr>
            </w:pPr>
            <w:r>
              <w:rPr>
                <w:rFonts w:ascii="Arial" w:cs="Arial" w:eastAsia="Arial" w:hAnsi="Arial"/>
                <w:sz w:val="14"/>
                <w:szCs w:val="14"/>
                <w:b w:val="1"/>
                <w:bCs w:val="1"/>
                <w:color w:val="auto"/>
              </w:rPr>
              <w:t>As of June 30, 2020</w:t>
            </w:r>
          </w:p>
        </w:tc>
        <w:tc>
          <w:tcPr>
            <w:tcW w:w="1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5"/>
          </w:tcPr>
          <w:p>
            <w:pPr>
              <w:jc w:val="center"/>
              <w:ind w:right="1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56,821</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70,037</w:t>
            </w:r>
          </w:p>
        </w:tc>
        <w:tc>
          <w:tcPr>
            <w:tcW w:w="120" w:type="dxa"/>
            <w:vAlign w:val="bottom"/>
            <w:shd w:val="clear" w:color="auto" w:fill="CCEEFF"/>
          </w:tcPr>
          <w:p>
            <w:pPr>
              <w:spacing w:after="0"/>
              <w:rPr>
                <w:sz w:val="17"/>
                <w:szCs w:val="17"/>
                <w:color w:val="auto"/>
              </w:rPr>
            </w:pPr>
          </w:p>
        </w:tc>
      </w:tr>
      <w:tr>
        <w:trPr>
          <w:trHeight w:val="20"/>
        </w:trPr>
        <w:tc>
          <w:tcPr>
            <w:tcW w:w="57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700" w:type="dxa"/>
            <w:vAlign w:val="bottom"/>
            <w:gridSpan w:val="2"/>
          </w:tcPr>
          <w:p>
            <w:pPr>
              <w:spacing w:after="0" w:line="196" w:lineRule="exact"/>
              <w:rPr>
                <w:sz w:val="20"/>
                <w:szCs w:val="20"/>
                <w:color w:val="auto"/>
              </w:rPr>
            </w:pPr>
            <w:r>
              <w:rPr>
                <w:rFonts w:ascii="Arial" w:cs="Arial" w:eastAsia="Arial" w:hAnsi="Arial"/>
                <w:sz w:val="18"/>
                <w:szCs w:val="18"/>
                <w:color w:val="auto"/>
              </w:rPr>
              <w:t>Total interest bearing loans and borrowings</w:t>
            </w:r>
          </w:p>
        </w:tc>
        <w:tc>
          <w:tcPr>
            <w:tcW w:w="2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14,506</w:t>
            </w:r>
          </w:p>
        </w:tc>
        <w:tc>
          <w:tcPr>
            <w:tcW w:w="340" w:type="dxa"/>
            <w:vAlign w:val="bottom"/>
          </w:tcPr>
          <w:p>
            <w:pPr>
              <w:spacing w:after="0"/>
              <w:rPr>
                <w:sz w:val="17"/>
                <w:szCs w:val="17"/>
                <w:color w:val="auto"/>
              </w:rPr>
            </w:pP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17,880</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2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35,757</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44,074</w:t>
            </w:r>
          </w:p>
        </w:tc>
        <w:tc>
          <w:tcPr>
            <w:tcW w:w="120" w:type="dxa"/>
            <w:vAlign w:val="bottom"/>
            <w:shd w:val="clear" w:color="auto" w:fill="CCEEFF"/>
          </w:tcPr>
          <w:p>
            <w:pPr>
              <w:spacing w:after="0"/>
              <w:rPr>
                <w:sz w:val="17"/>
                <w:szCs w:val="17"/>
                <w:color w:val="auto"/>
              </w:rPr>
            </w:pPr>
          </w:p>
        </w:tc>
      </w:tr>
      <w:tr>
        <w:trPr>
          <w:trHeight w:val="209"/>
        </w:trPr>
        <w:tc>
          <w:tcPr>
            <w:tcW w:w="57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Issued capital</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1,016</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1,253</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EBT shares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(1,305)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(1,608)</w:t>
            </w: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Share premium</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161,785</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199,417</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Other capital reserves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127,727</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157,437</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loss</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(270,681)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(333,643)</w:t>
            </w:r>
          </w:p>
        </w:tc>
      </w:tr>
      <w:tr>
        <w:trPr>
          <w:trHeight w:val="203"/>
        </w:trPr>
        <w:tc>
          <w:tcPr>
            <w:tcW w:w="20" w:type="dxa"/>
            <w:vAlign w:val="bottom"/>
          </w:tcPr>
          <w:p>
            <w:pPr>
              <w:spacing w:after="0"/>
              <w:rPr>
                <w:sz w:val="17"/>
                <w:szCs w:val="17"/>
                <w:color w:val="auto"/>
              </w:rPr>
            </w:pPr>
          </w:p>
        </w:tc>
        <w:tc>
          <w:tcPr>
            <w:tcW w:w="5680" w:type="dxa"/>
            <w:vAlign w:val="bottom"/>
          </w:tcPr>
          <w:p>
            <w:pPr>
              <w:ind w:left="160"/>
              <w:spacing w:after="0" w:line="202" w:lineRule="exact"/>
              <w:rPr>
                <w:sz w:val="20"/>
                <w:szCs w:val="20"/>
                <w:color w:val="auto"/>
              </w:rPr>
            </w:pPr>
            <w:r>
              <w:rPr>
                <w:rFonts w:ascii="Arial" w:cs="Arial" w:eastAsia="Arial" w:hAnsi="Arial"/>
                <w:sz w:val="18"/>
                <w:szCs w:val="18"/>
                <w:color w:val="auto"/>
              </w:rPr>
              <w:t>Other reserves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4,875</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6,009</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Translation reserve</w:t>
            </w:r>
          </w:p>
        </w:tc>
        <w:tc>
          <w:tcPr>
            <w:tcW w:w="2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825</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1,017</w:t>
            </w:r>
          </w:p>
        </w:tc>
        <w:tc>
          <w:tcPr>
            <w:tcW w:w="1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Total equity</w:t>
            </w:r>
          </w:p>
        </w:tc>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29,882</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74,505</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91,836</w:t>
            </w: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The number of ordinary shares indicated as issued and outstanding above is based on 338,713,962 ordinary shares outstanding as of June 30, 2020. As of June 30, 2020, our net tangible book value was negative £7.6 million.</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320" w:top="459" w:right="5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Unless otherwise indicated in a prospectus supplement, the net proceeds from our sale of the ADSs will be used for advancing our clinical development programs, general corporate purposes and other business opportunities.</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MATERIAL TAX CONSIDERATIONS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following is a discussion of the material U.S. federal income tax consequences to U.S. Holders (as defined below) of owning and disposing of the ADSs or ordinary shares, but it does not purport to be a comprehensive description of all tax considerations that may be relevant to a particular person’s decision to acquire the ADSs or ordinary shares. This discussion applies only to a U.S. Holder that acquires ADSs in this offering and holds the ADSs or ordinary shares as capital assets for U.S. federal income tax purposes. In addition, it does not describe all of the tax consequences that may be relevant in light of the U.S. Holder’s particular circumstances, including any estate, gift, alternative minimum or Medicare contribution tax consequences, any state, local or non-U.S. tax considerations, and any tax consequences applicable to U.S. Holders subject to special rules, such as:</w:t>
      </w:r>
    </w:p>
    <w:p>
      <w:pPr>
        <w:spacing w:after="0" w:line="194" w:lineRule="exact"/>
        <w:rPr>
          <w:sz w:val="20"/>
          <w:szCs w:val="20"/>
          <w:color w:val="auto"/>
        </w:rPr>
      </w:pPr>
    </w:p>
    <w:p>
      <w:pPr>
        <w:ind w:left="980" w:hanging="432"/>
        <w:spacing w:after="0"/>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other financial institutions;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real estate investment trusts or regulated investment companies;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dealers or traders in securities that use a mark-to-market method of tax accounting;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as part of a straddle, integrated transaction or similar transaction;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entities or arrangements treated as partnerships for U.S. federal income tax purposes and their partners or investors;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entities, “individual retirement accounts” or “Roth IRAs”;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S corporations;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former citizens or residents of the United States;</w:t>
      </w:r>
    </w:p>
    <w:p>
      <w:pPr>
        <w:spacing w:after="0" w:line="26" w:lineRule="exact"/>
        <w:rPr>
          <w:rFonts w:ascii="MS PGothic" w:cs="MS PGothic" w:eastAsia="MS PGothic" w:hAnsi="MS PGothic"/>
          <w:sz w:val="25"/>
          <w:szCs w:val="25"/>
          <w:color w:val="auto"/>
          <w:vertAlign w:val="superscript"/>
        </w:rPr>
      </w:pPr>
    </w:p>
    <w:p>
      <w:pPr>
        <w:ind w:left="980" w:right="380" w:hanging="432"/>
        <w:spacing w:after="0" w:line="218"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that is subject to special tax accounting rules under section 451(b) of the U.S. Internal Revenue Code of 1986, as amended (the “Code”);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own or are deemed to own 10% or more of our stock by vote or value;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ADSs or ordinary shares in connection with a trade or business outside the United States.</w:t>
      </w:r>
    </w:p>
    <w:p>
      <w:pPr>
        <w:spacing w:after="0" w:line="202"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If a partnership (or other entity that is classified as a partnership for U.S. federal income tax purposes) owns the ADSs or ordinary shares, the U.S. federal income tax treatment of a partner will generally depend on the status of the partner and the activities of the partner and the partnership. Partnerships owning the ADSs or ordinary shares and partners in such partnerships should consult their tax advisers as to the particular U.S. federal income tax consequences of owning and disposing of the ADSs or ordinary shares.</w:t>
      </w:r>
    </w:p>
    <w:p>
      <w:pPr>
        <w:spacing w:after="0" w:line="205"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Persons that own or are deemed to own 10% or more of our stock by vote or value should consult their tax advisers regarding the application of the “controlled foreign corporation” rules to their ownership of our ADSs or ordinary shares.</w:t>
      </w:r>
    </w:p>
    <w:p>
      <w:pPr>
        <w:spacing w:after="0" w:line="19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This discussion is based on the Code, administrative pronouncements, judicial decisions, and final, temporary and proposed Treasury regulations, all as of the date hereof, any of which is subject to change, possibly with retroactive effect. We have not sought and do not intend to seek any ruling from the Internal Revenue Service (the “IRS”) with respect to the U.S. federal income tax consequences described herein and there can be no assurance that the IRS or a court will not take a contrary position.</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As used herein, a “U.S. Holder” is a person that, for U.S. federal income tax purposes, is a beneficial owner of our ADSs or ordinary shares and is:</w:t>
      </w:r>
    </w:p>
    <w:p>
      <w:pPr>
        <w:spacing w:after="0" w:line="188" w:lineRule="exact"/>
        <w:rPr>
          <w:sz w:val="20"/>
          <w:szCs w:val="20"/>
          <w:color w:val="auto"/>
        </w:rPr>
      </w:pPr>
    </w:p>
    <w:p>
      <w:pPr>
        <w:ind w:left="980" w:hanging="432"/>
        <w:spacing w:after="0"/>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individual who is a citizen or resident of the United States;</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18"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estate the income of which is subject to U.S. federal income taxation regardless of its source; or</w:t>
      </w:r>
    </w:p>
    <w:p>
      <w:pPr>
        <w:spacing w:after="0" w:line="26" w:lineRule="exact"/>
        <w:rPr>
          <w:rFonts w:ascii="MS PGothic" w:cs="MS PGothic" w:eastAsia="MS PGothic" w:hAnsi="MS PGothic"/>
          <w:sz w:val="25"/>
          <w:szCs w:val="25"/>
          <w:color w:val="auto"/>
          <w:vertAlign w:val="superscript"/>
        </w:rPr>
      </w:pPr>
    </w:p>
    <w:p>
      <w:pPr>
        <w:ind w:left="980" w:right="140" w:hanging="432"/>
        <w:spacing w:after="0" w:line="223" w:lineRule="auto"/>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that (i) is subject to the primary supervision of a court within the United States and subject to the control of one or more U.S. persons for all substantial decisions or (ii) has a valid election in effect under applicable U.S. Treasury regulations to be treated as a U.S. person.</w:t>
      </w:r>
    </w:p>
    <w:p>
      <w:pPr>
        <w:spacing w:after="0" w:line="204"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our ADSs or ordinary shares in their particular circumstances.</w:t>
      </w:r>
    </w:p>
    <w:p>
      <w:pPr>
        <w:spacing w:after="0" w:line="197" w:lineRule="exact"/>
        <w:rPr>
          <w:sz w:val="20"/>
          <w:szCs w:val="20"/>
          <w:color w:val="auto"/>
        </w:rPr>
      </w:pPr>
    </w:p>
    <w:p>
      <w:pPr>
        <w:ind w:left="120" w:right="480" w:firstLine="440"/>
        <w:spacing w:after="0"/>
        <w:rPr>
          <w:sz w:val="20"/>
          <w:szCs w:val="20"/>
          <w:color w:val="auto"/>
        </w:rPr>
      </w:pPr>
      <w:r>
        <w:rPr>
          <w:rFonts w:ascii="Arial" w:cs="Arial" w:eastAsia="Arial" w:hAnsi="Arial"/>
          <w:sz w:val="18"/>
          <w:szCs w:val="18"/>
          <w:color w:val="auto"/>
        </w:rPr>
        <w:t>For U.S. federal income tax purposes, a beneficial owner of our ADSs generally will be treated as the owner of the underlying ordinary shares represented by such ADSs. Accordingly, gain or loss will generally not be recognized if a U.S. Holder exchanges our ADSs for the underlying ordinary shares.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26"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Special U.S. tax rules apply to U.S. Holders of stock in a company that is considered to be a passive foreign investment company (a “PFIC”). In general, a non-U.S. corporation will be a PFIC for any taxable year in which (i) 75% or more of its gross income consists of passive income (the “income test”)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generally treated as an active asset to the extent attributable to activities intended to produce active income.</w:t>
      </w:r>
    </w:p>
    <w:p>
      <w:pPr>
        <w:spacing w:after="0" w:line="20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Based on our gross income, the average value of our assets, including goodwill, and the nature of the current stage of our business, we believe we were a PFIC for the taxable year ended December 31, 2019. There can be no assurance regarding our PFIC status for the current taxable year or any particular year in the future because PFIC status is factual in nature, depends upon factors not wholly within our control, generally cannot be determined until the close of the taxable year in question and is determined annually. Accordingly, U.S. Holders should invest in our ADSs only if they are willing to bear the U.S. federal income tax consequences associated with investments in PFICs.</w:t>
      </w:r>
    </w:p>
    <w:p>
      <w:pPr>
        <w:spacing w:after="0" w:line="20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We will provide the information necessary for a U.S. Holder to make a qualifying electing fund election (“QEF Election”) with respect to us and we will also use our best efforts to cause each Lower-tier PFIC (as defined below) that we control to provide such information. We intend to provide this information for any taxable year during which our only income is interest income or income from financial investments and for any other taxable year for which we determine that we were a PFIC. However, no assurance can be given that such QEF information will be available for any Lower-tier PFIC that we do not wholly-own. We will post the information necessary to make QEF Elections on our</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website. If we are a PFIC for any taxable year, the consequences to any U.S. Holder will depend in part on whether the U.S. Holder makes a valid QEF Election or mark-to-market election as described below.</w:t>
      </w:r>
    </w:p>
    <w:p>
      <w:pPr>
        <w:spacing w:after="0" w:line="197" w:lineRule="exact"/>
        <w:rPr>
          <w:sz w:val="20"/>
          <w:szCs w:val="20"/>
          <w:color w:val="auto"/>
        </w:rPr>
      </w:pPr>
    </w:p>
    <w:p>
      <w:pPr>
        <w:jc w:val="both"/>
        <w:ind w:left="120" w:right="20" w:firstLine="440"/>
        <w:spacing w:after="0" w:line="248" w:lineRule="auto"/>
        <w:rPr>
          <w:sz w:val="20"/>
          <w:szCs w:val="20"/>
          <w:color w:val="auto"/>
        </w:rPr>
      </w:pPr>
      <w:r>
        <w:rPr>
          <w:rFonts w:ascii="Arial" w:cs="Arial" w:eastAsia="Arial" w:hAnsi="Arial"/>
          <w:sz w:val="17"/>
          <w:szCs w:val="17"/>
          <w:color w:val="auto"/>
        </w:rPr>
        <w:t>If we are a PFIC for any taxable year and any of our non-U.S. subsidiaries or other companies in which we own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w:t>
      </w:r>
    </w:p>
    <w:p>
      <w:pPr>
        <w:spacing w:after="0" w:line="2" w:lineRule="exact"/>
        <w:rPr>
          <w:sz w:val="20"/>
          <w:szCs w:val="20"/>
          <w:color w:val="auto"/>
        </w:rPr>
      </w:pPr>
    </w:p>
    <w:p>
      <w:pPr>
        <w:ind w:left="120" w:right="320" w:hanging="4"/>
        <w:spacing w:after="0" w:line="246" w:lineRule="auto"/>
        <w:tabs>
          <w:tab w:leader="none" w:pos="33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distributions by a Lower-tier PFIC and (ii) dispositions of shares of Lower-tier PFICs, in each case as if the U.S. Holders held such shares directly, even though the U.S. Holders had not received the proceeds of those distributions or dispositions.</w:t>
      </w:r>
    </w:p>
    <w:p>
      <w:pPr>
        <w:spacing w:after="0" w:line="197"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Generally, if we were a PFIC for any taxable year during which a U.S. Holder holds our ADSs or ordinary shares and the U.S. Holder does not make a valid QEF Election or a mark-to-market election (described below), gain recognized upon a disposition (including, under certain circumstances, a pledge) of our ADSs or ordinary shares by the U.S. Holder will be allocated ratably over the U.S. Holder’s holding period for such ADSs or ordinary shares. The amounts allocated to the taxable year of disposition and to years before we became a PFIC will be taxed as ordinary income. The amounts allocated to each other taxable year will be subject to tax at the highest rate in effect for that taxable year for individuals or corporations, as applicable, and an interest charge will be imposed on the resulting tax liability for each relevant taxable year. Further, to the extent that any distribution received by a U.S. Holder on our ADSs or ordinary shares exceeds 125% of the average of the annual distributions received on such securities during the preceding three years or the U.S. Holder’s holding period, whichever is shorter (an “excess distribution”), such excess distribution will be subject to taxation in the same manner. If we are a PFIC for any taxable year during which a U.S. Holder owns our ADSs or ordinary shares, we will generally continue to be treated as a PFIC with respect to such U.S. Holder for all succeeding years during which such U.S. Holder owns our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would allow them to eliminate the continuing PFIC status under certain circumstances.</w:t>
      </w:r>
    </w:p>
    <w:p>
      <w:pPr>
        <w:spacing w:after="0" w:line="21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To avoid the foregoing rules, a U.S. Holder can make a QEF Election to treat us and each Lower-tier PFIC as a qualified electing fund in the first taxable year that the entity is treated as a PFIC with respect to the U.S. Holder. A U.S. Holder must make the QEF Election for each PFIC by attaching a separate properly completed IRS Form 8621 for that PFIC to the U.S. Holder’s timely filed U.S. federal income tax return. A U.S. Holder making a QEF election other than for the first taxable year in which it owns (or is treated as owning) an equity interest in a PFIC would continue to be subject to the rules described in the preceding paragraph with respect to such PFIC, unless the U.S. Holder makes a “deemed sale” election with respect to the PFIC and recognizes gain taxed under the general PFIC rules described above with respect to the PFIC stock’s appreciation before the year for which the QEF Election is made.</w:t>
      </w:r>
    </w:p>
    <w:p>
      <w:pPr>
        <w:spacing w:after="0" w:line="185"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 xml:space="preserve">If a U.S. Holder makes a QEF Election with respect to a PFIC, the U.S. Holder will be taxed on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PFIC’s ordinary earnings and net capital gain (at ordinary income and capital gain rates, respectively) for each taxable year that the entity is a PFIC. If a U.S. Holder makes a QEF Election with respect to us, any distributions we pay out of our earnings and profits that were previously included in the U.S. Holder’s income under the QEF Election would not be taxable to the U.S. Holder. A U.S. Holder will increase its tax basis in its ADSs or ordinary shares by an amount equal to any 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340"/>
        <w:spacing w:after="0"/>
        <w:rPr>
          <w:sz w:val="20"/>
          <w:szCs w:val="20"/>
          <w:color w:val="auto"/>
        </w:rPr>
      </w:pPr>
      <w:r>
        <w:rPr>
          <w:rFonts w:ascii="Arial" w:cs="Arial" w:eastAsia="Arial" w:hAnsi="Arial"/>
          <w:sz w:val="18"/>
          <w:szCs w:val="18"/>
          <w:color w:val="auto"/>
        </w:rPr>
        <w:t>the difference between the amount realized and the U.S. Holder’s adjusted tax basis in the ADSs or ordinary shares, as determined in U.S. dollars. A. U.S. Holder will not be taxed on the ordinary income and net capital gain under the qualified electing fund rules for any year that we are not a PFIC.</w:t>
      </w:r>
    </w:p>
    <w:p>
      <w:pPr>
        <w:spacing w:after="0" w:line="203"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Based on the nature of our expected income, the expected composition of our assets, and our business prospects, we do not currently expect to have significant ordinary earnings or net capital gain in any taxable year in which we may be a PFIC. However, it is difficult to predict the nature and composition of our income and assets and the value of our assets in light of the volatile nature of earnings patterns of emerging pharmaceutical or biotechnology companies such as us. Accordingly, U.S. Holders should note that if they make QEF Elections with respect to us and our subsidiaries, they may be required to pay U.S. federal income tax with respect to their ADSs or ordinary shares for any taxable year in which we have a positive amount of earnings or net capital gains even if we do not make any distributions in such year. U.S. Holders should consult their tax advisers regarding the advisability of making QEF Elections in their particular circumstances.</w:t>
      </w:r>
    </w:p>
    <w:p>
      <w:pPr>
        <w:spacing w:after="0" w:line="208"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 xml:space="preserve">Alternatively, if we are a PFIC for any taxable year and if our ADSs or ordinary shares are “regularly traded” on a “qualified exchange,” a U.S. Holder could make a mark-to-market election that will result in tax treatment different from the general tax treatment described in the two preceding paragraphs. Our ADSs and/or ordinary shares will be treated as “regularly traded” in any calendar year in which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quantity of the ADSs and/or ordinary shares are traded on a qualified exchange on at least 15 days during each calendar quarter. NASDAQ, on which the ADSs are listed, is a qualified exchange for this purpose. The Internal Revenue Service has not identified specific non-U.S. exchanges that are “qualified” for this purpose. If a U.S. Holder makes a valid mark-to-market election, the U.S. Holder generally will recognize as ordinary income any excess of the fair market value of its ADSs or ordinary shares at the end of each taxable year over the adjusted tax basis of such ADSs or ordinary shares, and will recognize an ordinary loss in respect of any excess of the adjusted tax basis of its ADSs or ordinary shares over their fair market value at the end of the taxable year (but only to the extent of the net amount of income previously included as a result of the mark-to-market election). If a U.S. Holder makes the election, the U.S. Holder’s tax basis in our ADSs or ordinary shares will be adjusted to reflect these income or loss amounts. Any gain recognized on the sale or other disposition of our ADSs or ordinary shares in a year in which we are a PFIC will be treated as ordinary income and any loss will be treated as an ordinary loss (but only to the extent of the net amount of income previously included as a result of the mark-to-market election). If a valid mark-to-market election is made for any year in which we are a PFIC, distributions will be treated as described below under “—Taxation of Distributions” except that the preferential tax rates on dividends paid to non-corporate U.S. Holders will not apply. U.S. Holders will not be able to make a mark-to-market election with respect to Lower-tier PFICs, if any. U.S. Holders should consult their tax advisers as to the availability and desirability of a mark-to-market election in their particular circumstances if we are a PFIC for any taxable year.</w:t>
      </w:r>
    </w:p>
    <w:p>
      <w:pPr>
        <w:spacing w:after="0" w:line="21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a U.S. Holder owns our ADSs or ordinary shares during any year in which we are a PFIC, the U.S. Holder generally will be required to file annual reports on IRS Form 8621 (or any successor form) with respect to us and any Lower-tier PFIC, generally with the U.S. Holder’s U.S. federal income tax return for that year. U.S. Holders should consult their tax advisers regarding our PFIC status for any taxable year and the potential application of the PFIC rules to an investment in our ADSs or ordinary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26"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This discussion under “—Taxation of Distributions” is subject to the PFIC rules described in “—Passive Foreign Investment Company Rules” above. Distributions paid on ADSs or ordinary shares, other than certain pro rata distributions of our ordinary shares, will be treated as dividends to the extent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paid out of our current or accumulated earnings and profits, as determined under U.S. federal income tax principles. Distributions in excess of our current and accumulated earnings and profits will be treated first as a tax-free return of capital to the extent of the U.S. Holder’s basis in the ADSs or ordinary shares and then as capital gain. For any taxable year in which we do not maintain calculations of our earnings and profits under U.S. federal income tax principles, it is expected that any distributions generally will be reported to U.S. Holders as dividends. Dividends will not be eligible for the dividends-received deduction generally available to U.S. corporations under the Code. Subject to applicable limitations, dividends paid to certain non-corporate U.S. Holders may be eligible for taxation at a preferential tax rate provided that we were not a PFIC for the taxable year in which the dividend is paid or the prior taxable year. Non-corporate U.S. Holders should consult their tax advisers regarding the availability of this preferential rate in the light of the discussion in “—Passive Foreign Investment Company Rules” above and their particular circumstances.</w:t>
      </w:r>
    </w:p>
    <w:p>
      <w:pPr>
        <w:spacing w:after="0" w:line="20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If dividend payments in respect of our ADSs or ordinary shares are made in a currency other than the U.S. dollar, the amount of the dividend distribution that a U.S. Holder must include in income will be the U.S. dollar value of the payments made in such other currency, determined at the spot U.S. dollar exchange rate on the date the dividend distribution is includible in income, regardless of whether the payment is in fact converted into U.S. dollars. Generally, if the foreign currency received as a dividend is not converted into U.S. dollars on the date of receipt, any gain or loss resulting from currency exchange fluctuations during the period from the date the dividend payment is includible in income to the date the payment is actually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U.S. Holders are urged to consult their tax advisers regarding the tax consequences of receiving, converting or disposing of any non-U.S. currency, received or deemed received as dividends on our ADSs or ordinary shares or on the sale or retirement of an ADS or an ordinary share.</w:t>
      </w:r>
    </w:p>
    <w:p>
      <w:pPr>
        <w:spacing w:after="0" w:line="206"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Dividends will be included in a U.S. Holder’s income on the date of the U.S. Holder’s, or in the case of our ADSs, the depositary’s, receipt. Dividends generally will be income from non-U.S. sources, which may be relevant in calculating a U.S. Holder’s foreign tax credit limitation. Subject to certain conditions and limitations, non-U.S. tax withheld, if any, on dividends may be deducted from such U.S. Holder’s taxable income or credited against such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a U.S. Holder does not satisfy certain minimum holding period requirements. The rules relating to the determination of the foreign tax credit are complex, and U.S. Holders are urged to consult their tax advisers to determine whether and to what extent such U.S. Holder will be entitled to a foreign tax credit.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12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Except as described under “—Passive Foreign Investment Company Rules” above, a U.S. Holder will generally recognize capital gain or loss on a sale or other taxable disposition of our ADSs or ordinary shares in an amount equal to the difference between the amount realized on the sale or disposition and the U.S. Holder’s tax basis in the ADSs or ordinary shares disposed of, in each case as determined in U.S. dollars. A U.S. Holder’s initial tax basis in the ADSs or ordinary shares will generally equal the cost of such ADSs or ordinary shares. If a U.S. Holder used foreign currency to purchase the ADSs or ordinary shares, the cost of the ADSs or ordinary shares will be the U.S. dollar value of the foreign currency purchase price on the date of purchase, translated at the spot rate of exchange on that date. Any such gain or loss will be long-term capital gain or loss if at the time of the sale or disposition the U.S. Holder has owned our ADSs or ordinary shares for more than one year. Long-term</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capital gains recognized by non-corporate U.S. Holders may be subject to a tax rate that is lower than the applicable ordinary income rate. The deductibility of capital losses is subject to limitations. Any capital gain or loss recognized upon the sale or disposition of the ADSs or ordinary shares will generally be treated as U.S.-source income for foreign tax credit limitation purposes. U.S. Holders should consult their tax advisers regarding the proper treatment of gain or loss, the availability of a foreign tax credit, and, for U.S. Holders that sell the ADSs or ordinary shares for an amount denominated in a currency other than the U.S. dollar, any potential foreign currency gain or loss that may have to be recognized.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general, payments of dividends and proceeds from the sale or other disposition of our ADSs or ordinary shares that are made within the United States or through certain U.S.-related financial intermediaries may be subject to information reporting and backup withholding, unless (i) in the case of information reporting,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generally will be allowed as a credit against the U.S. Holder’s U.S. federal income tax liability and may entitle it to a refund, provided that the required information is timely furnished to the IRS. U.S. Holders should consult their tax advisers regarding the application of the information reporting and backup withholding rules.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Certain U.S. Holders who are individuals (or certain specified entities) may be required to report information relating to their ownership of our ADSs or ordinary shares, or non-U.S. accounts through which our ADSs or ordinary shares are held, subject to certain exceptions. Penalties and potential other adverse tax consequences may be imposed if a U.S. Holder is required to submit such information to the IRS and fails to do so. U.S. Holders should consult their tax advisers regarding their reporting obligations with respect to our ADSs or ordinary shares.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United Kingdom Tax Considerations</w:t>
      </w:r>
    </w:p>
    <w:p>
      <w:pPr>
        <w:spacing w:after="0" w:line="12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following is a description of the material U.K. tax considerations relating primarily to the ownership and disposal of our ADSs or ordinary shares by the U.S. Holders described above. The U.K. tax comments set out below are based on current U.K. tax law as applied in England and Wales, and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our ADSs or ordinary shares for the purposes of a trade, profession or vocation that you carry on in the U.K. through a branch, agency or permanent establishment in the U.K. and if you hold our ADSs or ordinary shares as an investment for U.K. tax purposes and are not subject to special rules.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This summary does not address all possible tax consequences relating to an investment in our ADSs or ordinary shares. In particular it does not cover the U.K. inheritance tax consequences of holding our ADSs or ordinary shares. It assumes that DTC has not made an election under section 97A(1) of the Finance Act 1986. It assumes that we do not (and will not at any time) derive 75% or more of our qualifying asset value, directly or indirectly, from U.K. land, and that we are and remain solely resident in the U.K. for tax purposes. This summary is for general information only and is not intended to be, nor should it be considered to be, legal or tax advice to any particular holder. Holders of our ADSs or ordinary shares are strongly urged to consult their tax advisers in connection with the U.K. tax consequences of their investment in our ADSs.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Taxation of Dividends</w:t>
      </w:r>
    </w:p>
    <w:p>
      <w:pPr>
        <w:spacing w:after="0" w:line="126"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Mereo will not be required to withhold amounts for or on account of U.K. tax at source when paying a dividend in respect of its ADSs or ordinary shares.</w:t>
      </w:r>
    </w:p>
    <w:p>
      <w:pPr>
        <w:spacing w:after="0" w:line="19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Holders who hold our ADSs or ordinary shares as an investment, who are not resident in the U.K. for U.K. tax purposes and who do not hold their ADSs or ordinary shares in connection with any trade, profession or vocation carried on by them in the U.K. through a branch, agency or permanent establishment in the U.K. should not be subject to U.K. tax in respect of any dividends on our ADSs or ordinary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Taxation of Capital Gains</w:t>
      </w:r>
    </w:p>
    <w:p>
      <w:pPr>
        <w:spacing w:after="0" w:line="126"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An individual holder who is not resident in the U.K. for U.K. tax purposes should not be liable to U.K. capital gains tax on capital gains realized on the disposal of their ADSs or ordinary shares unless such holder carries on a trade, profession or vocation in the U.K. through a branch or agency in the U.K. to which ADSs or ordinary shares are attributable.</w:t>
      </w:r>
    </w:p>
    <w:p>
      <w:pPr>
        <w:spacing w:after="0" w:line="203" w:lineRule="exact"/>
        <w:rPr>
          <w:sz w:val="20"/>
          <w:szCs w:val="20"/>
          <w:color w:val="auto"/>
        </w:rPr>
      </w:pPr>
    </w:p>
    <w:p>
      <w:pPr>
        <w:ind w:left="120" w:right="540" w:firstLine="440"/>
        <w:spacing w:after="0" w:line="274" w:lineRule="auto"/>
        <w:rPr>
          <w:sz w:val="20"/>
          <w:szCs w:val="20"/>
          <w:color w:val="auto"/>
        </w:rPr>
      </w:pPr>
      <w:r>
        <w:rPr>
          <w:rFonts w:ascii="Arial" w:cs="Arial" w:eastAsia="Arial" w:hAnsi="Arial"/>
          <w:sz w:val="17"/>
          <w:szCs w:val="17"/>
          <w:color w:val="auto"/>
        </w:rPr>
        <w:t>Any such individual holder of our ADSs or ordinary shares who is temporarily non-resident for U.K. tax purposes will, in certain circumstances, become liable to U.K. tax on capital gains in respect of gains realized while they were not resident in the U.K.</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corporate holder of our ADSs or ordinary shares which is not resident in the U.K. for U.K. tax purposes should not be liable for U.K.</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corporation tax on chargeable gains realized on the disposal of our ADSs or ordinary shares unless it carries on a trade in the U.K.</w:t>
      </w:r>
    </w:p>
    <w:p>
      <w:pPr>
        <w:ind w:left="120"/>
        <w:spacing w:after="0"/>
        <w:rPr>
          <w:sz w:val="20"/>
          <w:szCs w:val="20"/>
          <w:color w:val="auto"/>
        </w:rPr>
      </w:pPr>
      <w:r>
        <w:rPr>
          <w:rFonts w:ascii="Arial" w:cs="Arial" w:eastAsia="Arial" w:hAnsi="Arial"/>
          <w:sz w:val="18"/>
          <w:szCs w:val="18"/>
          <w:color w:val="auto"/>
        </w:rPr>
        <w:t>through a permanent establishment in the U.K. to which our ADSs or ordinary shares are attributable.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statements apply to all holders, regardless of their jurisdiction of tax residence.</w:t>
      </w:r>
    </w:p>
    <w:p>
      <w:pPr>
        <w:spacing w:after="0" w:line="21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It is assumed for the purposes of the following statements that all transfers or, or agreements to transfer, our ordinary shares are only made at times when (i) our ordinary shares are admitted to trading on AIM but are not listed on any market (with the term “listed” being construed in accordance with section 99A of the Finance Act 1986) and (ii) AIM continues to be accepted as a “recognized growth market” (as construed in accordance with section 99A of the Finance Act 1986). Holders of our ADSs who acquire ordinary shares upon cancelling their ADSs and then propose to transfer, or agree to transfer, our ordinary shares during such time as these conditions are not met (including during any period between the creation and issue of our ADSs and the admission to trading of our ordinary shares on AIM) are strongly urged to obtain their own advice.</w:t>
      </w:r>
    </w:p>
    <w:p>
      <w:pPr>
        <w:spacing w:after="0" w:line="20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No stamp duty is payable on the issue of our ordinary shares into a depositary receipt system (such as, Mereo understands, that operated by Citibank) or a clearance service (such as, Mereo understands, DTC). No stamp duty reserve tax (“SDRT”) should be payable on the issue of our ordinary shares into a depositary receipt system or a clearance service. Accordingly, no stamp duty or SDRT should be payable on the creation and issue of our ADSs pursuant to the issue of our ordinary shares to Citibank’s custodian.</w:t>
      </w:r>
    </w:p>
    <w:p>
      <w:pPr>
        <w:spacing w:after="0" w:line="205"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No stamp duty or SDRT should be payable on transfers of, or agreements to transfer, our ordinary shares into a depositary receipt system or a clearance service.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SDRT or stamp duty should be payable on paperless transfers of, or agreements to transfer, our ADSs through the facilities of</w:t>
      </w:r>
    </w:p>
    <w:p>
      <w:pPr>
        <w:ind w:left="120"/>
        <w:spacing w:after="0"/>
        <w:rPr>
          <w:sz w:val="20"/>
          <w:szCs w:val="20"/>
          <w:color w:val="auto"/>
        </w:rPr>
      </w:pPr>
      <w:r>
        <w:rPr>
          <w:rFonts w:ascii="Arial" w:cs="Arial" w:eastAsia="Arial" w:hAnsi="Arial"/>
          <w:sz w:val="18"/>
          <w:szCs w:val="18"/>
          <w:color w:val="auto"/>
        </w:rPr>
        <w:t>DTC.</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No stamp duty should be payable on a written instrument transferring, or a written agreement to transfer, our ADSs provided the instrument or agreement is executed and remains at all times outside the U.K. No SDRT should be payable in respect of agreements to transfer our ADSs.</w:t>
      </w:r>
    </w:p>
    <w:p>
      <w:pPr>
        <w:spacing w:after="0" w:line="20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No stamp duty or SDRT should be payable on transfers of, or agreements to transfer, our ordinary shares outside of a depositary receipt system or a clearance service.</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 CAPITAL</w:t>
      </w:r>
    </w:p>
    <w:p>
      <w:pPr>
        <w:spacing w:after="0" w:line="216"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i w:val="1"/>
          <w:iCs w:val="1"/>
          <w:color w:val="auto"/>
        </w:rPr>
        <w:t>The following is a description of the ordinary shares, par value £0.003 per share, of Mereo BioPharma Group plc (the “Company,” “we” or “us”) which are represented by American Depositary Shares (“ADSs”) with each ADS representing five of our ordinary shares registered under Section 12 of the Securities Exchange Act of 1934, as amended (the “Exchange Act”). This description also summarizes relevant provisions of English law. The following summary does not purport to be complete and is subject to, and is qualified in its entirety by reference to, the applicable provisions of English law and the Company’s articles of association, a copy of which is filed as Exhibit 1.1 to the Annual Report on Form 20-F of the Company for the fiscal year ended December 31, 2019. We encourage you to read the articles and the applicable provisions of English law for additional information.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principal executive offices are located at 4th Floor, One Cavendish Place, London, W1G 0QF, United Kingdom. The principal legislation under which we operate and our ordinary shares are issued is the U.K. Companies Act 2006.</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26" w:lineRule="exact"/>
        <w:rPr>
          <w:sz w:val="20"/>
          <w:szCs w:val="20"/>
          <w:color w:val="auto"/>
        </w:rPr>
      </w:pPr>
    </w:p>
    <w:p>
      <w:pPr>
        <w:jc w:val="both"/>
        <w:ind w:left="120" w:right="140" w:firstLine="440"/>
        <w:spacing w:after="0"/>
        <w:rPr>
          <w:sz w:val="20"/>
          <w:szCs w:val="20"/>
          <w:color w:val="auto"/>
        </w:rPr>
      </w:pPr>
      <w:r>
        <w:rPr>
          <w:rFonts w:ascii="Arial" w:cs="Arial" w:eastAsia="Arial" w:hAnsi="Arial"/>
          <w:sz w:val="18"/>
          <w:szCs w:val="18"/>
          <w:color w:val="auto"/>
        </w:rPr>
        <w:t>As of August 1, 2020, our issued share capital was £1,016,141.89 equivalent to 338,713,962 ordinary shares. The nominal value of our ordinary shares, including ordinary shares in the form of ADSs, is £0.003 per ordinary share. Each issued ordinary share is fully paid. As of July 31, 2020, 48,160,620 of our ordinary shares were represented by 9,632,124 ADSs.</w:t>
      </w:r>
    </w:p>
    <w:p>
      <w:pPr>
        <w:spacing w:after="0" w:line="20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Following the passing of resolutions at in our annual general meeting held on June 29, 2020, our Board was authorized to (i) allot new shares or grant rights to subscribe for, or convert other securities into, shares up to an amount equal to 77% of our total issued ordinary share capital as at May 26, 2020, comprising ordinary shares with an aggregate nominal value of £288,070.78; and (ii) allot equity securities for cash without first being required to offer them to existing ordinary shareholders up to the same aggregate maximum nominal amount of £288,070.78 (including, for this purpose, the sale on a non-pre-emptive basis of any shares held in treasury). In each case, the authorization will last until the next annual general meeting or, if earlier, 15 months from the date of the passing of these resolutions. As of August 1, 2020, the Board has authorization to allot new ordinary shares with an aggregate nominal value of £288,078.78 and authorization to allot equity securities for cash on a non-pre-emptive basis up to a nominal value of £ 288,078.78. To the extent that this authorization and disapplication do not remain unutilized in a sufficient amount for the purpose of an offering of the securities described in this prospectus, our Board will require a further authorization to allot new shares and disapplication of statutory preemption rights to be granted by our shareholders in general meeting prior to proceeding with that offering.</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Following the passing of resolutions at our general meeting held on June 30, 2020, the unsecured convertible loan notes due 2023 of the Company constituted pursuant to the loan note instrument dated June 3, 2020 (the “Tranche 1 Notes”) automatically converted into ordinary shares of £0.003 each in the capital of the Company except that no new ordinary shares were issued which would result in any person holding in excess of 9.9% of the aggregate voting rights in the Company as a result of the relevant conversion. As a result of automatic conversion, Tranche 1 Notes in an aggregate principal amount of £ 21,660,999 (together with accrued interest) converted into 125,061,475 new ordinary shares. Tranche 1 Notes in an aggregate principal amount of £18,872,672 remained outstanding after the conversion and are convertible into new ordinary shares in accordance with their terms.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26" w:lineRule="exact"/>
        <w:rPr>
          <w:sz w:val="20"/>
          <w:szCs w:val="20"/>
          <w:color w:val="auto"/>
        </w:rPr>
      </w:pPr>
    </w:p>
    <w:p>
      <w:pPr>
        <w:jc w:val="both"/>
        <w:ind w:left="120" w:right="120" w:firstLine="440"/>
        <w:spacing w:after="0" w:line="274" w:lineRule="auto"/>
        <w:rPr>
          <w:sz w:val="20"/>
          <w:szCs w:val="20"/>
          <w:color w:val="auto"/>
        </w:rPr>
      </w:pPr>
      <w:r>
        <w:rPr>
          <w:rFonts w:ascii="Arial" w:cs="Arial" w:eastAsia="Arial" w:hAnsi="Arial"/>
          <w:sz w:val="17"/>
          <w:szCs w:val="17"/>
          <w:color w:val="auto"/>
        </w:rPr>
        <w:t>As of December 31, 2019, there were options to purchase 11,357,738 ordinary shares outstanding under our equity incentive plans with a weighted average exercise price of £1.45 per ordinary share. The options generally lapse after 10 years from the date of the grant.</w:t>
      </w:r>
    </w:p>
    <w:p>
      <w:pPr>
        <w:spacing w:after="0" w:line="175"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As of December 31, 2019, there were options to purchase 875,050 ADSs outstanding under our equity incentive plans with a weighted average exercise price of $4.29 per ADS. The options generally lapse after 4 years from the date of grant.</w:t>
      </w:r>
    </w:p>
    <w:p>
      <w:pPr>
        <w:spacing w:after="0" w:line="197"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As of December 31, 2019, there were nil-cost options to purchase 162,997 ordinary shares outstanding under our DSP, which generally lapse one year after vesting.</w:t>
      </w:r>
    </w:p>
    <w:p>
      <w:pPr>
        <w:spacing w:after="0" w:line="19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On February 20, 2020, we issued options to purchase 962,836 ADSs with an exercise price of $1.84 per ADS to employees pursuant to the 2019 EIP. One quarter of the options become exercisable on the first anniversary of their grant date and, thereafter, vest in equal monthly installments over three years.</w:t>
      </w:r>
    </w:p>
    <w:p>
      <w:pPr>
        <w:spacing w:after="0" w:line="203"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On February 20, 2020, we also issued options to purchase 77,000 ADSs with an exercise price of $1.84 per ADS to non-employees pursuant to the 2019 NED EIP. These options vest in equal monthly installments over the year following their grant date.</w:t>
      </w:r>
    </w:p>
    <w:p>
      <w:pPr>
        <w:spacing w:after="0" w:line="197"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On August 12, 2020, we issued options to purchase 200,000 ADSs under Mereo’s 2019 EIP with a weighted average exercise price of $2.77 per ordinary share.</w:t>
      </w:r>
    </w:p>
    <w:p>
      <w:pPr>
        <w:spacing w:after="0" w:line="197"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Each of our equity incentive plans includes provisions for potential adjustment of outstanding equity awards in connection with certain corporate transactions, in order to prevent dilution or enlargement of the intended benefits under such plans.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Novartis Notes</w:t>
      </w:r>
    </w:p>
    <w:p>
      <w:pPr>
        <w:spacing w:after="0" w:line="126"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On June 3, 2016, we issued 3,463,563 notes to Novartis (the “Novartis Notes”). The Novartis Notes included an adjustment provision to prevent the dilution of the ordinary shares issuable to Novartis under certain circumstances.</w:t>
      </w:r>
    </w:p>
    <w:p>
      <w:pPr>
        <w:spacing w:after="0" w:line="197" w:lineRule="exact"/>
        <w:rPr>
          <w:sz w:val="20"/>
          <w:szCs w:val="20"/>
          <w:color w:val="auto"/>
        </w:rPr>
      </w:pPr>
    </w:p>
    <w:p>
      <w:pPr>
        <w:jc w:val="both"/>
        <w:ind w:left="120" w:right="180" w:firstLine="440"/>
        <w:spacing w:after="0"/>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ordinary shares to Novartis.</w:t>
      </w:r>
    </w:p>
    <w:p>
      <w:pPr>
        <w:spacing w:after="0" w:line="20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On June 6, 2019 Novartis delivered to us a notice of conversion with respect to the aggregate principal amount and interest of the Novartis Notes. Pursuant to such notice, on June 21, 2019 the aggregate principal amount and interest of £2,367,004 due under the Novartis Notes was converted into 1,071,042 fully paid ordinary shares at the fixed conversion price of £2.21 per share. Additionally, in connection with such conversion, we issued 864,988 ordinary shares to Novartis. At June 30, 2019, there was no further liability under the Novartis Notes which were converted in full as at that date.</w:t>
      </w:r>
    </w:p>
    <w:p>
      <w:pPr>
        <w:spacing w:after="0" w:line="202"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On February 10, 2020, we entered into a £3,841,479 convertible loan note instrument relating to the issue of 3,841,479 New Novartis Notes. The New Novartis Notes are convertible at any time at a fixed price of £0.265 per ordinary share. The New Novartis Notes included an adjustment provision to prevent the dilution of the ordinary shares issuable to Novartis under certain circumstances.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As of December 31, 2019, there were warrants to purchase 1,243,908 ordinary shares at a weighted average exercise price of £ 2.95 per ordinary share, including 621,954 warrants exercisable by Silicon Valley Bank and 621,954 warrants exercisable by Kreos Capital V (UK) Limited. These warrants will be capable of exercise until October 1, 2028. The warrants include an adjustment provision to prevent the dilution of the ordinary shares issuable to Silicon Valley Bank and Kreos Capital V (UK) Limited under certain circumstances. The Company, Silicon Valley Bank and Kreos Capital V (UK) Limited have yet to reach an agreement on the number of warrants to be issued to them as a result of the anti-dilution protections in our agreements with them following the various private placements by the Company in 2020. See note 7 to our unaudited condensed consolidated financial statements for the six months ended June 30, 2020 incorporated by reference herein.</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Warrants totalling 321,444 were issued in 2019 (2018: 41,286) that could potentially dilute basic earnings per share if converted.</w:t>
      </w:r>
    </w:p>
    <w:p>
      <w:pPr>
        <w:spacing w:after="0" w:line="212"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On February 10, 2020, in connection with the New Novartis Notes, we entered into a warrant instrument with Novartis to issue 1,449,614 ordinary shares at a weighted average exercise price of £0.265 per ordinary share. These warrants will be capable of exercise until February 10, 2025. The warrants include an adjustment provision to prevent the dilution of the ordinary shares issuable to Novartis under certain circumstances.</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On June 4, 2020, we announced the completion of a private placement (the “June 2020 Private Placement”), in connection with which the investors in the private placement received conditional warrants entitling the holders to subscribe for an aggregate of 161,048,366 new ordinary shares. As of August 1, 2020, there were 161,048,366 warrants outstanding to purchase ordinary shares at an exercise price of 34.8 pence per ordinary share, subject to the terms of the warrants. As of September 29, 2020, none of these warrants have been exercised to date.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the rights of holders of our ordinary shares:</w:t>
      </w:r>
    </w:p>
    <w:p>
      <w:pPr>
        <w:spacing w:after="0" w:line="239" w:lineRule="exact"/>
        <w:rPr>
          <w:sz w:val="20"/>
          <w:szCs w:val="20"/>
          <w:color w:val="auto"/>
        </w:rPr>
      </w:pPr>
    </w:p>
    <w:p>
      <w:pPr>
        <w:ind w:left="980" w:hanging="432"/>
        <w:spacing w:after="0" w:line="226" w:lineRule="auto"/>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vote taken by poll, each holder of our ordinary shares is entitled to one vote per ordinary share at a meeting of shareholders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holders of the ordinary shares shall be entitled to receive notice of, attend, speak, and vote at our general meetings; and</w:t>
      </w:r>
    </w:p>
    <w:p>
      <w:pPr>
        <w:spacing w:after="0" w:line="26"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holders of our ordinary shares are entitled to receive such dividends as are recommended by our directors and declared by our shareholders.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Registered Shares</w:t>
      </w:r>
    </w:p>
    <w:p>
      <w:pPr>
        <w:spacing w:after="0" w:line="126"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are required by the U.K. Companies Act 2006 to keep a register of our shareholders. Under English law, the ordinary shares are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Link Asset Services.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Depository Shares” in this prospectus. Holders of our ADSs have a right to receive the ordinary shares underlying their ADSs as discussed in “Description of American Depository Shares” in this prospectus.</w:t>
      </w:r>
    </w:p>
    <w:p>
      <w:pPr>
        <w:spacing w:after="0" w:line="20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Under the U.K. Companies Act 2006, we must enter an allotment of ordinary shares in our share register as soon as practicable and in any event within two months of the allotment. We will perform all procedures necessary to update the share register with the number of ordinary shares to be issued to the depositary upon sale of the ADSs, pursuant to a supplemental prospectus. We also are required by the U.K. Companies Act 2006 to register a transfer of ordinary shares (or give the transferee notice of and reasons for refusal as the transferee may reasonably request) as soon as practicable and in any event within two months of receiving notice of the transfer.</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202" w:lineRule="exact"/>
        <w:rPr>
          <w:sz w:val="20"/>
          <w:szCs w:val="20"/>
          <w:color w:val="auto"/>
        </w:rPr>
      </w:pPr>
    </w:p>
    <w:p>
      <w:pPr>
        <w:ind w:left="980" w:hanging="432"/>
        <w:spacing w:after="0"/>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any person, without sufficient cause, is entered in or omitted from our register of members; or</w:t>
      </w:r>
    </w:p>
    <w:p>
      <w:pPr>
        <w:spacing w:after="0" w:line="26"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default is made or unnecessary delay takes place in entering on the register the fact of any person having ceased to be a member or on which we have a lien, provided that such refusal does not prevent dealings in the shares taking place on an open and proper basis.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Pre-emptive Rights</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by special resolution,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w:t>
      </w:r>
    </w:p>
    <w:p>
      <w:pPr>
        <w:spacing w:after="0" w:line="20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On June 29, 2020, our shareholders authorized our Board to exclude pre-emptive rights for a period until the end of our next annual general meeting or, if earlier, 15 months from June 29, 2020 in respect of the allotment of ordinary shares or the grant of rights to subscribe for or convert securities into ordinary shares up to a maximum aggregate nominal amount of £288,070.78. The nominal value of our ordinary shares is £0.003 per ordinary share. For further information relating to the Company’s existing authority to issue additional ordinary shares, see “—Share Capital.”</w:t>
      </w:r>
    </w:p>
    <w:p>
      <w:pPr>
        <w:spacing w:after="0" w:line="202" w:lineRule="exact"/>
        <w:rPr>
          <w:sz w:val="20"/>
          <w:szCs w:val="20"/>
          <w:color w:val="auto"/>
        </w:rPr>
      </w:pPr>
    </w:p>
    <w:p>
      <w:pPr>
        <w:ind w:left="120" w:right="740" w:firstLine="440"/>
        <w:spacing w:after="0" w:line="246" w:lineRule="auto"/>
        <w:rPr>
          <w:sz w:val="20"/>
          <w:szCs w:val="20"/>
          <w:color w:val="auto"/>
        </w:rPr>
      </w:pPr>
      <w:r>
        <w:rPr>
          <w:rFonts w:ascii="Arial" w:cs="Arial" w:eastAsia="Arial" w:hAnsi="Arial"/>
          <w:sz w:val="18"/>
          <w:szCs w:val="18"/>
          <w:color w:val="auto"/>
        </w:rPr>
        <w:t>As of August 1, 2020, non pre-emptive authorization up to a maximum aggregate nominal amount of £288,070.78 remained available to the Company.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description of our Articles as at the date hereof.</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Shares and Rights Attaching to Them</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Objects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objects of our company are unrestricted.</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 Rights</w:t>
      </w:r>
    </w:p>
    <w:p>
      <w:pPr>
        <w:spacing w:after="0" w:line="122"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color w:val="auto"/>
        </w:rPr>
        <w:t>Subject to any special rights attaching to shares already in issue, our shares may be issued with or have attached to them any rights or restrictions as we may resolve by ordinary resolution of the shareholders or, failing such determination, as the board may determine.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Voting Rights</w:t>
      </w:r>
    </w:p>
    <w:p>
      <w:pPr>
        <w:spacing w:after="0" w:line="122"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224" w:lineRule="exact"/>
        <w:rPr>
          <w:sz w:val="20"/>
          <w:szCs w:val="20"/>
          <w:color w:val="auto"/>
        </w:rPr>
      </w:pPr>
    </w:p>
    <w:p>
      <w:pPr>
        <w:ind w:left="980" w:right="80" w:hanging="432"/>
        <w:spacing w:after="0" w:line="218"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27" w:lineRule="exact"/>
        <w:rPr>
          <w:rFonts w:ascii="MS PGothic" w:cs="MS PGothic" w:eastAsia="MS PGothic" w:hAnsi="MS PGothic"/>
          <w:sz w:val="25"/>
          <w:szCs w:val="25"/>
          <w:color w:val="auto"/>
          <w:vertAlign w:val="superscript"/>
        </w:rPr>
      </w:pPr>
    </w:p>
    <w:p>
      <w:pPr>
        <w:ind w:left="980" w:hanging="432"/>
        <w:spacing w:after="0" w:line="223"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28" w:lineRule="exact"/>
        <w:rPr>
          <w:rFonts w:ascii="MS PGothic" w:cs="MS PGothic" w:eastAsia="MS PGothic" w:hAnsi="MS PGothic"/>
          <w:sz w:val="25"/>
          <w:szCs w:val="25"/>
          <w:color w:val="auto"/>
          <w:vertAlign w:val="superscript"/>
        </w:rPr>
      </w:pPr>
    </w:p>
    <w:p>
      <w:pPr>
        <w:ind w:left="980" w:hanging="432"/>
        <w:spacing w:after="0" w:line="229"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w:t>
      </w:r>
    </w:p>
    <w:p>
      <w:pPr>
        <w:spacing w:after="0" w:line="26" w:lineRule="exact"/>
        <w:rPr>
          <w:rFonts w:ascii="MS PGothic" w:cs="MS PGothic" w:eastAsia="MS PGothic" w:hAnsi="MS PGothic"/>
          <w:sz w:val="25"/>
          <w:szCs w:val="25"/>
          <w:color w:val="auto"/>
          <w:vertAlign w:val="superscript"/>
        </w:rPr>
      </w:pPr>
    </w:p>
    <w:p>
      <w:pPr>
        <w:ind w:left="980" w:right="60" w:hanging="432"/>
        <w:spacing w:after="0" w:line="226"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poll every shareholder who is present in person or by proxy shall have one vote for each share of which he or she is the holder,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203"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 Subject to the provisions of the U.K. Companies Act 2006, as described in “Differences in Corporate Law—Voting Rights” in this prospectus, a poll may be demanded by:</w:t>
      </w:r>
    </w:p>
    <w:p>
      <w:pPr>
        <w:spacing w:after="0" w:line="193" w:lineRule="exact"/>
        <w:rPr>
          <w:sz w:val="20"/>
          <w:szCs w:val="20"/>
          <w:color w:val="auto"/>
        </w:rPr>
      </w:pPr>
    </w:p>
    <w:p>
      <w:pPr>
        <w:ind w:left="980" w:hanging="432"/>
        <w:spacing w:after="0"/>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chairman of the meeting;</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two or more persons having the right to vote on the resolution; or</w:t>
      </w:r>
    </w:p>
    <w:p>
      <w:pPr>
        <w:spacing w:after="0" w:line="26" w:lineRule="exact"/>
        <w:rPr>
          <w:rFonts w:ascii="MS PGothic" w:cs="MS PGothic" w:eastAsia="MS PGothic" w:hAnsi="MS PGothic"/>
          <w:sz w:val="25"/>
          <w:szCs w:val="25"/>
          <w:color w:val="auto"/>
          <w:vertAlign w:val="superscript"/>
        </w:rPr>
      </w:pPr>
    </w:p>
    <w:p>
      <w:pPr>
        <w:ind w:left="980" w:right="140" w:hanging="432"/>
        <w:spacing w:after="0" w:line="218"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or persons representing not less than 10% of the total voting rights of all shareholders having the right to vote on the resolution.</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Restrictions on Voting</w:t>
      </w:r>
    </w:p>
    <w:p>
      <w:pPr>
        <w:spacing w:after="0" w:line="122"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No shareholder shall (unless the Directors otherwise determine) be entitled to vote at any general meeting in respect of any share held by him or her unless all sums payable by him or her in respect of that share have been paid.</w:t>
      </w:r>
    </w:p>
    <w:p>
      <w:pPr>
        <w:spacing w:after="0" w:line="197" w:lineRule="exact"/>
        <w:rPr>
          <w:sz w:val="20"/>
          <w:szCs w:val="20"/>
          <w:color w:val="auto"/>
        </w:rPr>
      </w:pPr>
    </w:p>
    <w:p>
      <w:pPr>
        <w:ind w:left="120" w:right="400" w:firstLine="440"/>
        <w:spacing w:after="0"/>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or her shares.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Dividends</w:t>
      </w:r>
    </w:p>
    <w:p>
      <w:pPr>
        <w:spacing w:after="0" w:line="12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may, subject to the provisions of the U.K. Companies Act 2006 and our Articles,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w:t>
      </w:r>
    </w:p>
    <w:p>
      <w:pPr>
        <w:spacing w:after="0" w:line="205"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203"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No dividend or other moneys payable by us on or in respect of any share shall bear interest against us unless otherwise provided by the rights attached to the share or the provisions of another agreement between the shareholder and us. Any dividend unclaimed after a period of 12 years from the date such dividend became due for payment shall be forfeited and cease to remain owing.</w:t>
      </w:r>
    </w:p>
    <w:p>
      <w:pPr>
        <w:spacing w:after="0" w:line="203"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97"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w:t>
      </w:r>
    </w:p>
    <w:p>
      <w:pPr>
        <w:spacing w:after="0" w:line="203"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The directors may, if authorized by an ordinary resolution of shareholders, offer any holders of ordinary shares the right to elect to receive in lieu of a dividend, or part of a dividend, an allotment of ordinary shares credited as fully paid up.</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of Control</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no specific provision in our Articles that would have the effect of delaying, deferring, or preventing a change of control.</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Distributions on Winding Up</w:t>
      </w:r>
    </w:p>
    <w:p>
      <w:pPr>
        <w:spacing w:after="0" w:line="12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If we are in liquidation, the liquidator may, if authorized by a special resolution of shareholders and any other authority required at law, divide among shareholders (excluding us to the extent we are a shareholder by virtue only of holding treasury shares) in specie or in kind the whole or any part of our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our liquidation may be closed and we may be dissolved), but no shareholder shall be compelled to accept any shares or other assets upon which there is any liability.</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Variation of Rights</w:t>
      </w:r>
    </w:p>
    <w:p>
      <w:pPr>
        <w:spacing w:after="0" w:line="12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Alteration to Share Capital</w:t>
      </w:r>
    </w:p>
    <w:p>
      <w:pPr>
        <w:spacing w:after="0" w:line="122"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We may, by ordinary resolution of shareholders, consolidate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U.K. Companies Act 2006. We may redeem or purchase all or any of our shares as described in “—Other U.K. Law Considerations—Purchase of Own Shares.”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Preemption Rights</w:t>
      </w:r>
    </w:p>
    <w:p>
      <w:pPr>
        <w:spacing w:after="0" w:line="122"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In certain circumstances, our shareholders may have statutory preemption rights under the U.K. Companies Act 2006 in respect of the allotment of new shares as described in “—Pre-emptive Rights” and “—Differences in Corporate Law—Pre-emptive Rights” in this prospectus.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2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Any shareholder holding shares in certificated form may transfer all or any of his or her shares by an instrument of transfer in any usual form or any other form approved by the board. Any written instrument of transfer shall be signed by or on behalf of the transferor and (in the case of a partly paid share) the transferee.</w:t>
      </w:r>
    </w:p>
    <w:p>
      <w:pPr>
        <w:spacing w:after="0" w:line="203" w:lineRule="exact"/>
        <w:rPr>
          <w:sz w:val="20"/>
          <w:szCs w:val="20"/>
          <w:color w:val="auto"/>
        </w:rPr>
      </w:pPr>
    </w:p>
    <w:p>
      <w:pPr>
        <w:jc w:val="both"/>
        <w:ind w:left="120" w:right="540" w:firstLine="440"/>
        <w:spacing w:after="0"/>
        <w:rPr>
          <w:sz w:val="20"/>
          <w:szCs w:val="20"/>
          <w:color w:val="auto"/>
        </w:rPr>
      </w:pPr>
      <w:r>
        <w:rPr>
          <w:rFonts w:ascii="Arial" w:cs="Arial" w:eastAsia="Arial" w:hAnsi="Arial"/>
          <w:sz w:val="18"/>
          <w:szCs w:val="18"/>
          <w:color w:val="auto"/>
        </w:rPr>
        <w:t>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202" w:lineRule="exact"/>
        <w:rPr>
          <w:sz w:val="20"/>
          <w:szCs w:val="20"/>
          <w:color w:val="auto"/>
        </w:rPr>
      </w:pPr>
    </w:p>
    <w:p>
      <w:pPr>
        <w:ind w:left="980" w:hanging="432"/>
        <w:spacing w:after="0"/>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which is not a fully paid share;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lodged at our registered office or such other place as the directors have appointed;</w:t>
      </w:r>
    </w:p>
    <w:p>
      <w:pPr>
        <w:spacing w:after="0" w:line="26" w:lineRule="exact"/>
        <w:rPr>
          <w:rFonts w:ascii="MS PGothic" w:cs="MS PGothic" w:eastAsia="MS PGothic" w:hAnsi="MS PGothic"/>
          <w:sz w:val="25"/>
          <w:szCs w:val="25"/>
          <w:color w:val="auto"/>
          <w:vertAlign w:val="superscript"/>
        </w:rPr>
      </w:pPr>
    </w:p>
    <w:p>
      <w:pPr>
        <w:ind w:left="980" w:right="420" w:hanging="432"/>
        <w:spacing w:after="0" w:line="223"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in respect of more than one class of share;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number of joint holders to whom the share is to be transferred exceeds four.</w:t>
      </w:r>
    </w:p>
    <w:p>
      <w:pPr>
        <w:spacing w:after="0" w:line="202"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If the board declines to register a transfer, it must return to the transferee the instrument of transfer together with notice of the refusal, unless the board suspects that the proposed transfer may be fraudulent.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Shareholder </w:t>
      </w:r>
      <w:r>
        <w:rPr>
          <w:rFonts w:ascii="Arial" w:cs="Arial" w:eastAsia="Arial" w:hAnsi="Arial"/>
          <w:sz w:val="18"/>
          <w:szCs w:val="18"/>
          <w:b w:val="1"/>
          <w:bCs w:val="1"/>
          <w:color w:val="auto"/>
        </w:rPr>
        <w:t>Meetings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Annual General Meetings</w:t>
      </w:r>
    </w:p>
    <w:p>
      <w:pPr>
        <w:spacing w:after="0" w:line="12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as described in “— Differences in Corporate Law—Annual General Meeting” and “—Differences in Corporate Law—Notice of General Meetings” in this prospectus.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Notice of General Meetings</w:t>
      </w:r>
    </w:p>
    <w:p>
      <w:pPr>
        <w:spacing w:after="0" w:line="122" w:lineRule="exact"/>
        <w:rPr>
          <w:sz w:val="20"/>
          <w:szCs w:val="20"/>
          <w:color w:val="auto"/>
        </w:rPr>
      </w:pPr>
    </w:p>
    <w:p>
      <w:pPr>
        <w:ind w:left="120" w:right="760" w:firstLine="440"/>
        <w:spacing w:after="0" w:line="246" w:lineRule="auto"/>
        <w:rPr>
          <w:sz w:val="20"/>
          <w:szCs w:val="20"/>
          <w:color w:val="auto"/>
        </w:rPr>
      </w:pPr>
      <w:r>
        <w:rPr>
          <w:rFonts w:ascii="Arial" w:cs="Arial" w:eastAsia="Arial" w:hAnsi="Arial"/>
          <w:sz w:val="18"/>
          <w:szCs w:val="18"/>
          <w:color w:val="auto"/>
        </w:rPr>
        <w:t>The arrangements for the calling of general meetings are described in “—Differences in Corporate Law—Notice of General Meetings” in this prospectus.</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Quorum of General Meetings</w:t>
      </w:r>
    </w:p>
    <w:p>
      <w:pPr>
        <w:spacing w:after="0" w:line="12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No business, other than the appointment of the chair of the meeting, shall be transacted at any general meeting unless a quorum is present. At least two shareholders present in person or by proxy and entitled to vote shall be a quorum for all purposes.</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Class Meetings</w:t>
      </w:r>
    </w:p>
    <w:p>
      <w:pPr>
        <w:spacing w:after="0" w:line="122"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The provisions in the Articles relating to general meetings apply to every separate general meeting of the holders of a class of shares.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Number of Directors</w:t>
      </w:r>
    </w:p>
    <w:p>
      <w:pPr>
        <w:spacing w:after="0" w:line="12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We may not have less than two directors on the Board and not more than nine. We may, by ordinary resolution of the shareholders, vary the minimum and maximum number of directors from time to time.</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Appointment of Directors</w:t>
      </w:r>
    </w:p>
    <w:p>
      <w:pPr>
        <w:spacing w:after="0" w:line="12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Subject to the provisions of the Articles, we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us their willingness to be elected as a director not later than seven days before the general meeting at which the relevant resolution is proposed.</w:t>
      </w:r>
    </w:p>
    <w:p>
      <w:pPr>
        <w:spacing w:after="0" w:line="202"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Any director appointed by the board will hold office only until the next following annual general meeting at which they must retire. In addition, all directors must retire at the third annual general meeting following the annual general meeting at which such director was elected or last re-elected. Such directors are eligible for re-election at the annual general meeting at which they retire.</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8360"/>
        <w:spacing w:after="0"/>
        <w:rPr>
          <w:sz w:val="20"/>
          <w:szCs w:val="20"/>
          <w:color w:val="auto"/>
        </w:rPr>
      </w:pPr>
      <w:r>
        <w:rPr>
          <w:rFonts w:ascii="Arial" w:cs="Arial" w:eastAsia="Arial" w:hAnsi="Arial"/>
          <w:sz w:val="18"/>
          <w:szCs w:val="18"/>
          <w:b w:val="1"/>
          <w:bCs w:val="1"/>
          <w:i w:val="1"/>
          <w:iCs w:val="1"/>
          <w:color w:val="auto"/>
        </w:rPr>
        <w:t xml:space="preserve">Other U.K. Law </w:t>
      </w:r>
      <w:r>
        <w:rPr>
          <w:rFonts w:ascii="Arial" w:cs="Arial" w:eastAsia="Arial" w:hAnsi="Arial"/>
          <w:sz w:val="18"/>
          <w:szCs w:val="18"/>
          <w:b w:val="1"/>
          <w:bCs w:val="1"/>
          <w:color w:val="auto"/>
        </w:rPr>
        <w:t>Considerations</w:t>
      </w:r>
    </w:p>
    <w:p>
      <w:pPr>
        <w:spacing w:after="0" w:line="108" w:lineRule="exact"/>
        <w:rPr>
          <w:sz w:val="20"/>
          <w:szCs w:val="20"/>
          <w:color w:val="auto"/>
        </w:rPr>
      </w:pPr>
    </w:p>
    <w:p>
      <w:pPr>
        <w:jc w:val="right"/>
        <w:ind w:right="8360"/>
        <w:spacing w:after="0"/>
        <w:rPr>
          <w:sz w:val="20"/>
          <w:szCs w:val="20"/>
          <w:color w:val="auto"/>
        </w:rPr>
      </w:pPr>
      <w:r>
        <w:rPr>
          <w:rFonts w:ascii="Arial" w:cs="Arial" w:eastAsia="Arial" w:hAnsi="Arial"/>
          <w:sz w:val="18"/>
          <w:szCs w:val="18"/>
          <w:i w:val="1"/>
          <w:iCs w:val="1"/>
          <w:color w:val="auto"/>
        </w:rPr>
        <w:t>Notification of Voting Rights</w:t>
      </w:r>
    </w:p>
    <w:p>
      <w:pPr>
        <w:spacing w:after="0" w:line="12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A shareholder in a public company incorporated in the United Kingdom whose shares are admitted to trading on AIM is required pursuant to Chapter 5 of the Disclosure Guidance and Transparency Rules of the U.K. Financial Conduct Authority to notify us of the percentage of his or her voting rights if the percentage of voting rights which he or she holds as a shareholder or through his or her direct or indirect holding of financial instruments (or a combination of such holdings) reaches, exceeds, or falls below 3%, 4%, 5%, and each 1% threshold thereafter up to 100% as a result of an acquisition or disposal of shares or financial instruments.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122"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Pursuant to Sections 979 to 991 of the U.K.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or she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compulsory acquisition of the minority shareholders’ shares can be completed at the end of six weeks from the date the notice has been given, subject to the minority shareholders failing to successfully lodge an application to the court to prevent such compulsory acquisition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Sell Out</w:t>
      </w:r>
    </w:p>
    <w:p>
      <w:pPr>
        <w:spacing w:after="0" w:line="12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or her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or her rights to be bought out, the offeror is required to acquire those shares on the terms of this offer or on such other terms as may be agreed.</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Disclosure of Interest in Shares</w:t>
      </w:r>
    </w:p>
    <w:p>
      <w:pPr>
        <w:spacing w:after="0" w:line="12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Pursuant to Part 22 of the U.K. Companies Act 2006, we are empowered to give notice in writing to any person whom we know or have reasonable cause to believe to be interested in our shares, or to have been so interested at any time during the three years immediately preceding the date on which the notice is issued requiring such persons, within a reasonable time to disclose to us particulars of that person’s interest and (so far as is within his or her knowledge) particulars of any other interest that subsists or subsisted in those shares.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Under our Articles, if a person defaults in supplying us with the required particulars in relation to the shares in question (“default shares”), within the prescribed period, the directors may by notice direct that:</w:t>
      </w:r>
    </w:p>
    <w:p>
      <w:pPr>
        <w:spacing w:after="0" w:line="224" w:lineRule="exact"/>
        <w:rPr>
          <w:sz w:val="20"/>
          <w:szCs w:val="20"/>
          <w:color w:val="auto"/>
        </w:rPr>
      </w:pPr>
    </w:p>
    <w:p>
      <w:pPr>
        <w:ind w:left="980" w:right="560" w:hanging="432"/>
        <w:spacing w:after="0" w:line="218"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respect of the default shares, the relevant shareholder shall not be entitled to vote (either in person or by proxy) at any general meeting or to exercise any other right conferred by a shareholding in relation to general meetings;</w:t>
      </w:r>
    </w:p>
    <w:p>
      <w:pPr>
        <w:spacing w:after="0" w:line="27" w:lineRule="exact"/>
        <w:rPr>
          <w:rFonts w:ascii="MS PGothic" w:cs="MS PGothic" w:eastAsia="MS PGothic" w:hAnsi="MS PGothic"/>
          <w:sz w:val="25"/>
          <w:szCs w:val="25"/>
          <w:color w:val="auto"/>
          <w:vertAlign w:val="superscript"/>
        </w:rPr>
      </w:pPr>
    </w:p>
    <w:p>
      <w:pPr>
        <w:ind w:left="980" w:right="120" w:hanging="432"/>
        <w:spacing w:after="0" w:line="227"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is not in default and the shareholder provides a certificate, in a form satisfactory to the directors, to the effect that after due and careful enquiry the shareholder is satisfied that none of the shares to be transferred are default shares); and</w:t>
      </w:r>
    </w:p>
    <w:p>
      <w:pPr>
        <w:spacing w:after="0" w:line="30" w:lineRule="exact"/>
        <w:rPr>
          <w:rFonts w:ascii="MS PGothic" w:cs="MS PGothic" w:eastAsia="MS PGothic" w:hAnsi="MS PGothic"/>
          <w:sz w:val="25"/>
          <w:szCs w:val="25"/>
          <w:color w:val="auto"/>
          <w:vertAlign w:val="superscript"/>
        </w:rPr>
      </w:pPr>
    </w:p>
    <w:p>
      <w:pPr>
        <w:ind w:left="980" w:hanging="432"/>
        <w:spacing w:after="0" w:line="229"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shares held by the relevant shareholder in uncertificated form shall be converted into certificated form and that shareholder shall not after that be entitled to convert all or any shares held by him or her into uncertificated form (except with the authority of the directors) unless the shareholder himself is not in default and the shares which the shareholder wishes to convert are part only of the shareholder’s holding and the shareholder provides a certificate, in a form satisfactory to the directors, to the effect that after due and careful enquiry the shareholder is satisfied that none of the shares to be converted into uncertificated form are default shares.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Purchase of Own Shares</w:t>
      </w:r>
    </w:p>
    <w:p>
      <w:pPr>
        <w:spacing w:after="0" w:line="12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202"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188" w:lineRule="exact"/>
        <w:rPr>
          <w:sz w:val="20"/>
          <w:szCs w:val="20"/>
          <w:color w:val="auto"/>
        </w:rPr>
      </w:pPr>
    </w:p>
    <w:p>
      <w:pPr>
        <w:ind w:left="980" w:hanging="432"/>
        <w:spacing w:after="0"/>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the maximum number of shares authorized to be acquired;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determine the maximum and minimum prices that may be paid for the shares;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20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or she had not done so. The resolution authorizing the purchase must specify a date, not being later than five years after the passing of the resolution, on which the authority to purchase is to expire.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Distributions and Dividends</w:t>
      </w:r>
    </w:p>
    <w:p>
      <w:pPr>
        <w:spacing w:after="0" w:line="122" w:lineRule="exact"/>
        <w:rPr>
          <w:sz w:val="20"/>
          <w:szCs w:val="20"/>
          <w:color w:val="auto"/>
        </w:rPr>
      </w:pPr>
    </w:p>
    <w:p>
      <w:pPr>
        <w:ind w:left="120" w:right="540" w:firstLine="440"/>
        <w:spacing w:after="0" w:line="238" w:lineRule="auto"/>
        <w:rPr>
          <w:sz w:val="20"/>
          <w:szCs w:val="20"/>
          <w:color w:val="auto"/>
        </w:rPr>
      </w:pPr>
      <w:r>
        <w:rPr>
          <w:rFonts w:ascii="Arial" w:cs="Arial" w:eastAsia="Arial" w:hAnsi="Arial"/>
          <w:sz w:val="18"/>
          <w:szCs w:val="18"/>
          <w:color w:val="auto"/>
        </w:rPr>
        <w:t>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80"/>
        <w:spacing w:after="0" w:line="246" w:lineRule="auto"/>
        <w:rPr>
          <w:sz w:val="20"/>
          <w:szCs w:val="20"/>
          <w:color w:val="auto"/>
        </w:rPr>
      </w:pPr>
      <w:r>
        <w:rPr>
          <w:rFonts w:ascii="Arial" w:cs="Arial" w:eastAsia="Arial" w:hAnsi="Arial"/>
          <w:sz w:val="18"/>
          <w:szCs w:val="18"/>
          <w:color w:val="auto"/>
        </w:rPr>
        <w:t>requirement to have sufficient distributable reserves before a distribution or dividend can be paid applies to us and to each of our subsidiaries that has been incorporated under English law.</w:t>
      </w:r>
    </w:p>
    <w:p>
      <w:pPr>
        <w:spacing w:after="0" w:line="19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230" w:lineRule="exact"/>
        <w:rPr>
          <w:sz w:val="20"/>
          <w:szCs w:val="20"/>
          <w:color w:val="auto"/>
        </w:rPr>
      </w:pPr>
    </w:p>
    <w:p>
      <w:pPr>
        <w:ind w:left="980" w:right="180" w:hanging="432"/>
        <w:spacing w:after="0" w:line="218"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27" w:lineRule="exact"/>
        <w:rPr>
          <w:rFonts w:ascii="MS PGothic" w:cs="MS PGothic" w:eastAsia="MS PGothic" w:hAnsi="MS PGothic"/>
          <w:sz w:val="25"/>
          <w:szCs w:val="25"/>
          <w:color w:val="auto"/>
          <w:vertAlign w:val="superscript"/>
        </w:rPr>
      </w:pPr>
    </w:p>
    <w:p>
      <w:pPr>
        <w:ind w:left="980" w:right="180" w:hanging="432"/>
        <w:spacing w:after="0" w:line="218"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City Code on Takeovers and Mergers</w:t>
      </w:r>
    </w:p>
    <w:p>
      <w:pPr>
        <w:spacing w:after="0" w:line="12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7"/>
          <w:szCs w:val="17"/>
          <w:color w:val="auto"/>
        </w:rPr>
        <w:t>As a public company incorporated in England and Wales with our registered office in England and Wales which has shares admitted to AIM, we are subject to the U.K. City Code on Takeovers and Mergers (the “City Code”), which is issued and administered by the U.K. Panel on Takeovers and Mergers (the “Panel”). The City Code provides a framework within which takeovers of companies subject to it are conducted. In particular, the City Code contains certain rules in respect of mandatory offers. Under Rule 9 of the City Code, if a person:</w:t>
      </w:r>
    </w:p>
    <w:p>
      <w:pPr>
        <w:spacing w:after="0" w:line="216" w:lineRule="exact"/>
        <w:rPr>
          <w:sz w:val="20"/>
          <w:szCs w:val="20"/>
          <w:color w:val="auto"/>
        </w:rPr>
      </w:pPr>
    </w:p>
    <w:p>
      <w:pPr>
        <w:ind w:left="980" w:right="140" w:hanging="432"/>
        <w:spacing w:after="0" w:line="218"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acquires an interest in our shares which, when taken together with shares in which he or she or persons acting in concert with him or her are interested, carries 30% or more of the voting rights of our shares; or</w:t>
      </w:r>
    </w:p>
    <w:p>
      <w:pPr>
        <w:spacing w:after="0" w:line="27" w:lineRule="exact"/>
        <w:rPr>
          <w:rFonts w:ascii="MS PGothic" w:cs="MS PGothic" w:eastAsia="MS PGothic" w:hAnsi="MS PGothic"/>
          <w:sz w:val="25"/>
          <w:szCs w:val="25"/>
          <w:color w:val="auto"/>
          <w:vertAlign w:val="superscript"/>
        </w:rPr>
      </w:pPr>
    </w:p>
    <w:p>
      <w:pPr>
        <w:ind w:left="980" w:right="80" w:hanging="432"/>
        <w:spacing w:after="0" w:line="223" w:lineRule="auto"/>
        <w:tabs>
          <w:tab w:leader="none" w:pos="9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who, together with persons acting in concert with him, is interested in shares that in the aggregate carry not less than 30% and not more than 50% of the voting rights of our shares, and such persons, or any person acting in concert with him, acquires additional interests in shares that increase the percentage of shares carrying voting rights in which that person is interested,</w:t>
      </w:r>
    </w:p>
    <w:p>
      <w:pPr>
        <w:spacing w:after="0" w:line="204"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the acquirer and depending on the circumstances, its concert parties, would be required (except with the consent of the Panel) to make a cash offer for our outstanding shares at a price not less than the highest price paid for any interests in the shares by the acquirer or its concert parties during the previous 12 months.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Exchange Controls</w:t>
      </w:r>
    </w:p>
    <w:p>
      <w:pPr>
        <w:spacing w:after="0" w:line="12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108" w:lineRule="exact"/>
        <w:rPr>
          <w:sz w:val="20"/>
          <w:szCs w:val="20"/>
          <w:color w:val="auto"/>
        </w:rPr>
      </w:pPr>
    </w:p>
    <w:p>
      <w:pPr>
        <w:ind w:left="120" w:right="220" w:firstLine="440"/>
        <w:spacing w:after="0" w:line="245" w:lineRule="auto"/>
        <w:rPr>
          <w:sz w:val="20"/>
          <w:szCs w:val="20"/>
          <w:color w:val="auto"/>
        </w:rPr>
      </w:pPr>
      <w:r>
        <w:rPr>
          <w:rFonts w:ascii="Arial" w:cs="Arial" w:eastAsia="Arial" w:hAnsi="Arial"/>
          <w:sz w:val="18"/>
          <w:szCs w:val="18"/>
          <w:i w:val="1"/>
          <w:iCs w:val="1"/>
          <w:color w:val="auto"/>
        </w:rPr>
        <w:t>The applicable provisions of the U.K. Companies Act 2006 differ from laws applicable to U.S. corporations and their shareholders. Set forth below is a summary of certain differences between the provisions of the U.K.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780" w:type="dxa"/>
            <w:vAlign w:val="bottom"/>
            <w:vMerge w:val="restart"/>
          </w:tcPr>
          <w:p>
            <w:pPr>
              <w:spacing w:after="0"/>
              <w:rPr>
                <w:sz w:val="20"/>
                <w:szCs w:val="20"/>
                <w:color w:val="auto"/>
              </w:rPr>
            </w:pPr>
            <w:r>
              <w:rPr>
                <w:rFonts w:ascii="Arial" w:cs="Arial" w:eastAsia="Arial" w:hAnsi="Arial"/>
                <w:sz w:val="18"/>
                <w:szCs w:val="18"/>
                <w:color w:val="auto"/>
              </w:rPr>
              <w:t>Number of Directors</w:t>
            </w:r>
          </w:p>
        </w:tc>
        <w:tc>
          <w:tcPr>
            <w:tcW w:w="110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95"/>
        </w:trPr>
        <w:tc>
          <w:tcPr>
            <w:tcW w:w="278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w w:val="99"/>
              </w:rPr>
              <w:t>Under the U.K. Companies Act 2006, a public</w:t>
            </w:r>
          </w:p>
        </w:tc>
        <w:tc>
          <w:tcPr>
            <w:tcW w:w="0" w:type="dxa"/>
            <w:vAlign w:val="bottom"/>
          </w:tcPr>
          <w:p>
            <w:pPr>
              <w:spacing w:after="0"/>
              <w:rPr>
                <w:sz w:val="1"/>
                <w:szCs w:val="1"/>
                <w:color w:val="auto"/>
              </w:rPr>
            </w:pPr>
          </w:p>
        </w:tc>
      </w:tr>
      <w:tr>
        <w:trPr>
          <w:trHeight w:val="202"/>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limited company must have at least two</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directors. Our Articles further provide that,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unless otherwise determined by an ordinary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resolution, the number of our directors shall</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be not less than two nor more than nine in</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number.</w:t>
            </w:r>
          </w:p>
        </w:tc>
        <w:tc>
          <w:tcPr>
            <w:tcW w:w="0" w:type="dxa"/>
            <w:vAlign w:val="bottom"/>
          </w:tcPr>
          <w:p>
            <w:pPr>
              <w:spacing w:after="0"/>
              <w:rPr>
                <w:sz w:val="1"/>
                <w:szCs w:val="1"/>
                <w:color w:val="auto"/>
              </w:rPr>
            </w:pPr>
          </w:p>
        </w:tc>
      </w:tr>
      <w:tr>
        <w:trPr>
          <w:trHeight w:val="296"/>
        </w:trPr>
        <w:tc>
          <w:tcPr>
            <w:tcW w:w="2780" w:type="dxa"/>
            <w:vAlign w:val="bottom"/>
          </w:tcPr>
          <w:p>
            <w:pPr>
              <w:spacing w:after="0"/>
              <w:rPr>
                <w:sz w:val="24"/>
                <w:szCs w:val="24"/>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Our board of directors currently consists of</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nine members.</w:t>
            </w:r>
          </w:p>
        </w:tc>
        <w:tc>
          <w:tcPr>
            <w:tcW w:w="0" w:type="dxa"/>
            <w:vAlign w:val="bottom"/>
          </w:tcPr>
          <w:p>
            <w:pPr>
              <w:spacing w:after="0"/>
              <w:rPr>
                <w:sz w:val="1"/>
                <w:szCs w:val="1"/>
                <w:color w:val="auto"/>
              </w:rPr>
            </w:pPr>
          </w:p>
        </w:tc>
      </w:tr>
      <w:tr>
        <w:trPr>
          <w:trHeight w:val="296"/>
        </w:trPr>
        <w:tc>
          <w:tcPr>
            <w:tcW w:w="2780" w:type="dxa"/>
            <w:vAlign w:val="bottom"/>
          </w:tcPr>
          <w:p>
            <w:pPr>
              <w:spacing w:after="0"/>
              <w:rPr>
                <w:sz w:val="24"/>
                <w:szCs w:val="24"/>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For as long as Novartis holds not less than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one percent of our issued share capital,</w:t>
            </w:r>
          </w:p>
        </w:tc>
        <w:tc>
          <w:tcPr>
            <w:tcW w:w="0" w:type="dxa"/>
            <w:vAlign w:val="bottom"/>
          </w:tcPr>
          <w:p>
            <w:pPr>
              <w:spacing w:after="0"/>
              <w:rPr>
                <w:sz w:val="1"/>
                <w:szCs w:val="1"/>
                <w:color w:val="auto"/>
              </w:rPr>
            </w:pPr>
          </w:p>
        </w:tc>
      </w:tr>
      <w:tr>
        <w:trPr>
          <w:trHeight w:val="202"/>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Novartis may appoint one observer who may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attend, but not participate or vote in, any</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meeting of our board of directors.</w:t>
            </w:r>
          </w:p>
        </w:tc>
        <w:tc>
          <w:tcPr>
            <w:tcW w:w="0" w:type="dxa"/>
            <w:vAlign w:val="bottom"/>
          </w:tcPr>
          <w:p>
            <w:pPr>
              <w:spacing w:after="0"/>
              <w:rPr>
                <w:sz w:val="1"/>
                <w:szCs w:val="1"/>
                <w:color w:val="auto"/>
              </w:rPr>
            </w:pPr>
          </w:p>
        </w:tc>
      </w:tr>
      <w:tr>
        <w:trPr>
          <w:trHeight w:val="296"/>
        </w:trPr>
        <w:tc>
          <w:tcPr>
            <w:tcW w:w="2780" w:type="dxa"/>
            <w:vAlign w:val="bottom"/>
          </w:tcPr>
          <w:p>
            <w:pPr>
              <w:spacing w:after="0"/>
              <w:rPr>
                <w:sz w:val="20"/>
                <w:szCs w:val="20"/>
                <w:color w:val="auto"/>
              </w:rPr>
            </w:pPr>
            <w:r>
              <w:rPr>
                <w:rFonts w:ascii="Arial" w:cs="Arial" w:eastAsia="Arial" w:hAnsi="Arial"/>
                <w:sz w:val="18"/>
                <w:szCs w:val="18"/>
                <w:color w:val="auto"/>
              </w:rPr>
              <w:t>Removal of Directors</w:t>
            </w: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Under the U.K. Companies Act 2006, a</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company may remove a director without</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cause at a general meeting by way of an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ordinary resolution of shareholders (which is</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w w:val="99"/>
              </w:rPr>
              <w:t>passed by a simple majority of those voting in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person or by proxy at a general meeting),</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irrespective of any provision of any</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agreement or service contract between the</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director and the company, provided that 28</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clear days’ notice of the proposed resolution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to remove the director is given and certain</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w w:val="99"/>
              </w:rPr>
              <w:t>other procedural requirements under the U.K.</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Companies Act 2006 are followed (such as</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allowing the director to make representations</w:t>
            </w: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4720" w:type="dxa"/>
            <w:vAlign w:val="bottom"/>
            <w:gridSpan w:val="2"/>
          </w:tcPr>
          <w:p>
            <w:pPr>
              <w:ind w:left="1100"/>
              <w:spacing w:after="0" w:line="202" w:lineRule="exact"/>
              <w:rPr>
                <w:sz w:val="20"/>
                <w:szCs w:val="20"/>
                <w:color w:val="auto"/>
              </w:rPr>
            </w:pPr>
            <w:r>
              <w:rPr>
                <w:rFonts w:ascii="Arial" w:cs="Arial" w:eastAsia="Arial" w:hAnsi="Arial"/>
                <w:sz w:val="18"/>
                <w:szCs w:val="18"/>
                <w:color w:val="auto"/>
              </w:rPr>
              <w:t>against his or her removal either at the</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4720" w:type="dxa"/>
            <w:vAlign w:val="bottom"/>
            <w:gridSpan w:val="2"/>
          </w:tcPr>
          <w:p>
            <w:pPr>
              <w:ind w:left="1100"/>
              <w:spacing w:after="0"/>
              <w:rPr>
                <w:sz w:val="20"/>
                <w:szCs w:val="20"/>
                <w:color w:val="auto"/>
              </w:rPr>
            </w:pPr>
            <w:r>
              <w:rPr>
                <w:rFonts w:ascii="Arial" w:cs="Arial" w:eastAsia="Arial" w:hAnsi="Arial"/>
                <w:sz w:val="18"/>
                <w:szCs w:val="18"/>
                <w:color w:val="auto"/>
              </w:rPr>
              <w:t>meeting or in writing).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1602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10" w:right="80"/>
        <w:spacing w:after="0" w:line="238" w:lineRule="auto"/>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
        <w:spacing w:after="0" w:line="248" w:lineRule="auto"/>
        <w:rPr>
          <w:sz w:val="20"/>
          <w:szCs w:val="20"/>
          <w:color w:val="auto"/>
        </w:rPr>
      </w:pPr>
      <w:r>
        <w:rPr>
          <w:rFonts w:ascii="Arial" w:cs="Arial" w:eastAsia="Arial" w:hAnsi="Arial"/>
          <w:sz w:val="17"/>
          <w:szCs w:val="17"/>
          <w:color w:val="auto"/>
        </w:rPr>
        <w:t>Under Delaware law, unless otherwise provided in the certificate of incorporation,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w:t>
      </w:r>
    </w:p>
    <w:p>
      <w:pPr>
        <w:spacing w:after="0" w:line="6" w:lineRule="exact"/>
        <w:rPr>
          <w:sz w:val="20"/>
          <w:szCs w:val="20"/>
          <w:color w:val="auto"/>
        </w:rPr>
      </w:pPr>
    </w:p>
    <w:p>
      <w:pPr>
        <w:ind w:left="10" w:right="60" w:hanging="10"/>
        <w:spacing w:after="0" w:line="236" w:lineRule="auto"/>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a corporation having cumulative voting, if less than the entire board of directors is to be removed, no director may be removed without cause if the votes cast against his or her removal would be sufficient to elect him or her if then cumulatively voted at an election of the entire board of directors, or, if there are classes of directors, at an election of the class of directors of which he or she is a part.</w:t>
      </w:r>
    </w:p>
    <w:p>
      <w:pPr>
        <w:sectPr>
          <w:pgSz w:w="11900" w:h="16838" w:orient="portrait"/>
          <w:cols w:equalWidth="0" w:num="2">
            <w:col w:w="7620" w:space="110"/>
            <w:col w:w="3410"/>
          </w:cols>
          <w:pgMar w:left="320" w:top="459" w:right="4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380"/>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17780</wp:posOffset>
            </wp:positionV>
            <wp:extent cx="45345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1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 addition to any power of removal under the</w:t>
      </w:r>
    </w:p>
    <w:p>
      <w:pPr>
        <w:ind w:left="4000"/>
        <w:spacing w:after="0" w:line="234" w:lineRule="auto"/>
        <w:rPr>
          <w:sz w:val="20"/>
          <w:szCs w:val="20"/>
          <w:color w:val="auto"/>
        </w:rPr>
      </w:pPr>
      <w:r>
        <w:rPr>
          <w:rFonts w:ascii="Arial" w:cs="Arial" w:eastAsia="Arial" w:hAnsi="Arial"/>
          <w:sz w:val="18"/>
          <w:szCs w:val="18"/>
          <w:color w:val="auto"/>
        </w:rPr>
        <w:t>U.K. Companies Act 2006, under our Articles,</w:t>
      </w:r>
    </w:p>
    <w:p>
      <w:pPr>
        <w:ind w:left="4000"/>
        <w:spacing w:after="0" w:line="235" w:lineRule="auto"/>
        <w:rPr>
          <w:sz w:val="20"/>
          <w:szCs w:val="20"/>
          <w:color w:val="auto"/>
        </w:rPr>
      </w:pPr>
      <w:r>
        <w:rPr>
          <w:rFonts w:ascii="Arial" w:cs="Arial" w:eastAsia="Arial" w:hAnsi="Arial"/>
          <w:sz w:val="18"/>
          <w:szCs w:val="18"/>
          <w:color w:val="auto"/>
        </w:rPr>
        <w:t>we may, by special resolution or ordinary</w:t>
      </w:r>
    </w:p>
    <w:p>
      <w:pPr>
        <w:ind w:left="4000"/>
        <w:spacing w:after="0" w:line="235" w:lineRule="auto"/>
        <w:rPr>
          <w:sz w:val="20"/>
          <w:szCs w:val="20"/>
          <w:color w:val="auto"/>
        </w:rPr>
      </w:pPr>
      <w:r>
        <w:rPr>
          <w:rFonts w:ascii="Arial" w:cs="Arial" w:eastAsia="Arial" w:hAnsi="Arial"/>
          <w:sz w:val="18"/>
          <w:szCs w:val="18"/>
          <w:color w:val="auto"/>
        </w:rPr>
        <w:t>resolution (of which special notice has been</w:t>
      </w:r>
    </w:p>
    <w:p>
      <w:pPr>
        <w:ind w:left="4000"/>
        <w:spacing w:after="0" w:line="235" w:lineRule="auto"/>
        <w:rPr>
          <w:sz w:val="20"/>
          <w:szCs w:val="20"/>
          <w:color w:val="auto"/>
        </w:rPr>
      </w:pPr>
      <w:r>
        <w:rPr>
          <w:rFonts w:ascii="Arial" w:cs="Arial" w:eastAsia="Arial" w:hAnsi="Arial"/>
          <w:sz w:val="18"/>
          <w:szCs w:val="18"/>
          <w:color w:val="auto"/>
        </w:rPr>
        <w:t>given in accordance with section 312 of the</w:t>
      </w:r>
    </w:p>
    <w:p>
      <w:pPr>
        <w:ind w:left="4000"/>
        <w:spacing w:after="0" w:line="235" w:lineRule="auto"/>
        <w:rPr>
          <w:sz w:val="20"/>
          <w:szCs w:val="20"/>
          <w:color w:val="auto"/>
        </w:rPr>
      </w:pPr>
      <w:r>
        <w:rPr>
          <w:rFonts w:ascii="Arial" w:cs="Arial" w:eastAsia="Arial" w:hAnsi="Arial"/>
          <w:sz w:val="18"/>
          <w:szCs w:val="18"/>
          <w:color w:val="auto"/>
        </w:rPr>
        <w:t>U.K. Companies Act 2006) remove any</w:t>
      </w:r>
    </w:p>
    <w:p>
      <w:pPr>
        <w:ind w:left="4000"/>
        <w:spacing w:after="0" w:line="234" w:lineRule="auto"/>
        <w:rPr>
          <w:sz w:val="20"/>
          <w:szCs w:val="20"/>
          <w:color w:val="auto"/>
        </w:rPr>
      </w:pPr>
      <w:r>
        <w:rPr>
          <w:rFonts w:ascii="Arial" w:cs="Arial" w:eastAsia="Arial" w:hAnsi="Arial"/>
          <w:sz w:val="18"/>
          <w:szCs w:val="18"/>
          <w:color w:val="auto"/>
        </w:rPr>
        <w:t>director from office (but without prejudice to</w:t>
      </w:r>
    </w:p>
    <w:p>
      <w:pPr>
        <w:ind w:left="4000"/>
        <w:spacing w:after="0" w:line="235" w:lineRule="auto"/>
        <w:rPr>
          <w:sz w:val="20"/>
          <w:szCs w:val="20"/>
          <w:color w:val="auto"/>
        </w:rPr>
      </w:pPr>
      <w:r>
        <w:rPr>
          <w:rFonts w:ascii="Arial" w:cs="Arial" w:eastAsia="Arial" w:hAnsi="Arial"/>
          <w:sz w:val="18"/>
          <w:szCs w:val="18"/>
          <w:color w:val="auto"/>
        </w:rPr>
        <w:t>any claim he or she may have for damages</w:t>
      </w:r>
    </w:p>
    <w:p>
      <w:pPr>
        <w:ind w:left="4000"/>
        <w:spacing w:after="0" w:line="235" w:lineRule="auto"/>
        <w:rPr>
          <w:sz w:val="20"/>
          <w:szCs w:val="20"/>
          <w:color w:val="auto"/>
        </w:rPr>
      </w:pPr>
      <w:r>
        <w:rPr>
          <w:rFonts w:ascii="Arial" w:cs="Arial" w:eastAsia="Arial" w:hAnsi="Arial"/>
          <w:sz w:val="18"/>
          <w:szCs w:val="18"/>
          <w:color w:val="auto"/>
        </w:rPr>
        <w:t>for breach of any agreement between us and</w:t>
      </w:r>
    </w:p>
    <w:p>
      <w:pPr>
        <w:ind w:left="4000"/>
        <w:spacing w:after="0" w:line="235" w:lineRule="auto"/>
        <w:rPr>
          <w:sz w:val="20"/>
          <w:szCs w:val="20"/>
          <w:color w:val="auto"/>
        </w:rPr>
      </w:pPr>
      <w:r>
        <w:rPr>
          <w:rFonts w:ascii="Arial" w:cs="Arial" w:eastAsia="Arial" w:hAnsi="Arial"/>
          <w:sz w:val="18"/>
          <w:szCs w:val="18"/>
          <w:color w:val="auto"/>
        </w:rPr>
        <w:t>the relevant director) and, by ordinary</w:t>
      </w:r>
    </w:p>
    <w:p>
      <w:pPr>
        <w:ind w:left="4000"/>
        <w:spacing w:after="0" w:line="235" w:lineRule="auto"/>
        <w:rPr>
          <w:sz w:val="20"/>
          <w:szCs w:val="20"/>
          <w:color w:val="auto"/>
        </w:rPr>
      </w:pPr>
      <w:r>
        <w:rPr>
          <w:rFonts w:ascii="Arial" w:cs="Arial" w:eastAsia="Arial" w:hAnsi="Arial"/>
          <w:sz w:val="18"/>
          <w:szCs w:val="18"/>
          <w:color w:val="auto"/>
        </w:rPr>
        <w:t>resolution, appoint another person to act as</w:t>
      </w:r>
    </w:p>
    <w:p>
      <w:pPr>
        <w:ind w:left="4000"/>
        <w:spacing w:after="0"/>
        <w:rPr>
          <w:sz w:val="20"/>
          <w:szCs w:val="20"/>
          <w:color w:val="auto"/>
        </w:rPr>
      </w:pPr>
      <w:r>
        <w:rPr>
          <w:rFonts w:ascii="Arial" w:cs="Arial" w:eastAsia="Arial" w:hAnsi="Arial"/>
          <w:sz w:val="18"/>
          <w:szCs w:val="18"/>
          <w:color w:val="auto"/>
        </w:rPr>
        <w:t>director in his or her place.</w:t>
      </w:r>
    </w:p>
    <w:p>
      <w:pPr>
        <w:sectPr>
          <w:pgSz w:w="11900" w:h="16838" w:orient="portrait"/>
          <w:cols w:equalWidth="0" w:num="1">
            <w:col w:w="11120"/>
          </w:cols>
          <w:pgMar w:left="320" w:top="459" w:right="459" w:bottom="1440" w:gutter="0" w:footer="0" w:header="0"/>
        </w:sectPr>
      </w:pPr>
    </w:p>
    <w:p>
      <w:pPr>
        <w:spacing w:after="0" w:line="99"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Vacancies on the Board of Directors</w:t>
      </w:r>
      <w:r>
        <w:rPr>
          <w:sz w:val="20"/>
          <w:szCs w:val="20"/>
          <w:color w:val="auto"/>
        </w:rPr>
        <w:tab/>
      </w:r>
      <w:r>
        <w:rPr>
          <w:rFonts w:ascii="Arial" w:cs="Arial" w:eastAsia="Arial" w:hAnsi="Arial"/>
          <w:sz w:val="17"/>
          <w:szCs w:val="17"/>
          <w:color w:val="auto"/>
        </w:rPr>
        <w:t>Under our Articles, we may by ordinary</w:t>
      </w:r>
    </w:p>
    <w:p>
      <w:pPr>
        <w:ind w:left="4000"/>
        <w:spacing w:after="0" w:line="234" w:lineRule="auto"/>
        <w:rPr>
          <w:sz w:val="20"/>
          <w:szCs w:val="20"/>
          <w:color w:val="auto"/>
        </w:rPr>
      </w:pPr>
      <w:r>
        <w:rPr>
          <w:rFonts w:ascii="Arial" w:cs="Arial" w:eastAsia="Arial" w:hAnsi="Arial"/>
          <w:sz w:val="18"/>
          <w:szCs w:val="18"/>
          <w:color w:val="auto"/>
        </w:rPr>
        <w:t>resolution appoint a person who is willing to</w:t>
      </w:r>
    </w:p>
    <w:p>
      <w:pPr>
        <w:ind w:left="4000"/>
        <w:spacing w:after="0" w:line="235" w:lineRule="auto"/>
        <w:rPr>
          <w:sz w:val="20"/>
          <w:szCs w:val="20"/>
          <w:color w:val="auto"/>
        </w:rPr>
      </w:pPr>
      <w:r>
        <w:rPr>
          <w:rFonts w:ascii="Arial" w:cs="Arial" w:eastAsia="Arial" w:hAnsi="Arial"/>
          <w:sz w:val="18"/>
          <w:szCs w:val="18"/>
          <w:color w:val="auto"/>
        </w:rPr>
        <w:t>act to be a director, either to fill a vacancy or</w:t>
      </w:r>
    </w:p>
    <w:p>
      <w:pPr>
        <w:ind w:left="4000"/>
        <w:spacing w:after="0" w:line="235" w:lineRule="auto"/>
        <w:rPr>
          <w:sz w:val="20"/>
          <w:szCs w:val="20"/>
          <w:color w:val="auto"/>
        </w:rPr>
      </w:pPr>
      <w:r>
        <w:rPr>
          <w:rFonts w:ascii="Arial" w:cs="Arial" w:eastAsia="Arial" w:hAnsi="Arial"/>
          <w:sz w:val="18"/>
          <w:szCs w:val="18"/>
          <w:color w:val="auto"/>
        </w:rPr>
        <w:t>as an additional director and our board of</w:t>
      </w:r>
    </w:p>
    <w:p>
      <w:pPr>
        <w:ind w:left="4000"/>
        <w:spacing w:after="0" w:line="235" w:lineRule="auto"/>
        <w:rPr>
          <w:sz w:val="20"/>
          <w:szCs w:val="20"/>
          <w:color w:val="auto"/>
        </w:rPr>
      </w:pPr>
      <w:r>
        <w:rPr>
          <w:rFonts w:ascii="Arial" w:cs="Arial" w:eastAsia="Arial" w:hAnsi="Arial"/>
          <w:sz w:val="18"/>
          <w:szCs w:val="18"/>
          <w:color w:val="auto"/>
        </w:rPr>
        <w:t>directors may appoint a person who is willing</w:t>
      </w:r>
    </w:p>
    <w:p>
      <w:pPr>
        <w:ind w:left="4000"/>
        <w:spacing w:after="0" w:line="235" w:lineRule="auto"/>
        <w:rPr>
          <w:sz w:val="20"/>
          <w:szCs w:val="20"/>
          <w:color w:val="auto"/>
        </w:rPr>
      </w:pPr>
      <w:r>
        <w:rPr>
          <w:rFonts w:ascii="Arial" w:cs="Arial" w:eastAsia="Arial" w:hAnsi="Arial"/>
          <w:sz w:val="18"/>
          <w:szCs w:val="18"/>
          <w:color w:val="auto"/>
        </w:rPr>
        <w:t>to act to be a director, either to fill a vacancy</w:t>
      </w:r>
    </w:p>
    <w:p>
      <w:pPr>
        <w:ind w:left="4000"/>
        <w:spacing w:after="0" w:line="234" w:lineRule="auto"/>
        <w:rPr>
          <w:sz w:val="20"/>
          <w:szCs w:val="20"/>
          <w:color w:val="auto"/>
        </w:rPr>
      </w:pPr>
      <w:r>
        <w:rPr>
          <w:rFonts w:ascii="Arial" w:cs="Arial" w:eastAsia="Arial" w:hAnsi="Arial"/>
          <w:sz w:val="18"/>
          <w:szCs w:val="18"/>
          <w:color w:val="auto"/>
        </w:rPr>
        <w:t>or as an additional director, provided in each</w:t>
      </w:r>
    </w:p>
    <w:p>
      <w:pPr>
        <w:ind w:left="4000"/>
        <w:spacing w:after="0" w:line="235" w:lineRule="auto"/>
        <w:rPr>
          <w:sz w:val="20"/>
          <w:szCs w:val="20"/>
          <w:color w:val="auto"/>
        </w:rPr>
      </w:pPr>
      <w:r>
        <w:rPr>
          <w:rFonts w:ascii="Arial" w:cs="Arial" w:eastAsia="Arial" w:hAnsi="Arial"/>
          <w:sz w:val="18"/>
          <w:szCs w:val="18"/>
          <w:color w:val="auto"/>
        </w:rPr>
        <w:t>case that the appointment does not cause</w:t>
      </w:r>
    </w:p>
    <w:p>
      <w:pPr>
        <w:ind w:left="4000"/>
        <w:spacing w:after="0" w:line="235" w:lineRule="auto"/>
        <w:rPr>
          <w:sz w:val="20"/>
          <w:szCs w:val="20"/>
          <w:color w:val="auto"/>
        </w:rPr>
      </w:pPr>
      <w:r>
        <w:rPr>
          <w:rFonts w:ascii="Arial" w:cs="Arial" w:eastAsia="Arial" w:hAnsi="Arial"/>
          <w:sz w:val="18"/>
          <w:szCs w:val="18"/>
          <w:color w:val="auto"/>
        </w:rPr>
        <w:t>the number of directors to exceed the</w:t>
      </w:r>
    </w:p>
    <w:p>
      <w:pPr>
        <w:ind w:left="4000"/>
        <w:spacing w:after="0" w:line="235" w:lineRule="auto"/>
        <w:rPr>
          <w:sz w:val="20"/>
          <w:szCs w:val="20"/>
          <w:color w:val="auto"/>
        </w:rPr>
      </w:pPr>
      <w:r>
        <w:rPr>
          <w:rFonts w:ascii="Arial" w:cs="Arial" w:eastAsia="Arial" w:hAnsi="Arial"/>
          <w:sz w:val="18"/>
          <w:szCs w:val="18"/>
          <w:color w:val="auto"/>
        </w:rPr>
        <w:t>number fixed by or in accordance with our</w:t>
      </w:r>
    </w:p>
    <w:p>
      <w:pPr>
        <w:ind w:left="4000"/>
        <w:spacing w:after="0"/>
        <w:rPr>
          <w:sz w:val="20"/>
          <w:szCs w:val="20"/>
          <w:color w:val="auto"/>
        </w:rPr>
      </w:pPr>
      <w:r>
        <w:rPr>
          <w:rFonts w:ascii="Arial" w:cs="Arial" w:eastAsia="Arial" w:hAnsi="Arial"/>
          <w:sz w:val="18"/>
          <w:szCs w:val="18"/>
          <w:color w:val="auto"/>
        </w:rPr>
        <w:t>Articles as the maximum number of directors.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Annual General Meeting</w:t>
      </w:r>
      <w:r>
        <w:rPr>
          <w:sz w:val="20"/>
          <w:szCs w:val="20"/>
          <w:color w:val="auto"/>
        </w:rPr>
        <w:tab/>
      </w:r>
      <w:r>
        <w:rPr>
          <w:rFonts w:ascii="Arial" w:cs="Arial" w:eastAsia="Arial" w:hAnsi="Arial"/>
          <w:sz w:val="17"/>
          <w:szCs w:val="17"/>
          <w:color w:val="auto"/>
        </w:rPr>
        <w:t>Under the U.K. Companies Act 2006, a public</w:t>
      </w:r>
    </w:p>
    <w:p>
      <w:pPr>
        <w:ind w:left="4000"/>
        <w:spacing w:after="0"/>
        <w:rPr>
          <w:sz w:val="20"/>
          <w:szCs w:val="20"/>
          <w:color w:val="auto"/>
        </w:rPr>
      </w:pPr>
      <w:r>
        <w:rPr>
          <w:rFonts w:ascii="Arial" w:cs="Arial" w:eastAsia="Arial" w:hAnsi="Arial"/>
          <w:sz w:val="17"/>
          <w:szCs w:val="17"/>
          <w:color w:val="auto"/>
        </w:rPr>
        <w:t>limited company must hold an annual general</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meeting in each six-month period following</w:t>
      </w:r>
    </w:p>
    <w:p>
      <w:pPr>
        <w:ind w:left="4000"/>
        <w:spacing w:after="0" w:line="234" w:lineRule="auto"/>
        <w:rPr>
          <w:sz w:val="20"/>
          <w:szCs w:val="20"/>
          <w:color w:val="auto"/>
        </w:rPr>
      </w:pPr>
      <w:r>
        <w:rPr>
          <w:rFonts w:ascii="Arial" w:cs="Arial" w:eastAsia="Arial" w:hAnsi="Arial"/>
          <w:sz w:val="18"/>
          <w:szCs w:val="18"/>
          <w:color w:val="auto"/>
        </w:rPr>
        <w:t>the company’s annual accounting reference</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304"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General Meeting</w:t>
      </w:r>
      <w:r>
        <w:rPr>
          <w:sz w:val="20"/>
          <w:szCs w:val="20"/>
          <w:color w:val="auto"/>
        </w:rPr>
        <w:tab/>
      </w:r>
      <w:r>
        <w:rPr>
          <w:rFonts w:ascii="Arial" w:cs="Arial" w:eastAsia="Arial" w:hAnsi="Arial"/>
          <w:sz w:val="17"/>
          <w:szCs w:val="17"/>
          <w:color w:val="auto"/>
        </w:rPr>
        <w:t>Under the U.K. Companies Act 2006, a</w:t>
      </w:r>
    </w:p>
    <w:p>
      <w:pPr>
        <w:ind w:left="4000"/>
        <w:spacing w:after="0" w:line="234" w:lineRule="auto"/>
        <w:rPr>
          <w:sz w:val="20"/>
          <w:szCs w:val="20"/>
          <w:color w:val="auto"/>
        </w:rPr>
      </w:pPr>
      <w:r>
        <w:rPr>
          <w:rFonts w:ascii="Arial" w:cs="Arial" w:eastAsia="Arial" w:hAnsi="Arial"/>
          <w:sz w:val="18"/>
          <w:szCs w:val="18"/>
          <w:color w:val="auto"/>
        </w:rPr>
        <w:t>general meeting of the shareholders of a</w:t>
      </w:r>
    </w:p>
    <w:p>
      <w:pPr>
        <w:ind w:left="4000"/>
        <w:spacing w:after="0" w:line="235" w:lineRule="auto"/>
        <w:rPr>
          <w:sz w:val="20"/>
          <w:szCs w:val="20"/>
          <w:color w:val="auto"/>
        </w:rPr>
      </w:pPr>
      <w:r>
        <w:rPr>
          <w:rFonts w:ascii="Arial" w:cs="Arial" w:eastAsia="Arial" w:hAnsi="Arial"/>
          <w:sz w:val="18"/>
          <w:szCs w:val="18"/>
          <w:color w:val="auto"/>
        </w:rPr>
        <w:t>public limited company may be called by the</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directors.</w:t>
      </w:r>
    </w:p>
    <w:p>
      <w:pPr>
        <w:spacing w:after="0" w:line="200" w:lineRule="exact"/>
        <w:rPr>
          <w:sz w:val="20"/>
          <w:szCs w:val="20"/>
          <w:color w:val="auto"/>
        </w:rPr>
      </w:pPr>
    </w:p>
    <w:p>
      <w:pPr>
        <w:spacing w:after="0" w:line="34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10" w:right="20"/>
        <w:spacing w:after="0" w:line="234" w:lineRule="auto"/>
        <w:rPr>
          <w:sz w:val="20"/>
          <w:szCs w:val="20"/>
          <w:color w:val="auto"/>
        </w:rPr>
      </w:pPr>
      <w:r>
        <w:rPr>
          <w:rFonts w:ascii="Arial" w:cs="Arial" w:eastAsia="Arial" w:hAnsi="Arial"/>
          <w:sz w:val="18"/>
          <w:szCs w:val="18"/>
          <w:color w:val="auto"/>
        </w:rPr>
        <w:t>Under Delaware law, vacancies and newly created directorships may be filled by a majority of the directors then in office (even though less than a quorum) or by a sole remaining director unless</w:t>
      </w:r>
    </w:p>
    <w:p>
      <w:pPr>
        <w:spacing w:after="0" w:line="3" w:lineRule="exact"/>
        <w:rPr>
          <w:sz w:val="20"/>
          <w:szCs w:val="20"/>
          <w:color w:val="auto"/>
        </w:rPr>
      </w:pPr>
    </w:p>
    <w:p>
      <w:pPr>
        <w:ind w:left="10" w:right="20" w:hanging="10"/>
        <w:spacing w:after="0" w:line="236" w:lineRule="auto"/>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otherwise provided in the certificate of incorporation or by-laws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99" w:lineRule="exact"/>
        <w:rPr>
          <w:sz w:val="20"/>
          <w:szCs w:val="20"/>
          <w:color w:val="auto"/>
        </w:rPr>
      </w:pPr>
    </w:p>
    <w:p>
      <w:pPr>
        <w:ind w:left="10"/>
        <w:spacing w:after="0" w:line="237" w:lineRule="auto"/>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95" w:lineRule="exact"/>
        <w:rPr>
          <w:sz w:val="20"/>
          <w:szCs w:val="20"/>
          <w:color w:val="auto"/>
        </w:rPr>
      </w:pPr>
    </w:p>
    <w:p>
      <w:pPr>
        <w:ind w:left="10" w:right="140"/>
        <w:spacing w:after="0" w:line="237"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ectPr>
          <w:pgSz w:w="11900" w:h="16838" w:orient="portrait"/>
          <w:cols w:equalWidth="0" w:num="2">
            <w:col w:w="7620" w:space="110"/>
            <w:col w:w="3390"/>
          </w:cols>
          <w:pgMar w:left="320" w:top="459" w:right="459" w:bottom="1440" w:gutter="0" w:footer="0" w:header="0"/>
          <w:type w:val="continuous"/>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80"/>
          </w:cols>
          <w:pgMar w:left="320" w:top="459" w:right="49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w w:val="99"/>
              </w:rPr>
              <w:t>Subject to the notice requirements of the U.K.</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Companies Act 2006 outlined below and</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subject to our Articles, a general meeting of</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our shareholders may be called by our board</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of directors whenever and at such times and</w:t>
            </w:r>
          </w:p>
        </w:tc>
      </w:tr>
      <w:tr>
        <w:trPr>
          <w:trHeight w:val="217"/>
        </w:trPr>
        <w:tc>
          <w:tcPr>
            <w:tcW w:w="3020" w:type="dxa"/>
            <w:vAlign w:val="bottom"/>
          </w:tcPr>
          <w:p>
            <w:pPr>
              <w:spacing w:after="0"/>
              <w:rPr>
                <w:sz w:val="18"/>
                <w:szCs w:val="18"/>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places as it shall determine.</w:t>
            </w:r>
          </w:p>
        </w:tc>
      </w:tr>
      <w:tr>
        <w:trPr>
          <w:trHeight w:val="296"/>
        </w:trPr>
        <w:tc>
          <w:tcPr>
            <w:tcW w:w="3020" w:type="dxa"/>
            <w:vAlign w:val="bottom"/>
          </w:tcPr>
          <w:p>
            <w:pPr>
              <w:spacing w:after="0"/>
              <w:rPr>
                <w:sz w:val="24"/>
                <w:szCs w:val="24"/>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A general meeting may also be convened by</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our board of directors on the requisition of not</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less than two of our shareholders who hold at</w:t>
            </w:r>
          </w:p>
        </w:tc>
      </w:tr>
      <w:tr>
        <w:trPr>
          <w:trHeight w:val="217"/>
        </w:trPr>
        <w:tc>
          <w:tcPr>
            <w:tcW w:w="3020" w:type="dxa"/>
            <w:vAlign w:val="bottom"/>
          </w:tcPr>
          <w:p>
            <w:pPr>
              <w:spacing w:after="0"/>
              <w:rPr>
                <w:sz w:val="18"/>
                <w:szCs w:val="18"/>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least 5% of our voting share capital.</w:t>
            </w:r>
          </w:p>
        </w:tc>
      </w:tr>
      <w:tr>
        <w:trPr>
          <w:trHeight w:val="296"/>
        </w:trPr>
        <w:tc>
          <w:tcPr>
            <w:tcW w:w="3020" w:type="dxa"/>
            <w:vAlign w:val="bottom"/>
          </w:tcPr>
          <w:p>
            <w:pPr>
              <w:spacing w:after="0"/>
              <w:rPr>
                <w:sz w:val="24"/>
                <w:szCs w:val="24"/>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General meetings at which special</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resolutions are proposed and passed</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generally involve proposals to change the</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name of the company, permit the company to</w:t>
            </w:r>
          </w:p>
        </w:tc>
      </w:tr>
      <w:tr>
        <w:trPr>
          <w:trHeight w:val="202"/>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issue new shares for cash without the</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shareholders’ pre-emptive right, amend the</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company’s articles of association, or carry</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out other matters where either the company’s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articles of association or the U.K. Companies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Act 2006 prescribe that a special resolution is</w:t>
            </w:r>
          </w:p>
        </w:tc>
      </w:tr>
      <w:tr>
        <w:trPr>
          <w:trHeight w:val="217"/>
        </w:trPr>
        <w:tc>
          <w:tcPr>
            <w:tcW w:w="3020" w:type="dxa"/>
            <w:vAlign w:val="bottom"/>
          </w:tcPr>
          <w:p>
            <w:pPr>
              <w:spacing w:after="0"/>
              <w:rPr>
                <w:sz w:val="18"/>
                <w:szCs w:val="18"/>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required.</w:t>
            </w:r>
          </w:p>
        </w:tc>
      </w:tr>
      <w:tr>
        <w:trPr>
          <w:trHeight w:val="296"/>
        </w:trPr>
        <w:tc>
          <w:tcPr>
            <w:tcW w:w="3020" w:type="dxa"/>
            <w:vAlign w:val="bottom"/>
          </w:tcPr>
          <w:p>
            <w:pPr>
              <w:spacing w:after="0"/>
              <w:rPr>
                <w:sz w:val="24"/>
                <w:szCs w:val="24"/>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Other proposals relating to the ordinary</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course of the company’s business, such as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the election of directors, would generally be</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the subject of an ordinary resolution and</w:t>
            </w:r>
          </w:p>
        </w:tc>
      </w:tr>
      <w:tr>
        <w:trPr>
          <w:trHeight w:val="217"/>
        </w:trPr>
        <w:tc>
          <w:tcPr>
            <w:tcW w:w="3020" w:type="dxa"/>
            <w:vAlign w:val="bottom"/>
          </w:tcPr>
          <w:p>
            <w:pPr>
              <w:spacing w:after="0"/>
              <w:rPr>
                <w:sz w:val="18"/>
                <w:szCs w:val="18"/>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subject to our Articles.</w:t>
            </w:r>
          </w:p>
        </w:tc>
      </w:tr>
      <w:tr>
        <w:trPr>
          <w:trHeight w:val="296"/>
        </w:trPr>
        <w:tc>
          <w:tcPr>
            <w:tcW w:w="3020" w:type="dxa"/>
            <w:vAlign w:val="bottom"/>
          </w:tcPr>
          <w:p>
            <w:pPr>
              <w:spacing w:after="0"/>
              <w:rPr>
                <w:sz w:val="20"/>
                <w:szCs w:val="20"/>
                <w:color w:val="auto"/>
              </w:rPr>
            </w:pPr>
            <w:r>
              <w:rPr>
                <w:rFonts w:ascii="Arial" w:cs="Arial" w:eastAsia="Arial" w:hAnsi="Arial"/>
                <w:sz w:val="18"/>
                <w:szCs w:val="18"/>
                <w:color w:val="auto"/>
              </w:rPr>
              <w:t>Notice of General Meetings</w:t>
            </w: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Under the U.K. Companies Act 2006, at least</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21 clear days’ notice must be given for an</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annual general meeting and any resolutions</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to be proposed at that meeting. At least 14</w:t>
            </w:r>
          </w:p>
        </w:tc>
      </w:tr>
      <w:tr>
        <w:trPr>
          <w:trHeight w:val="203"/>
        </w:trPr>
        <w:tc>
          <w:tcPr>
            <w:tcW w:w="3020" w:type="dxa"/>
            <w:vAlign w:val="bottom"/>
          </w:tcPr>
          <w:p>
            <w:pPr>
              <w:spacing w:after="0"/>
              <w:rPr>
                <w:sz w:val="17"/>
                <w:szCs w:val="17"/>
                <w:color w:val="auto"/>
              </w:rPr>
            </w:pPr>
          </w:p>
        </w:tc>
        <w:tc>
          <w:tcPr>
            <w:tcW w:w="44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clear days’ notice is required for any other</w:t>
            </w:r>
          </w:p>
        </w:tc>
      </w:tr>
      <w:tr>
        <w:trPr>
          <w:trHeight w:val="217"/>
        </w:trPr>
        <w:tc>
          <w:tcPr>
            <w:tcW w:w="3020" w:type="dxa"/>
            <w:vAlign w:val="bottom"/>
          </w:tcPr>
          <w:p>
            <w:pPr>
              <w:spacing w:after="0"/>
              <w:rPr>
                <w:sz w:val="18"/>
                <w:szCs w:val="18"/>
                <w:color w:val="auto"/>
              </w:rPr>
            </w:pPr>
          </w:p>
        </w:tc>
        <w:tc>
          <w:tcPr>
            <w:tcW w:w="4480" w:type="dxa"/>
            <w:vAlign w:val="bottom"/>
            <w:gridSpan w:val="2"/>
          </w:tcPr>
          <w:p>
            <w:pPr>
              <w:ind w:left="860"/>
              <w:spacing w:after="0"/>
              <w:rPr>
                <w:sz w:val="20"/>
                <w:szCs w:val="20"/>
                <w:color w:val="auto"/>
              </w:rPr>
            </w:pPr>
            <w:r>
              <w:rPr>
                <w:rFonts w:ascii="Arial" w:cs="Arial" w:eastAsia="Arial" w:hAnsi="Arial"/>
                <w:sz w:val="18"/>
                <w:szCs w:val="18"/>
                <w:color w:val="auto"/>
              </w:rPr>
              <w:t>general meeting.</w:t>
            </w:r>
          </w:p>
        </w:tc>
      </w:tr>
      <w:tr>
        <w:trPr>
          <w:trHeight w:val="959"/>
        </w:trPr>
        <w:tc>
          <w:tcPr>
            <w:tcW w:w="3020" w:type="dxa"/>
            <w:vAlign w:val="bottom"/>
          </w:tcPr>
          <w:p>
            <w:pPr>
              <w:spacing w:after="0"/>
              <w:rPr>
                <w:sz w:val="24"/>
                <w:szCs w:val="24"/>
                <w:color w:val="auto"/>
              </w:rPr>
            </w:pPr>
          </w:p>
        </w:tc>
        <w:tc>
          <w:tcPr>
            <w:tcW w:w="4480" w:type="dxa"/>
            <w:vAlign w:val="bottom"/>
            <w:gridSpan w:val="2"/>
          </w:tcPr>
          <w:p>
            <w:pPr>
              <w:ind w:left="2380"/>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21602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ectPr>
          <w:pgSz w:w="11900" w:h="16838" w:orient="portrait"/>
          <w:cols w:equalWidth="0" w:num="2">
            <w:col w:w="7620" w:space="120"/>
            <w:col w:w="3340"/>
          </w:cols>
          <w:pgMar w:left="320" w:top="459" w:right="49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400"/>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17780</wp:posOffset>
            </wp:positionV>
            <wp:extent cx="45345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34535" cy="8890"/>
                    </a:xfrm>
                    <a:prstGeom prst="rect">
                      <a:avLst/>
                    </a:prstGeom>
                    <a:noFill/>
                  </pic:spPr>
                </pic:pic>
              </a:graphicData>
            </a:graphic>
          </wp:anchor>
        </w:drawing>
      </w:r>
    </w:p>
    <w:p>
      <w:pPr>
        <w:spacing w:after="0" w:line="1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 addition, certain matters, such as the</w:t>
      </w:r>
    </w:p>
    <w:p>
      <w:pPr>
        <w:ind w:left="4000"/>
        <w:spacing w:after="0" w:line="234" w:lineRule="auto"/>
        <w:rPr>
          <w:sz w:val="20"/>
          <w:szCs w:val="20"/>
          <w:color w:val="auto"/>
        </w:rPr>
      </w:pPr>
      <w:r>
        <w:rPr>
          <w:rFonts w:ascii="Arial" w:cs="Arial" w:eastAsia="Arial" w:hAnsi="Arial"/>
          <w:sz w:val="18"/>
          <w:szCs w:val="18"/>
          <w:color w:val="auto"/>
        </w:rPr>
        <w:t>removal of directors or auditors, require</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special notice, which is 28 clear days’ notice.</w:t>
      </w:r>
    </w:p>
    <w:p>
      <w:pPr>
        <w:sectPr>
          <w:pgSz w:w="11900" w:h="16838" w:orient="portrait"/>
          <w:cols w:equalWidth="0" w:num="1">
            <w:col w:w="11140"/>
          </w:cols>
          <w:pgMar w:left="320" w:top="459" w:right="439" w:bottom="1440" w:gutter="0" w:footer="0" w:header="0"/>
        </w:sectPr>
      </w:pPr>
    </w:p>
    <w:p>
      <w:pPr>
        <w:spacing w:after="0" w:line="99"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Quorum</w:t>
      </w:r>
      <w:r>
        <w:rPr>
          <w:sz w:val="20"/>
          <w:szCs w:val="20"/>
          <w:color w:val="auto"/>
        </w:rPr>
        <w:tab/>
      </w:r>
      <w:r>
        <w:rPr>
          <w:rFonts w:ascii="Arial" w:cs="Arial" w:eastAsia="Arial" w:hAnsi="Arial"/>
          <w:sz w:val="18"/>
          <w:szCs w:val="18"/>
          <w:color w:val="auto"/>
        </w:rPr>
        <w:t>Our Articles provide that no business shall be</w:t>
      </w:r>
    </w:p>
    <w:p>
      <w:pPr>
        <w:ind w:left="4000"/>
        <w:spacing w:after="0" w:line="234" w:lineRule="auto"/>
        <w:rPr>
          <w:sz w:val="20"/>
          <w:szCs w:val="20"/>
          <w:color w:val="auto"/>
        </w:rPr>
      </w:pPr>
      <w:r>
        <w:rPr>
          <w:rFonts w:ascii="Arial" w:cs="Arial" w:eastAsia="Arial" w:hAnsi="Arial"/>
          <w:sz w:val="18"/>
          <w:szCs w:val="18"/>
          <w:color w:val="auto"/>
        </w:rPr>
        <w:t>transacted at any general meeting unless a</w:t>
      </w:r>
    </w:p>
    <w:p>
      <w:pPr>
        <w:ind w:left="4000"/>
        <w:spacing w:after="0" w:line="235" w:lineRule="auto"/>
        <w:rPr>
          <w:sz w:val="20"/>
          <w:szCs w:val="20"/>
          <w:color w:val="auto"/>
        </w:rPr>
      </w:pPr>
      <w:r>
        <w:rPr>
          <w:rFonts w:ascii="Arial" w:cs="Arial" w:eastAsia="Arial" w:hAnsi="Arial"/>
          <w:sz w:val="18"/>
          <w:szCs w:val="18"/>
          <w:color w:val="auto"/>
        </w:rPr>
        <w:t>quorum is present. Two qualifying persons</w:t>
      </w:r>
    </w:p>
    <w:p>
      <w:pPr>
        <w:ind w:left="4000"/>
        <w:spacing w:after="0" w:line="235" w:lineRule="auto"/>
        <w:rPr>
          <w:sz w:val="20"/>
          <w:szCs w:val="20"/>
          <w:color w:val="auto"/>
        </w:rPr>
      </w:pPr>
      <w:r>
        <w:rPr>
          <w:rFonts w:ascii="Arial" w:cs="Arial" w:eastAsia="Arial" w:hAnsi="Arial"/>
          <w:sz w:val="18"/>
          <w:szCs w:val="18"/>
          <w:color w:val="auto"/>
        </w:rPr>
        <w:t>present at a meeting and entitled to vote on</w:t>
      </w:r>
    </w:p>
    <w:p>
      <w:pPr>
        <w:ind w:left="4000"/>
        <w:spacing w:after="0" w:line="235" w:lineRule="auto"/>
        <w:rPr>
          <w:sz w:val="20"/>
          <w:szCs w:val="20"/>
          <w:color w:val="auto"/>
        </w:rPr>
      </w:pPr>
      <w:r>
        <w:rPr>
          <w:rFonts w:ascii="Arial" w:cs="Arial" w:eastAsia="Arial" w:hAnsi="Arial"/>
          <w:sz w:val="18"/>
          <w:szCs w:val="18"/>
          <w:color w:val="auto"/>
        </w:rPr>
        <w:t>the business to be transacted shall be a</w:t>
      </w:r>
    </w:p>
    <w:p>
      <w:pPr>
        <w:ind w:left="4000"/>
        <w:spacing w:after="0" w:line="235" w:lineRule="auto"/>
        <w:rPr>
          <w:sz w:val="20"/>
          <w:szCs w:val="20"/>
          <w:color w:val="auto"/>
        </w:rPr>
      </w:pPr>
      <w:r>
        <w:rPr>
          <w:rFonts w:ascii="Arial" w:cs="Arial" w:eastAsia="Arial" w:hAnsi="Arial"/>
          <w:sz w:val="18"/>
          <w:szCs w:val="18"/>
          <w:color w:val="auto"/>
        </w:rPr>
        <w:t>quorum, unless (1) each is a qualifying</w:t>
      </w:r>
    </w:p>
    <w:p>
      <w:pPr>
        <w:ind w:left="4000"/>
        <w:spacing w:after="0" w:line="234" w:lineRule="auto"/>
        <w:rPr>
          <w:sz w:val="20"/>
          <w:szCs w:val="20"/>
          <w:color w:val="auto"/>
        </w:rPr>
      </w:pPr>
      <w:r>
        <w:rPr>
          <w:rFonts w:ascii="Arial" w:cs="Arial" w:eastAsia="Arial" w:hAnsi="Arial"/>
          <w:sz w:val="18"/>
          <w:szCs w:val="18"/>
          <w:color w:val="auto"/>
        </w:rPr>
        <w:t>person only because he or she is authorized</w:t>
      </w:r>
    </w:p>
    <w:p>
      <w:pPr>
        <w:ind w:left="4000"/>
        <w:spacing w:after="0" w:line="235" w:lineRule="auto"/>
        <w:rPr>
          <w:sz w:val="20"/>
          <w:szCs w:val="20"/>
          <w:color w:val="auto"/>
        </w:rPr>
      </w:pPr>
      <w:r>
        <w:rPr>
          <w:rFonts w:ascii="Arial" w:cs="Arial" w:eastAsia="Arial" w:hAnsi="Arial"/>
          <w:sz w:val="18"/>
          <w:szCs w:val="18"/>
          <w:color w:val="auto"/>
        </w:rPr>
        <w:t>under the U.K. Companies Act 2006 to act as</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a representative of a corporation in relation to</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meeting, and they are representatives of</w:t>
      </w:r>
    </w:p>
    <w:p>
      <w:pPr>
        <w:ind w:left="4000"/>
        <w:spacing w:after="0" w:line="234" w:lineRule="auto"/>
        <w:rPr>
          <w:sz w:val="20"/>
          <w:szCs w:val="20"/>
          <w:color w:val="auto"/>
        </w:rPr>
      </w:pPr>
      <w:r>
        <w:rPr>
          <w:rFonts w:ascii="Arial" w:cs="Arial" w:eastAsia="Arial" w:hAnsi="Arial"/>
          <w:sz w:val="18"/>
          <w:szCs w:val="18"/>
          <w:color w:val="auto"/>
        </w:rPr>
        <w:t>the same corporation, or (2) each is a</w:t>
      </w:r>
    </w:p>
    <w:p>
      <w:pPr>
        <w:ind w:left="4000"/>
        <w:spacing w:after="0" w:line="235" w:lineRule="auto"/>
        <w:rPr>
          <w:sz w:val="20"/>
          <w:szCs w:val="20"/>
          <w:color w:val="auto"/>
        </w:rPr>
      </w:pPr>
      <w:r>
        <w:rPr>
          <w:rFonts w:ascii="Arial" w:cs="Arial" w:eastAsia="Arial" w:hAnsi="Arial"/>
          <w:sz w:val="18"/>
          <w:szCs w:val="18"/>
          <w:color w:val="auto"/>
        </w:rPr>
        <w:t>qualifying person only because he or she is</w:t>
      </w:r>
    </w:p>
    <w:p>
      <w:pPr>
        <w:ind w:left="4000"/>
        <w:spacing w:after="0" w:line="235" w:lineRule="auto"/>
        <w:rPr>
          <w:sz w:val="20"/>
          <w:szCs w:val="20"/>
          <w:color w:val="auto"/>
        </w:rPr>
      </w:pPr>
      <w:r>
        <w:rPr>
          <w:rFonts w:ascii="Arial" w:cs="Arial" w:eastAsia="Arial" w:hAnsi="Arial"/>
          <w:sz w:val="18"/>
          <w:szCs w:val="18"/>
          <w:color w:val="auto"/>
        </w:rPr>
        <w:t>appointed as proxy of a shareholder in</w:t>
      </w:r>
    </w:p>
    <w:p>
      <w:pPr>
        <w:ind w:left="4000"/>
        <w:spacing w:after="0" w:line="235" w:lineRule="auto"/>
        <w:rPr>
          <w:sz w:val="20"/>
          <w:szCs w:val="20"/>
          <w:color w:val="auto"/>
        </w:rPr>
      </w:pPr>
      <w:r>
        <w:rPr>
          <w:rFonts w:ascii="Arial" w:cs="Arial" w:eastAsia="Arial" w:hAnsi="Arial"/>
          <w:sz w:val="18"/>
          <w:szCs w:val="18"/>
          <w:color w:val="auto"/>
        </w:rPr>
        <w:t>relation to the meeting, and they are proxies</w:t>
      </w:r>
    </w:p>
    <w:p>
      <w:pPr>
        <w:ind w:left="4000"/>
        <w:spacing w:after="0"/>
        <w:rPr>
          <w:sz w:val="20"/>
          <w:szCs w:val="20"/>
          <w:color w:val="auto"/>
        </w:rPr>
      </w:pPr>
      <w:r>
        <w:rPr>
          <w:rFonts w:ascii="Arial" w:cs="Arial" w:eastAsia="Arial" w:hAnsi="Arial"/>
          <w:sz w:val="18"/>
          <w:szCs w:val="18"/>
          <w:color w:val="auto"/>
        </w:rPr>
        <w:t>of the same shareholder.</w:t>
      </w:r>
    </w:p>
    <w:p>
      <w:pPr>
        <w:spacing w:after="0" w:line="9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 “qualifying person” means (1) a person</w:t>
      </w:r>
    </w:p>
    <w:p>
      <w:pPr>
        <w:ind w:left="4000"/>
        <w:spacing w:after="0" w:line="234" w:lineRule="auto"/>
        <w:rPr>
          <w:sz w:val="20"/>
          <w:szCs w:val="20"/>
          <w:color w:val="auto"/>
        </w:rPr>
      </w:pPr>
      <w:r>
        <w:rPr>
          <w:rFonts w:ascii="Arial" w:cs="Arial" w:eastAsia="Arial" w:hAnsi="Arial"/>
          <w:sz w:val="18"/>
          <w:szCs w:val="18"/>
          <w:color w:val="auto"/>
        </w:rPr>
        <w:t>who is one of our shareholders, (2) a person</w:t>
      </w:r>
    </w:p>
    <w:p>
      <w:pPr>
        <w:ind w:left="4000"/>
        <w:spacing w:after="0" w:line="235" w:lineRule="auto"/>
        <w:rPr>
          <w:sz w:val="20"/>
          <w:szCs w:val="20"/>
          <w:color w:val="auto"/>
        </w:rPr>
      </w:pPr>
      <w:r>
        <w:rPr>
          <w:rFonts w:ascii="Arial" w:cs="Arial" w:eastAsia="Arial" w:hAnsi="Arial"/>
          <w:sz w:val="18"/>
          <w:szCs w:val="18"/>
          <w:color w:val="auto"/>
        </w:rPr>
        <w:t>authorized under the U.K. Companies Act</w:t>
      </w:r>
    </w:p>
    <w:p>
      <w:pPr>
        <w:ind w:left="4000"/>
        <w:spacing w:after="0" w:line="235" w:lineRule="auto"/>
        <w:rPr>
          <w:sz w:val="20"/>
          <w:szCs w:val="20"/>
          <w:color w:val="auto"/>
        </w:rPr>
      </w:pPr>
      <w:r>
        <w:rPr>
          <w:rFonts w:ascii="Arial" w:cs="Arial" w:eastAsia="Arial" w:hAnsi="Arial"/>
          <w:sz w:val="18"/>
          <w:szCs w:val="18"/>
          <w:color w:val="auto"/>
        </w:rPr>
        <w:t>2006 to act as a representative of the</w:t>
      </w:r>
    </w:p>
    <w:p>
      <w:pPr>
        <w:ind w:left="4000"/>
        <w:spacing w:after="0" w:line="235" w:lineRule="auto"/>
        <w:rPr>
          <w:sz w:val="20"/>
          <w:szCs w:val="20"/>
          <w:color w:val="auto"/>
        </w:rPr>
      </w:pPr>
      <w:r>
        <w:rPr>
          <w:rFonts w:ascii="Arial" w:cs="Arial" w:eastAsia="Arial" w:hAnsi="Arial"/>
          <w:sz w:val="18"/>
          <w:szCs w:val="18"/>
          <w:color w:val="auto"/>
        </w:rPr>
        <w:t>corporation in relation to the meeting, or (3) a</w:t>
      </w:r>
    </w:p>
    <w:p>
      <w:pPr>
        <w:ind w:left="4000"/>
        <w:spacing w:after="0" w:line="235" w:lineRule="auto"/>
        <w:rPr>
          <w:sz w:val="20"/>
          <w:szCs w:val="20"/>
          <w:color w:val="auto"/>
        </w:rPr>
      </w:pPr>
      <w:r>
        <w:rPr>
          <w:rFonts w:ascii="Arial" w:cs="Arial" w:eastAsia="Arial" w:hAnsi="Arial"/>
          <w:sz w:val="18"/>
          <w:szCs w:val="18"/>
          <w:color w:val="auto"/>
        </w:rPr>
        <w:t>person appointed as proxy of a shareholder</w:t>
      </w:r>
    </w:p>
    <w:p>
      <w:pPr>
        <w:ind w:left="4000"/>
        <w:spacing w:after="0"/>
        <w:rPr>
          <w:sz w:val="20"/>
          <w:szCs w:val="20"/>
          <w:color w:val="auto"/>
        </w:rPr>
      </w:pPr>
      <w:r>
        <w:rPr>
          <w:rFonts w:ascii="Arial" w:cs="Arial" w:eastAsia="Arial" w:hAnsi="Arial"/>
          <w:sz w:val="18"/>
          <w:szCs w:val="18"/>
          <w:color w:val="auto"/>
        </w:rPr>
        <w:t>in relation to the meeting.</w:t>
      </w:r>
    </w:p>
    <w:p>
      <w:pPr>
        <w:spacing w:after="0" w:line="99"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Proxy</w:t>
      </w:r>
      <w:r>
        <w:rPr>
          <w:sz w:val="20"/>
          <w:szCs w:val="20"/>
          <w:color w:val="auto"/>
        </w:rPr>
        <w:tab/>
      </w:r>
      <w:r>
        <w:rPr>
          <w:rFonts w:ascii="Arial" w:cs="Arial" w:eastAsia="Arial" w:hAnsi="Arial"/>
          <w:sz w:val="18"/>
          <w:szCs w:val="18"/>
          <w:color w:val="auto"/>
        </w:rPr>
        <w:t>Under the U.K. Companies Act 2006, at any</w:t>
      </w:r>
    </w:p>
    <w:p>
      <w:pPr>
        <w:ind w:left="4000"/>
        <w:spacing w:after="0" w:line="234" w:lineRule="auto"/>
        <w:rPr>
          <w:sz w:val="20"/>
          <w:szCs w:val="20"/>
          <w:color w:val="auto"/>
        </w:rPr>
      </w:pPr>
      <w:r>
        <w:rPr>
          <w:rFonts w:ascii="Arial" w:cs="Arial" w:eastAsia="Arial" w:hAnsi="Arial"/>
          <w:sz w:val="18"/>
          <w:szCs w:val="18"/>
          <w:color w:val="auto"/>
        </w:rPr>
        <w:t>meeting of shareholders, a shareholder may</w:t>
      </w:r>
    </w:p>
    <w:p>
      <w:pPr>
        <w:ind w:left="4000"/>
        <w:spacing w:after="0" w:line="235" w:lineRule="auto"/>
        <w:rPr>
          <w:sz w:val="20"/>
          <w:szCs w:val="20"/>
          <w:color w:val="auto"/>
        </w:rPr>
      </w:pPr>
      <w:r>
        <w:rPr>
          <w:rFonts w:ascii="Arial" w:cs="Arial" w:eastAsia="Arial" w:hAnsi="Arial"/>
          <w:sz w:val="18"/>
          <w:szCs w:val="18"/>
          <w:color w:val="auto"/>
        </w:rPr>
        <w:t>designate another person to attend, speak</w:t>
      </w:r>
    </w:p>
    <w:p>
      <w:pPr>
        <w:ind w:left="4000"/>
        <w:spacing w:after="0" w:line="235" w:lineRule="auto"/>
        <w:rPr>
          <w:sz w:val="20"/>
          <w:szCs w:val="20"/>
          <w:color w:val="auto"/>
        </w:rPr>
      </w:pPr>
      <w:r>
        <w:rPr>
          <w:rFonts w:ascii="Arial" w:cs="Arial" w:eastAsia="Arial" w:hAnsi="Arial"/>
          <w:sz w:val="18"/>
          <w:szCs w:val="18"/>
          <w:color w:val="auto"/>
        </w:rPr>
        <w:t>and vote at the meeting on their behalf by</w:t>
      </w:r>
    </w:p>
    <w:p>
      <w:pPr>
        <w:ind w:left="4000"/>
        <w:spacing w:after="0"/>
        <w:rPr>
          <w:sz w:val="20"/>
          <w:szCs w:val="20"/>
          <w:color w:val="auto"/>
        </w:rPr>
      </w:pPr>
      <w:r>
        <w:rPr>
          <w:rFonts w:ascii="Arial" w:cs="Arial" w:eastAsia="Arial" w:hAnsi="Arial"/>
          <w:sz w:val="18"/>
          <w:szCs w:val="18"/>
          <w:color w:val="auto"/>
        </w:rPr>
        <w:t>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certificate of incorporation or bylaws may specify the number of shares, the holders of which shall be present or represented by proxy at any meeting in order to constitute a quorum, but in no event shall a quorum consist of less than one third of the shares entitled to vote at the meeting. In the absence of such specification in the certificate of incorporation or bylaws, a majority of the shares entitled to vote, present in person or represented by proxy, shall constitute a quorum at a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ectPr>
          <w:pgSz w:w="11900" w:h="16838" w:orient="portrait"/>
          <w:cols w:equalWidth="0" w:num="2">
            <w:col w:w="7620" w:space="120"/>
            <w:col w:w="3400"/>
          </w:cols>
          <w:pgMar w:left="320" w:top="459" w:right="439" w:bottom="1440" w:gutter="0" w:footer="0" w:header="0"/>
          <w:type w:val="continuous"/>
        </w:sectPr>
      </w:pPr>
    </w:p>
    <w:bookmarkStart w:id="37" w:name="page38"/>
    <w:bookmarkEnd w:id="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760" w:type="dxa"/>
            <w:vAlign w:val="bottom"/>
            <w:vMerge w:val="restart"/>
          </w:tcPr>
          <w:p>
            <w:pPr>
              <w:spacing w:after="0"/>
              <w:rPr>
                <w:sz w:val="20"/>
                <w:szCs w:val="20"/>
                <w:color w:val="auto"/>
              </w:rPr>
            </w:pPr>
            <w:r>
              <w:rPr>
                <w:rFonts w:ascii="Arial" w:cs="Arial" w:eastAsia="Arial" w:hAnsi="Arial"/>
                <w:sz w:val="18"/>
                <w:szCs w:val="18"/>
                <w:color w:val="auto"/>
              </w:rPr>
              <w:t>Issue of New Shares</w:t>
            </w:r>
          </w:p>
        </w:tc>
        <w:tc>
          <w:tcPr>
            <w:tcW w:w="112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95"/>
        </w:trPr>
        <w:tc>
          <w:tcPr>
            <w:tcW w:w="27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Under the U.K. Companies Act 2006, the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w w:val="99"/>
              </w:rPr>
              <w:t>directors of a company must not exercise any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power to allot shares or grant rights 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subscribe for, or to convert any security into,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w w:val="99"/>
              </w:rPr>
              <w:t>shares unless they are authorized to do so by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w w:val="99"/>
              </w:rPr>
              <w:t>the company’s articles of association or by an</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ordinary resolution of the shareholders. Any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authorization given must state the maximum</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amount of shares that may be allotted under</w:t>
            </w: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it and specify the date on which it will expire,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which must be not more than five years from</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the date the authorization was given. The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authority can be renewed by a further</w:t>
            </w:r>
          </w:p>
        </w:tc>
        <w:tc>
          <w:tcPr>
            <w:tcW w:w="0" w:type="dxa"/>
            <w:vAlign w:val="bottom"/>
          </w:tcPr>
          <w:p>
            <w:pPr>
              <w:spacing w:after="0"/>
              <w:rPr>
                <w:sz w:val="1"/>
                <w:szCs w:val="1"/>
                <w:color w:val="auto"/>
              </w:rPr>
            </w:pPr>
          </w:p>
        </w:tc>
      </w:tr>
      <w:tr>
        <w:trPr>
          <w:trHeight w:val="217"/>
        </w:trPr>
        <w:tc>
          <w:tcPr>
            <w:tcW w:w="2760" w:type="dxa"/>
            <w:vAlign w:val="bottom"/>
          </w:tcPr>
          <w:p>
            <w:pPr>
              <w:spacing w:after="0"/>
              <w:rPr>
                <w:sz w:val="18"/>
                <w:szCs w:val="18"/>
                <w:color w:val="auto"/>
              </w:rPr>
            </w:pPr>
          </w:p>
        </w:tc>
        <w:tc>
          <w:tcPr>
            <w:tcW w:w="4740" w:type="dxa"/>
            <w:vAlign w:val="bottom"/>
            <w:gridSpan w:val="2"/>
          </w:tcPr>
          <w:p>
            <w:pPr>
              <w:ind w:left="1120"/>
              <w:spacing w:after="0"/>
              <w:rPr>
                <w:sz w:val="20"/>
                <w:szCs w:val="20"/>
                <w:color w:val="auto"/>
              </w:rPr>
            </w:pPr>
            <w:r>
              <w:rPr>
                <w:rFonts w:ascii="Arial" w:cs="Arial" w:eastAsia="Arial" w:hAnsi="Arial"/>
                <w:sz w:val="18"/>
                <w:szCs w:val="18"/>
                <w:color w:val="auto"/>
              </w:rPr>
              <w:t>resolution of the shareholders.</w:t>
            </w:r>
          </w:p>
        </w:tc>
        <w:tc>
          <w:tcPr>
            <w:tcW w:w="0" w:type="dxa"/>
            <w:vAlign w:val="bottom"/>
          </w:tcPr>
          <w:p>
            <w:pPr>
              <w:spacing w:after="0"/>
              <w:rPr>
                <w:sz w:val="1"/>
                <w:szCs w:val="1"/>
                <w:color w:val="auto"/>
              </w:rPr>
            </w:pPr>
          </w:p>
        </w:tc>
      </w:tr>
      <w:tr>
        <w:trPr>
          <w:trHeight w:val="296"/>
        </w:trPr>
        <w:tc>
          <w:tcPr>
            <w:tcW w:w="2760" w:type="dxa"/>
            <w:vAlign w:val="bottom"/>
          </w:tcPr>
          <w:p>
            <w:pPr>
              <w:spacing w:after="0"/>
              <w:rPr>
                <w:sz w:val="20"/>
                <w:szCs w:val="20"/>
                <w:color w:val="auto"/>
              </w:rPr>
            </w:pPr>
            <w:r>
              <w:rPr>
                <w:rFonts w:ascii="Arial" w:cs="Arial" w:eastAsia="Arial" w:hAnsi="Arial"/>
                <w:sz w:val="18"/>
                <w:szCs w:val="18"/>
                <w:color w:val="auto"/>
              </w:rPr>
              <w:t>Pre-emptive Rights</w:t>
            </w:r>
          </w:p>
        </w:tc>
        <w:tc>
          <w:tcPr>
            <w:tcW w:w="4740" w:type="dxa"/>
            <w:vAlign w:val="bottom"/>
            <w:gridSpan w:val="2"/>
          </w:tcPr>
          <w:p>
            <w:pPr>
              <w:ind w:left="1120"/>
              <w:spacing w:after="0"/>
              <w:rPr>
                <w:sz w:val="20"/>
                <w:szCs w:val="20"/>
                <w:color w:val="auto"/>
              </w:rPr>
            </w:pPr>
            <w:r>
              <w:rPr>
                <w:rFonts w:ascii="Arial" w:cs="Arial" w:eastAsia="Arial" w:hAnsi="Arial"/>
                <w:sz w:val="18"/>
                <w:szCs w:val="18"/>
                <w:color w:val="auto"/>
              </w:rPr>
              <w:t>Under the U.K. Companies Act 2006, “equity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securities,” being (i) shares in the company</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other than shares that, with respect 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dividends and capital, carry a right 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participate only up to a specified amount in a</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distribution (“ordinary shares”) or (ii) rights 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subscribe for, or to convert securities into,</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ordinary shares, proposed to be allotted for</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cash, must be offered first to the existing</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equity shareholders in the company in</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proportion to the respective nominal value of</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their holdings, unless an exception applies or</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a special resolution to the contrary has been</w:t>
            </w: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passed by shareholders in a general meeting</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or the articles of association provide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otherwise, in each case in accordance with</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the provisions of the U.K. Companies Act</w:t>
            </w:r>
          </w:p>
        </w:tc>
        <w:tc>
          <w:tcPr>
            <w:tcW w:w="0" w:type="dxa"/>
            <w:vAlign w:val="bottom"/>
          </w:tcPr>
          <w:p>
            <w:pPr>
              <w:spacing w:after="0"/>
              <w:rPr>
                <w:sz w:val="1"/>
                <w:szCs w:val="1"/>
                <w:color w:val="auto"/>
              </w:rPr>
            </w:pPr>
          </w:p>
        </w:tc>
      </w:tr>
      <w:tr>
        <w:trPr>
          <w:trHeight w:val="217"/>
        </w:trPr>
        <w:tc>
          <w:tcPr>
            <w:tcW w:w="2760" w:type="dxa"/>
            <w:vAlign w:val="bottom"/>
          </w:tcPr>
          <w:p>
            <w:pPr>
              <w:spacing w:after="0"/>
              <w:rPr>
                <w:sz w:val="18"/>
                <w:szCs w:val="18"/>
                <w:color w:val="auto"/>
              </w:rPr>
            </w:pPr>
          </w:p>
        </w:tc>
        <w:tc>
          <w:tcPr>
            <w:tcW w:w="4740" w:type="dxa"/>
            <w:vAlign w:val="bottom"/>
            <w:gridSpan w:val="2"/>
          </w:tcPr>
          <w:p>
            <w:pPr>
              <w:ind w:left="112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351"/>
        </w:trPr>
        <w:tc>
          <w:tcPr>
            <w:tcW w:w="2760" w:type="dxa"/>
            <w:vAlign w:val="bottom"/>
          </w:tcPr>
          <w:p>
            <w:pPr>
              <w:spacing w:after="0"/>
              <w:rPr>
                <w:sz w:val="24"/>
                <w:szCs w:val="24"/>
                <w:color w:val="auto"/>
              </w:rPr>
            </w:pPr>
          </w:p>
        </w:tc>
        <w:tc>
          <w:tcPr>
            <w:tcW w:w="4740" w:type="dxa"/>
            <w:vAlign w:val="bottom"/>
            <w:gridSpan w:val="2"/>
          </w:tcPr>
          <w:p>
            <w:pPr>
              <w:ind w:left="26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21602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Delaware law, if the company’s certificate of incorporation so provides, the directors have the power to authorize additional stock. The directors may authorize capital stock to be issued for consideration consisting of cash, any tangible or intangible property or any benefit to the company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7620" w:space="120"/>
            <w:col w:w="3400"/>
          </w:cols>
          <w:pgMar w:left="320" w:top="459" w:right="439" w:bottom="1440" w:gutter="0" w:footer="0" w:header="0"/>
          <w:type w:val="continuous"/>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220" w:type="dxa"/>
            <w:vAlign w:val="bottom"/>
            <w:vMerge w:val="restart"/>
          </w:tcPr>
          <w:p>
            <w:pPr>
              <w:spacing w:after="0"/>
              <w:rPr>
                <w:sz w:val="20"/>
                <w:szCs w:val="20"/>
                <w:color w:val="auto"/>
              </w:rPr>
            </w:pPr>
            <w:r>
              <w:rPr>
                <w:rFonts w:ascii="Arial" w:cs="Arial" w:eastAsia="Arial" w:hAnsi="Arial"/>
                <w:sz w:val="18"/>
                <w:szCs w:val="18"/>
                <w:color w:val="auto"/>
              </w:rPr>
              <w:t>Authority to Allot</w:t>
            </w:r>
          </w:p>
        </w:tc>
        <w:tc>
          <w:tcPr>
            <w:tcW w:w="66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95"/>
        </w:trPr>
        <w:tc>
          <w:tcPr>
            <w:tcW w:w="32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Under the U.K. Companies Act 2006, the</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directors of a company must not allot shares</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or grant rights to subscribe for or to convert</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any security into shares unless those shares</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are allotted, or those rights to subscribe or</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convert any security into shares are granted</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(as applicable) pursuant to an employee</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share scheme, an ordinary resolution to the</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contrary has been passed by shareholders in</w:t>
            </w:r>
          </w:p>
        </w:tc>
        <w:tc>
          <w:tcPr>
            <w:tcW w:w="0" w:type="dxa"/>
            <w:vAlign w:val="bottom"/>
          </w:tcPr>
          <w:p>
            <w:pPr>
              <w:spacing w:after="0"/>
              <w:rPr>
                <w:sz w:val="1"/>
                <w:szCs w:val="1"/>
                <w:color w:val="auto"/>
              </w:rPr>
            </w:pPr>
          </w:p>
        </w:tc>
      </w:tr>
      <w:tr>
        <w:trPr>
          <w:trHeight w:val="202"/>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 general meeting, or the articles of</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association provide otherwise, in each case,</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in accordance with the provisions of the U.K.</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Companies Act 2006.</w:t>
            </w:r>
          </w:p>
        </w:tc>
        <w:tc>
          <w:tcPr>
            <w:tcW w:w="0" w:type="dxa"/>
            <w:vAlign w:val="bottom"/>
          </w:tcPr>
          <w:p>
            <w:pPr>
              <w:spacing w:after="0"/>
              <w:rPr>
                <w:sz w:val="1"/>
                <w:szCs w:val="1"/>
                <w:color w:val="auto"/>
              </w:rPr>
            </w:pPr>
          </w:p>
        </w:tc>
      </w:tr>
      <w:tr>
        <w:trPr>
          <w:trHeight w:val="701"/>
        </w:trPr>
        <w:tc>
          <w:tcPr>
            <w:tcW w:w="3220" w:type="dxa"/>
            <w:vAlign w:val="bottom"/>
          </w:tcPr>
          <w:p>
            <w:pPr>
              <w:spacing w:after="0"/>
              <w:rPr>
                <w:sz w:val="20"/>
                <w:szCs w:val="20"/>
                <w:color w:val="auto"/>
              </w:rPr>
            </w:pPr>
            <w:r>
              <w:rPr>
                <w:rFonts w:ascii="Arial" w:cs="Arial" w:eastAsia="Arial" w:hAnsi="Arial"/>
                <w:sz w:val="18"/>
                <w:szCs w:val="18"/>
                <w:color w:val="auto"/>
              </w:rPr>
              <w:t>Liability of Directors and Officers</w:t>
            </w: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Under the U.K. Companies Act 2006, any</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provision (whether contained in a company’s</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articles of association or any contract or</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otherwise) that purports to exempt a director</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9"/>
              </w:rPr>
              <w:t>of a company (to any extent) from any liability</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that would otherwise attach to him in</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connection with any negligence, default,</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breach of duty or breach of trust in relation to</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the company is void.</w:t>
            </w:r>
          </w:p>
        </w:tc>
        <w:tc>
          <w:tcPr>
            <w:tcW w:w="0" w:type="dxa"/>
            <w:vAlign w:val="bottom"/>
          </w:tcPr>
          <w:p>
            <w:pPr>
              <w:spacing w:after="0"/>
              <w:rPr>
                <w:sz w:val="1"/>
                <w:szCs w:val="1"/>
                <w:color w:val="auto"/>
              </w:rPr>
            </w:pPr>
          </w:p>
        </w:tc>
      </w:tr>
      <w:tr>
        <w:trPr>
          <w:trHeight w:val="296"/>
        </w:trPr>
        <w:tc>
          <w:tcPr>
            <w:tcW w:w="3220" w:type="dxa"/>
            <w:vAlign w:val="bottom"/>
          </w:tcPr>
          <w:p>
            <w:pPr>
              <w:spacing w:after="0"/>
              <w:rPr>
                <w:sz w:val="24"/>
                <w:szCs w:val="24"/>
                <w:color w:val="auto"/>
              </w:rPr>
            </w:pP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Any provision by which we directly or</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9"/>
              </w:rPr>
              <w:t>indirectly provide an indemnity (to any extent)</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for a director of the company or of an</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9"/>
              </w:rPr>
              <w:t>“associated company” (i.e., a company that is</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 parent, subsidiary or sister company of us)</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against any liability attaching to him or her in</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connection with any negligence, default,</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breach of duty or breach of trust in relation to</w:t>
            </w:r>
          </w:p>
        </w:tc>
        <w:tc>
          <w:tcPr>
            <w:tcW w:w="0" w:type="dxa"/>
            <w:vAlign w:val="bottom"/>
          </w:tcPr>
          <w:p>
            <w:pPr>
              <w:spacing w:after="0"/>
              <w:rPr>
                <w:sz w:val="1"/>
                <w:szCs w:val="1"/>
                <w:color w:val="auto"/>
              </w:rPr>
            </w:pPr>
          </w:p>
        </w:tc>
      </w:tr>
      <w:tr>
        <w:trPr>
          <w:trHeight w:val="202"/>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the company of which he or she is a director</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is void except as permitted by the U.K.</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4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Companies Act 2006, which provides</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4280" w:type="dxa"/>
            <w:vAlign w:val="bottom"/>
            <w:gridSpan w:val="2"/>
          </w:tcPr>
          <w:p>
            <w:pPr>
              <w:ind w:left="660"/>
              <w:spacing w:after="0"/>
              <w:rPr>
                <w:sz w:val="20"/>
                <w:szCs w:val="20"/>
                <w:color w:val="auto"/>
              </w:rPr>
            </w:pPr>
            <w:r>
              <w:rPr>
                <w:rFonts w:ascii="Arial" w:cs="Arial" w:eastAsia="Arial" w:hAnsi="Arial"/>
                <w:sz w:val="18"/>
                <w:szCs w:val="18"/>
                <w:color w:val="auto"/>
              </w:rPr>
              <w:t>exceptions for us to:</w:t>
            </w:r>
          </w:p>
        </w:tc>
        <w:tc>
          <w:tcPr>
            <w:tcW w:w="0" w:type="dxa"/>
            <w:vAlign w:val="bottom"/>
          </w:tcPr>
          <w:p>
            <w:pPr>
              <w:spacing w:after="0"/>
              <w:rPr>
                <w:sz w:val="1"/>
                <w:szCs w:val="1"/>
                <w:color w:val="auto"/>
              </w:rPr>
            </w:pPr>
          </w:p>
        </w:tc>
      </w:tr>
      <w:tr>
        <w:trPr>
          <w:trHeight w:val="729"/>
        </w:trPr>
        <w:tc>
          <w:tcPr>
            <w:tcW w:w="3220" w:type="dxa"/>
            <w:vAlign w:val="bottom"/>
          </w:tcPr>
          <w:p>
            <w:pPr>
              <w:spacing w:after="0"/>
              <w:rPr>
                <w:sz w:val="24"/>
                <w:szCs w:val="24"/>
                <w:color w:val="auto"/>
              </w:rPr>
            </w:pPr>
          </w:p>
        </w:tc>
        <w:tc>
          <w:tcPr>
            <w:tcW w:w="4280" w:type="dxa"/>
            <w:vAlign w:val="bottom"/>
            <w:gridSpan w:val="2"/>
          </w:tcPr>
          <w:p>
            <w:pPr>
              <w:ind w:left="21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1602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 w:lineRule="exact"/>
        <w:rPr>
          <w:sz w:val="20"/>
          <w:szCs w:val="20"/>
          <w:color w:val="auto"/>
        </w:rPr>
      </w:pPr>
    </w:p>
    <w:p>
      <w:pPr>
        <w:ind w:left="10" w:right="20"/>
        <w:spacing w:after="0" w:line="235" w:lineRule="auto"/>
        <w:rPr>
          <w:sz w:val="20"/>
          <w:szCs w:val="20"/>
          <w:color w:val="auto"/>
        </w:rPr>
      </w:pPr>
      <w:r>
        <w:rPr>
          <w:rFonts w:ascii="Arial" w:cs="Arial" w:eastAsia="Arial" w:hAnsi="Arial"/>
          <w:sz w:val="18"/>
          <w:szCs w:val="18"/>
          <w:color w:val="auto"/>
        </w:rPr>
        <w:t>Under Delaware law, if the corporation’s charter or certificate of incorporation so provides, the board of directors has the power to authorize the issuance of stock. The board of directors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105" w:lineRule="exact"/>
        <w:rPr>
          <w:sz w:val="20"/>
          <w:szCs w:val="20"/>
          <w:color w:val="auto"/>
        </w:rPr>
      </w:pPr>
    </w:p>
    <w:p>
      <w:pPr>
        <w:ind w:left="10"/>
        <w:spacing w:after="0" w:line="252" w:lineRule="auto"/>
        <w:rPr>
          <w:sz w:val="20"/>
          <w:szCs w:val="20"/>
          <w:color w:val="auto"/>
        </w:rPr>
      </w:pPr>
      <w:r>
        <w:rPr>
          <w:rFonts w:ascii="Arial" w:cs="Arial" w:eastAsia="Arial" w:hAnsi="Arial"/>
          <w:sz w:val="17"/>
          <w:szCs w:val="17"/>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289" w:lineRule="exact"/>
        <w:rPr>
          <w:sz w:val="20"/>
          <w:szCs w:val="20"/>
          <w:color w:val="auto"/>
        </w:rPr>
      </w:pPr>
    </w:p>
    <w:p>
      <w:pPr>
        <w:ind w:left="350" w:right="280" w:hanging="350"/>
        <w:spacing w:after="0"/>
        <w:tabs>
          <w:tab w:leader="none" w:pos="352" w:val="left"/>
        </w:tabs>
        <w:numPr>
          <w:ilvl w:val="0"/>
          <w:numId w:val="21"/>
        </w:numPr>
        <w:rPr>
          <w:rFonts w:ascii="MS PGothic" w:cs="MS PGothic" w:eastAsia="MS PGothic" w:hAnsi="MS PGothic"/>
          <w:sz w:val="13"/>
          <w:szCs w:val="13"/>
          <w:color w:val="auto"/>
        </w:rPr>
      </w:pPr>
      <w:r>
        <w:rPr>
          <w:rFonts w:ascii="Arial" w:cs="Arial" w:eastAsia="Arial" w:hAnsi="Arial"/>
          <w:sz w:val="18"/>
          <w:szCs w:val="18"/>
          <w:color w:val="auto"/>
        </w:rPr>
        <w:t>any breach of the director’s duty of loyalty to the corporation or its stockholders;</w:t>
      </w:r>
    </w:p>
    <w:p>
      <w:pPr>
        <w:spacing w:after="0" w:line="108" w:lineRule="exact"/>
        <w:rPr>
          <w:rFonts w:ascii="MS PGothic" w:cs="MS PGothic" w:eastAsia="MS PGothic" w:hAnsi="MS PGothic"/>
          <w:sz w:val="13"/>
          <w:szCs w:val="13"/>
          <w:color w:val="auto"/>
        </w:rPr>
      </w:pPr>
    </w:p>
    <w:p>
      <w:pPr>
        <w:jc w:val="both"/>
        <w:ind w:left="350" w:right="100" w:hanging="350"/>
        <w:spacing w:after="0"/>
        <w:tabs>
          <w:tab w:leader="none" w:pos="352" w:val="left"/>
        </w:tabs>
        <w:numPr>
          <w:ilvl w:val="0"/>
          <w:numId w:val="21"/>
        </w:numPr>
        <w:rPr>
          <w:rFonts w:ascii="MS PGothic" w:cs="MS PGothic" w:eastAsia="MS PGothic" w:hAnsi="MS PGothic"/>
          <w:sz w:val="13"/>
          <w:szCs w:val="13"/>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08" w:lineRule="exact"/>
        <w:rPr>
          <w:rFonts w:ascii="MS PGothic" w:cs="MS PGothic" w:eastAsia="MS PGothic" w:hAnsi="MS PGothic"/>
          <w:sz w:val="13"/>
          <w:szCs w:val="13"/>
          <w:color w:val="auto"/>
        </w:rPr>
      </w:pPr>
    </w:p>
    <w:p>
      <w:pPr>
        <w:ind w:left="350" w:right="20" w:hanging="350"/>
        <w:spacing w:after="0"/>
        <w:tabs>
          <w:tab w:leader="none" w:pos="352" w:val="left"/>
        </w:tabs>
        <w:numPr>
          <w:ilvl w:val="0"/>
          <w:numId w:val="21"/>
        </w:numPr>
        <w:rPr>
          <w:rFonts w:ascii="MS PGothic" w:cs="MS PGothic" w:eastAsia="MS PGothic" w:hAnsi="MS PGothic"/>
          <w:sz w:val="13"/>
          <w:szCs w:val="13"/>
          <w:color w:val="auto"/>
        </w:rPr>
      </w:pPr>
      <w:r>
        <w:rPr>
          <w:rFonts w:ascii="Arial" w:cs="Arial" w:eastAsia="Arial" w:hAnsi="Arial"/>
          <w:sz w:val="18"/>
          <w:szCs w:val="18"/>
          <w:color w:val="auto"/>
        </w:rPr>
        <w:t>intentional or negligent payment of unlawful dividends or stock purchases or redemptions; or</w:t>
      </w:r>
    </w:p>
    <w:p>
      <w:pPr>
        <w:spacing w:after="0" w:line="108" w:lineRule="exact"/>
        <w:rPr>
          <w:rFonts w:ascii="MS PGothic" w:cs="MS PGothic" w:eastAsia="MS PGothic" w:hAnsi="MS PGothic"/>
          <w:sz w:val="13"/>
          <w:szCs w:val="13"/>
          <w:color w:val="auto"/>
        </w:rPr>
      </w:pPr>
    </w:p>
    <w:p>
      <w:pPr>
        <w:ind w:left="350" w:right="60" w:hanging="350"/>
        <w:spacing w:after="0"/>
        <w:tabs>
          <w:tab w:leader="none" w:pos="352" w:val="left"/>
        </w:tabs>
        <w:numPr>
          <w:ilvl w:val="0"/>
          <w:numId w:val="21"/>
        </w:numPr>
        <w:rPr>
          <w:rFonts w:ascii="MS PGothic" w:cs="MS PGothic" w:eastAsia="MS PGothic" w:hAnsi="MS PGothic"/>
          <w:sz w:val="13"/>
          <w:szCs w:val="13"/>
          <w:color w:val="auto"/>
        </w:rPr>
      </w:pPr>
      <w:r>
        <w:rPr>
          <w:rFonts w:ascii="Arial" w:cs="Arial" w:eastAsia="Arial" w:hAnsi="Arial"/>
          <w:sz w:val="18"/>
          <w:szCs w:val="18"/>
          <w:color w:val="auto"/>
        </w:rPr>
        <w:t>any transaction from which the director derives an improper personal benefit.</w:t>
      </w:r>
    </w:p>
    <w:p>
      <w:pPr>
        <w:sectPr>
          <w:pgSz w:w="11900" w:h="16838" w:orient="portrait"/>
          <w:cols w:equalWidth="0" w:num="2">
            <w:col w:w="7620" w:space="110"/>
            <w:col w:w="3410"/>
          </w:cols>
          <w:pgMar w:left="320" w:top="459" w:right="4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399"/>
        <w:spacing w:after="0"/>
        <w:tabs>
          <w:tab w:leader="none" w:pos="600" w:val="left"/>
        </w:tabs>
        <w:rPr>
          <w:sz w:val="20"/>
          <w:szCs w:val="20"/>
          <w:color w:val="auto"/>
        </w:rPr>
      </w:pPr>
      <w:r>
        <w:rPr>
          <w:rFonts w:ascii="Arial" w:cs="Arial" w:eastAsia="Arial" w:hAnsi="Arial"/>
          <w:sz w:val="14"/>
          <w:szCs w:val="14"/>
          <w:b w:val="1"/>
          <w:bCs w:val="1"/>
          <w:color w:val="auto"/>
        </w:rPr>
        <w:t>England and Wales</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17780</wp:posOffset>
            </wp:positionV>
            <wp:extent cx="45345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34535" cy="8890"/>
                    </a:xfrm>
                    <a:prstGeom prst="rect">
                      <a:avLst/>
                    </a:prstGeom>
                    <a:noFill/>
                  </pic:spPr>
                </pic:pic>
              </a:graphicData>
            </a:graphic>
          </wp:anchor>
        </w:drawing>
      </w:r>
    </w:p>
    <w:p>
      <w:pPr>
        <w:spacing w:after="0" w:line="20" w:lineRule="exact"/>
        <w:rPr>
          <w:sz w:val="20"/>
          <w:szCs w:val="20"/>
          <w:color w:val="auto"/>
        </w:rPr>
      </w:pPr>
    </w:p>
    <w:p>
      <w:pPr>
        <w:ind w:left="4360" w:right="2539" w:hanging="370"/>
        <w:spacing w:after="0" w:line="236" w:lineRule="auto"/>
        <w:tabs>
          <w:tab w:leader="none" w:pos="4362" w:val="left"/>
        </w:tabs>
        <w:numPr>
          <w:ilvl w:val="0"/>
          <w:numId w:val="22"/>
        </w:numPr>
        <w:rPr>
          <w:rFonts w:ascii="MS PGothic" w:cs="MS PGothic" w:eastAsia="MS PGothic" w:hAnsi="MS PGothic"/>
          <w:sz w:val="13"/>
          <w:szCs w:val="13"/>
          <w:color w:val="auto"/>
        </w:rPr>
      </w:pPr>
      <w:r>
        <w:rPr>
          <w:rFonts w:ascii="Arial" w:cs="Arial" w:eastAsia="Arial" w:hAnsi="Arial"/>
          <w:sz w:val="18"/>
          <w:szCs w:val="18"/>
          <w:color w:val="auto"/>
        </w:rPr>
        <w:t>purchase and maintain director and officer insurance insuring our directors or the directors of an associated company against any liability attaching in connection with any negligence, default, breach of duty or breach of trust in relation to the company of which he or she is a director;</w:t>
      </w:r>
    </w:p>
    <w:p>
      <w:pPr>
        <w:spacing w:after="0" w:line="99" w:lineRule="exact"/>
        <w:rPr>
          <w:rFonts w:ascii="MS PGothic" w:cs="MS PGothic" w:eastAsia="MS PGothic" w:hAnsi="MS PGothic"/>
          <w:sz w:val="13"/>
          <w:szCs w:val="13"/>
          <w:color w:val="auto"/>
        </w:rPr>
      </w:pPr>
    </w:p>
    <w:p>
      <w:pPr>
        <w:ind w:left="4360" w:right="2539" w:hanging="370"/>
        <w:spacing w:after="0" w:line="235" w:lineRule="auto"/>
        <w:tabs>
          <w:tab w:leader="none" w:pos="4362" w:val="left"/>
        </w:tabs>
        <w:numPr>
          <w:ilvl w:val="0"/>
          <w:numId w:val="22"/>
        </w:numPr>
        <w:rPr>
          <w:rFonts w:ascii="MS PGothic" w:cs="MS PGothic" w:eastAsia="MS PGothic" w:hAnsi="MS PGothic"/>
          <w:sz w:val="13"/>
          <w:szCs w:val="13"/>
          <w:color w:val="auto"/>
        </w:rPr>
      </w:pPr>
      <w:r>
        <w:rPr>
          <w:rFonts w:ascii="Arial" w:cs="Arial" w:eastAsia="Arial" w:hAnsi="Arial"/>
          <w:sz w:val="18"/>
          <w:szCs w:val="18"/>
          <w:color w:val="auto"/>
        </w:rPr>
        <w:t>provide a “qualifying third party indemnity,” which is an indemnity against liability incurred by our directors and directors of an associated company to a person other than us or an associated company. Such indemnity must not cover criminal fines, penalties imposed by regulatory bodies, the defense costs of criminal proceedings where the director is found guilty, the defense costs of civil proceedings successfully brought against the director by the company or an associated company, or the costs of unsuccessful applications by the director for relief from liabilities for such matters; and</w:t>
      </w:r>
    </w:p>
    <w:p>
      <w:pPr>
        <w:spacing w:after="0" w:line="105" w:lineRule="exact"/>
        <w:rPr>
          <w:rFonts w:ascii="MS PGothic" w:cs="MS PGothic" w:eastAsia="MS PGothic" w:hAnsi="MS PGothic"/>
          <w:sz w:val="13"/>
          <w:szCs w:val="13"/>
          <w:color w:val="auto"/>
        </w:rPr>
      </w:pPr>
    </w:p>
    <w:p>
      <w:pPr>
        <w:ind w:left="4360" w:right="2539" w:hanging="370"/>
        <w:spacing w:after="0"/>
        <w:tabs>
          <w:tab w:leader="none" w:pos="4362" w:val="left"/>
        </w:tabs>
        <w:numPr>
          <w:ilvl w:val="0"/>
          <w:numId w:val="22"/>
        </w:numPr>
        <w:rPr>
          <w:rFonts w:ascii="MS PGothic" w:cs="MS PGothic" w:eastAsia="MS PGothic" w:hAnsi="MS PGothic"/>
          <w:sz w:val="13"/>
          <w:szCs w:val="13"/>
          <w:color w:val="auto"/>
        </w:rPr>
      </w:pPr>
      <w:r>
        <w:rPr>
          <w:rFonts w:ascii="Arial" w:cs="Arial" w:eastAsia="Arial" w:hAnsi="Arial"/>
          <w:sz w:val="18"/>
          <w:szCs w:val="18"/>
          <w:color w:val="auto"/>
        </w:rPr>
        <w:t>provide a “qualifying pension scheme indemnity,” which is an indemnity against liability incurred in connection</w:t>
      </w:r>
    </w:p>
    <w:p>
      <w:pPr>
        <w:spacing w:after="0" w:line="94" w:lineRule="exact"/>
        <w:rPr>
          <w:rFonts w:ascii="MS PGothic" w:cs="MS PGothic" w:eastAsia="MS PGothic" w:hAnsi="MS PGothic"/>
          <w:sz w:val="13"/>
          <w:szCs w:val="13"/>
          <w:color w:val="auto"/>
        </w:rPr>
      </w:pPr>
    </w:p>
    <w:p>
      <w:pPr>
        <w:ind w:left="4360" w:right="2559" w:hanging="370"/>
        <w:spacing w:after="0" w:line="237" w:lineRule="auto"/>
        <w:tabs>
          <w:tab w:leader="none" w:pos="4362" w:val="left"/>
        </w:tabs>
        <w:numPr>
          <w:ilvl w:val="0"/>
          <w:numId w:val="22"/>
        </w:numPr>
        <w:rPr>
          <w:rFonts w:ascii="MS PGothic" w:cs="MS PGothic" w:eastAsia="MS PGothic" w:hAnsi="MS PGothic"/>
          <w:sz w:val="13"/>
          <w:szCs w:val="13"/>
          <w:color w:val="auto"/>
        </w:rPr>
      </w:pPr>
      <w:r>
        <w:rPr>
          <w:rFonts w:ascii="Arial" w:cs="Arial" w:eastAsia="Arial" w:hAnsi="Arial"/>
          <w:sz w:val="18"/>
          <w:szCs w:val="18"/>
          <w:color w:val="auto"/>
        </w:rPr>
        <w:t>with the company’s activities as trustee of an occupational pension plan. Such indemnity must not cover a fine imposed in criminal proceedings, or sum payable to a regulatory authority by way of a penalty in respect of</w:t>
      </w:r>
    </w:p>
    <w:p>
      <w:pPr>
        <w:spacing w:after="0" w:line="13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139"/>
          </w:cols>
          <w:pgMar w:left="320" w:top="459" w:right="1440"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3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20" w:type="dxa"/>
            <w:vAlign w:val="bottom"/>
          </w:tcPr>
          <w:p>
            <w:pPr>
              <w:ind w:left="360"/>
              <w:spacing w:after="0" w:line="195" w:lineRule="exact"/>
              <w:rPr>
                <w:sz w:val="20"/>
                <w:szCs w:val="20"/>
                <w:color w:val="auto"/>
              </w:rPr>
            </w:pPr>
            <w:r>
              <w:rPr>
                <w:rFonts w:ascii="Arial" w:cs="Arial" w:eastAsia="Arial" w:hAnsi="Arial"/>
                <w:sz w:val="18"/>
                <w:szCs w:val="18"/>
                <w:color w:val="auto"/>
              </w:rPr>
              <w:t>non-compliance with any requirement of</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a regulatory nature (however arising), or</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any liability incurred by the director in</w:t>
            </w:r>
          </w:p>
        </w:tc>
      </w:t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defending criminal proceedings in which</w:t>
            </w:r>
          </w:p>
        </w:tc>
      </w:tr>
      <w:tr>
        <w:trPr>
          <w:trHeight w:val="217"/>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he or she is convicted.</w:t>
            </w:r>
          </w:p>
        </w:tc>
      </w:tr>
      <w:tr>
        <w:trPr>
          <w:trHeight w:val="296"/>
        </w:trPr>
        <w:tc>
          <w:tcPr>
            <w:tcW w:w="3600" w:type="dxa"/>
            <w:vAlign w:val="bottom"/>
          </w:tcPr>
          <w:p>
            <w:pPr>
              <w:spacing w:after="0"/>
              <w:rPr>
                <w:sz w:val="24"/>
                <w:szCs w:val="24"/>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Our Articles provide that it may indemnify</w:t>
            </w:r>
          </w:p>
        </w:tc>
      </w:tr>
      <w:tr>
        <w:trPr>
          <w:trHeight w:val="217"/>
        </w:trPr>
        <w:tc>
          <w:tcPr>
            <w:tcW w:w="3600" w:type="dxa"/>
            <w:vAlign w:val="bottom"/>
          </w:tcPr>
          <w:p>
            <w:pPr>
              <w:spacing w:after="0"/>
              <w:rPr>
                <w:sz w:val="18"/>
                <w:szCs w:val="18"/>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each of our directors against:</w:t>
            </w:r>
          </w:p>
        </w:tc>
      </w:tr>
      <w:tr>
        <w:trPr>
          <w:trHeight w:val="296"/>
        </w:trPr>
        <w:tc>
          <w:tcPr>
            <w:tcW w:w="3600" w:type="dxa"/>
            <w:vAlign w:val="bottom"/>
          </w:tcPr>
          <w:p>
            <w:pPr>
              <w:spacing w:after="0"/>
              <w:rPr>
                <w:sz w:val="24"/>
                <w:szCs w:val="24"/>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The U.K. Companies Act 2006 also provides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that we may lend each of our directors funds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to meet expenditure incurred by him or her in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defending any criminal or civil proceedings in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connection with any alleged negligence,</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default, breach of duty or breach of trust by</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him or her in relation to us or an associated</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company, or in connection with an application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for certain specified relief, subject to the</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requirement that the loan must be on terms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that it is to be repaid if the defense or the</w:t>
            </w:r>
          </w:p>
        </w:tc>
      </w:tr>
      <w:tr>
        <w:trPr>
          <w:trHeight w:val="217"/>
        </w:trPr>
        <w:tc>
          <w:tcPr>
            <w:tcW w:w="3600" w:type="dxa"/>
            <w:vAlign w:val="bottom"/>
          </w:tcPr>
          <w:p>
            <w:pPr>
              <w:spacing w:after="0"/>
              <w:rPr>
                <w:sz w:val="18"/>
                <w:szCs w:val="18"/>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application for relief is unsuccessful.</w:t>
            </w:r>
          </w:p>
        </w:tc>
      </w:tr>
      <w:tr>
        <w:trPr>
          <w:trHeight w:val="296"/>
        </w:trPr>
        <w:tc>
          <w:tcPr>
            <w:tcW w:w="3600" w:type="dxa"/>
            <w:vAlign w:val="bottom"/>
          </w:tcPr>
          <w:p>
            <w:pPr>
              <w:spacing w:after="0"/>
              <w:rPr>
                <w:sz w:val="20"/>
                <w:szCs w:val="20"/>
                <w:color w:val="auto"/>
              </w:rPr>
            </w:pPr>
            <w:r>
              <w:rPr>
                <w:rFonts w:ascii="Arial" w:cs="Arial" w:eastAsia="Arial" w:hAnsi="Arial"/>
                <w:sz w:val="18"/>
                <w:szCs w:val="18"/>
                <w:color w:val="auto"/>
              </w:rPr>
              <w:t>Voting Rights</w:t>
            </w: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For a description of the voting rights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contained in our Articles see “Description of</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the Share Capital and Articles of Association</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—Articles of Association—Shares and Rights</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Attaching to Them—Voting Rights” in this</w:t>
            </w:r>
          </w:p>
        </w:tc>
      </w:tr>
      <w:tr>
        <w:trPr>
          <w:trHeight w:val="217"/>
        </w:trPr>
        <w:tc>
          <w:tcPr>
            <w:tcW w:w="3600" w:type="dxa"/>
            <w:vAlign w:val="bottom"/>
          </w:tcPr>
          <w:p>
            <w:pPr>
              <w:spacing w:after="0"/>
              <w:rPr>
                <w:sz w:val="18"/>
                <w:szCs w:val="18"/>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prospectus.</w:t>
            </w:r>
          </w:p>
        </w:tc>
      </w:tr>
      <w:tr>
        <w:trPr>
          <w:trHeight w:val="296"/>
        </w:trPr>
        <w:tc>
          <w:tcPr>
            <w:tcW w:w="3600" w:type="dxa"/>
            <w:vAlign w:val="bottom"/>
          </w:tcPr>
          <w:p>
            <w:pPr>
              <w:spacing w:after="0"/>
              <w:rPr>
                <w:sz w:val="20"/>
                <w:szCs w:val="20"/>
                <w:color w:val="auto"/>
              </w:rPr>
            </w:pPr>
            <w:r>
              <w:rPr>
                <w:rFonts w:ascii="Arial" w:cs="Arial" w:eastAsia="Arial" w:hAnsi="Arial"/>
                <w:sz w:val="18"/>
                <w:szCs w:val="18"/>
                <w:color w:val="auto"/>
              </w:rPr>
              <w:t>Shareholder Vote on Certain Transactions</w:t>
            </w: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The U.K. Companies Act 2006 provides for</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schemes of arrangement, which are</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arrangements or compromises between a</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company and any class of shareholders or</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creditors and used in certain types of</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reconstructions, amalgamations, capital</w:t>
            </w:r>
          </w:p>
        </w:tc>
      </w:tr>
      <w:tr>
        <w:trPr>
          <w:trHeight w:val="203"/>
        </w:trPr>
        <w:tc>
          <w:tcPr>
            <w:tcW w:w="3600" w:type="dxa"/>
            <w:vAlign w:val="bottom"/>
          </w:tcPr>
          <w:p>
            <w:pPr>
              <w:spacing w:after="0"/>
              <w:rPr>
                <w:sz w:val="17"/>
                <w:szCs w:val="17"/>
                <w:color w:val="auto"/>
              </w:rPr>
            </w:pPr>
          </w:p>
        </w:tc>
        <w:tc>
          <w:tcPr>
            <w:tcW w:w="39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reorganizations or takeovers. These</w:t>
            </w:r>
          </w:p>
        </w:tc>
      </w:tr>
      <w:tr>
        <w:trPr>
          <w:trHeight w:val="217"/>
        </w:trPr>
        <w:tc>
          <w:tcPr>
            <w:tcW w:w="3600" w:type="dxa"/>
            <w:vAlign w:val="bottom"/>
          </w:tcPr>
          <w:p>
            <w:pPr>
              <w:spacing w:after="0"/>
              <w:rPr>
                <w:sz w:val="18"/>
                <w:szCs w:val="18"/>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arrangements require:</w:t>
            </w:r>
          </w:p>
        </w:tc>
      </w:tr>
      <w:tr>
        <w:trPr>
          <w:trHeight w:val="810"/>
        </w:trPr>
        <w:tc>
          <w:tcPr>
            <w:tcW w:w="3600" w:type="dxa"/>
            <w:vAlign w:val="bottom"/>
          </w:tcPr>
          <w:p>
            <w:pPr>
              <w:spacing w:after="0"/>
              <w:rPr>
                <w:sz w:val="24"/>
                <w:szCs w:val="24"/>
                <w:color w:val="auto"/>
              </w:rPr>
            </w:pPr>
          </w:p>
        </w:tc>
        <w:tc>
          <w:tcPr>
            <w:tcW w:w="3900" w:type="dxa"/>
            <w:vAlign w:val="bottom"/>
            <w:gridSpan w:val="2"/>
          </w:tcPr>
          <w:p>
            <w:pPr>
              <w:ind w:left="1800"/>
              <w:spacing w:after="0"/>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2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1602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 w:right="60"/>
        <w:spacing w:after="0" w:line="238"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pacing w:after="0" w:line="297" w:lineRule="exact"/>
        <w:rPr>
          <w:sz w:val="20"/>
          <w:szCs w:val="20"/>
          <w:color w:val="auto"/>
        </w:rPr>
      </w:pPr>
    </w:p>
    <w:p>
      <w:pPr>
        <w:ind w:left="10"/>
        <w:spacing w:after="0" w:line="237" w:lineRule="auto"/>
        <w:rPr>
          <w:sz w:val="20"/>
          <w:szCs w:val="20"/>
          <w:color w:val="auto"/>
        </w:rPr>
      </w:pPr>
      <w:r>
        <w:rPr>
          <w:rFonts w:ascii="Arial" w:cs="Arial" w:eastAsia="Arial" w:hAnsi="Arial"/>
          <w:sz w:val="18"/>
          <w:szCs w:val="18"/>
          <w:color w:val="auto"/>
        </w:rPr>
        <w:t>Generally, under Delaware law, unless the certificate of incorporation provides for the vote of a larger portion of the stock, closing of a merger, consolidation, sale, lease or exchange of all or substantially all of a corporation’s assets or dissolution requires:</w:t>
      </w:r>
    </w:p>
    <w:p>
      <w:pPr>
        <w:spacing w:after="0" w:line="108" w:lineRule="exact"/>
        <w:rPr>
          <w:sz w:val="20"/>
          <w:szCs w:val="20"/>
          <w:color w:val="auto"/>
        </w:rPr>
      </w:pPr>
    </w:p>
    <w:p>
      <w:pPr>
        <w:ind w:left="350" w:right="40" w:hanging="350"/>
        <w:spacing w:after="0" w:line="246" w:lineRule="auto"/>
        <w:tabs>
          <w:tab w:leader="none" w:pos="352" w:val="left"/>
        </w:tabs>
        <w:numPr>
          <w:ilvl w:val="0"/>
          <w:numId w:val="23"/>
        </w:numPr>
        <w:rPr>
          <w:rFonts w:ascii="MS PGothic" w:cs="MS PGothic" w:eastAsia="MS PGothic" w:hAnsi="MS PGothic"/>
          <w:sz w:val="13"/>
          <w:szCs w:val="13"/>
          <w:color w:val="auto"/>
        </w:rPr>
      </w:pPr>
      <w:r>
        <w:rPr>
          <w:rFonts w:ascii="Arial" w:cs="Arial" w:eastAsia="Arial" w:hAnsi="Arial"/>
          <w:sz w:val="18"/>
          <w:szCs w:val="18"/>
          <w:color w:val="auto"/>
        </w:rPr>
        <w:t>the approval of the board of directors; and</w:t>
      </w:r>
    </w:p>
    <w:p>
      <w:pPr>
        <w:sectPr>
          <w:pgSz w:w="11900" w:h="16838" w:orient="portrait"/>
          <w:cols w:equalWidth="0" w:num="2">
            <w:col w:w="7620" w:space="110"/>
            <w:col w:w="3390"/>
          </w:cols>
          <w:pgMar w:left="320" w:top="459" w:right="459" w:bottom="1440" w:gutter="0" w:footer="0" w:header="0"/>
          <w:type w:val="continuous"/>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2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2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(1) the approval, at a shareholders’ or</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creditors’ meeting convened by order of a</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court of England and Wales, of a majority in</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number representing not less than 75% in</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value of the creditors or class of creditors or</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members or class of members (as the case</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may be) present and voting, either in person</w:t>
            </w:r>
          </w:p>
        </w:tc>
      </w:tr>
      <w:tr>
        <w:trPr>
          <w:trHeight w:val="203"/>
        </w:trPr>
        <w:tc>
          <w:tcPr>
            <w:tcW w:w="2760" w:type="dxa"/>
            <w:vAlign w:val="bottom"/>
          </w:tcPr>
          <w:p>
            <w:pPr>
              <w:spacing w:after="0"/>
              <w:rPr>
                <w:sz w:val="17"/>
                <w:szCs w:val="17"/>
                <w:color w:val="auto"/>
              </w:rPr>
            </w:pPr>
          </w:p>
        </w:tc>
        <w:tc>
          <w:tcPr>
            <w:tcW w:w="4740" w:type="dxa"/>
            <w:vAlign w:val="bottom"/>
            <w:gridSpan w:val="2"/>
          </w:tcPr>
          <w:p>
            <w:pPr>
              <w:ind w:left="1120"/>
              <w:spacing w:after="0" w:line="202" w:lineRule="exact"/>
              <w:rPr>
                <w:sz w:val="20"/>
                <w:szCs w:val="20"/>
                <w:color w:val="auto"/>
              </w:rPr>
            </w:pPr>
            <w:r>
              <w:rPr>
                <w:rFonts w:ascii="Arial" w:cs="Arial" w:eastAsia="Arial" w:hAnsi="Arial"/>
                <w:sz w:val="18"/>
                <w:szCs w:val="18"/>
                <w:color w:val="auto"/>
                <w:w w:val="99"/>
              </w:rPr>
              <w:t>or by proxy; and (2) the approval of a court of</w:t>
            </w:r>
          </w:p>
        </w:tc>
      </w:tr>
      <w:tr>
        <w:trPr>
          <w:trHeight w:val="217"/>
        </w:trPr>
        <w:tc>
          <w:tcPr>
            <w:tcW w:w="2760" w:type="dxa"/>
            <w:vAlign w:val="bottom"/>
          </w:tcPr>
          <w:p>
            <w:pPr>
              <w:spacing w:after="0"/>
              <w:rPr>
                <w:sz w:val="18"/>
                <w:szCs w:val="18"/>
                <w:color w:val="auto"/>
              </w:rPr>
            </w:pPr>
          </w:p>
        </w:tc>
        <w:tc>
          <w:tcPr>
            <w:tcW w:w="4740" w:type="dxa"/>
            <w:vAlign w:val="bottom"/>
            <w:gridSpan w:val="2"/>
          </w:tcPr>
          <w:p>
            <w:pPr>
              <w:ind w:left="1120"/>
              <w:spacing w:after="0"/>
              <w:rPr>
                <w:sz w:val="20"/>
                <w:szCs w:val="20"/>
                <w:color w:val="auto"/>
              </w:rPr>
            </w:pPr>
            <w:r>
              <w:rPr>
                <w:rFonts w:ascii="Arial" w:cs="Arial" w:eastAsia="Arial" w:hAnsi="Arial"/>
                <w:sz w:val="18"/>
                <w:szCs w:val="18"/>
                <w:color w:val="auto"/>
              </w:rPr>
              <w:t>England and Wales.</w:t>
            </w:r>
          </w:p>
        </w:tc>
      </w:tr>
      <w:tr>
        <w:trPr>
          <w:trHeight w:val="296"/>
        </w:trPr>
        <w:tc>
          <w:tcPr>
            <w:tcW w:w="2760" w:type="dxa"/>
            <w:vAlign w:val="bottom"/>
          </w:tcPr>
          <w:p>
            <w:pPr>
              <w:spacing w:after="0"/>
              <w:rPr>
                <w:sz w:val="20"/>
                <w:szCs w:val="20"/>
                <w:color w:val="auto"/>
              </w:rPr>
            </w:pPr>
            <w:r>
              <w:rPr>
                <w:rFonts w:ascii="Arial" w:cs="Arial" w:eastAsia="Arial" w:hAnsi="Arial"/>
                <w:sz w:val="18"/>
                <w:szCs w:val="18"/>
                <w:color w:val="auto"/>
              </w:rPr>
              <w:t>Standard of Conduct</w:t>
            </w: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Under English law, a director owes</w:t>
            </w:r>
          </w:p>
        </w:tc>
      </w:tr>
      <w:tr>
        <w:trPr>
          <w:trHeight w:val="203"/>
        </w:trPr>
        <w:tc>
          <w:tcPr>
            <w:tcW w:w="2760" w:type="dxa"/>
            <w:vAlign w:val="bottom"/>
          </w:tcPr>
          <w:p>
            <w:pPr>
              <w:spacing w:after="0" w:line="202" w:lineRule="exact"/>
              <w:rPr>
                <w:sz w:val="20"/>
                <w:szCs w:val="20"/>
                <w:color w:val="auto"/>
              </w:rPr>
            </w:pPr>
            <w:r>
              <w:rPr>
                <w:rFonts w:ascii="Arial" w:cs="Arial" w:eastAsia="Arial" w:hAnsi="Arial"/>
                <w:sz w:val="18"/>
                <w:szCs w:val="18"/>
                <w:color w:val="auto"/>
              </w:rPr>
              <w:t>for Directors</w:t>
            </w: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various statutory and fiduciary duties to</w:t>
            </w:r>
          </w:p>
        </w:tc>
      </w:tr>
      <w:tr>
        <w:trPr>
          <w:trHeight w:val="217"/>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the company, including:</w:t>
            </w:r>
          </w:p>
        </w:tc>
      </w:tr>
      <w:tr>
        <w:trPr>
          <w:trHeight w:val="310"/>
        </w:trPr>
        <w:tc>
          <w:tcPr>
            <w:tcW w:w="2760" w:type="dxa"/>
            <w:vAlign w:val="bottom"/>
          </w:tcPr>
          <w:p>
            <w:pPr>
              <w:spacing w:after="0"/>
              <w:rPr>
                <w:sz w:val="24"/>
                <w:szCs w:val="24"/>
                <w:color w:val="auto"/>
              </w:rPr>
            </w:pP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the way he or she considers, in</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good faith, would be most likely to</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promote the success of the company for</w:t>
            </w:r>
          </w:p>
        </w:tc>
      </w:tr>
      <w:tr>
        <w:trPr>
          <w:trHeight w:val="217"/>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the benefit of its members as a whole;</w:t>
            </w:r>
          </w:p>
        </w:tc>
      </w:tr>
      <w:tr>
        <w:trPr>
          <w:trHeight w:val="310"/>
        </w:trPr>
        <w:tc>
          <w:tcPr>
            <w:tcW w:w="2760" w:type="dxa"/>
            <w:vAlign w:val="bottom"/>
          </w:tcPr>
          <w:p>
            <w:pPr>
              <w:spacing w:after="0"/>
              <w:rPr>
                <w:sz w:val="24"/>
                <w:szCs w:val="24"/>
                <w:color w:val="auto"/>
              </w:rPr>
            </w:pP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avoid a situation in which he or she</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has, or can have, a direct or indirect</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interest that conflicts, or possibly</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conflicts, with the interests of the</w:t>
            </w:r>
          </w:p>
        </w:tc>
      </w:tr>
      <w:tr>
        <w:trPr>
          <w:trHeight w:val="217"/>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company;</w:t>
            </w:r>
          </w:p>
        </w:tc>
      </w:tr>
      <w:tr>
        <w:trPr>
          <w:trHeight w:val="310"/>
        </w:trPr>
        <w:tc>
          <w:tcPr>
            <w:tcW w:w="2760" w:type="dxa"/>
            <w:vAlign w:val="bottom"/>
          </w:tcPr>
          <w:p>
            <w:pPr>
              <w:spacing w:after="0"/>
              <w:rPr>
                <w:sz w:val="24"/>
                <w:szCs w:val="24"/>
                <w:color w:val="auto"/>
              </w:rPr>
            </w:pP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accordance with the company’s</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constitution and only exercise his or her</w:t>
            </w:r>
          </w:p>
        </w:tc>
      </w:tr>
      <w:tr>
        <w:trPr>
          <w:trHeight w:val="203"/>
        </w:trPr>
        <w:tc>
          <w:tcPr>
            <w:tcW w:w="2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360"/>
              <w:spacing w:after="0" w:line="202" w:lineRule="exact"/>
              <w:rPr>
                <w:sz w:val="20"/>
                <w:szCs w:val="20"/>
                <w:color w:val="auto"/>
              </w:rPr>
            </w:pPr>
            <w:r>
              <w:rPr>
                <w:rFonts w:ascii="Arial" w:cs="Arial" w:eastAsia="Arial" w:hAnsi="Arial"/>
                <w:sz w:val="18"/>
                <w:szCs w:val="18"/>
                <w:color w:val="auto"/>
              </w:rPr>
              <w:t>powers for the purposes for which they</w:t>
            </w:r>
          </w:p>
        </w:tc>
      </w:tr>
      <w:tr>
        <w:trPr>
          <w:trHeight w:val="217"/>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are conferred;</w:t>
            </w:r>
          </w:p>
        </w:tc>
      </w:tr>
      <w:tr>
        <w:trPr>
          <w:trHeight w:val="324"/>
        </w:trPr>
        <w:tc>
          <w:tcPr>
            <w:tcW w:w="2760" w:type="dxa"/>
            <w:vAlign w:val="bottom"/>
          </w:tcPr>
          <w:p>
            <w:pPr>
              <w:spacing w:after="0"/>
              <w:rPr>
                <w:sz w:val="24"/>
                <w:szCs w:val="24"/>
                <w:color w:val="auto"/>
              </w:rPr>
            </w:pP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independent judgment;</w:t>
            </w:r>
          </w:p>
        </w:tc>
      </w:tr>
      <w:tr>
        <w:trPr>
          <w:trHeight w:val="310"/>
        </w:trPr>
        <w:tc>
          <w:tcPr>
            <w:tcW w:w="2760" w:type="dxa"/>
            <w:vAlign w:val="bottom"/>
          </w:tcPr>
          <w:p>
            <w:pPr>
              <w:spacing w:after="0"/>
              <w:rPr>
                <w:sz w:val="24"/>
                <w:szCs w:val="24"/>
                <w:color w:val="auto"/>
              </w:rPr>
            </w:pPr>
          </w:p>
        </w:tc>
        <w:tc>
          <w:tcPr>
            <w:tcW w:w="4740" w:type="dxa"/>
            <w:vAlign w:val="bottom"/>
            <w:gridSpan w:val="2"/>
          </w:tcPr>
          <w:p>
            <w:pPr>
              <w:ind w:left="112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reasonable care, skill, and</w:t>
            </w:r>
          </w:p>
        </w:tc>
      </w:tr>
      <w:tr>
        <w:trPr>
          <w:trHeight w:val="217"/>
        </w:trPr>
        <w:tc>
          <w:tcPr>
            <w:tcW w:w="2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8"/>
                <w:szCs w:val="18"/>
                <w:color w:val="auto"/>
              </w:rPr>
              <w:t>diligence;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1602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50" w:right="140" w:hanging="350"/>
        <w:spacing w:after="0" w:line="236" w:lineRule="auto"/>
        <w:tabs>
          <w:tab w:leader="none" w:pos="352" w:val="left"/>
        </w:tabs>
        <w:numPr>
          <w:ilvl w:val="0"/>
          <w:numId w:val="24"/>
        </w:numPr>
        <w:rPr>
          <w:rFonts w:ascii="MS PGothic" w:cs="MS PGothic" w:eastAsia="MS PGothic" w:hAnsi="MS PGothic"/>
          <w:sz w:val="13"/>
          <w:szCs w:val="13"/>
          <w:color w:val="auto"/>
        </w:rPr>
      </w:pPr>
      <w:r>
        <w:rPr>
          <w:rFonts w:ascii="Arial" w:cs="Arial" w:eastAsia="Arial" w:hAnsi="Arial"/>
          <w:sz w:val="18"/>
          <w:szCs w:val="18"/>
          <w:color w:val="auto"/>
        </w:rPr>
        <w:t>the 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302" w:lineRule="exact"/>
        <w:rPr>
          <w:sz w:val="20"/>
          <w:szCs w:val="20"/>
          <w:color w:val="auto"/>
        </w:rPr>
      </w:pPr>
    </w:p>
    <w:p>
      <w:pPr>
        <w:ind w:left="10" w:right="100"/>
        <w:spacing w:after="0" w:line="236" w:lineRule="auto"/>
        <w:rPr>
          <w:sz w:val="20"/>
          <w:szCs w:val="20"/>
          <w:color w:val="auto"/>
        </w:rPr>
      </w:pPr>
      <w:r>
        <w:rPr>
          <w:rFonts w:ascii="Arial" w:cs="Arial" w:eastAsia="Arial" w:hAnsi="Arial"/>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111" w:lineRule="exact"/>
        <w:rPr>
          <w:sz w:val="20"/>
          <w:szCs w:val="20"/>
          <w:color w:val="auto"/>
        </w:rPr>
      </w:pPr>
    </w:p>
    <w:p>
      <w:pPr>
        <w:ind w:left="10"/>
        <w:spacing w:after="0" w:line="235" w:lineRule="auto"/>
        <w:rPr>
          <w:sz w:val="20"/>
          <w:szCs w:val="20"/>
          <w:color w:val="auto"/>
        </w:rPr>
      </w:pPr>
      <w:r>
        <w:rPr>
          <w:rFonts w:ascii="Arial" w:cs="Arial" w:eastAsia="Arial" w:hAnsi="Arial"/>
          <w:sz w:val="18"/>
          <w:szCs w:val="18"/>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In general, but subject to certain exceptions,</w:t>
      </w:r>
    </w:p>
    <w:p>
      <w:pPr>
        <w:sectPr>
          <w:pgSz w:w="11900" w:h="16838" w:orient="portrait"/>
          <w:cols w:equalWidth="0" w:num="2">
            <w:col w:w="7620" w:space="110"/>
            <w:col w:w="3410"/>
          </w:cols>
          <w:pgMar w:left="320" w:top="459" w:right="439" w:bottom="1440" w:gutter="0" w:footer="0" w:header="0"/>
          <w:type w:val="continuous"/>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4"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17780</wp:posOffset>
            </wp:positionV>
            <wp:extent cx="23056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ind w:left="4000"/>
        <w:spacing w:after="0"/>
        <w:tabs>
          <w:tab w:leader="none" w:pos="43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8"/>
          <w:szCs w:val="18"/>
          <w:color w:val="auto"/>
        </w:rPr>
        <w:t>not to accept benefits from a third party</w:t>
      </w:r>
    </w:p>
    <w:p>
      <w:pPr>
        <w:ind w:left="4360"/>
        <w:spacing w:after="0"/>
        <w:rPr>
          <w:sz w:val="20"/>
          <w:szCs w:val="20"/>
          <w:color w:val="auto"/>
        </w:rPr>
      </w:pPr>
      <w:r>
        <w:rPr>
          <w:rFonts w:ascii="Arial" w:cs="Arial" w:eastAsia="Arial" w:hAnsi="Arial"/>
          <w:sz w:val="18"/>
          <w:szCs w:val="18"/>
          <w:color w:val="auto"/>
        </w:rPr>
        <w:t>conferred by reason of his or</w:t>
      </w:r>
    </w:p>
    <w:p>
      <w:pPr>
        <w:spacing w:after="0" w:line="113" w:lineRule="exact"/>
        <w:rPr>
          <w:sz w:val="20"/>
          <w:szCs w:val="20"/>
          <w:color w:val="auto"/>
        </w:rPr>
      </w:pPr>
    </w:p>
    <w:p>
      <w:pPr>
        <w:ind w:left="4000"/>
        <w:spacing w:after="0"/>
        <w:tabs>
          <w:tab w:leader="none" w:pos="43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8"/>
          <w:szCs w:val="18"/>
          <w:color w:val="auto"/>
        </w:rPr>
        <w:t>her being a director or doing, or not</w:t>
      </w:r>
    </w:p>
    <w:p>
      <w:pPr>
        <w:ind w:left="4360"/>
        <w:spacing w:after="0"/>
        <w:rPr>
          <w:sz w:val="20"/>
          <w:szCs w:val="20"/>
          <w:color w:val="auto"/>
        </w:rPr>
      </w:pPr>
      <w:r>
        <w:rPr>
          <w:rFonts w:ascii="Arial" w:cs="Arial" w:eastAsia="Arial" w:hAnsi="Arial"/>
          <w:sz w:val="18"/>
          <w:szCs w:val="18"/>
          <w:color w:val="auto"/>
        </w:rPr>
        <w:t>doing, anything as a director; and</w:t>
      </w:r>
    </w:p>
    <w:p>
      <w:pPr>
        <w:spacing w:after="0" w:line="113" w:lineRule="exact"/>
        <w:rPr>
          <w:sz w:val="20"/>
          <w:szCs w:val="20"/>
          <w:color w:val="auto"/>
        </w:rPr>
      </w:pPr>
    </w:p>
    <w:p>
      <w:pPr>
        <w:ind w:left="4000"/>
        <w:spacing w:after="0"/>
        <w:tabs>
          <w:tab w:leader="none" w:pos="43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8"/>
          <w:szCs w:val="18"/>
          <w:color w:val="auto"/>
        </w:rPr>
        <w:t>a duty to declare any interest that he or</w:t>
      </w:r>
    </w:p>
    <w:p>
      <w:pPr>
        <w:ind w:left="4360"/>
        <w:spacing w:after="0" w:line="234" w:lineRule="auto"/>
        <w:rPr>
          <w:sz w:val="20"/>
          <w:szCs w:val="20"/>
          <w:color w:val="auto"/>
        </w:rPr>
      </w:pPr>
      <w:r>
        <w:rPr>
          <w:rFonts w:ascii="Arial" w:cs="Arial" w:eastAsia="Arial" w:hAnsi="Arial"/>
          <w:sz w:val="18"/>
          <w:szCs w:val="18"/>
          <w:color w:val="auto"/>
        </w:rPr>
        <w:t>she has, whether directly or indirectly, in</w:t>
      </w:r>
    </w:p>
    <w:p>
      <w:pPr>
        <w:ind w:left="4360"/>
        <w:spacing w:after="0" w:line="235" w:lineRule="auto"/>
        <w:rPr>
          <w:sz w:val="20"/>
          <w:szCs w:val="20"/>
          <w:color w:val="auto"/>
        </w:rPr>
      </w:pPr>
      <w:r>
        <w:rPr>
          <w:rFonts w:ascii="Arial" w:cs="Arial" w:eastAsia="Arial" w:hAnsi="Arial"/>
          <w:sz w:val="18"/>
          <w:szCs w:val="18"/>
          <w:color w:val="auto"/>
        </w:rPr>
        <w:t>a proposed or existing transaction or</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arrangement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tabs>
          <w:tab w:leader="none" w:pos="3980" w:val="left"/>
        </w:tabs>
        <w:rPr>
          <w:sz w:val="20"/>
          <w:szCs w:val="20"/>
          <w:color w:val="auto"/>
        </w:rPr>
      </w:pPr>
      <w:r>
        <w:rPr>
          <w:rFonts w:ascii="Arial" w:cs="Arial" w:eastAsia="Arial" w:hAnsi="Arial"/>
          <w:sz w:val="18"/>
          <w:szCs w:val="18"/>
          <w:color w:val="auto"/>
        </w:rPr>
        <w:t>Shareholder Suits</w:t>
      </w:r>
      <w:r>
        <w:rPr>
          <w:sz w:val="20"/>
          <w:szCs w:val="20"/>
          <w:color w:val="auto"/>
        </w:rPr>
        <w:tab/>
      </w:r>
      <w:r>
        <w:rPr>
          <w:rFonts w:ascii="Arial" w:cs="Arial" w:eastAsia="Arial" w:hAnsi="Arial"/>
          <w:sz w:val="17"/>
          <w:szCs w:val="17"/>
          <w:color w:val="auto"/>
        </w:rPr>
        <w:t>Under English law, generally, the company,</w:t>
      </w:r>
    </w:p>
    <w:p>
      <w:pPr>
        <w:ind w:left="4000"/>
        <w:spacing w:after="0" w:line="234" w:lineRule="auto"/>
        <w:rPr>
          <w:sz w:val="20"/>
          <w:szCs w:val="20"/>
          <w:color w:val="auto"/>
        </w:rPr>
      </w:pPr>
      <w:r>
        <w:rPr>
          <w:rFonts w:ascii="Arial" w:cs="Arial" w:eastAsia="Arial" w:hAnsi="Arial"/>
          <w:sz w:val="18"/>
          <w:szCs w:val="18"/>
          <w:color w:val="auto"/>
        </w:rPr>
        <w:t>rather than its shareholders, is the proper</w:t>
      </w:r>
    </w:p>
    <w:p>
      <w:pPr>
        <w:ind w:left="4000"/>
        <w:spacing w:after="0" w:line="235" w:lineRule="auto"/>
        <w:rPr>
          <w:sz w:val="20"/>
          <w:szCs w:val="20"/>
          <w:color w:val="auto"/>
        </w:rPr>
      </w:pPr>
      <w:r>
        <w:rPr>
          <w:rFonts w:ascii="Arial" w:cs="Arial" w:eastAsia="Arial" w:hAnsi="Arial"/>
          <w:sz w:val="18"/>
          <w:szCs w:val="18"/>
          <w:color w:val="auto"/>
        </w:rPr>
        <w:t>claimant in an action in respect of a wrong</w:t>
      </w:r>
    </w:p>
    <w:p>
      <w:pPr>
        <w:ind w:left="4000"/>
        <w:spacing w:after="0" w:line="235" w:lineRule="auto"/>
        <w:rPr>
          <w:sz w:val="20"/>
          <w:szCs w:val="20"/>
          <w:color w:val="auto"/>
        </w:rPr>
      </w:pPr>
      <w:r>
        <w:rPr>
          <w:rFonts w:ascii="Arial" w:cs="Arial" w:eastAsia="Arial" w:hAnsi="Arial"/>
          <w:sz w:val="18"/>
          <w:szCs w:val="18"/>
          <w:color w:val="auto"/>
        </w:rPr>
        <w:t>done to the company or where there is an</w:t>
      </w:r>
    </w:p>
    <w:p>
      <w:pPr>
        <w:ind w:left="4000"/>
        <w:spacing w:after="0" w:line="235" w:lineRule="auto"/>
        <w:rPr>
          <w:sz w:val="20"/>
          <w:szCs w:val="20"/>
          <w:color w:val="auto"/>
        </w:rPr>
      </w:pPr>
      <w:r>
        <w:rPr>
          <w:rFonts w:ascii="Arial" w:cs="Arial" w:eastAsia="Arial" w:hAnsi="Arial"/>
          <w:sz w:val="18"/>
          <w:szCs w:val="18"/>
          <w:color w:val="auto"/>
        </w:rPr>
        <w:t>irregularity in the company’s internal</w:t>
      </w:r>
    </w:p>
    <w:p>
      <w:pPr>
        <w:ind w:left="4000"/>
        <w:spacing w:after="0" w:line="235" w:lineRule="auto"/>
        <w:rPr>
          <w:sz w:val="20"/>
          <w:szCs w:val="20"/>
          <w:color w:val="auto"/>
        </w:rPr>
      </w:pPr>
      <w:r>
        <w:rPr>
          <w:rFonts w:ascii="Arial" w:cs="Arial" w:eastAsia="Arial" w:hAnsi="Arial"/>
          <w:sz w:val="18"/>
          <w:szCs w:val="18"/>
          <w:color w:val="auto"/>
        </w:rPr>
        <w:t>management. Notwithstanding this general</w:t>
      </w:r>
    </w:p>
    <w:p>
      <w:pPr>
        <w:ind w:left="4000"/>
        <w:spacing w:after="0" w:line="234" w:lineRule="auto"/>
        <w:rPr>
          <w:sz w:val="20"/>
          <w:szCs w:val="20"/>
          <w:color w:val="auto"/>
        </w:rPr>
      </w:pPr>
      <w:r>
        <w:rPr>
          <w:rFonts w:ascii="Arial" w:cs="Arial" w:eastAsia="Arial" w:hAnsi="Arial"/>
          <w:sz w:val="18"/>
          <w:szCs w:val="18"/>
          <w:color w:val="auto"/>
        </w:rPr>
        <w:t>position, the U.K. Companies Act 2006</w:t>
      </w:r>
    </w:p>
    <w:p>
      <w:pPr>
        <w:ind w:left="4000"/>
        <w:spacing w:after="0" w:line="235" w:lineRule="auto"/>
        <w:rPr>
          <w:sz w:val="20"/>
          <w:szCs w:val="20"/>
          <w:color w:val="auto"/>
        </w:rPr>
      </w:pPr>
      <w:r>
        <w:rPr>
          <w:rFonts w:ascii="Arial" w:cs="Arial" w:eastAsia="Arial" w:hAnsi="Arial"/>
          <w:sz w:val="18"/>
          <w:szCs w:val="18"/>
          <w:color w:val="auto"/>
        </w:rPr>
        <w:t>provides that (1) a court may allow a</w:t>
      </w:r>
    </w:p>
    <w:p>
      <w:pPr>
        <w:ind w:left="4000"/>
        <w:spacing w:after="0" w:line="235" w:lineRule="auto"/>
        <w:rPr>
          <w:sz w:val="20"/>
          <w:szCs w:val="20"/>
          <w:color w:val="auto"/>
        </w:rPr>
      </w:pPr>
      <w:r>
        <w:rPr>
          <w:rFonts w:ascii="Arial" w:cs="Arial" w:eastAsia="Arial" w:hAnsi="Arial"/>
          <w:sz w:val="18"/>
          <w:szCs w:val="18"/>
          <w:color w:val="auto"/>
        </w:rPr>
        <w:t>shareholder to bring a derivative claim (that</w:t>
      </w:r>
    </w:p>
    <w:p>
      <w:pPr>
        <w:ind w:left="4000"/>
        <w:spacing w:after="0"/>
        <w:rPr>
          <w:sz w:val="20"/>
          <w:szCs w:val="20"/>
          <w:color w:val="auto"/>
        </w:rPr>
      </w:pPr>
      <w:r>
        <w:rPr>
          <w:rFonts w:ascii="Arial" w:cs="Arial" w:eastAsia="Arial" w:hAnsi="Arial"/>
          <w:sz w:val="17"/>
          <w:szCs w:val="17"/>
          <w:color w:val="auto"/>
        </w:rPr>
        <w:t>is, an action in respect of and on behalf of the</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company) in respect of a cause of action</w:t>
      </w:r>
    </w:p>
    <w:p>
      <w:pPr>
        <w:ind w:left="4000"/>
        <w:spacing w:after="0" w:line="234" w:lineRule="auto"/>
        <w:rPr>
          <w:sz w:val="20"/>
          <w:szCs w:val="20"/>
          <w:color w:val="auto"/>
        </w:rPr>
      </w:pPr>
      <w:r>
        <w:rPr>
          <w:rFonts w:ascii="Arial" w:cs="Arial" w:eastAsia="Arial" w:hAnsi="Arial"/>
          <w:sz w:val="18"/>
          <w:szCs w:val="18"/>
          <w:color w:val="auto"/>
        </w:rPr>
        <w:t>arising from a director’s negligence, default,</w:t>
      </w:r>
    </w:p>
    <w:p>
      <w:pPr>
        <w:ind w:left="4000"/>
        <w:spacing w:after="0" w:line="235" w:lineRule="auto"/>
        <w:rPr>
          <w:sz w:val="20"/>
          <w:szCs w:val="20"/>
          <w:color w:val="auto"/>
        </w:rPr>
      </w:pPr>
      <w:r>
        <w:rPr>
          <w:rFonts w:ascii="Arial" w:cs="Arial" w:eastAsia="Arial" w:hAnsi="Arial"/>
          <w:sz w:val="18"/>
          <w:szCs w:val="18"/>
          <w:color w:val="auto"/>
        </w:rPr>
        <w:t>breach of duty or breach of trust and (2) a</w:t>
      </w:r>
    </w:p>
    <w:p>
      <w:pPr>
        <w:ind w:left="4000"/>
        <w:spacing w:after="0" w:line="235" w:lineRule="auto"/>
        <w:rPr>
          <w:sz w:val="20"/>
          <w:szCs w:val="20"/>
          <w:color w:val="auto"/>
        </w:rPr>
      </w:pPr>
      <w:r>
        <w:rPr>
          <w:rFonts w:ascii="Arial" w:cs="Arial" w:eastAsia="Arial" w:hAnsi="Arial"/>
          <w:sz w:val="18"/>
          <w:szCs w:val="18"/>
          <w:color w:val="auto"/>
        </w:rPr>
        <w:t>shareholder may bring a claim for a court</w:t>
      </w:r>
    </w:p>
    <w:p>
      <w:pPr>
        <w:ind w:left="4000"/>
        <w:spacing w:after="0" w:line="235" w:lineRule="auto"/>
        <w:rPr>
          <w:sz w:val="20"/>
          <w:szCs w:val="20"/>
          <w:color w:val="auto"/>
        </w:rPr>
      </w:pPr>
      <w:r>
        <w:rPr>
          <w:rFonts w:ascii="Arial" w:cs="Arial" w:eastAsia="Arial" w:hAnsi="Arial"/>
          <w:sz w:val="18"/>
          <w:szCs w:val="18"/>
          <w:color w:val="auto"/>
        </w:rPr>
        <w:t>order on the ground that the company’s</w:t>
      </w:r>
    </w:p>
    <w:p>
      <w:pPr>
        <w:ind w:left="4000"/>
        <w:spacing w:after="0" w:line="235" w:lineRule="auto"/>
        <w:rPr>
          <w:sz w:val="20"/>
          <w:szCs w:val="20"/>
          <w:color w:val="auto"/>
        </w:rPr>
      </w:pPr>
      <w:r>
        <w:rPr>
          <w:rFonts w:ascii="Arial" w:cs="Arial" w:eastAsia="Arial" w:hAnsi="Arial"/>
          <w:sz w:val="18"/>
          <w:szCs w:val="18"/>
          <w:color w:val="auto"/>
        </w:rPr>
        <w:t>affairs have been or are being conducted in a</w:t>
      </w:r>
    </w:p>
    <w:p>
      <w:pPr>
        <w:ind w:left="4000"/>
        <w:spacing w:after="0"/>
        <w:rPr>
          <w:sz w:val="20"/>
          <w:szCs w:val="20"/>
          <w:color w:val="auto"/>
        </w:rPr>
      </w:pPr>
      <w:r>
        <w:rPr>
          <w:rFonts w:ascii="Arial" w:cs="Arial" w:eastAsia="Arial" w:hAnsi="Arial"/>
          <w:sz w:val="18"/>
          <w:szCs w:val="18"/>
          <w:color w:val="auto"/>
        </w:rPr>
        <w:t>manner that is unfairly prejudicial</w:t>
      </w:r>
    </w:p>
    <w:p>
      <w:pPr>
        <w:spacing w:after="0" w:line="200" w:lineRule="exact"/>
        <w:rPr>
          <w:sz w:val="20"/>
          <w:szCs w:val="20"/>
          <w:color w:val="auto"/>
        </w:rPr>
      </w:pP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1602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10" w:right="20"/>
        <w:spacing w:after="0" w:line="236" w:lineRule="auto"/>
        <w:rPr>
          <w:sz w:val="20"/>
          <w:szCs w:val="20"/>
          <w:color w:val="auto"/>
        </w:rPr>
      </w:pPr>
      <w:r>
        <w:rPr>
          <w:rFonts w:ascii="Arial" w:cs="Arial" w:eastAsia="Arial" w:hAnsi="Arial"/>
          <w:sz w:val="18"/>
          <w:szCs w:val="18"/>
          <w:color w:val="auto"/>
        </w:rPr>
        <w:t>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08" w:lineRule="exact"/>
        <w:rPr>
          <w:sz w:val="20"/>
          <w:szCs w:val="20"/>
          <w:color w:val="auto"/>
        </w:rPr>
      </w:pPr>
    </w:p>
    <w:p>
      <w:pPr>
        <w:ind w:left="10"/>
        <w:spacing w:after="0" w:line="237" w:lineRule="auto"/>
        <w:rPr>
          <w:sz w:val="20"/>
          <w:szCs w:val="20"/>
          <w:color w:val="auto"/>
        </w:rPr>
      </w:pPr>
      <w:r>
        <w:rPr>
          <w:rFonts w:ascii="Arial" w:cs="Arial" w:eastAsia="Arial" w:hAnsi="Arial"/>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pacing w:after="0" w:line="108" w:lineRule="exact"/>
        <w:rPr>
          <w:sz w:val="20"/>
          <w:szCs w:val="20"/>
          <w:color w:val="auto"/>
        </w:rPr>
      </w:pPr>
    </w:p>
    <w:p>
      <w:pPr>
        <w:ind w:left="10" w:right="220"/>
        <w:spacing w:after="0" w:line="238"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108" w:lineRule="exact"/>
        <w:rPr>
          <w:sz w:val="20"/>
          <w:szCs w:val="20"/>
          <w:color w:val="auto"/>
        </w:rPr>
      </w:pPr>
    </w:p>
    <w:p>
      <w:pPr>
        <w:ind w:left="350" w:right="60" w:hanging="350"/>
        <w:spacing w:after="0" w:line="237" w:lineRule="auto"/>
        <w:tabs>
          <w:tab w:leader="none" w:pos="352" w:val="left"/>
        </w:tabs>
        <w:numPr>
          <w:ilvl w:val="0"/>
          <w:numId w:val="25"/>
        </w:numPr>
        <w:rPr>
          <w:rFonts w:ascii="MS PGothic" w:cs="MS PGothic" w:eastAsia="MS PGothic" w:hAnsi="MS PGothic"/>
          <w:sz w:val="13"/>
          <w:szCs w:val="13"/>
          <w:color w:val="auto"/>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110" w:lineRule="exact"/>
        <w:rPr>
          <w:rFonts w:ascii="MS PGothic" w:cs="MS PGothic" w:eastAsia="MS PGothic" w:hAnsi="MS PGothic"/>
          <w:sz w:val="13"/>
          <w:szCs w:val="13"/>
          <w:color w:val="auto"/>
        </w:rPr>
      </w:pPr>
    </w:p>
    <w:p>
      <w:pPr>
        <w:ind w:left="350" w:right="180" w:hanging="350"/>
        <w:spacing w:after="0" w:line="237" w:lineRule="auto"/>
        <w:tabs>
          <w:tab w:leader="none" w:pos="352" w:val="left"/>
        </w:tabs>
        <w:numPr>
          <w:ilvl w:val="0"/>
          <w:numId w:val="25"/>
        </w:numPr>
        <w:rPr>
          <w:rFonts w:ascii="MS PGothic" w:cs="MS PGothic" w:eastAsia="MS PGothic" w:hAnsi="MS PGothic"/>
          <w:sz w:val="13"/>
          <w:szCs w:val="13"/>
          <w:color w:val="auto"/>
        </w:rPr>
      </w:pPr>
      <w:r>
        <w:rPr>
          <w:rFonts w:ascii="Arial" w:cs="Arial" w:eastAsia="Arial" w:hAnsi="Arial"/>
          <w:sz w:val="18"/>
          <w:szCs w:val="18"/>
          <w:color w:val="auto"/>
        </w:rPr>
        <w:t>allege with particularity the efforts made by the plaintiff to obtain the action the plaintiff desires from the directors and the reasons for the plaintiff’s failure to obtain the action; or</w:t>
      </w:r>
    </w:p>
    <w:p>
      <w:pPr>
        <w:sectPr>
          <w:pgSz w:w="11900" w:h="16838" w:orient="portrait"/>
          <w:cols w:equalWidth="0" w:num="2">
            <w:col w:w="7620" w:space="110"/>
            <w:col w:w="3390"/>
          </w:cols>
          <w:pgMar w:left="320" w:top="459" w:right="459" w:bottom="1440" w:gutter="0" w:footer="0" w:header="0"/>
          <w:type w:val="continuous"/>
        </w:sectPr>
      </w:pPr>
    </w:p>
    <w:bookmarkStart w:id="43" w:name="page44"/>
    <w:bookmarkEnd w:id="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960"/>
          </w:cols>
          <w:pgMar w:left="320" w:top="459" w:right="619" w:bottom="1440" w:gutter="0" w:footer="0" w:header="0"/>
        </w:sectPr>
      </w:pPr>
    </w:p>
    <w:p>
      <w:pPr>
        <w:spacing w:after="0" w:line="334"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17780</wp:posOffset>
            </wp:positionV>
            <wp:extent cx="23056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to the interests of its shareholders generally</w:t>
      </w:r>
    </w:p>
    <w:p>
      <w:pPr>
        <w:ind w:left="4000"/>
        <w:spacing w:after="0" w:line="234" w:lineRule="auto"/>
        <w:rPr>
          <w:sz w:val="20"/>
          <w:szCs w:val="20"/>
          <w:color w:val="auto"/>
        </w:rPr>
      </w:pPr>
      <w:r>
        <w:rPr>
          <w:rFonts w:ascii="Arial" w:cs="Arial" w:eastAsia="Arial" w:hAnsi="Arial"/>
          <w:sz w:val="18"/>
          <w:szCs w:val="18"/>
          <w:color w:val="auto"/>
        </w:rPr>
        <w:t>or of some of its shareholders, or that an</w:t>
      </w:r>
    </w:p>
    <w:p>
      <w:pPr>
        <w:ind w:left="4000"/>
        <w:spacing w:after="0" w:line="235" w:lineRule="auto"/>
        <w:rPr>
          <w:sz w:val="20"/>
          <w:szCs w:val="20"/>
          <w:color w:val="auto"/>
        </w:rPr>
      </w:pPr>
      <w:r>
        <w:rPr>
          <w:rFonts w:ascii="Arial" w:cs="Arial" w:eastAsia="Arial" w:hAnsi="Arial"/>
          <w:sz w:val="18"/>
          <w:szCs w:val="18"/>
          <w:color w:val="auto"/>
        </w:rPr>
        <w:t>actual or proposed act or omission of the</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company is or would be so prejudicial.</w:t>
      </w:r>
    </w:p>
    <w:p>
      <w:pPr>
        <w:spacing w:after="0" w:line="11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U.K. Limitation Act 1980 imposes a</w:t>
      </w:r>
    </w:p>
    <w:p>
      <w:pPr>
        <w:ind w:left="4000"/>
        <w:spacing w:after="0" w:line="234" w:lineRule="auto"/>
        <w:rPr>
          <w:sz w:val="20"/>
          <w:szCs w:val="20"/>
          <w:color w:val="auto"/>
        </w:rPr>
      </w:pPr>
      <w:r>
        <w:rPr>
          <w:rFonts w:ascii="Arial" w:cs="Arial" w:eastAsia="Arial" w:hAnsi="Arial"/>
          <w:sz w:val="18"/>
          <w:szCs w:val="18"/>
          <w:color w:val="auto"/>
        </w:rPr>
        <w:t>limitation period, with certain exceptions, in</w:t>
      </w:r>
    </w:p>
    <w:p>
      <w:pPr>
        <w:ind w:left="4000"/>
        <w:spacing w:after="0" w:line="235" w:lineRule="auto"/>
        <w:rPr>
          <w:sz w:val="20"/>
          <w:szCs w:val="20"/>
          <w:color w:val="auto"/>
        </w:rPr>
      </w:pPr>
      <w:r>
        <w:rPr>
          <w:rFonts w:ascii="Arial" w:cs="Arial" w:eastAsia="Arial" w:hAnsi="Arial"/>
          <w:sz w:val="18"/>
          <w:szCs w:val="18"/>
          <w:color w:val="auto"/>
        </w:rPr>
        <w:t>respect of civil claims. The period is six years</w:t>
      </w:r>
    </w:p>
    <w:p>
      <w:pPr>
        <w:ind w:left="4000"/>
        <w:spacing w:after="0" w:line="235" w:lineRule="auto"/>
        <w:rPr>
          <w:sz w:val="20"/>
          <w:szCs w:val="20"/>
          <w:color w:val="auto"/>
        </w:rPr>
      </w:pPr>
      <w:r>
        <w:rPr>
          <w:rFonts w:ascii="Arial" w:cs="Arial" w:eastAsia="Arial" w:hAnsi="Arial"/>
          <w:sz w:val="18"/>
          <w:szCs w:val="18"/>
          <w:color w:val="auto"/>
        </w:rPr>
        <w:t>in respect of actions in contract and tort, and</w:t>
      </w:r>
    </w:p>
    <w:p>
      <w:pPr>
        <w:ind w:left="4000"/>
        <w:spacing w:after="0" w:line="235" w:lineRule="auto"/>
        <w:rPr>
          <w:sz w:val="20"/>
          <w:szCs w:val="20"/>
          <w:color w:val="auto"/>
        </w:rPr>
      </w:pPr>
      <w:r>
        <w:rPr>
          <w:rFonts w:ascii="Arial" w:cs="Arial" w:eastAsia="Arial" w:hAnsi="Arial"/>
          <w:sz w:val="18"/>
          <w:szCs w:val="18"/>
          <w:color w:val="auto"/>
        </w:rPr>
        <w:t>12 years for “actions on a specialty,” such as</w:t>
      </w:r>
    </w:p>
    <w:p>
      <w:pPr>
        <w:ind w:left="4000"/>
        <w:spacing w:after="0" w:line="235" w:lineRule="auto"/>
        <w:rPr>
          <w:sz w:val="20"/>
          <w:szCs w:val="20"/>
          <w:color w:val="auto"/>
        </w:rPr>
      </w:pPr>
      <w:r>
        <w:rPr>
          <w:rFonts w:ascii="Arial" w:cs="Arial" w:eastAsia="Arial" w:hAnsi="Arial"/>
          <w:sz w:val="18"/>
          <w:szCs w:val="18"/>
          <w:color w:val="auto"/>
        </w:rPr>
        <w:t>a breach of any obligation contained in a</w:t>
      </w:r>
    </w:p>
    <w:p>
      <w:pPr>
        <w:ind w:left="4000"/>
        <w:spacing w:after="0"/>
        <w:rPr>
          <w:sz w:val="20"/>
          <w:szCs w:val="20"/>
          <w:color w:val="auto"/>
        </w:rPr>
      </w:pPr>
      <w:r>
        <w:rPr>
          <w:rFonts w:ascii="Arial" w:cs="Arial" w:eastAsia="Arial" w:hAnsi="Arial"/>
          <w:sz w:val="17"/>
          <w:szCs w:val="17"/>
          <w:color w:val="auto"/>
        </w:rPr>
        <w:t>deed. The limitation period begins to run from</w:t>
      </w:r>
    </w:p>
    <w:p>
      <w:pPr>
        <w:spacing w:after="0" w:line="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date on which the action accrued. In the</w:t>
      </w:r>
    </w:p>
    <w:p>
      <w:pPr>
        <w:ind w:left="4000"/>
        <w:spacing w:after="0" w:line="234" w:lineRule="auto"/>
        <w:rPr>
          <w:sz w:val="20"/>
          <w:szCs w:val="20"/>
          <w:color w:val="auto"/>
        </w:rPr>
      </w:pPr>
      <w:r>
        <w:rPr>
          <w:rFonts w:ascii="Arial" w:cs="Arial" w:eastAsia="Arial" w:hAnsi="Arial"/>
          <w:sz w:val="18"/>
          <w:szCs w:val="18"/>
          <w:color w:val="auto"/>
        </w:rPr>
        <w:t>case of contract, this is the date on which the</w:t>
      </w:r>
    </w:p>
    <w:p>
      <w:pPr>
        <w:ind w:left="4000"/>
        <w:spacing w:after="0" w:line="235" w:lineRule="auto"/>
        <w:rPr>
          <w:sz w:val="20"/>
          <w:szCs w:val="20"/>
          <w:color w:val="auto"/>
        </w:rPr>
      </w:pPr>
      <w:r>
        <w:rPr>
          <w:rFonts w:ascii="Arial" w:cs="Arial" w:eastAsia="Arial" w:hAnsi="Arial"/>
          <w:sz w:val="18"/>
          <w:szCs w:val="18"/>
          <w:color w:val="auto"/>
        </w:rPr>
        <w:t>breach of contract occurred, and in tort this is</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date on which the damage is suffered.</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39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1602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p>
    <w:p>
      <w:pPr>
        <w:ind w:left="350" w:hanging="350"/>
        <w:spacing w:after="0" w:line="246" w:lineRule="auto"/>
        <w:tabs>
          <w:tab w:leader="none" w:pos="352" w:val="left"/>
        </w:tabs>
        <w:numPr>
          <w:ilvl w:val="0"/>
          <w:numId w:val="26"/>
        </w:numPr>
        <w:rPr>
          <w:rFonts w:ascii="MS PGothic" w:cs="MS PGothic" w:eastAsia="MS PGothic" w:hAnsi="MS PGothic"/>
          <w:sz w:val="13"/>
          <w:szCs w:val="13"/>
          <w:color w:val="auto"/>
        </w:rPr>
      </w:pPr>
      <w:r>
        <w:rPr>
          <w:rFonts w:ascii="Arial" w:cs="Arial" w:eastAsia="Arial" w:hAnsi="Arial"/>
          <w:sz w:val="18"/>
          <w:szCs w:val="18"/>
          <w:color w:val="auto"/>
        </w:rPr>
        <w:t>state the reasons for not making the effort.</w:t>
      </w:r>
    </w:p>
    <w:p>
      <w:pPr>
        <w:spacing w:after="0" w:line="102" w:lineRule="exact"/>
        <w:rPr>
          <w:sz w:val="20"/>
          <w:szCs w:val="20"/>
          <w:color w:val="auto"/>
        </w:rPr>
      </w:pPr>
    </w:p>
    <w:p>
      <w:pPr>
        <w:ind w:left="10" w:right="140"/>
        <w:spacing w:after="0" w:line="237" w:lineRule="auto"/>
        <w:rPr>
          <w:sz w:val="20"/>
          <w:szCs w:val="20"/>
          <w:color w:val="auto"/>
        </w:rPr>
      </w:pPr>
      <w:r>
        <w:rPr>
          <w:rFonts w:ascii="Arial" w:cs="Arial" w:eastAsia="Arial" w:hAnsi="Arial"/>
          <w:sz w:val="18"/>
          <w:szCs w:val="18"/>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7620" w:space="110"/>
            <w:col w:w="3230"/>
          </w:cols>
          <w:pgMar w:left="320" w:top="459" w:right="61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American Depositary Shares</w:t>
      </w:r>
    </w:p>
    <w:p>
      <w:pPr>
        <w:spacing w:after="0" w:line="126"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Citibank, N.A.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N.A., London Branch, located at 25 Canada Square, Canary Wharf, London, E14 5LB, United Kingdom.</w:t>
      </w:r>
    </w:p>
    <w:p>
      <w:pPr>
        <w:spacing w:after="0" w:line="202"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We have appointed Citibank as depositary pursuant to a deposit agreement. A copy of the form of the deposit agreement is on file with the SEC under cover of a registration statement on Form F-6. A copy of the deposit agreement is available from the SEC’s website (www.sec.gov). Please refer to registration number 333-223890 when retrieving such copy. “Holder” means the person or persons in whose name an ADS is registered on the register maintained by the depository for such purpose.</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202"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Each ADS represents the right to receive, and to exercise the beneficial ownership interests in, five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21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None of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20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20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6"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Holders generally have the right to receive the distributions we make on the securities deposited with the custodian. A Holder’s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2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80"/>
        <w:spacing w:after="0" w:line="246" w:lineRule="auto"/>
        <w:rPr>
          <w:sz w:val="20"/>
          <w:szCs w:val="20"/>
          <w:color w:val="auto"/>
        </w:rPr>
      </w:pPr>
      <w:r>
        <w:rPr>
          <w:rFonts w:ascii="Arial" w:cs="Arial" w:eastAsia="Arial" w:hAnsi="Arial"/>
          <w:sz w:val="18"/>
          <w:szCs w:val="18"/>
          <w:color w:val="auto"/>
        </w:rPr>
        <w:t>the depositary will arrange for the funds received in a currency other than U.S. dollars to be converted into U.S. dollars and for the distribution of the U.S. dollars to the holders, subject to the laws and regulations of England and Wales.</w:t>
      </w:r>
    </w:p>
    <w:p>
      <w:pPr>
        <w:spacing w:after="0" w:line="197" w:lineRule="exact"/>
        <w:rPr>
          <w:sz w:val="20"/>
          <w:szCs w:val="20"/>
          <w:color w:val="auto"/>
        </w:rPr>
      </w:pPr>
    </w:p>
    <w:p>
      <w:pPr>
        <w:jc w:val="both"/>
        <w:ind w:left="120" w:right="160" w:firstLine="440"/>
        <w:spacing w:after="0"/>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20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a Holder holds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2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85" w:lineRule="exact"/>
        <w:rPr>
          <w:sz w:val="20"/>
          <w:szCs w:val="20"/>
          <w:color w:val="auto"/>
        </w:rPr>
      </w:pPr>
    </w:p>
    <w:p>
      <w:pPr>
        <w:ind w:left="120" w:right="160" w:firstLine="440"/>
        <w:spacing w:after="0" w:line="250"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26"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Whenever we intend to distribute rights to subscribe for additional ordinary shares, we will give prior notice to the depositary and we will assist the depositary in determining whether it is lawful and reasonably practicable to distribute rights to purchase additional ADSs to holders.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Holders may have to pay fees, expenses, taxes and other governmental charges to subscribe for the new ADSs upon the exercise of a Holder’s rights. The depositary is not obligated to establish procedures to facilitate the distribution and exercise by holders of rights to subscribe for new ordinary shares other than in the form of ADSs.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320" w:top="459" w:right="5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a Holder if:</w:t>
      </w:r>
    </w:p>
    <w:p>
      <w:pPr>
        <w:spacing w:after="0" w:line="257" w:lineRule="exact"/>
        <w:rPr>
          <w:sz w:val="20"/>
          <w:szCs w:val="20"/>
          <w:color w:val="auto"/>
        </w:rPr>
      </w:pPr>
    </w:p>
    <w:p>
      <w:pPr>
        <w:ind w:left="980" w:right="360" w:hanging="432"/>
        <w:spacing w:after="0" w:line="218"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timely request that the rights be distributed to such Holder or we request that the rights not be distributed to such Holder; or</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fail to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not reasonably practicable to distribute the rights.</w:t>
      </w:r>
    </w:p>
    <w:p>
      <w:pPr>
        <w:spacing w:after="0" w:line="20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2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a Holder. In such case, we will assist the depositary in determining whether such distribution is lawful and reasonably practicable.</w:t>
      </w:r>
    </w:p>
    <w:p>
      <w:pPr>
        <w:spacing w:after="0" w:line="203" w:lineRule="exact"/>
        <w:rPr>
          <w:sz w:val="20"/>
          <w:szCs w:val="20"/>
          <w:color w:val="auto"/>
        </w:rPr>
      </w:pPr>
    </w:p>
    <w:p>
      <w:pPr>
        <w:ind w:left="120" w:right="320" w:firstLine="440"/>
        <w:spacing w:after="0"/>
        <w:rPr>
          <w:sz w:val="20"/>
          <w:szCs w:val="20"/>
          <w:color w:val="auto"/>
        </w:rPr>
      </w:pPr>
      <w:r>
        <w:rPr>
          <w:rFonts w:ascii="Arial" w:cs="Arial" w:eastAsia="Arial" w:hAnsi="Arial"/>
          <w:sz w:val="18"/>
          <w:szCs w:val="18"/>
          <w:color w:val="auto"/>
        </w:rPr>
        <w:t>The depositary will make the election available to a Holder only if it is reasonably practicable and if we have provided all of the documentation contemplated in the deposit agreement. In such case, the depositary will establish procedures to enable such Holder to elect to receive either cash or additional ADSs, in each case as described in the deposit agreement.</w:t>
      </w:r>
    </w:p>
    <w:p>
      <w:pPr>
        <w:spacing w:after="0" w:line="203" w:lineRule="exact"/>
        <w:rPr>
          <w:sz w:val="20"/>
          <w:szCs w:val="20"/>
          <w:color w:val="auto"/>
        </w:rPr>
      </w:pPr>
    </w:p>
    <w:p>
      <w:pPr>
        <w:ind w:left="120" w:right="500" w:firstLine="440"/>
        <w:spacing w:after="0" w:line="274" w:lineRule="auto"/>
        <w:rPr>
          <w:sz w:val="20"/>
          <w:szCs w:val="20"/>
          <w:color w:val="auto"/>
        </w:rPr>
      </w:pPr>
      <w:r>
        <w:rPr>
          <w:rFonts w:ascii="Arial" w:cs="Arial" w:eastAsia="Arial" w:hAnsi="Arial"/>
          <w:sz w:val="17"/>
          <w:szCs w:val="17"/>
          <w:color w:val="auto"/>
        </w:rPr>
        <w:t>If the election is not made available to a Holder, such Holder will receive either cash or additional ADSs, depending on what a shareholder in England and Wales would receive upon failing to make an election, as more fully described in the deposit agreement.</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26"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a Holder. If so, we will assist the depositary in determining whether such distribution to holders is lawful and reasonably practicable.</w:t>
      </w:r>
    </w:p>
    <w:p>
      <w:pPr>
        <w:spacing w:after="0" w:line="203" w:lineRule="exact"/>
        <w:rPr>
          <w:sz w:val="20"/>
          <w:szCs w:val="20"/>
          <w:color w:val="auto"/>
        </w:rPr>
      </w:pPr>
    </w:p>
    <w:p>
      <w:pPr>
        <w:ind w:left="120" w:right="500" w:firstLine="440"/>
        <w:spacing w:after="0" w:line="274" w:lineRule="auto"/>
        <w:rPr>
          <w:sz w:val="20"/>
          <w:szCs w:val="20"/>
          <w:color w:val="auto"/>
        </w:rPr>
      </w:pPr>
      <w:r>
        <w:rPr>
          <w:rFonts w:ascii="Arial" w:cs="Arial" w:eastAsia="Arial" w:hAnsi="Arial"/>
          <w:sz w:val="17"/>
          <w:szCs w:val="17"/>
          <w:color w:val="auto"/>
        </w:rPr>
        <w:t>If it is reasonably practicable to distribute such property to a Holder and if we provide to the depositary all of the documentation contemplated in the deposit agreement, the depositary will distribute the property to the holders in a manner it deems practicable.</w:t>
      </w:r>
    </w:p>
    <w:p>
      <w:pPr>
        <w:spacing w:after="0" w:line="175"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a Holder and will sell the property if:</w:t>
      </w:r>
    </w:p>
    <w:p>
      <w:pPr>
        <w:spacing w:after="0" w:line="257" w:lineRule="exact"/>
        <w:rPr>
          <w:sz w:val="20"/>
          <w:szCs w:val="20"/>
          <w:color w:val="auto"/>
        </w:rPr>
      </w:pPr>
    </w:p>
    <w:p>
      <w:pPr>
        <w:ind w:left="980" w:right="300" w:hanging="432"/>
        <w:spacing w:after="0" w:line="218"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request that the property be distributed to such Holder or if we request that the property not be distributed to such Holder; or</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determines that all or a portion of the distribution to such Holder is not reasonably practicable.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proceeds of such a sale will be distributed to holders as in the case of a cash distribution.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26"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A Holder may have to pay fees, expenses, taxes, and other governmental charges upon the redemption of such Holder’s ADSs. If less than all ADSs are being redeemed, the ADSs to be retired will be selected by lot or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the depositary may determine.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Ordinary Shares</w:t>
      </w:r>
    </w:p>
    <w:p>
      <w:pPr>
        <w:spacing w:after="0" w:line="126"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The ordinary shares held on deposit for a Holder’s ADSs may change from time to time. For example, there may be a change in nominal (or par) value, split-up, cancellation, consolidation, or any other reclassification of such ordinary shares or a recapitalization, reorganization, merger, consolidation, or sale of assets of ours.</w:t>
      </w:r>
    </w:p>
    <w:p>
      <w:pPr>
        <w:spacing w:after="0" w:line="20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If any such change were to occur, such Holder’s ADSs would, to the extent permitted by law and the deposit agreement, represent the right to receive the property received or exchanged in respect of the ordinary shares held on deposit. The depositary may in such circumstances deliver new ADSs to a Holder, amend the deposit agreement, the ADRs and the applicable registration statement(s) on Form F-6, call for the exchange of such Holder’s existing ADSs for new ADSs and take any other actions that are appropriate to reflect as to the ADSs the change affecting the Shares. If the depositary may not lawfully distribute such property to a Holder, the depositary may sell such property and distribute the net proceeds to such Holder as in the case of a cash distribution.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2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depositary may create ADSs on a Holder’s behalf if such Holder or such Holder’s broker deposit ordinary shares with the custodian. The depositary will deliver these ADSs to the person a Holder indicates only after such Holder pays any applicable issuance fees and any charges and taxes payable for the transfer of the ordinary shares to the custodian. A Holder’s ability to deposit ordinary shares and receive ADSs may be limited by the legal considerations in the United States and England and Wales applicable at the time of deposit.</w:t>
      </w:r>
    </w:p>
    <w:p>
      <w:pPr>
        <w:spacing w:after="0" w:line="202"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203"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When a Holder makes a deposit of ordinary shares, such Holder will be responsible for transferring good and valid title to the depositary. As such, a Holder will be deemed to represent and warrant that:</w:t>
      </w:r>
    </w:p>
    <w:p>
      <w:pPr>
        <w:spacing w:after="0" w:line="224" w:lineRule="exact"/>
        <w:rPr>
          <w:sz w:val="20"/>
          <w:szCs w:val="20"/>
          <w:color w:val="auto"/>
        </w:rPr>
      </w:pPr>
    </w:p>
    <w:p>
      <w:pPr>
        <w:ind w:left="980" w:right="160" w:hanging="432"/>
        <w:spacing w:after="0" w:line="218" w:lineRule="auto"/>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are duly authorized, validly allotted and issued, fully paid, not subject to any call for the payment of further capital, and legally obtained;</w:t>
      </w:r>
    </w:p>
    <w:p>
      <w:pPr>
        <w:spacing w:after="0" w:line="27" w:lineRule="exact"/>
        <w:rPr>
          <w:rFonts w:ascii="MS PGothic" w:cs="MS PGothic" w:eastAsia="MS PGothic" w:hAnsi="MS PGothic"/>
          <w:sz w:val="25"/>
          <w:szCs w:val="25"/>
          <w:color w:val="auto"/>
          <w:vertAlign w:val="superscript"/>
        </w:rPr>
      </w:pPr>
    </w:p>
    <w:p>
      <w:pPr>
        <w:ind w:left="980" w:right="760" w:hanging="432"/>
        <w:spacing w:after="0" w:line="218" w:lineRule="auto"/>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pre-emptive (and similar) rights, if any, with respect to such ordinary shares have been validly waived, disapplied or exercised;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such Holder is duly authorized to deposit the ordinary shares;</w:t>
      </w:r>
    </w:p>
    <w:p>
      <w:pPr>
        <w:spacing w:after="0" w:line="26" w:lineRule="exact"/>
        <w:rPr>
          <w:rFonts w:ascii="MS PGothic" w:cs="MS PGothic" w:eastAsia="MS PGothic" w:hAnsi="MS PGothic"/>
          <w:sz w:val="25"/>
          <w:szCs w:val="25"/>
          <w:color w:val="auto"/>
          <w:vertAlign w:val="superscript"/>
        </w:rPr>
      </w:pPr>
    </w:p>
    <w:p>
      <w:pPr>
        <w:ind w:left="980" w:right="200" w:hanging="432"/>
        <w:spacing w:after="0" w:line="223" w:lineRule="auto"/>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have not been stripped of any rights or entitlements.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If any of the representations or warranties is incorrect in any way, we and the depositary may, at such Holder’s cost and expense, take any and all actions necessary to correct the consequences of the misrepresentation.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ADR holders will be entitled to transfer, combine, or split up such Holder’s ADRs and the ADSs evidenced thereby. For transfers of</w:t>
      </w:r>
    </w:p>
    <w:p>
      <w:pPr>
        <w:ind w:left="120"/>
        <w:spacing w:after="0"/>
        <w:rPr>
          <w:sz w:val="20"/>
          <w:szCs w:val="20"/>
          <w:color w:val="auto"/>
        </w:rPr>
      </w:pPr>
      <w:r>
        <w:rPr>
          <w:rFonts w:ascii="Arial" w:cs="Arial" w:eastAsia="Arial" w:hAnsi="Arial"/>
          <w:sz w:val="18"/>
          <w:szCs w:val="18"/>
          <w:color w:val="auto"/>
        </w:rPr>
        <w:t>ADRs, a Holder will have to surrender the ADRs to be transferred to the depositary and also must:</w:t>
      </w:r>
    </w:p>
    <w:p>
      <w:pPr>
        <w:spacing w:after="0" w:line="202" w:lineRule="exact"/>
        <w:rPr>
          <w:sz w:val="20"/>
          <w:szCs w:val="20"/>
          <w:color w:val="auto"/>
        </w:rPr>
      </w:pPr>
    </w:p>
    <w:p>
      <w:pPr>
        <w:ind w:left="980" w:hanging="432"/>
        <w:spacing w:after="0"/>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ensure that the surrendered ADR is properly endorsed or otherwise in proper form for transfer;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such proof of identity and genuineness of signatures as the depositary deems appropriate;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any transfer stamps required by the State of New York or the United States; and</w:t>
      </w:r>
    </w:p>
    <w:p>
      <w:pPr>
        <w:spacing w:after="0" w:line="26" w:lineRule="exact"/>
        <w:rPr>
          <w:rFonts w:ascii="MS PGothic" w:cs="MS PGothic" w:eastAsia="MS PGothic" w:hAnsi="MS PGothic"/>
          <w:sz w:val="25"/>
          <w:szCs w:val="25"/>
          <w:color w:val="auto"/>
          <w:vertAlign w:val="superscript"/>
        </w:rPr>
      </w:pPr>
    </w:p>
    <w:p>
      <w:pPr>
        <w:ind w:left="980" w:right="440" w:hanging="432"/>
        <w:spacing w:after="0" w:line="218" w:lineRule="auto"/>
        <w:tabs>
          <w:tab w:leader="none" w:pos="9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203"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To have a Holder’s ADRs either combined or split up, such Holder must surrender the ADRs in question to the depositary with such Holder’s request to have them combined or split up, and such Holder must pay all applicable fees, charges, and expenses payable by ADR holders, pursuant to the terms of the deposit agreement, upon a combination or split up of ADRs.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 Holder will be entitled to present such Holder’s ADSs to the depositary for cancellation and then receive the corresponding number of underlying ordinary shares at the custodian’s offices. A Holder’s ability to withdraw the ordinary shares held in respect of the ADSs may be limited by the legal considerations in the United States and England and Wales applicable at the time of withdrawal. In order to withdraw the ordinary shares represented by a Holder’s ADSs, such Holder will be required to pay to the depositary the fees for cancellation of ADSs and any charges and taxes payable upon the transfer of the ordinary shares.</w:t>
      </w:r>
    </w:p>
    <w:p>
      <w:pPr>
        <w:spacing w:after="0" w:line="20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A Holder assumes the risk for delivery of all funds and securities upon withdrawal. Once canceled, the ADSs will not have any rights under the deposit agreement.</w:t>
      </w:r>
    </w:p>
    <w:p>
      <w:pPr>
        <w:spacing w:after="0" w:line="19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If a Holder holds ADSs registered in such Holder’s name, the depositary may ask such Holder to provide proof of identity and genuineness of any signature and such other documents as the depositary may deem appropriate before it will cancel such Holder’s ADSs. The withdrawal of the ordinary shares represented by such Holder’s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will have the right to withdraw the securities represented by their ADSs at any time except for:</w:t>
      </w:r>
    </w:p>
    <w:p>
      <w:pPr>
        <w:spacing w:after="0" w:line="239" w:lineRule="exact"/>
        <w:rPr>
          <w:sz w:val="20"/>
          <w:szCs w:val="20"/>
          <w:color w:val="auto"/>
        </w:rPr>
      </w:pPr>
    </w:p>
    <w:p>
      <w:pPr>
        <w:ind w:left="980" w:right="440" w:hanging="432"/>
        <w:spacing w:after="0" w:line="218"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Obligations to pay fees, taxes and similar charges.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imposed because of laws or regulations applicable to ADSs or the withdrawal of securities on deposit.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The deposit agreement may not be modified to impair a Holder’s right to withdraw the securities represented by such Holder’s ADSs except to comply with mandatory provisions of law.</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6"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Holders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Association—Articles of Association” in this prospectus.</w:t>
      </w:r>
    </w:p>
    <w:p>
      <w:pPr>
        <w:spacing w:after="0" w:line="203" w:lineRule="exact"/>
        <w:rPr>
          <w:sz w:val="20"/>
          <w:szCs w:val="20"/>
          <w:color w:val="auto"/>
        </w:rPr>
      </w:pPr>
    </w:p>
    <w:p>
      <w:pPr>
        <w:ind w:left="120" w:right="920" w:firstLine="440"/>
        <w:spacing w:after="0" w:line="246" w:lineRule="auto"/>
        <w:rPr>
          <w:sz w:val="20"/>
          <w:szCs w:val="20"/>
          <w:color w:val="auto"/>
        </w:rPr>
      </w:pPr>
      <w:r>
        <w:rPr>
          <w:rFonts w:ascii="Arial" w:cs="Arial" w:eastAsia="Arial" w:hAnsi="Arial"/>
          <w:sz w:val="18"/>
          <w:szCs w:val="18"/>
          <w:color w:val="auto"/>
        </w:rPr>
        <w:t>At our request, the depositary will distribute to Holders any notice of shareholders’ meeting received from us together with information explaining how to instruct the depositary to exercise the voting rights of the securities represented by ADSs.</w:t>
      </w:r>
    </w:p>
    <w:p>
      <w:pPr>
        <w:spacing w:after="0" w:line="197"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 represented by the Holder’s ADSs as follows:</w:t>
      </w:r>
    </w:p>
    <w:p>
      <w:pPr>
        <w:spacing w:after="0" w:line="206" w:lineRule="exact"/>
        <w:rPr>
          <w:sz w:val="20"/>
          <w:szCs w:val="20"/>
          <w:color w:val="auto"/>
        </w:rPr>
      </w:pPr>
    </w:p>
    <w:p>
      <w:pPr>
        <w:ind w:left="980" w:right="140" w:hanging="432"/>
        <w:spacing w:after="0" w:line="230"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show of hands</w:t>
      </w:r>
      <w:r>
        <w:rPr>
          <w:rFonts w:ascii="Arial" w:cs="Arial" w:eastAsia="Arial" w:hAnsi="Arial"/>
          <w:sz w:val="18"/>
          <w:szCs w:val="18"/>
          <w:color w:val="auto"/>
        </w:rPr>
        <w:t>, the depositary will vote (or cause the custodian to vote) all ordinary held on deposit at</w:t>
      </w:r>
      <w:r>
        <w:rPr>
          <w:rFonts w:ascii="Arial" w:cs="Arial" w:eastAsia="Arial" w:hAnsi="Arial"/>
          <w:sz w:val="18"/>
          <w:szCs w:val="18"/>
          <w:i w:val="1"/>
          <w:iCs w:val="1"/>
          <w:color w:val="auto"/>
        </w:rPr>
        <w:t xml:space="preserve"> </w:t>
      </w:r>
      <w:r>
        <w:rPr>
          <w:rFonts w:ascii="Arial" w:cs="Arial" w:eastAsia="Arial" w:hAnsi="Arial"/>
          <w:sz w:val="18"/>
          <w:szCs w:val="18"/>
          <w:color w:val="auto"/>
        </w:rPr>
        <w:t>that time in accordance with the voting instructions received from a majority of Holders of ADSs who provide timely voting instructions.</w:t>
      </w:r>
    </w:p>
    <w:p>
      <w:pPr>
        <w:spacing w:after="0" w:line="8" w:lineRule="exact"/>
        <w:rPr>
          <w:rFonts w:ascii="MS PGothic" w:cs="MS PGothic" w:eastAsia="MS PGothic" w:hAnsi="MS PGothic"/>
          <w:sz w:val="25"/>
          <w:szCs w:val="25"/>
          <w:color w:val="auto"/>
          <w:vertAlign w:val="superscript"/>
        </w:rPr>
      </w:pPr>
    </w:p>
    <w:p>
      <w:pPr>
        <w:ind w:left="980" w:right="220" w:hanging="432"/>
        <w:spacing w:after="0" w:line="231" w:lineRule="auto"/>
        <w:tabs>
          <w:tab w:leader="none" w:pos="9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ordinary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received from the Holders of ADSs. The depositary will give a discretionary proxy to a person designated by us to vote any ordinary shares held on deposit for which voting instructions were not received from the Holders of ADSs, unless we inform the depositary that (a) we do not wish such proxy to be given, (b) substantial opposition exists, or (c) the rights of Holders of ADSs may be adversely affected.</w:t>
      </w:r>
    </w:p>
    <w:p>
      <w:pPr>
        <w:spacing w:after="0" w:line="20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Holders that they will receive voting materials in time to enable such Holders to return voting instructions to the depositary in a timely manner.</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auto"/>
        </w:rPr>
        <w:t>Fees and Charges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will be required to pay the following fees under the terms of the deposit agreement:</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c>
          <w:tcPr>
            <w:tcW w:w="120" w:type="dxa"/>
            <w:vAlign w:val="bottom"/>
          </w:tcPr>
          <w:p>
            <w:pPr>
              <w:spacing w:after="0"/>
              <w:rPr>
                <w:sz w:val="15"/>
                <w:szCs w:val="15"/>
                <w:color w:val="auto"/>
              </w:rPr>
            </w:pPr>
          </w:p>
        </w:tc>
        <w:tc>
          <w:tcPr>
            <w:tcW w:w="5180" w:type="dxa"/>
            <w:vAlign w:val="bottom"/>
          </w:tcPr>
          <w:p>
            <w:pPr>
              <w:ind w:left="2420"/>
              <w:spacing w:after="0"/>
              <w:rPr>
                <w:sz w:val="20"/>
                <w:szCs w:val="20"/>
                <w:color w:val="auto"/>
              </w:rPr>
            </w:pPr>
            <w:r>
              <w:rPr>
                <w:rFonts w:ascii="Arial" w:cs="Arial" w:eastAsia="Arial" w:hAnsi="Arial"/>
                <w:sz w:val="14"/>
                <w:szCs w:val="14"/>
                <w:b w:val="1"/>
                <w:bCs w:val="1"/>
                <w:color w:val="auto"/>
              </w:rPr>
              <w:t>Fees</w:t>
            </w:r>
          </w:p>
        </w:tc>
      </w:tr>
      <w:tr>
        <w:trPr>
          <w:trHeight w:val="20"/>
        </w:trPr>
        <w:tc>
          <w:tcPr>
            <w:tcW w:w="50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175"/>
        </w:trPr>
        <w:tc>
          <w:tcPr>
            <w:tcW w:w="5720" w:type="dxa"/>
            <w:vAlign w:val="bottom"/>
            <w:gridSpan w:val="2"/>
          </w:tcPr>
          <w:p>
            <w:pPr>
              <w:spacing w:after="0" w:line="176" w:lineRule="exact"/>
              <w:rPr>
                <w:sz w:val="20"/>
                <w:szCs w:val="20"/>
                <w:color w:val="auto"/>
              </w:rPr>
            </w:pPr>
            <w:r>
              <w:rPr>
                <w:rFonts w:ascii="Arial" w:cs="Arial" w:eastAsia="Arial" w:hAnsi="Arial"/>
                <w:sz w:val="18"/>
                <w:szCs w:val="18"/>
                <w:color w:val="auto"/>
              </w:rPr>
              <w:t>Issuance of ADSs (e.g., an issuance of ADS upon a deposit of</w:t>
            </w:r>
          </w:p>
        </w:tc>
        <w:tc>
          <w:tcPr>
            <w:tcW w:w="120" w:type="dxa"/>
            <w:vAlign w:val="bottom"/>
          </w:tcPr>
          <w:p>
            <w:pPr>
              <w:spacing w:after="0"/>
              <w:rPr>
                <w:sz w:val="15"/>
                <w:szCs w:val="15"/>
                <w:color w:val="auto"/>
              </w:rPr>
            </w:pPr>
          </w:p>
        </w:tc>
        <w:tc>
          <w:tcPr>
            <w:tcW w:w="5180" w:type="dxa"/>
            <w:vAlign w:val="bottom"/>
          </w:tcPr>
          <w:p>
            <w:pPr>
              <w:spacing w:after="0" w:line="176" w:lineRule="exact"/>
              <w:rPr>
                <w:sz w:val="20"/>
                <w:szCs w:val="20"/>
                <w:color w:val="auto"/>
              </w:rPr>
            </w:pPr>
            <w:r>
              <w:rPr>
                <w:rFonts w:ascii="Arial" w:cs="Arial" w:eastAsia="Arial" w:hAnsi="Arial"/>
                <w:sz w:val="18"/>
                <w:szCs w:val="18"/>
                <w:color w:val="auto"/>
              </w:rPr>
              <w:t>Up to U.S. 5¢ per ADS issued</w:t>
            </w: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ordinary shares, upon a change in the ADS(s)-to-ordinary share ratio,</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or for any other reason), excluding ADS issuances as a result of</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distributions of ordinary shares)</w:t>
            </w: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404"/>
        </w:trPr>
        <w:tc>
          <w:tcPr>
            <w:tcW w:w="5720" w:type="dxa"/>
            <w:vAlign w:val="bottom"/>
            <w:gridSpan w:val="2"/>
          </w:tcPr>
          <w:p>
            <w:pPr>
              <w:spacing w:after="0"/>
              <w:rPr>
                <w:sz w:val="20"/>
                <w:szCs w:val="20"/>
                <w:color w:val="auto"/>
              </w:rPr>
            </w:pPr>
            <w:r>
              <w:rPr>
                <w:rFonts w:ascii="Arial" w:cs="Arial" w:eastAsia="Arial" w:hAnsi="Arial"/>
                <w:sz w:val="18"/>
                <w:szCs w:val="18"/>
                <w:color w:val="auto"/>
              </w:rPr>
              <w:t>Cancellation of ADSs (e.g., a cancellation of ADSs for delivery of</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cancelled</w:t>
            </w: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deposited property, upon a change in the ADS(s)-to-ordinary share</w:t>
            </w:r>
          </w:p>
        </w:tc>
        <w:tc>
          <w:tcPr>
            <w:tcW w:w="12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ratio, or for any other reason)</w:t>
            </w: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404"/>
        </w:trPr>
        <w:tc>
          <w:tcPr>
            <w:tcW w:w="5720" w:type="dxa"/>
            <w:vAlign w:val="bottom"/>
            <w:gridSpan w:val="2"/>
          </w:tcPr>
          <w:p>
            <w:pPr>
              <w:spacing w:after="0"/>
              <w:rPr>
                <w:sz w:val="20"/>
                <w:szCs w:val="20"/>
                <w:color w:val="auto"/>
              </w:rPr>
            </w:pPr>
            <w:r>
              <w:rPr>
                <w:rFonts w:ascii="Arial" w:cs="Arial" w:eastAsia="Arial" w:hAnsi="Arial"/>
                <w:sz w:val="18"/>
                <w:szCs w:val="18"/>
                <w:color w:val="auto"/>
              </w:rPr>
              <w:t>Distribution of cash dividends or other cash distributions (e.g., upon a</w:t>
            </w: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Up to U.S. 5¢ per ADS held</w:t>
            </w:r>
          </w:p>
        </w:tc>
      </w:tr>
      <w:tr>
        <w:trPr>
          <w:trHeight w:val="217"/>
        </w:trPr>
        <w:tc>
          <w:tcPr>
            <w:tcW w:w="5720" w:type="dxa"/>
            <w:vAlign w:val="bottom"/>
            <w:gridSpan w:val="2"/>
          </w:tcPr>
          <w:p>
            <w:pPr>
              <w:spacing w:after="0"/>
              <w:rPr>
                <w:sz w:val="20"/>
                <w:szCs w:val="20"/>
                <w:color w:val="auto"/>
              </w:rPr>
            </w:pPr>
            <w:r>
              <w:rPr>
                <w:rFonts w:ascii="Arial" w:cs="Arial" w:eastAsia="Arial" w:hAnsi="Arial"/>
                <w:sz w:val="18"/>
                <w:szCs w:val="18"/>
                <w:color w:val="auto"/>
              </w:rPr>
              <w:t>sale of rights and other entitlements)</w:t>
            </w:r>
          </w:p>
        </w:tc>
        <w:tc>
          <w:tcPr>
            <w:tcW w:w="1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351"/>
        </w:trPr>
        <w:tc>
          <w:tcPr>
            <w:tcW w:w="5720" w:type="dxa"/>
            <w:vAlign w:val="bottom"/>
            <w:gridSpan w:val="2"/>
          </w:tcPr>
          <w:p>
            <w:pPr>
              <w:ind w:left="54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Service</w:t>
            </w:r>
          </w:p>
        </w:tc>
        <w:tc>
          <w:tcPr>
            <w:tcW w:w="140" w:type="dxa"/>
            <w:vAlign w:val="bottom"/>
          </w:tcPr>
          <w:p>
            <w:pPr>
              <w:spacing w:after="0"/>
              <w:rPr>
                <w:sz w:val="15"/>
                <w:szCs w:val="15"/>
                <w:color w:val="auto"/>
              </w:rPr>
            </w:pPr>
          </w:p>
        </w:tc>
        <w:tc>
          <w:tcPr>
            <w:tcW w:w="518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Fees</w:t>
            </w:r>
          </w:p>
        </w:tc>
      </w:tr>
      <w:tr>
        <w:trPr>
          <w:trHeight w:val="296"/>
        </w:trPr>
        <w:tc>
          <w:tcPr>
            <w:tcW w:w="5700" w:type="dxa"/>
            <w:vAlign w:val="bottom"/>
            <w:gridSpan w:val="2"/>
          </w:tcPr>
          <w:p>
            <w:pPr>
              <w:spacing w:after="0"/>
              <w:rPr>
                <w:sz w:val="20"/>
                <w:szCs w:val="20"/>
                <w:color w:val="auto"/>
              </w:rPr>
            </w:pPr>
            <w:r>
              <w:rPr>
                <w:rFonts w:ascii="Arial" w:cs="Arial" w:eastAsia="Arial" w:hAnsi="Arial"/>
                <w:sz w:val="18"/>
                <w:szCs w:val="18"/>
                <w:color w:val="auto"/>
              </w:rPr>
              <w:t>Distribution of ADSs pursuant to (i) stock dividends or other free stock</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w:t>
            </w:r>
          </w:p>
        </w:tc>
      </w:tr>
      <w:tr>
        <w:trPr>
          <w:trHeight w:val="217"/>
        </w:trPr>
        <w:tc>
          <w:tcPr>
            <w:tcW w:w="5700" w:type="dxa"/>
            <w:vAlign w:val="bottom"/>
            <w:gridSpan w:val="2"/>
          </w:tcPr>
          <w:p>
            <w:pPr>
              <w:spacing w:after="0"/>
              <w:rPr>
                <w:sz w:val="20"/>
                <w:szCs w:val="20"/>
                <w:color w:val="auto"/>
              </w:rPr>
            </w:pPr>
            <w:r>
              <w:rPr>
                <w:rFonts w:ascii="Arial" w:cs="Arial" w:eastAsia="Arial" w:hAnsi="Arial"/>
                <w:sz w:val="18"/>
                <w:szCs w:val="18"/>
                <w:color w:val="auto"/>
              </w:rPr>
              <w:t>distributions, or (ii) exercise of rights to purchase additional ADSs</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404"/>
        </w:trPr>
        <w:tc>
          <w:tcPr>
            <w:tcW w:w="5700" w:type="dxa"/>
            <w:vAlign w:val="bottom"/>
            <w:gridSpan w:val="2"/>
          </w:tcPr>
          <w:p>
            <w:pPr>
              <w:spacing w:after="0"/>
              <w:rPr>
                <w:sz w:val="20"/>
                <w:szCs w:val="20"/>
                <w:color w:val="auto"/>
              </w:rPr>
            </w:pPr>
            <w:r>
              <w:rPr>
                <w:rFonts w:ascii="Arial" w:cs="Arial" w:eastAsia="Arial" w:hAnsi="Arial"/>
                <w:sz w:val="18"/>
                <w:szCs w:val="18"/>
                <w:color w:val="auto"/>
              </w:rPr>
              <w:t>Distribution of securities other than ADSs or rights to purchase</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w:t>
            </w:r>
          </w:p>
        </w:tc>
      </w:tr>
      <w:tr>
        <w:trPr>
          <w:trHeight w:val="217"/>
        </w:trPr>
        <w:tc>
          <w:tcPr>
            <w:tcW w:w="5700" w:type="dxa"/>
            <w:vAlign w:val="bottom"/>
            <w:gridSpan w:val="2"/>
          </w:tcPr>
          <w:p>
            <w:pPr>
              <w:spacing w:after="0"/>
              <w:rPr>
                <w:sz w:val="20"/>
                <w:szCs w:val="20"/>
                <w:color w:val="auto"/>
              </w:rPr>
            </w:pPr>
            <w:r>
              <w:rPr>
                <w:rFonts w:ascii="Arial" w:cs="Arial" w:eastAsia="Arial" w:hAnsi="Arial"/>
                <w:sz w:val="18"/>
                <w:szCs w:val="18"/>
                <w:color w:val="auto"/>
              </w:rPr>
              <w:t>additional ADSs (e.g., upon a spin-off)</w:t>
            </w:r>
          </w:p>
        </w:tc>
        <w:tc>
          <w:tcPr>
            <w:tcW w:w="1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404"/>
        </w:trPr>
        <w:tc>
          <w:tcPr>
            <w:tcW w:w="5700" w:type="dxa"/>
            <w:vAlign w:val="bottom"/>
            <w:gridSpan w:val="2"/>
          </w:tcPr>
          <w:p>
            <w:pPr>
              <w:spacing w:after="0"/>
              <w:rPr>
                <w:sz w:val="20"/>
                <w:szCs w:val="20"/>
                <w:color w:val="auto"/>
              </w:rPr>
            </w:pPr>
            <w:r>
              <w:rPr>
                <w:rFonts w:ascii="Arial" w:cs="Arial" w:eastAsia="Arial" w:hAnsi="Arial"/>
                <w:sz w:val="18"/>
                <w:szCs w:val="18"/>
                <w:color w:val="auto"/>
              </w:rPr>
              <w:t>ADS Services</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held on the applicable record date(s)</w:t>
            </w:r>
          </w:p>
        </w:tc>
      </w:tr>
      <w:tr>
        <w:trPr>
          <w:trHeight w:val="217"/>
        </w:trPr>
        <w:tc>
          <w:tcPr>
            <w:tcW w:w="5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established by the depositary bank</w:t>
            </w:r>
          </w:p>
        </w:tc>
      </w:tr>
      <w:tr>
        <w:trPr>
          <w:trHeight w:val="404"/>
        </w:trPr>
        <w:tc>
          <w:tcPr>
            <w:tcW w:w="5700" w:type="dxa"/>
            <w:vAlign w:val="bottom"/>
            <w:gridSpan w:val="2"/>
          </w:tcPr>
          <w:p>
            <w:pPr>
              <w:spacing w:after="0"/>
              <w:rPr>
                <w:sz w:val="20"/>
                <w:szCs w:val="20"/>
                <w:color w:val="auto"/>
              </w:rPr>
            </w:pPr>
            <w:r>
              <w:rPr>
                <w:rFonts w:ascii="Arial" w:cs="Arial" w:eastAsia="Arial" w:hAnsi="Arial"/>
                <w:sz w:val="18"/>
                <w:szCs w:val="18"/>
                <w:color w:val="auto"/>
              </w:rPr>
              <w:t>Registration of ADS transfers (e.g., upon a registration of the transfer</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(or fraction thereof) transferred</w:t>
            </w:r>
          </w:p>
        </w:tc>
      </w:tr>
      <w:tr>
        <w:trPr>
          <w:trHeight w:val="184"/>
        </w:trPr>
        <w:tc>
          <w:tcPr>
            <w:tcW w:w="5700" w:type="dxa"/>
            <w:vAlign w:val="bottom"/>
            <w:gridSpan w:val="2"/>
          </w:tcPr>
          <w:p>
            <w:pPr>
              <w:spacing w:after="0" w:line="184" w:lineRule="exact"/>
              <w:rPr>
                <w:sz w:val="20"/>
                <w:szCs w:val="20"/>
                <w:color w:val="auto"/>
              </w:rPr>
            </w:pPr>
            <w:r>
              <w:rPr>
                <w:rFonts w:ascii="Arial" w:cs="Arial" w:eastAsia="Arial" w:hAnsi="Arial"/>
                <w:sz w:val="18"/>
                <w:szCs w:val="18"/>
                <w:color w:val="auto"/>
              </w:rPr>
              <w:t>of registered ownership of ADSs, upon a transfer of ADSs into DTC</w:t>
            </w:r>
          </w:p>
        </w:tc>
        <w:tc>
          <w:tcPr>
            <w:tcW w:w="140" w:type="dxa"/>
            <w:vAlign w:val="bottom"/>
          </w:tcPr>
          <w:p>
            <w:pPr>
              <w:spacing w:after="0"/>
              <w:rPr>
                <w:sz w:val="16"/>
                <w:szCs w:val="16"/>
                <w:color w:val="auto"/>
              </w:rPr>
            </w:pPr>
          </w:p>
        </w:tc>
        <w:tc>
          <w:tcPr>
            <w:tcW w:w="5180" w:type="dxa"/>
            <w:vAlign w:val="bottom"/>
          </w:tcPr>
          <w:p>
            <w:pPr>
              <w:spacing w:after="0"/>
              <w:rPr>
                <w:sz w:val="16"/>
                <w:szCs w:val="16"/>
                <w:color w:val="auto"/>
              </w:rPr>
            </w:pPr>
          </w:p>
        </w:tc>
      </w:tr>
      <w:tr>
        <w:trPr>
          <w:trHeight w:val="235"/>
        </w:trPr>
        <w:tc>
          <w:tcPr>
            <w:tcW w:w="5700" w:type="dxa"/>
            <w:vAlign w:val="bottom"/>
            <w:gridSpan w:val="2"/>
          </w:tcPr>
          <w:p>
            <w:pP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vice versa</w:t>
            </w:r>
            <w:r>
              <w:rPr>
                <w:rFonts w:ascii="Arial" w:cs="Arial" w:eastAsia="Arial" w:hAnsi="Arial"/>
                <w:sz w:val="18"/>
                <w:szCs w:val="18"/>
                <w:color w:val="auto"/>
              </w:rPr>
              <w:t>, or for any other reason)</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04"/>
        </w:trPr>
        <w:tc>
          <w:tcPr>
            <w:tcW w:w="5700" w:type="dxa"/>
            <w:vAlign w:val="bottom"/>
            <w:gridSpan w:val="2"/>
          </w:tcPr>
          <w:p>
            <w:pPr>
              <w:spacing w:after="0"/>
              <w:rPr>
                <w:sz w:val="20"/>
                <w:szCs w:val="20"/>
                <w:color w:val="auto"/>
              </w:rPr>
            </w:pPr>
            <w:r>
              <w:rPr>
                <w:rFonts w:ascii="Arial" w:cs="Arial" w:eastAsia="Arial" w:hAnsi="Arial"/>
                <w:sz w:val="18"/>
                <w:szCs w:val="18"/>
                <w:color w:val="auto"/>
              </w:rPr>
              <w:t>Conversion of ADSs of one series for ADSs of another series (e.g.,</w:t>
            </w:r>
          </w:p>
        </w:tc>
        <w:tc>
          <w:tcPr>
            <w:tcW w:w="5320" w:type="dxa"/>
            <w:vAlign w:val="bottom"/>
            <w:gridSpan w:val="2"/>
          </w:tcPr>
          <w:p>
            <w:pPr>
              <w:ind w:left="140"/>
              <w:spacing w:after="0"/>
              <w:rPr>
                <w:sz w:val="20"/>
                <w:szCs w:val="20"/>
                <w:color w:val="auto"/>
              </w:rPr>
            </w:pPr>
            <w:r>
              <w:rPr>
                <w:rFonts w:ascii="Arial" w:cs="Arial" w:eastAsia="Arial" w:hAnsi="Arial"/>
                <w:sz w:val="18"/>
                <w:szCs w:val="18"/>
                <w:color w:val="auto"/>
              </w:rPr>
              <w:t>Up to U.S. 5¢ per ADS (or fraction thereof) converted</w:t>
            </w:r>
          </w:p>
        </w:tc>
      </w:tr>
      <w:tr>
        <w:trPr>
          <w:trHeight w:val="203"/>
        </w:trPr>
        <w:tc>
          <w:tcPr>
            <w:tcW w:w="5700" w:type="dxa"/>
            <w:vAlign w:val="bottom"/>
            <w:gridSpan w:val="2"/>
          </w:tcPr>
          <w:p>
            <w:pPr>
              <w:spacing w:after="0" w:line="202" w:lineRule="exact"/>
              <w:rPr>
                <w:sz w:val="20"/>
                <w:szCs w:val="20"/>
                <w:color w:val="auto"/>
              </w:rPr>
            </w:pPr>
            <w:r>
              <w:rPr>
                <w:rFonts w:ascii="Arial" w:cs="Arial" w:eastAsia="Arial" w:hAnsi="Arial"/>
                <w:sz w:val="18"/>
                <w:szCs w:val="18"/>
                <w:color w:val="auto"/>
              </w:rPr>
              <w:t>upon conversion of Partial Entitlement ADSs for Full Entitlement</w:t>
            </w:r>
          </w:p>
        </w:tc>
        <w:tc>
          <w:tcPr>
            <w:tcW w:w="14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184"/>
        </w:trPr>
        <w:tc>
          <w:tcPr>
            <w:tcW w:w="5700" w:type="dxa"/>
            <w:vAlign w:val="bottom"/>
            <w:gridSpan w:val="2"/>
          </w:tcPr>
          <w:p>
            <w:pPr>
              <w:spacing w:after="0" w:line="184" w:lineRule="exact"/>
              <w:rPr>
                <w:sz w:val="20"/>
                <w:szCs w:val="20"/>
                <w:color w:val="auto"/>
              </w:rPr>
            </w:pPr>
            <w:r>
              <w:rPr>
                <w:rFonts w:ascii="Arial" w:cs="Arial" w:eastAsia="Arial" w:hAnsi="Arial"/>
                <w:sz w:val="18"/>
                <w:szCs w:val="18"/>
                <w:color w:val="auto"/>
              </w:rPr>
              <w:t>ADSs, or upon conversion of Restricted ADSs (each as defined in the</w:t>
            </w:r>
          </w:p>
        </w:tc>
        <w:tc>
          <w:tcPr>
            <w:tcW w:w="140" w:type="dxa"/>
            <w:vAlign w:val="bottom"/>
          </w:tcPr>
          <w:p>
            <w:pPr>
              <w:spacing w:after="0"/>
              <w:rPr>
                <w:sz w:val="16"/>
                <w:szCs w:val="16"/>
                <w:color w:val="auto"/>
              </w:rPr>
            </w:pPr>
          </w:p>
        </w:tc>
        <w:tc>
          <w:tcPr>
            <w:tcW w:w="5180" w:type="dxa"/>
            <w:vAlign w:val="bottom"/>
          </w:tcPr>
          <w:p>
            <w:pPr>
              <w:spacing w:after="0"/>
              <w:rPr>
                <w:sz w:val="16"/>
                <w:szCs w:val="16"/>
                <w:color w:val="auto"/>
              </w:rPr>
            </w:pPr>
          </w:p>
        </w:tc>
      </w:tr>
      <w:tr>
        <w:trPr>
          <w:trHeight w:val="235"/>
        </w:trPr>
        <w:tc>
          <w:tcPr>
            <w:tcW w:w="5700" w:type="dxa"/>
            <w:vAlign w:val="bottom"/>
            <w:gridSpan w:val="2"/>
          </w:tcPr>
          <w:p>
            <w:pPr>
              <w:spacing w:after="0"/>
              <w:rPr>
                <w:sz w:val="20"/>
                <w:szCs w:val="20"/>
                <w:color w:val="auto"/>
              </w:rPr>
            </w:pPr>
            <w:r>
              <w:rPr>
                <w:rFonts w:ascii="Arial" w:cs="Arial" w:eastAsia="Arial" w:hAnsi="Arial"/>
                <w:sz w:val="18"/>
                <w:szCs w:val="18"/>
                <w:color w:val="auto"/>
              </w:rPr>
              <w:t xml:space="preserve">Deposit Agreement) into freely transferable ADSs,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180" w:type="dxa"/>
            <w:vAlign w:val="bottom"/>
          </w:tcPr>
          <w:p>
            <w:pPr>
              <w:spacing w:after="0"/>
              <w:rPr>
                <w:sz w:val="20"/>
                <w:szCs w:val="20"/>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ADS Holders will also be responsible to pay certain charges such as:</w:t>
      </w:r>
    </w:p>
    <w:p>
      <w:pPr>
        <w:spacing w:after="0" w:line="202" w:lineRule="exact"/>
        <w:rPr>
          <w:sz w:val="20"/>
          <w:szCs w:val="20"/>
          <w:color w:val="auto"/>
        </w:rPr>
      </w:pPr>
    </w:p>
    <w:p>
      <w:pPr>
        <w:ind w:left="980" w:hanging="432"/>
        <w:spacing w:after="0"/>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taxes (including applicable interest and penalties) and other governmental charges;</w:t>
      </w:r>
    </w:p>
    <w:p>
      <w:pPr>
        <w:spacing w:after="0" w:line="26" w:lineRule="exact"/>
        <w:rPr>
          <w:rFonts w:ascii="MS PGothic" w:cs="MS PGothic" w:eastAsia="MS PGothic" w:hAnsi="MS PGothic"/>
          <w:sz w:val="25"/>
          <w:szCs w:val="25"/>
          <w:color w:val="auto"/>
          <w:vertAlign w:val="superscript"/>
        </w:rPr>
      </w:pPr>
    </w:p>
    <w:p>
      <w:pPr>
        <w:jc w:val="both"/>
        <w:ind w:left="980" w:right="580" w:hanging="432"/>
        <w:spacing w:after="0" w:line="223"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cable, telex, and facsimile transmission and delivery expenses;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expenses and charges incurred by the depositary in the conversion of foreign currency;</w:t>
      </w:r>
    </w:p>
    <w:p>
      <w:pPr>
        <w:spacing w:after="0" w:line="26" w:lineRule="exact"/>
        <w:rPr>
          <w:rFonts w:ascii="MS PGothic" w:cs="MS PGothic" w:eastAsia="MS PGothic" w:hAnsi="MS PGothic"/>
          <w:sz w:val="25"/>
          <w:szCs w:val="25"/>
          <w:color w:val="auto"/>
          <w:vertAlign w:val="superscript"/>
        </w:rPr>
      </w:pPr>
    </w:p>
    <w:p>
      <w:pPr>
        <w:ind w:left="980" w:right="260" w:hanging="432"/>
        <w:spacing w:after="0" w:line="218"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27" w:lineRule="exact"/>
        <w:rPr>
          <w:rFonts w:ascii="MS PGothic" w:cs="MS PGothic" w:eastAsia="MS PGothic" w:hAnsi="MS PGothic"/>
          <w:sz w:val="25"/>
          <w:szCs w:val="25"/>
          <w:color w:val="auto"/>
          <w:vertAlign w:val="superscript"/>
        </w:rPr>
      </w:pPr>
    </w:p>
    <w:p>
      <w:pPr>
        <w:ind w:left="980" w:right="260" w:hanging="432"/>
        <w:spacing w:after="0" w:line="218" w:lineRule="auto"/>
        <w:tabs>
          <w:tab w:leader="none" w:pos="9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20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08"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Holders may be required to pay may vary over time and may be changed by us and by the depositary. ADS Holders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w:t>
      </w:r>
    </w:p>
    <w:p>
      <w:pPr>
        <w:spacing w:after="0" w:line="126" w:lineRule="exact"/>
        <w:rPr>
          <w:sz w:val="20"/>
          <w:szCs w:val="20"/>
          <w:color w:val="auto"/>
        </w:rPr>
      </w:pPr>
    </w:p>
    <w:p>
      <w:pPr>
        <w:ind w:left="120" w:right="200" w:firstLine="440"/>
        <w:spacing w:after="0" w:line="237" w:lineRule="auto"/>
        <w:rPr>
          <w:sz w:val="20"/>
          <w:szCs w:val="20"/>
          <w:color w:val="auto"/>
        </w:rPr>
      </w:pPr>
      <w:r>
        <w:rPr>
          <w:rFonts w:ascii="Arial" w:cs="Arial" w:eastAsia="Arial" w:hAnsi="Arial"/>
          <w:sz w:val="18"/>
          <w:szCs w:val="18"/>
          <w:color w:val="auto"/>
        </w:rPr>
        <w:t>We may agree with the depositary to modify the deposit agreement at any time without Holders’ consent. We undertake to give Holders 30 days’ prior notice of any modifications that would materially prejudice any of their substantial rights under the deposit agreement. We will not consider to be materially prejudicial to holders’ substantial rights any modifications or supplements that are reasonably necessary for the ADSs to be registered under the Securities Act or to be eligible for book-entry settlement, in each case without imposing or increasing the fees and charges Holders are required to pay. In addition, we may not be able to provide holders with prior notice of any modifications or supplements that are required to accommodate compliance with applicable provisions of law.</w:t>
      </w:r>
    </w:p>
    <w:p>
      <w:pPr>
        <w:spacing w:after="0" w:line="205"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Holders will be bound by the modifications to the deposit agreement if they continue to hold their ADSs after the modifications to the deposit agreement become effective. The deposit agreement cannot be amended to prevent Holders from withdrawing the ordinary shares represented by holders’ ADSs (except as permitted by law).</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26" w:lineRule="exact"/>
        <w:rPr>
          <w:sz w:val="20"/>
          <w:szCs w:val="20"/>
          <w:color w:val="auto"/>
        </w:rPr>
      </w:pPr>
    </w:p>
    <w:p>
      <w:pPr>
        <w:jc w:val="both"/>
        <w:ind w:left="120" w:right="60" w:firstLine="440"/>
        <w:spacing w:after="0"/>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Holders’ rights under the deposit agreement will be unaffected.</w:t>
      </w:r>
    </w:p>
    <w:p>
      <w:pPr>
        <w:spacing w:after="0" w:line="203"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holders request the cancellation of their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connection with the termination of the deposit agreement, the depositary may, independently and without the need for any action by us, make available to holders of ADSs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126"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The depositary will maintain ADS holder records at its depositary office. Holders may inspect such records at such office during regular business hours but solely for the purpose of communicating with other holders in the interest of business matters relating to the ADSs and the deposit agreement.</w:t>
      </w:r>
    </w:p>
    <w:p>
      <w:pPr>
        <w:spacing w:after="0" w:line="203" w:lineRule="exact"/>
        <w:rPr>
          <w:sz w:val="20"/>
          <w:szCs w:val="20"/>
          <w:color w:val="auto"/>
        </w:rPr>
      </w:pPr>
    </w:p>
    <w:p>
      <w:pPr>
        <w:ind w:left="120" w:right="600" w:firstLine="440"/>
        <w:spacing w:after="0" w:line="246"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 agreement limits our obligations and the depositary’s obligations to Holders. Please note the following:</w:t>
      </w:r>
    </w:p>
    <w:p>
      <w:pPr>
        <w:spacing w:after="0" w:line="239" w:lineRule="exact"/>
        <w:rPr>
          <w:sz w:val="20"/>
          <w:szCs w:val="20"/>
          <w:color w:val="auto"/>
        </w:rPr>
      </w:pPr>
    </w:p>
    <w:p>
      <w:pPr>
        <w:ind w:left="980" w:right="120" w:hanging="432"/>
        <w:spacing w:after="0" w:line="218"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27"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27" w:lineRule="exact"/>
        <w:rPr>
          <w:rFonts w:ascii="MS PGothic" w:cs="MS PGothic" w:eastAsia="MS PGothic" w:hAnsi="MS PGothic"/>
          <w:sz w:val="25"/>
          <w:szCs w:val="25"/>
          <w:color w:val="auto"/>
          <w:vertAlign w:val="superscript"/>
        </w:rPr>
      </w:pPr>
    </w:p>
    <w:p>
      <w:pPr>
        <w:ind w:left="980" w:right="40" w:hanging="432"/>
        <w:spacing w:after="0" w:line="227"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holders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4"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26" w:lineRule="exact"/>
        <w:rPr>
          <w:rFonts w:ascii="MS PGothic" w:cs="MS PGothic" w:eastAsia="MS PGothic" w:hAnsi="MS PGothic"/>
          <w:sz w:val="25"/>
          <w:szCs w:val="25"/>
          <w:color w:val="auto"/>
          <w:vertAlign w:val="superscript"/>
        </w:rPr>
      </w:pPr>
    </w:p>
    <w:p>
      <w:pPr>
        <w:ind w:left="980" w:right="220" w:hanging="432"/>
        <w:spacing w:after="0" w:line="227"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p>
      <w:pPr>
        <w:spacing w:after="0" w:line="30"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or in any provisions of or governing the securities on deposit.</w:t>
      </w:r>
    </w:p>
    <w:p>
      <w:pPr>
        <w:spacing w:after="0" w:line="27" w:lineRule="exact"/>
        <w:rPr>
          <w:rFonts w:ascii="MS PGothic" w:cs="MS PGothic" w:eastAsia="MS PGothic" w:hAnsi="MS PGothic"/>
          <w:sz w:val="25"/>
          <w:szCs w:val="25"/>
          <w:color w:val="auto"/>
          <w:vertAlign w:val="superscript"/>
        </w:rPr>
      </w:pPr>
    </w:p>
    <w:p>
      <w:pPr>
        <w:ind w:left="980" w:right="180" w:hanging="432"/>
        <w:spacing w:after="0" w:line="223" w:lineRule="auto"/>
        <w:tabs>
          <w:tab w:leader="none" w:pos="9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hanging="432"/>
        <w:spacing w:after="0" w:line="223"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holders.</w:t>
      </w:r>
    </w:p>
    <w:p>
      <w:pPr>
        <w:spacing w:after="0" w:line="28" w:lineRule="exact"/>
        <w:rPr>
          <w:rFonts w:ascii="MS PGothic" w:cs="MS PGothic" w:eastAsia="MS PGothic" w:hAnsi="MS PGothic"/>
          <w:sz w:val="25"/>
          <w:szCs w:val="25"/>
          <w:color w:val="auto"/>
          <w:vertAlign w:val="superscript"/>
        </w:rPr>
      </w:pPr>
    </w:p>
    <w:p>
      <w:pPr>
        <w:ind w:left="980" w:right="120" w:hanging="432"/>
        <w:spacing w:after="0" w:line="218"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27" w:lineRule="exact"/>
        <w:rPr>
          <w:rFonts w:ascii="MS PGothic" w:cs="MS PGothic" w:eastAsia="MS PGothic" w:hAnsi="MS PGothic"/>
          <w:sz w:val="25"/>
          <w:szCs w:val="25"/>
          <w:color w:val="auto"/>
          <w:vertAlign w:val="superscript"/>
        </w:rPr>
      </w:pPr>
    </w:p>
    <w:p>
      <w:pPr>
        <w:ind w:left="980" w:right="560" w:hanging="432"/>
        <w:spacing w:after="0" w:line="218"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disclaimer of any Securities Act liability is intended by any provision of the deposit agreement.</w:t>
      </w:r>
    </w:p>
    <w:p>
      <w:pPr>
        <w:spacing w:after="0" w:line="26"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gives rise to a partnership or joint venture, or establishes a fiduciary relationship, among Mereo, the depositary and ADS holders.</w:t>
      </w:r>
    </w:p>
    <w:p>
      <w:pPr>
        <w:spacing w:after="0" w:line="27" w:lineRule="exact"/>
        <w:rPr>
          <w:rFonts w:ascii="MS PGothic" w:cs="MS PGothic" w:eastAsia="MS PGothic" w:hAnsi="MS PGothic"/>
          <w:sz w:val="25"/>
          <w:szCs w:val="25"/>
          <w:color w:val="auto"/>
          <w:vertAlign w:val="superscript"/>
        </w:rPr>
      </w:pPr>
    </w:p>
    <w:p>
      <w:pPr>
        <w:ind w:left="980" w:right="120" w:hanging="432"/>
        <w:spacing w:after="0" w:line="226" w:lineRule="auto"/>
        <w:tabs>
          <w:tab w:leader="none" w:pos="9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precludes Citibank (or its affiliates) from engaging in transactions in which parties adverse to Mereo or the ADS owners have interests, and nothing in the deposit agreement obligates Citibank to disclose those transactions, or any information obtained in the course of those transactions, to Mereo or to the ADS owners, or to account for any payment received as part of those transactions.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Holders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Holders will be liable for any deficiency if the sale proceeds do not cover the taxes that are due.</w:t>
      </w:r>
    </w:p>
    <w:p>
      <w:pPr>
        <w:spacing w:after="0" w:line="205"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holders may be required to provide to the depositary and to the custodian proof of taxpayer status and residence and such other information as the depositary and the custodian may require to fulfill legal obligations. Holders are required to indemnify us, the depositary and the custodian for any claims with respect to taxes based on any tax benefit obtained for such holders.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126"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 deposit agreement. Holders may have to pay fees and expenses incurred in converting foreign currency, such as fees and expenses incurred in complying with currency exchange controls and other governmental requirements.</w:t>
      </w:r>
    </w:p>
    <w:p>
      <w:pPr>
        <w:spacing w:after="0" w:line="205" w:lineRule="exact"/>
        <w:rPr>
          <w:sz w:val="20"/>
          <w:szCs w:val="20"/>
          <w:color w:val="auto"/>
        </w:rPr>
      </w:pPr>
    </w:p>
    <w:p>
      <w:pPr>
        <w:ind w:left="120" w:right="880" w:firstLine="440"/>
        <w:spacing w:after="0" w:line="246"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224" w:lineRule="exact"/>
        <w:rPr>
          <w:sz w:val="20"/>
          <w:szCs w:val="20"/>
          <w:color w:val="auto"/>
        </w:rPr>
      </w:pPr>
    </w:p>
    <w:p>
      <w:pPr>
        <w:ind w:left="980" w:right="620" w:hanging="432"/>
        <w:spacing w:after="0" w:line="218" w:lineRule="auto"/>
        <w:tabs>
          <w:tab w:leader="none" w:pos="98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Distribute the foreign currency to holders for whom the distribution is lawful and practical.</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 the foreign currency (without liability for interest) for the applicable holders.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126"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9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7"/>
          <w:szCs w:val="17"/>
          <w:color w:val="auto"/>
        </w:rPr>
        <w:t>AS A PARTY TO THE DEPOSIT AGREEMENT, YOU IRREVOCABLY WAIVE, TO THE FULLEST EXTENT PERMITTED BY APPLICABLE LAW, ANY AND ALL RIGHT TO TRIAL BY JURY IN ANY LEGAL PROCEEDING AGAINST US AND/OR THE DEPOSITARY ARISING OUT OF, OR RELATING TO, THE DEPOSIT AGREEMENT, ANY ADR AND ANY TRANSACTIONS CONTEMPLATED IN THE DEPOSIT AGREEMENT (WHETHER BASED ON CONTRACT, TORT, COMMON LAW OR OTHERWISE).</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320" w:top="459" w:right="5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ADSs in one or more of the following ways (or in any combination) from time to time:</w:t>
      </w:r>
    </w:p>
    <w:p>
      <w:pPr>
        <w:spacing w:after="0" w:line="202" w:lineRule="exact"/>
        <w:rPr>
          <w:sz w:val="20"/>
          <w:szCs w:val="20"/>
          <w:color w:val="auto"/>
        </w:rPr>
      </w:pPr>
    </w:p>
    <w:p>
      <w:pPr>
        <w:ind w:left="980" w:hanging="432"/>
        <w:spacing w:after="0"/>
        <w:tabs>
          <w:tab w:leader="none" w:pos="9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underwriters or dealers;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directly to a limited number of purchasers or to a single purchaser;</w:t>
      </w:r>
    </w:p>
    <w:p>
      <w:pPr>
        <w:spacing w:after="0" w:line="26" w:lineRule="exact"/>
        <w:rPr>
          <w:rFonts w:ascii="MS PGothic" w:cs="MS PGothic" w:eastAsia="MS PGothic" w:hAnsi="MS PGothic"/>
          <w:sz w:val="25"/>
          <w:szCs w:val="25"/>
          <w:color w:val="auto"/>
          <w:vertAlign w:val="superscript"/>
        </w:rPr>
      </w:pPr>
    </w:p>
    <w:p>
      <w:pPr>
        <w:ind w:left="980" w:right="140" w:hanging="432"/>
        <w:spacing w:after="0" w:line="218" w:lineRule="auto"/>
        <w:tabs>
          <w:tab w:leader="none" w:pos="9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“at-the-market” offerings, within the meaning of Rule 415(a)(4) of the Securities Act, to or through a market maker or into an existing trading market on an exchange or otherwise;</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agents;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any other method permitted by applicable law and described in the applicable prospectus supplement.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prospectus supplement will state the terms of the offering of the ADSs, including:</w:t>
      </w:r>
    </w:p>
    <w:p>
      <w:pPr>
        <w:spacing w:after="0" w:line="202" w:lineRule="exact"/>
        <w:rPr>
          <w:sz w:val="20"/>
          <w:szCs w:val="20"/>
          <w:color w:val="auto"/>
        </w:rPr>
      </w:pPr>
    </w:p>
    <w:p>
      <w:pPr>
        <w:ind w:left="980" w:hanging="432"/>
        <w:spacing w:after="0"/>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or names of any underwriters, dealers or agents;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purchase price of such securities and the proceeds to be received by us, if any;</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underwriting discounts or agency fees and other items constituting underwriters’ or agents’ compensation;</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initial public offering price;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discounts or concessions allowed or reallowed or paid to dealers;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securities exchanges on which the securities may be listed.</w:t>
      </w:r>
    </w:p>
    <w:p>
      <w:pPr>
        <w:spacing w:after="0" w:line="202"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Any initial public offering price and any discounts or concessions allowed or reallowed or paid to dealers may be changed from time to time.</w:t>
      </w:r>
    </w:p>
    <w:p>
      <w:pPr>
        <w:spacing w:after="0" w:line="197"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If underwriters are used in the sale, the ADSs will be acquired by the underwriters for their own account and may be resold from time to time in one or more transactions, including:</w:t>
      </w:r>
    </w:p>
    <w:p>
      <w:pPr>
        <w:spacing w:after="0" w:line="188" w:lineRule="exact"/>
        <w:rPr>
          <w:sz w:val="20"/>
          <w:szCs w:val="20"/>
          <w:color w:val="auto"/>
        </w:rPr>
      </w:pPr>
    </w:p>
    <w:p>
      <w:pPr>
        <w:ind w:left="980" w:hanging="432"/>
        <w:spacing w:after="0"/>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negotiated transactions;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a fixed public offering price or prices, which may be changed;</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market prices prevailing at the time of sale;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prices related to prevailing market prices;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negotiated prices.</w:t>
      </w:r>
    </w:p>
    <w:p>
      <w:pPr>
        <w:spacing w:after="0" w:line="202"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Unless otherwise stated in a prospectus supplement, the obligations of the underwriters to purchase any ADSs will be conditioned on customary closing conditions and the underwriters will be obligated to purchase all of such ADSs, if any are purchased.</w:t>
      </w:r>
    </w:p>
    <w:p>
      <w:pPr>
        <w:spacing w:after="0" w:line="197"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The ADSs may be sold through agents from time to time. The prospectus supplement will name any agent involved in the offer or sale of the ADSs and any commissions paid to them. Generally, any agent will be acting on a best efforts basis for the period of its appointment.</w:t>
      </w:r>
    </w:p>
    <w:p>
      <w:pPr>
        <w:spacing w:after="0" w:line="203"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ADSs may be sold on a daily basis on any stock exchange, market or trading facility on which the ADSs are traded, in privately negotiated transactions or otherwise as agreed with the underwriters or agents. The distribution agreement will provide that any ADSs sold will be sold at negotiated prices or at prices related to the then prevailing market prices for our ADSs. Therefore, exact figures regarding</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ADSs. The terms of each such distribution agreement will be described in a prospectus supplement.</w:t>
      </w:r>
    </w:p>
    <w:p>
      <w:pPr>
        <w:spacing w:after="0" w:line="205"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ADSs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205"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203" w:lineRule="exact"/>
        <w:rPr>
          <w:sz w:val="20"/>
          <w:szCs w:val="20"/>
          <w:color w:val="auto"/>
        </w:rPr>
      </w:pPr>
    </w:p>
    <w:p>
      <w:pPr>
        <w:jc w:val="both"/>
        <w:ind w:left="120" w:right="520" w:firstLine="440"/>
        <w:spacing w:after="0"/>
        <w:rPr>
          <w:sz w:val="20"/>
          <w:szCs w:val="20"/>
          <w:color w:val="auto"/>
        </w:rPr>
      </w:pPr>
      <w:r>
        <w:rPr>
          <w:rFonts w:ascii="Arial" w:cs="Arial" w:eastAsia="Arial" w:hAnsi="Arial"/>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203"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Underwriters and agents may be customers of, engage in transactions with, or perform services for us and our affiliates in the ordinary course of business.</w:t>
      </w:r>
    </w:p>
    <w:p>
      <w:pPr>
        <w:spacing w:after="0" w:line="197"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Any underwriters to whom ADSs are sold for public offering and sale may make a market in the securities, but such underwriters will not be obligated to do so and may discontinue any market making at any time without notice.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0"/>
          </w:cols>
          <w:pgMar w:left="320" w:top="459" w:right="5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Mayer Brown LLP has passed upon certain legal matters regarding the securities offered hereby. The validity of the ordinary shares underlying the ADSs to be offered pursuant to this prospectus will be passed upon for us by Mayer Brown International LLP.</w:t>
      </w: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The consolidated financial statements of Mereo BioPharma Group plc appearing in Mereo BioPharma Group plc’s Annual Report (Form 20-F) for the year ended December 31, 2019,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9" w:lineRule="exact"/>
        <w:rPr>
          <w:sz w:val="20"/>
          <w:szCs w:val="20"/>
          <w:color w:val="auto"/>
        </w:rPr>
      </w:pPr>
    </w:p>
    <w:p>
      <w:pPr>
        <w:jc w:val="center"/>
        <w:ind w:right="220"/>
        <w:spacing w:after="0" w:line="418" w:lineRule="auto"/>
        <w:rPr>
          <w:sz w:val="20"/>
          <w:szCs w:val="20"/>
          <w:color w:val="auto"/>
        </w:rPr>
      </w:pPr>
      <w:r>
        <w:rPr>
          <w:rFonts w:ascii="Arial" w:cs="Arial" w:eastAsia="Arial" w:hAnsi="Arial"/>
          <w:sz w:val="18"/>
          <w:szCs w:val="18"/>
          <w:color w:val="auto"/>
        </w:rPr>
        <w:t>The registered business address of Ernst &amp; Young LLP is Apex Plaza, Forbury Road, Reading, RG1 1YE, United Kingdom. 54</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4"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are incorporated and currently existing under the laws of England and Wales. In addition, most of our directors and officers reside outside of the United States and most of our assets are located outside of the United States. As a result, it may be difficult for investors to effect service of process in the United States on us or those persons or to enforce in the United States judgments obtained in United States courts against us or those persons based on the civil liability or other provisions of the United States securities laws or other laws.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39" w:lineRule="exact"/>
        <w:rPr>
          <w:sz w:val="20"/>
          <w:szCs w:val="20"/>
          <w:color w:val="auto"/>
        </w:rPr>
      </w:pPr>
    </w:p>
    <w:p>
      <w:pPr>
        <w:ind w:left="980" w:right="60" w:hanging="432"/>
        <w:spacing w:after="0" w:line="218" w:lineRule="auto"/>
        <w:tabs>
          <w:tab w:leader="none" w:pos="9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27"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 final judgment for the payment of money rendered by any general or state court in the United States based on civil liability, whether or not predicated solely upon the United States securities laws, will not be automatically enforceable in England and Wales. Any final and conclusive monetary judgment for a definite sum obtained against us in United States courts will be treated by the courts of England and Wales as a cause of action in itself and sued upon as a debt at common law so that no retrial of the issues will be necessary, provided that:</w:t>
      </w:r>
    </w:p>
    <w:p>
      <w:pPr>
        <w:spacing w:after="0" w:line="230" w:lineRule="exact"/>
        <w:rPr>
          <w:sz w:val="20"/>
          <w:szCs w:val="20"/>
          <w:color w:val="auto"/>
        </w:rPr>
      </w:pPr>
    </w:p>
    <w:p>
      <w:pPr>
        <w:ind w:left="980" w:right="60" w:hanging="432"/>
        <w:spacing w:after="0" w:line="223"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initiated—in order to establish that, it would be necessary that we either submitted to the U.S. jurisdiction or were resident/present or carrying on business within the U.S. jurisdiction and were duly served with process;</w:t>
      </w:r>
    </w:p>
    <w:p>
      <w:pPr>
        <w:spacing w:after="0" w:line="28"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final and conclusive in the sense of being final and unalterable in the court that pronounced it and being for a definite sum of money and it is currently enforceable in the United States;</w:t>
      </w:r>
    </w:p>
    <w:p>
      <w:pPr>
        <w:spacing w:after="0" w:line="27" w:lineRule="exact"/>
        <w:rPr>
          <w:rFonts w:ascii="MS PGothic" w:cs="MS PGothic" w:eastAsia="MS PGothic" w:hAnsi="MS PGothic"/>
          <w:sz w:val="25"/>
          <w:szCs w:val="25"/>
          <w:color w:val="auto"/>
          <w:vertAlign w:val="superscript"/>
        </w:rPr>
      </w:pPr>
    </w:p>
    <w:p>
      <w:pPr>
        <w:ind w:left="980" w:right="680" w:hanging="432"/>
        <w:spacing w:after="0" w:line="218"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procured by fraud;</w:t>
      </w:r>
    </w:p>
    <w:p>
      <w:pPr>
        <w:spacing w:after="0" w:line="26" w:lineRule="exact"/>
        <w:rPr>
          <w:rFonts w:ascii="MS PGothic" w:cs="MS PGothic" w:eastAsia="MS PGothic" w:hAnsi="MS PGothic"/>
          <w:sz w:val="25"/>
          <w:szCs w:val="25"/>
          <w:color w:val="auto"/>
          <w:vertAlign w:val="superscript"/>
        </w:rPr>
      </w:pPr>
    </w:p>
    <w:p>
      <w:pPr>
        <w:ind w:left="980" w:right="460" w:hanging="432"/>
        <w:spacing w:after="0" w:line="218"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obtained following a breach of a jurisdictional or arbitration clause, unless with the agreement of the defendant or the defendant’s subsequent submission to the jurisdiction of the court;</w:t>
      </w:r>
    </w:p>
    <w:p>
      <w:pPr>
        <w:spacing w:after="0" w:line="27" w:lineRule="exact"/>
        <w:rPr>
          <w:rFonts w:ascii="MS PGothic" w:cs="MS PGothic" w:eastAsia="MS PGothic" w:hAnsi="MS PGothic"/>
          <w:sz w:val="25"/>
          <w:szCs w:val="25"/>
          <w:color w:val="auto"/>
          <w:vertAlign w:val="superscript"/>
        </w:rPr>
      </w:pPr>
    </w:p>
    <w:p>
      <w:pPr>
        <w:ind w:left="980" w:right="220" w:hanging="432"/>
        <w:spacing w:after="0" w:line="218"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26" w:lineRule="exact"/>
        <w:rPr>
          <w:rFonts w:ascii="MS PGothic" w:cs="MS PGothic" w:eastAsia="MS PGothic" w:hAnsi="MS PGothic"/>
          <w:sz w:val="25"/>
          <w:szCs w:val="25"/>
          <w:color w:val="auto"/>
          <w:vertAlign w:val="superscript"/>
        </w:rPr>
      </w:pPr>
    </w:p>
    <w:p>
      <w:pPr>
        <w:ind w:left="980" w:right="80" w:hanging="432"/>
        <w:spacing w:after="0" w:line="226" w:lineRule="auto"/>
        <w:tabs>
          <w:tab w:leader="none" w:pos="9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 or is otherwise unlawful under English law; and</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40" w:hanging="432"/>
        <w:spacing w:after="0" w:line="218" w:lineRule="auto"/>
        <w:tabs>
          <w:tab w:leader="none" w:pos="98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not a prior conflicting decision of an English court or the court of another jurisdiction whose judgment the English court recognizes on the issues in question between the same parties.</w:t>
      </w:r>
    </w:p>
    <w:p>
      <w:pPr>
        <w:spacing w:after="0" w:line="203"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Whether these requirements are met in respect of a judgment based upon the civil liability provisions of the United States securities laws, including whether the award of monetary damages under such laws would constitute a penalty, is an issue for the English court making such decision.</w:t>
      </w:r>
    </w:p>
    <w:p>
      <w:pPr>
        <w:spacing w:after="0" w:line="20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20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proxy and information statements, and other information about issuers, like us, that file electronically with the SEC. The address of that website is www.sec.gov.</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We maintain a corporate website at https://www.mereobiopharma.com. Information contained on, or that can be accessed through, our website does not constitute a part of this prospectus and our website address is included in this prospectus as an inactive textual reference only.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BY REFERENCE</w:t>
      </w:r>
    </w:p>
    <w:p>
      <w:pPr>
        <w:spacing w:after="0" w:line="234"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you to other documents which we have filed or will file with the SEC. We are incorporating by reference in this prospectus the documents listed below and all amendments or supplements we may file to such documents, as well as any future filings we may make with the SEC on Form 20-F under the Exchange Act before the time that all of the securities offered by this prospectus have been sold or de-registered:</w:t>
      </w:r>
    </w:p>
    <w:p>
      <w:pPr>
        <w:spacing w:after="0" w:line="193" w:lineRule="exact"/>
        <w:rPr>
          <w:sz w:val="20"/>
          <w:szCs w:val="20"/>
          <w:color w:val="auto"/>
        </w:rPr>
      </w:pPr>
    </w:p>
    <w:p>
      <w:pPr>
        <w:ind w:left="980" w:hanging="432"/>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98">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June 15, 2020;</w:t>
      </w:r>
    </w:p>
    <w:p>
      <w:pPr>
        <w:spacing w:after="0" w:line="26" w:lineRule="exact"/>
        <w:rPr>
          <w:rFonts w:ascii="Arial" w:cs="Arial" w:eastAsia="Arial" w:hAnsi="Arial"/>
          <w:sz w:val="18"/>
          <w:szCs w:val="18"/>
          <w:color w:val="auto"/>
        </w:rPr>
      </w:pPr>
    </w:p>
    <w:p>
      <w:pPr>
        <w:ind w:left="980" w:right="120" w:hanging="432"/>
        <w:spacing w:after="0" w:line="218"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Our reports on Form 6-K furnished to the SEC on </w:t>
      </w:r>
      <w:hyperlink r:id="rId99">
        <w:r>
          <w:rPr>
            <w:rFonts w:ascii="Arial" w:cs="Arial" w:eastAsia="Arial" w:hAnsi="Arial"/>
            <w:sz w:val="18"/>
            <w:szCs w:val="18"/>
            <w:u w:val="single" w:color="auto"/>
            <w:color w:val="0000EE"/>
          </w:rPr>
          <w:t>September 29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 2020 and </w:t>
      </w:r>
      <w:hyperlink r:id="rId100">
        <w:r>
          <w:rPr>
            <w:rFonts w:ascii="Arial" w:cs="Arial" w:eastAsia="Arial" w:hAnsi="Arial"/>
            <w:sz w:val="18"/>
            <w:szCs w:val="18"/>
            <w:u w:val="single" w:color="auto"/>
            <w:color w:val="0000EE"/>
          </w:rPr>
          <w:t>October 1</w:t>
        </w:r>
      </w:hyperlink>
      <w:r>
        <w:rPr>
          <w:rFonts w:ascii="Arial" w:cs="Arial" w:eastAsia="Arial" w:hAnsi="Arial"/>
          <w:sz w:val="18"/>
          <w:szCs w:val="18"/>
          <w:color w:val="auto"/>
        </w:rPr>
        <w:t>, 2020 that we incorporate by reference into this prospectus; and</w:t>
      </w:r>
    </w:p>
    <w:p>
      <w:pPr>
        <w:spacing w:after="0" w:line="27" w:lineRule="exact"/>
        <w:rPr>
          <w:rFonts w:ascii="Arial" w:cs="Arial" w:eastAsia="Arial" w:hAnsi="Arial"/>
          <w:sz w:val="18"/>
          <w:szCs w:val="18"/>
          <w:color w:val="auto"/>
        </w:rPr>
      </w:pPr>
    </w:p>
    <w:p>
      <w:pPr>
        <w:ind w:left="980" w:hanging="432"/>
        <w:spacing w:after="0" w:line="226"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contained in Item 1 of the Registration Statement on </w:t>
      </w:r>
      <w:hyperlink r:id="rId101">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File No. 001-38452, originally filed with the SEC on April 9, 2018 and subsequently amended on April 15, 2019, as updated by </w:t>
      </w:r>
      <w:hyperlink r:id="rId102">
        <w:r>
          <w:rPr>
            <w:rFonts w:ascii="Arial" w:cs="Arial" w:eastAsia="Arial" w:hAnsi="Arial"/>
            <w:sz w:val="18"/>
            <w:szCs w:val="18"/>
            <w:u w:val="single" w:color="auto"/>
            <w:color w:val="0000EE"/>
          </w:rPr>
          <w:t>Exhibit 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2019 Form 20-F, including the “Description of Ordinary Shares” and the “Description of American Depositary Shares” contained therein and any amendment or report filed for the purpose of further updating such descriptions.</w:t>
      </w:r>
    </w:p>
    <w:p>
      <w:pPr>
        <w:spacing w:after="0" w:line="203" w:lineRule="exact"/>
        <w:rPr>
          <w:rFonts w:ascii="MS PGothic" w:cs="MS PGothic" w:eastAsia="MS PGothic" w:hAnsi="MS PGothic"/>
          <w:sz w:val="25"/>
          <w:szCs w:val="25"/>
          <w:color w:val="auto"/>
          <w:vertAlign w:val="superscript"/>
        </w:rPr>
      </w:pPr>
    </w:p>
    <w:p>
      <w:pPr>
        <w:ind w:left="120" w:firstLine="440"/>
        <w:spacing w:after="0" w:line="237" w:lineRule="auto"/>
        <w:rPr>
          <w:sz w:val="20"/>
          <w:szCs w:val="20"/>
          <w:color w:val="auto"/>
        </w:rPr>
      </w:pPr>
      <w:r>
        <w:rPr>
          <w:rFonts w:ascii="Arial" w:cs="Arial" w:eastAsia="Arial" w:hAnsi="Arial"/>
          <w:sz w:val="18"/>
          <w:szCs w:val="18"/>
          <w:color w:val="auto"/>
        </w:rPr>
        <w:t>In addition, any reports on Form 6-K submitted to the SEC by us pursuant to the Exchange Act after the date of the initial registration statement and prior to effectiveness of the registration statement that we specifically identify in such forms as being incorporated by reference into the registration statement of which this prospectus forms a part and all subsequent annual reports on Form 20-F filed after the effective date of this registration statement and prior to the termination of this offering and any reports on Form 6-K subsequently submitted to the SEC or portions thereof that we specifically identify in such forms as being incorporated by reference into the registration statement of which this prospectus forms a part, shall be considered to be incorporated into this prospectus by reference and shall be considered a part of this prospectus from the date of filing or submission of such documents.</w:t>
      </w:r>
    </w:p>
    <w:p>
      <w:pPr>
        <w:spacing w:after="0" w:line="203" w:lineRule="exact"/>
        <w:rPr>
          <w:rFonts w:ascii="MS PGothic" w:cs="MS PGothic" w:eastAsia="MS PGothic" w:hAnsi="MS PGothic"/>
          <w:sz w:val="25"/>
          <w:szCs w:val="25"/>
          <w:color w:val="auto"/>
          <w:vertAlign w:val="superscript"/>
        </w:rPr>
      </w:pPr>
    </w:p>
    <w:p>
      <w:pPr>
        <w:ind w:left="120" w:right="80" w:firstLine="440"/>
        <w:spacing w:after="0" w:line="238" w:lineRule="auto"/>
        <w:rPr>
          <w:sz w:val="20"/>
          <w:szCs w:val="20"/>
          <w:color w:val="auto"/>
        </w:rPr>
      </w:pPr>
      <w:r>
        <w:rPr>
          <w:rFonts w:ascii="Arial" w:cs="Arial" w:eastAsia="Arial" w:hAnsi="Arial"/>
          <w:sz w:val="18"/>
          <w:szCs w:val="18"/>
          <w:color w:val="auto"/>
        </w:rPr>
        <w:t>As you read the above documents, you may find inconsistencies in information from one document to another. If you find inconsistencies between the documents and this prospectus, you should rely on the statements made in the most recent document. All information appearing in this prospectus is qualified in its entirety by the information and financial statements, including the notes thereto, contained in the documents incorporated by reference herein.</w:t>
      </w:r>
    </w:p>
    <w:p>
      <w:pPr>
        <w:spacing w:after="0" w:line="205" w:lineRule="exact"/>
        <w:rPr>
          <w:rFonts w:ascii="MS PGothic" w:cs="MS PGothic" w:eastAsia="MS PGothic" w:hAnsi="MS PGothic"/>
          <w:sz w:val="25"/>
          <w:szCs w:val="25"/>
          <w:color w:val="auto"/>
          <w:vertAlign w:val="superscript"/>
        </w:rPr>
      </w:pPr>
    </w:p>
    <w:p>
      <w:pPr>
        <w:ind w:left="120" w:right="260" w:firstLine="440"/>
        <w:spacing w:after="0" w:line="246" w:lineRule="auto"/>
        <w:rPr>
          <w:sz w:val="20"/>
          <w:szCs w:val="20"/>
          <w:color w:val="auto"/>
        </w:rPr>
      </w:pPr>
      <w:r>
        <w:rPr>
          <w:rFonts w:ascii="Arial" w:cs="Arial" w:eastAsia="Arial" w:hAnsi="Arial"/>
          <w:sz w:val="18"/>
          <w:szCs w:val="18"/>
          <w:color w:val="auto"/>
        </w:rPr>
        <w:t>We will provide to each person, including any beneficial owner, to whom this prospectus is delivered, a copy of these filings, at no cost, upon written or oral request to us at the following address:</w:t>
      </w:r>
    </w:p>
    <w:p>
      <w:pPr>
        <w:spacing w:after="0" w:line="84" w:lineRule="exact"/>
        <w:rPr>
          <w:rFonts w:ascii="MS PGothic" w:cs="MS PGothic" w:eastAsia="MS PGothic" w:hAnsi="MS PGothic"/>
          <w:sz w:val="25"/>
          <w:szCs w:val="25"/>
          <w:color w:val="auto"/>
          <w:vertAlign w:val="superscript"/>
        </w:rPr>
      </w:pPr>
    </w:p>
    <w:p>
      <w:pPr>
        <w:ind w:left="3980"/>
        <w:spacing w:after="0"/>
        <w:rPr>
          <w:sz w:val="20"/>
          <w:szCs w:val="20"/>
          <w:color w:val="auto"/>
        </w:rPr>
      </w:pPr>
      <w:r>
        <w:rPr>
          <w:rFonts w:ascii="Arial" w:cs="Arial" w:eastAsia="Arial" w:hAnsi="Arial"/>
          <w:sz w:val="18"/>
          <w:szCs w:val="18"/>
          <w:color w:val="auto"/>
        </w:rPr>
        <w:t>Mereo BioPharma Group plc</w:t>
      </w:r>
    </w:p>
    <w:p>
      <w:pPr>
        <w:ind w:left="3980"/>
        <w:spacing w:after="0" w:line="234" w:lineRule="auto"/>
        <w:rPr>
          <w:sz w:val="20"/>
          <w:szCs w:val="20"/>
          <w:color w:val="auto"/>
        </w:rPr>
      </w:pPr>
      <w:r>
        <w:rPr>
          <w:rFonts w:ascii="Arial" w:cs="Arial" w:eastAsia="Arial" w:hAnsi="Arial"/>
          <w:sz w:val="18"/>
          <w:szCs w:val="18"/>
          <w:color w:val="auto"/>
        </w:rPr>
        <w:t>1 Cavendish Place</w:t>
      </w:r>
    </w:p>
    <w:p>
      <w:pPr>
        <w:ind w:left="3980"/>
        <w:spacing w:after="0" w:line="235" w:lineRule="auto"/>
        <w:rPr>
          <w:sz w:val="20"/>
          <w:szCs w:val="20"/>
          <w:color w:val="auto"/>
        </w:rPr>
      </w:pPr>
      <w:r>
        <w:rPr>
          <w:rFonts w:ascii="Arial" w:cs="Arial" w:eastAsia="Arial" w:hAnsi="Arial"/>
          <w:sz w:val="18"/>
          <w:szCs w:val="18"/>
          <w:color w:val="auto"/>
        </w:rPr>
        <w:t>4th Floor</w:t>
      </w:r>
    </w:p>
    <w:p>
      <w:pPr>
        <w:ind w:left="3980"/>
        <w:spacing w:after="0" w:line="235" w:lineRule="auto"/>
        <w:rPr>
          <w:sz w:val="20"/>
          <w:szCs w:val="20"/>
          <w:color w:val="auto"/>
        </w:rPr>
      </w:pPr>
      <w:r>
        <w:rPr>
          <w:rFonts w:ascii="Arial" w:cs="Arial" w:eastAsia="Arial" w:hAnsi="Arial"/>
          <w:sz w:val="18"/>
          <w:szCs w:val="18"/>
          <w:color w:val="auto"/>
        </w:rPr>
        <w:t>London, W1G 0QF</w:t>
      </w:r>
    </w:p>
    <w:p>
      <w:pPr>
        <w:ind w:left="3980"/>
        <w:spacing w:after="0" w:line="235" w:lineRule="auto"/>
        <w:rPr>
          <w:sz w:val="20"/>
          <w:szCs w:val="20"/>
          <w:color w:val="auto"/>
        </w:rPr>
      </w:pPr>
      <w:r>
        <w:rPr>
          <w:rFonts w:ascii="Arial" w:cs="Arial" w:eastAsia="Arial" w:hAnsi="Arial"/>
          <w:sz w:val="18"/>
          <w:szCs w:val="18"/>
          <w:color w:val="auto"/>
        </w:rPr>
        <w:t>United Kingdom</w:t>
      </w:r>
    </w:p>
    <w:p>
      <w:pPr>
        <w:ind w:left="3980"/>
        <w:spacing w:after="0" w:line="235" w:lineRule="auto"/>
        <w:rPr>
          <w:sz w:val="20"/>
          <w:szCs w:val="20"/>
          <w:color w:val="auto"/>
        </w:rPr>
      </w:pPr>
      <w:r>
        <w:rPr>
          <w:rFonts w:ascii="Arial" w:cs="Arial" w:eastAsia="Arial" w:hAnsi="Arial"/>
          <w:sz w:val="18"/>
          <w:szCs w:val="18"/>
          <w:color w:val="auto"/>
        </w:rPr>
        <w:t>Tel: +44-333-023-7300</w:t>
      </w:r>
    </w:p>
    <w:p>
      <w:pPr>
        <w:ind w:left="3980"/>
        <w:spacing w:after="0"/>
        <w:rPr>
          <w:sz w:val="20"/>
          <w:szCs w:val="20"/>
          <w:color w:val="auto"/>
        </w:rPr>
      </w:pPr>
      <w:r>
        <w:rPr>
          <w:rFonts w:ascii="Arial" w:cs="Arial" w:eastAsia="Arial" w:hAnsi="Arial"/>
          <w:sz w:val="18"/>
          <w:szCs w:val="18"/>
          <w:color w:val="auto"/>
        </w:rPr>
        <w:t>Attention: Investor Relations</w:t>
      </w:r>
    </w:p>
    <w:p>
      <w:pPr>
        <w:spacing w:after="0" w:line="144" w:lineRule="exact"/>
        <w:rPr>
          <w:rFonts w:ascii="MS PGothic" w:cs="MS PGothic" w:eastAsia="MS PGothic" w:hAnsi="MS PGothic"/>
          <w:sz w:val="25"/>
          <w:szCs w:val="25"/>
          <w:color w:val="auto"/>
          <w:vertAlign w:val="superscript"/>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rPr>
          <w:sz w:val="20"/>
          <w:szCs w:val="20"/>
          <w:color w:val="auto"/>
        </w:rPr>
      </w:pPr>
      <w:r>
        <w:rPr>
          <w:rFonts w:ascii="Arial" w:cs="Arial" w:eastAsia="Arial" w:hAnsi="Arial"/>
          <w:sz w:val="18"/>
          <w:szCs w:val="18"/>
          <w:color w:val="CC062A"/>
        </w:rPr>
        <w:t>The information in this prospectus supplement is not complete and may be changed. We may not sell these securities until the registration statement filed with the Securities and Exchange Commission is effective. This prospectus supplement is not an offer to sell these securities, and we are not soliciting an offer to buy these securities in any state where the offer or sale is not permitted.</w:t>
      </w:r>
    </w:p>
    <w:p>
      <w:pPr>
        <w:spacing w:after="0" w:line="10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060" w:type="dxa"/>
            <w:vAlign w:val="bottom"/>
          </w:tcPr>
          <w:p>
            <w:pPr>
              <w:spacing w:after="0"/>
              <w:rPr>
                <w:sz w:val="20"/>
                <w:szCs w:val="20"/>
                <w:color w:val="auto"/>
              </w:rPr>
            </w:pPr>
            <w:r>
              <w:rPr>
                <w:rFonts w:ascii="Arial" w:cs="Arial" w:eastAsia="Arial" w:hAnsi="Arial"/>
                <w:sz w:val="18"/>
                <w:szCs w:val="18"/>
                <w:b w:val="1"/>
                <w:bCs w:val="1"/>
                <w:color w:val="auto"/>
              </w:rPr>
              <w:t>PROSPECTUS SUPPLEMENT (Subject to completion)</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CC062A"/>
              </w:rPr>
              <w:t>Dated October 6,</w:t>
            </w:r>
          </w:p>
        </w:tc>
      </w:tr>
      <w:tr>
        <w:trPr>
          <w:trHeight w:val="239"/>
        </w:trPr>
        <w:tc>
          <w:tcPr>
            <w:tcW w:w="7060" w:type="dxa"/>
            <w:vAlign w:val="bottom"/>
          </w:tcPr>
          <w:p>
            <w:pPr>
              <w:spacing w:after="0"/>
              <w:rPr>
                <w:sz w:val="20"/>
                <w:szCs w:val="20"/>
                <w:color w:val="auto"/>
              </w:rPr>
            </w:pPr>
          </w:p>
        </w:tc>
        <w:tc>
          <w:tcPr>
            <w:tcW w:w="3960" w:type="dxa"/>
            <w:vAlign w:val="bottom"/>
          </w:tcPr>
          <w:p>
            <w:pPr>
              <w:jc w:val="right"/>
              <w:spacing w:after="0"/>
              <w:rPr>
                <w:sz w:val="20"/>
                <w:szCs w:val="20"/>
                <w:color w:val="auto"/>
              </w:rPr>
            </w:pPr>
            <w:r>
              <w:rPr>
                <w:rFonts w:ascii="Arial" w:cs="Arial" w:eastAsia="Arial" w:hAnsi="Arial"/>
                <w:sz w:val="18"/>
                <w:szCs w:val="18"/>
                <w:b w:val="1"/>
                <w:bCs w:val="1"/>
                <w:color w:val="CC062A"/>
              </w:rPr>
              <w:t>2020</w:t>
            </w:r>
          </w:p>
        </w:tc>
      </w:tr>
      <w:tr>
        <w:trPr>
          <w:trHeight w:val="169"/>
        </w:trPr>
        <w:tc>
          <w:tcPr>
            <w:tcW w:w="7060" w:type="dxa"/>
            <w:vAlign w:val="bottom"/>
            <w:tcBorders>
              <w:bottom w:val="single" w:sz="8" w:color="334998"/>
            </w:tcBorders>
          </w:tcPr>
          <w:p>
            <w:pPr>
              <w:spacing w:after="0"/>
              <w:rPr>
                <w:sz w:val="14"/>
                <w:szCs w:val="14"/>
                <w:color w:val="auto"/>
              </w:rPr>
            </w:pPr>
          </w:p>
        </w:tc>
        <w:tc>
          <w:tcPr>
            <w:tcW w:w="3960" w:type="dxa"/>
            <w:vAlign w:val="bottom"/>
            <w:tcBorders>
              <w:bottom w:val="single" w:sz="8" w:color="334998"/>
            </w:tcBorders>
          </w:tcPr>
          <w:p>
            <w:pPr>
              <w:spacing w:after="0"/>
              <w:rPr>
                <w:sz w:val="14"/>
                <w:szCs w:val="14"/>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$50,000,000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256540</wp:posOffset>
            </wp:positionV>
            <wp:extent cx="2468880" cy="8997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2468880"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Representing Ordinary Shares</w:t>
      </w:r>
    </w:p>
    <w:p>
      <w:pPr>
        <w:spacing w:after="0" w:line="366" w:lineRule="exact"/>
        <w:rPr>
          <w:sz w:val="20"/>
          <w:szCs w:val="20"/>
          <w:color w:val="auto"/>
        </w:rPr>
      </w:pPr>
    </w:p>
    <w:p>
      <w:pPr>
        <w:ind w:left="120" w:right="160"/>
        <w:spacing w:after="0" w:line="253" w:lineRule="auto"/>
        <w:rPr>
          <w:sz w:val="20"/>
          <w:szCs w:val="20"/>
          <w:color w:val="auto"/>
        </w:rPr>
      </w:pPr>
      <w:r>
        <w:rPr>
          <w:rFonts w:ascii="Arial" w:cs="Arial" w:eastAsia="Arial" w:hAnsi="Arial"/>
          <w:sz w:val="16"/>
          <w:szCs w:val="16"/>
          <w:color w:val="auto"/>
        </w:rPr>
        <w:t>We have entered into a sales agreement with SVB Leerink LLC, or SVB Leerink, relating to the ADSs offered by this prospectus supplement. In accordance with the terms of the sales agreement, we may offer and sell our ADSs having an aggregate offering price of up to $50,000,000 from time to time through SVB Leerink acting as our agent.</w:t>
      </w:r>
    </w:p>
    <w:p>
      <w:pPr>
        <w:spacing w:after="0" w:line="309" w:lineRule="exact"/>
        <w:rPr>
          <w:sz w:val="20"/>
          <w:szCs w:val="20"/>
          <w:color w:val="auto"/>
        </w:rPr>
      </w:pPr>
    </w:p>
    <w:p>
      <w:pPr>
        <w:ind w:left="120" w:right="260"/>
        <w:spacing w:after="0" w:line="260" w:lineRule="auto"/>
        <w:rPr>
          <w:sz w:val="20"/>
          <w:szCs w:val="20"/>
          <w:color w:val="auto"/>
        </w:rPr>
      </w:pPr>
      <w:r>
        <w:rPr>
          <w:rFonts w:ascii="Arial" w:cs="Arial" w:eastAsia="Arial" w:hAnsi="Arial"/>
          <w:sz w:val="16"/>
          <w:szCs w:val="16"/>
          <w:color w:val="auto"/>
        </w:rPr>
        <w:t>Our ADSs are traded on The Nasdaq Global Market, or the Nasdaq, under the symbol “MREO.” On October 5, 2020, the last reported sale price of our ADSs on the Nasdaq was $2.44 per ADS.</w:t>
      </w:r>
    </w:p>
    <w:p>
      <w:pPr>
        <w:spacing w:after="0" w:line="303"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Sales of our ADSs, if any, under this prospectus supplement may be made in sales deemed to be “at-the-market” offerings, as defined in Rule 415 promulgated under the Securities Act of 1933, as amended (the “Securities Act”), including sales made directly on the Nasdaq or any other trading market for our common shares. SVB Leerink is not required to sell any specific amount of securities, but will act as our sales agent using commercially reasonable efforts consistent with its normal trading and sales practices, on mutually agreed terms between SVB Leerink and us. There is no arrangement for funds to be received in any escrow, trust or similar arrangement.</w:t>
      </w:r>
    </w:p>
    <w:p>
      <w:pPr>
        <w:spacing w:after="0" w:line="311" w:lineRule="exact"/>
        <w:rPr>
          <w:sz w:val="20"/>
          <w:szCs w:val="20"/>
          <w:color w:val="auto"/>
        </w:rPr>
      </w:pPr>
    </w:p>
    <w:p>
      <w:pPr>
        <w:ind w:left="120" w:right="20"/>
        <w:spacing w:after="0" w:line="249" w:lineRule="auto"/>
        <w:rPr>
          <w:rFonts w:ascii="Arial" w:cs="Arial" w:eastAsia="Arial" w:hAnsi="Arial"/>
          <w:sz w:val="16"/>
          <w:szCs w:val="16"/>
          <w:color w:val="auto"/>
        </w:rPr>
      </w:pPr>
      <w:r>
        <w:rPr>
          <w:rFonts w:ascii="Arial" w:cs="Arial" w:eastAsia="Arial" w:hAnsi="Arial"/>
          <w:sz w:val="16"/>
          <w:szCs w:val="16"/>
          <w:color w:val="auto"/>
        </w:rPr>
        <w:t>The compensation to SVB Leerink for sales of ADSs sold pursuant to the sales agreement will be an amount equal to 3% of the gross proceeds of any ADSs sold under the sales agreement. See “</w:t>
      </w:r>
      <w:hyperlink w:anchor="page83">
        <w:r>
          <w:rPr>
            <w:rFonts w:ascii="Arial" w:cs="Arial" w:eastAsia="Arial" w:hAnsi="Arial"/>
            <w:sz w:val="16"/>
            <w:szCs w:val="16"/>
            <w:u w:val="single" w:color="auto"/>
            <w:color w:val="0000EE"/>
          </w:rPr>
          <w:t>Plan of Distribution</w:t>
        </w:r>
      </w:hyperlink>
      <w:r>
        <w:rPr>
          <w:rFonts w:ascii="Arial" w:cs="Arial" w:eastAsia="Arial" w:hAnsi="Arial"/>
          <w:sz w:val="16"/>
          <w:szCs w:val="16"/>
          <w:color w:val="auto"/>
        </w:rPr>
        <w:t>” beginning on page S-18 for additional information regarding the compensation to be paid to SVB Leerink. In connection with the sale of the ADSs on our behalf, SVB Leerink will be deemed to be an “underwriter” within the meaning of the Securities Act, and the compensation of SVB Leerink will be deemed to be underwriting commissions or discounts. We have also agreed to provide indemnification and contribution to SVB Leerink with respect to certain liabilities, including liabilities under the Securities Act or the Securities Exchange Act of 1934, as amended.</w:t>
      </w:r>
    </w:p>
    <w:p>
      <w:pPr>
        <w:spacing w:after="0" w:line="313"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We are both an “emerging growth company” and a “foreign private issuer” as defined under the Securities Act, and, as such, are subject to reduced public company reporting requirements.</w:t>
      </w:r>
    </w:p>
    <w:p>
      <w:pPr>
        <w:spacing w:after="0" w:line="283" w:lineRule="exact"/>
        <w:rPr>
          <w:sz w:val="20"/>
          <w:szCs w:val="20"/>
          <w:color w:val="auto"/>
        </w:rPr>
      </w:pPr>
    </w:p>
    <w:p>
      <w:pPr>
        <w:ind w:left="120" w:right="380"/>
        <w:spacing w:after="0" w:line="286"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ADSs involves a high degree of risk. See “</w:t>
      </w:r>
      <w:hyperlink w:anchor="page73">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on page S-8 of this prospectus supplement and in the documents incorporated by reference into this prospectus supplement concerning factors you should consider before investing in our ADSs.</w:t>
      </w:r>
    </w:p>
    <w:p>
      <w:pPr>
        <w:spacing w:after="0" w:line="284" w:lineRule="exact"/>
        <w:rPr>
          <w:sz w:val="20"/>
          <w:szCs w:val="20"/>
          <w:color w:val="auto"/>
        </w:rPr>
      </w:pPr>
    </w:p>
    <w:p>
      <w:pPr>
        <w:ind w:left="120" w:right="240"/>
        <w:spacing w:after="0" w:line="260" w:lineRule="auto"/>
        <w:rPr>
          <w:sz w:val="20"/>
          <w:szCs w:val="20"/>
          <w:color w:val="auto"/>
        </w:rPr>
      </w:pPr>
      <w:r>
        <w:rPr>
          <w:rFonts w:ascii="Arial" w:cs="Arial" w:eastAsia="Arial" w:hAnsi="Arial"/>
          <w:sz w:val="16"/>
          <w:szCs w:val="16"/>
          <w:color w:val="auto"/>
        </w:rPr>
        <w:t>Neither the U.S.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SVB Leerink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329565</wp:posOffset>
            </wp:positionV>
            <wp:extent cx="18173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960"/>
        <w:spacing w:after="0"/>
        <w:tabs>
          <w:tab w:leader="none" w:pos="6820" w:val="left"/>
        </w:tabs>
        <w:rPr>
          <w:sz w:val="20"/>
          <w:szCs w:val="20"/>
          <w:color w:val="auto"/>
        </w:rPr>
      </w:pPr>
      <w:r>
        <w:rPr>
          <w:rFonts w:ascii="Arial" w:cs="Arial" w:eastAsia="Arial" w:hAnsi="Arial"/>
          <w:sz w:val="16"/>
          <w:szCs w:val="16"/>
          <w:color w:val="auto"/>
        </w:rPr>
        <w:t>Prospectus supplement dated</w:t>
      </w:r>
      <w:r>
        <w:rPr>
          <w:sz w:val="20"/>
          <w:szCs w:val="20"/>
          <w:color w:val="auto"/>
        </w:rPr>
        <w:tab/>
      </w:r>
      <w:r>
        <w:rPr>
          <w:rFonts w:ascii="Arial" w:cs="Arial" w:eastAsia="Arial" w:hAnsi="Arial"/>
          <w:sz w:val="15"/>
          <w:szCs w:val="15"/>
          <w:color w:val="auto"/>
        </w:rPr>
        <w:t>, 2020</w:t>
      </w:r>
    </w:p>
    <w:p>
      <w:pPr>
        <w:sectPr>
          <w:pgSz w:w="11900" w:h="16838" w:orient="portrait"/>
          <w:cols w:equalWidth="0" w:num="1">
            <w:col w:w="11140"/>
          </w:cols>
          <w:pgMar w:left="320" w:top="459" w:right="43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7060" w:type="dxa"/>
            <w:vAlign w:val="bottom"/>
            <w:gridSpan w:val="2"/>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tc>
        <w:tc>
          <w:tcPr>
            <w:tcW w:w="4000" w:type="dxa"/>
            <w:vAlign w:val="bottom"/>
          </w:tcPr>
          <w:p>
            <w:pPr>
              <w:spacing w:after="0"/>
              <w:rPr>
                <w:sz w:val="20"/>
                <w:szCs w:val="20"/>
                <w:color w:val="auto"/>
              </w:rPr>
            </w:pPr>
          </w:p>
        </w:tc>
      </w:tr>
      <w:tr>
        <w:trPr>
          <w:trHeight w:val="513"/>
        </w:trPr>
        <w:tc>
          <w:tcPr>
            <w:tcW w:w="4200" w:type="dxa"/>
            <w:vAlign w:val="bottom"/>
          </w:tcPr>
          <w:p>
            <w:pPr>
              <w:spacing w:after="0"/>
              <w:rPr>
                <w:sz w:val="24"/>
                <w:szCs w:val="24"/>
                <w:color w:val="auto"/>
              </w:rPr>
            </w:pPr>
          </w:p>
        </w:tc>
        <w:tc>
          <w:tcPr>
            <w:tcW w:w="2860" w:type="dxa"/>
            <w:vAlign w:val="bottom"/>
          </w:tcPr>
          <w:p>
            <w:pPr>
              <w:ind w:left="160"/>
              <w:spacing w:after="0"/>
              <w:rPr>
                <w:sz w:val="20"/>
                <w:szCs w:val="20"/>
                <w:color w:val="auto"/>
              </w:rPr>
            </w:pPr>
            <w:r>
              <w:rPr>
                <w:rFonts w:ascii="Arial" w:cs="Arial" w:eastAsia="Arial" w:hAnsi="Arial"/>
                <w:sz w:val="18"/>
                <w:szCs w:val="18"/>
                <w:b w:val="1"/>
                <w:bCs w:val="1"/>
                <w:color w:val="auto"/>
              </w:rPr>
              <w:t>PROSPECTUS SUPPLEMENT</w:t>
            </w:r>
          </w:p>
        </w:tc>
        <w:tc>
          <w:tcPr>
            <w:tcW w:w="4000" w:type="dxa"/>
            <w:vAlign w:val="bottom"/>
          </w:tcPr>
          <w:p>
            <w:pPr>
              <w:spacing w:after="0"/>
              <w:rPr>
                <w:sz w:val="24"/>
                <w:szCs w:val="24"/>
                <w:color w:val="auto"/>
              </w:rPr>
            </w:pPr>
          </w:p>
        </w:tc>
      </w:tr>
      <w:tr>
        <w:trPr>
          <w:trHeight w:val="553"/>
        </w:trPr>
        <w:tc>
          <w:tcPr>
            <w:tcW w:w="7060" w:type="dxa"/>
            <w:vAlign w:val="bottom"/>
            <w:gridSpan w:val="2"/>
          </w:tcPr>
          <w:p>
            <w:pPr>
              <w:ind w:left="12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ABOUT THIS PROSPECTUS SUPPLEMENT</w:t>
              </w:r>
            </w:hyperlink>
          </w:p>
        </w:tc>
        <w:tc>
          <w:tcPr>
            <w:tcW w:w="400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CAUTIONARY STATEMENT REGARDING FORWARD-LOOKING STATEMENTS</w:t>
              </w:r>
            </w:hyperlink>
          </w:p>
        </w:tc>
        <w:tc>
          <w:tcPr>
            <w:tcW w:w="4000" w:type="dxa"/>
            <w:vAlign w:val="bottom"/>
          </w:tcPr>
          <w:p>
            <w:pPr>
              <w:jc w:val="right"/>
              <w:spacing w:after="0" w:line="202" w:lineRule="exact"/>
              <w:rPr>
                <w:sz w:val="20"/>
                <w:szCs w:val="20"/>
                <w:color w:val="auto"/>
              </w:rPr>
            </w:pPr>
            <w:r>
              <w:rPr>
                <w:rFonts w:ascii="Arial" w:cs="Arial" w:eastAsia="Arial" w:hAnsi="Arial"/>
                <w:sz w:val="18"/>
                <w:szCs w:val="18"/>
                <w:color w:val="auto"/>
              </w:rPr>
              <w:t>S-2</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PROSPECTUS SUPPLEMENT SUMMARY</w:t>
              </w:r>
            </w:hyperlink>
          </w:p>
        </w:tc>
        <w:tc>
          <w:tcPr>
            <w:tcW w:w="4000" w:type="dxa"/>
            <w:vAlign w:val="bottom"/>
          </w:tcPr>
          <w:p>
            <w:pPr>
              <w:jc w:val="right"/>
              <w:spacing w:after="0" w:line="202" w:lineRule="exact"/>
              <w:rPr>
                <w:sz w:val="20"/>
                <w:szCs w:val="20"/>
                <w:color w:val="auto"/>
              </w:rPr>
            </w:pPr>
            <w:r>
              <w:rPr>
                <w:rFonts w:ascii="Arial" w:cs="Arial" w:eastAsia="Arial" w:hAnsi="Arial"/>
                <w:sz w:val="18"/>
                <w:szCs w:val="18"/>
                <w:color w:val="auto"/>
              </w:rPr>
              <w:t>S-4</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THE OFFERING</w:t>
              </w:r>
            </w:hyperlink>
          </w:p>
        </w:tc>
        <w:tc>
          <w:tcPr>
            <w:tcW w:w="4000" w:type="dxa"/>
            <w:vAlign w:val="bottom"/>
          </w:tcPr>
          <w:p>
            <w:pPr>
              <w:jc w:val="right"/>
              <w:spacing w:after="0" w:line="202" w:lineRule="exact"/>
              <w:rPr>
                <w:sz w:val="20"/>
                <w:szCs w:val="20"/>
                <w:color w:val="auto"/>
              </w:rPr>
            </w:pPr>
            <w:r>
              <w:rPr>
                <w:rFonts w:ascii="Arial" w:cs="Arial" w:eastAsia="Arial" w:hAnsi="Arial"/>
                <w:sz w:val="18"/>
                <w:szCs w:val="18"/>
                <w:color w:val="auto"/>
              </w:rPr>
              <w:t>S-7</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RISK FACTORS</w:t>
              </w:r>
            </w:hyperlink>
          </w:p>
        </w:tc>
        <w:tc>
          <w:tcPr>
            <w:tcW w:w="4000" w:type="dxa"/>
            <w:vAlign w:val="bottom"/>
          </w:tcPr>
          <w:p>
            <w:pPr>
              <w:jc w:val="right"/>
              <w:spacing w:after="0" w:line="202" w:lineRule="exact"/>
              <w:rPr>
                <w:sz w:val="20"/>
                <w:szCs w:val="20"/>
                <w:color w:val="auto"/>
              </w:rPr>
            </w:pPr>
            <w:r>
              <w:rPr>
                <w:rFonts w:ascii="Arial" w:cs="Arial" w:eastAsia="Arial" w:hAnsi="Arial"/>
                <w:sz w:val="18"/>
                <w:szCs w:val="18"/>
                <w:color w:val="auto"/>
              </w:rPr>
              <w:t>S-8</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USE OF PROCEEDS</w:t>
              </w:r>
            </w:hyperlink>
          </w:p>
        </w:tc>
        <w:tc>
          <w:tcPr>
            <w:tcW w:w="4000" w:type="dxa"/>
            <w:vAlign w:val="bottom"/>
          </w:tcPr>
          <w:p>
            <w:pPr>
              <w:jc w:val="right"/>
              <w:spacing w:after="0" w:line="202" w:lineRule="exact"/>
              <w:rPr>
                <w:sz w:val="20"/>
                <w:szCs w:val="20"/>
                <w:color w:val="auto"/>
              </w:rPr>
            </w:pPr>
            <w:r>
              <w:rPr>
                <w:rFonts w:ascii="Arial" w:cs="Arial" w:eastAsia="Arial" w:hAnsi="Arial"/>
                <w:sz w:val="18"/>
                <w:szCs w:val="18"/>
                <w:color w:val="auto"/>
              </w:rPr>
              <w:t>S-17</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PLAN OF DISTRIBUTION</w:t>
              </w:r>
            </w:hyperlink>
          </w:p>
        </w:tc>
        <w:tc>
          <w:tcPr>
            <w:tcW w:w="4000" w:type="dxa"/>
            <w:vAlign w:val="bottom"/>
          </w:tcPr>
          <w:p>
            <w:pPr>
              <w:jc w:val="right"/>
              <w:spacing w:after="0" w:line="202" w:lineRule="exact"/>
              <w:rPr>
                <w:sz w:val="20"/>
                <w:szCs w:val="20"/>
                <w:color w:val="auto"/>
              </w:rPr>
            </w:pPr>
            <w:r>
              <w:rPr>
                <w:rFonts w:ascii="Arial" w:cs="Arial" w:eastAsia="Arial" w:hAnsi="Arial"/>
                <w:sz w:val="18"/>
                <w:szCs w:val="18"/>
                <w:color w:val="auto"/>
              </w:rPr>
              <w:t>S-18</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LEGAL MATTERS</w:t>
              </w:r>
            </w:hyperlink>
          </w:p>
        </w:tc>
        <w:tc>
          <w:tcPr>
            <w:tcW w:w="4000" w:type="dxa"/>
            <w:vAlign w:val="bottom"/>
          </w:tcPr>
          <w:p>
            <w:pPr>
              <w:jc w:val="right"/>
              <w:spacing w:after="0" w:line="202" w:lineRule="exact"/>
              <w:rPr>
                <w:sz w:val="20"/>
                <w:szCs w:val="20"/>
                <w:color w:val="auto"/>
              </w:rPr>
            </w:pPr>
            <w:r>
              <w:rPr>
                <w:rFonts w:ascii="Arial" w:cs="Arial" w:eastAsia="Arial" w:hAnsi="Arial"/>
                <w:sz w:val="18"/>
                <w:szCs w:val="18"/>
                <w:color w:val="auto"/>
              </w:rPr>
              <w:t>S-20</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EXPERTS</w:t>
              </w:r>
            </w:hyperlink>
          </w:p>
        </w:tc>
        <w:tc>
          <w:tcPr>
            <w:tcW w:w="4000" w:type="dxa"/>
            <w:vAlign w:val="bottom"/>
          </w:tcPr>
          <w:p>
            <w:pPr>
              <w:jc w:val="right"/>
              <w:spacing w:after="0" w:line="202" w:lineRule="exact"/>
              <w:rPr>
                <w:sz w:val="20"/>
                <w:szCs w:val="20"/>
                <w:color w:val="auto"/>
              </w:rPr>
            </w:pPr>
            <w:r>
              <w:rPr>
                <w:rFonts w:ascii="Arial" w:cs="Arial" w:eastAsia="Arial" w:hAnsi="Arial"/>
                <w:sz w:val="18"/>
                <w:szCs w:val="18"/>
                <w:color w:val="auto"/>
              </w:rPr>
              <w:t>S-20</w:t>
            </w:r>
          </w:p>
        </w:tc>
      </w:tr>
      <w:tr>
        <w:trPr>
          <w:trHeight w:val="203"/>
        </w:trPr>
        <w:tc>
          <w:tcPr>
            <w:tcW w:w="7060" w:type="dxa"/>
            <w:vAlign w:val="bottom"/>
            <w:gridSpan w:val="2"/>
          </w:tcPr>
          <w:p>
            <w:pPr>
              <w:ind w:left="120"/>
              <w:spacing w:after="0" w:line="202" w:lineRule="exact"/>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WHERE YOU CAN FIND MORE INFORMATION</w:t>
              </w:r>
            </w:hyperlink>
          </w:p>
        </w:tc>
        <w:tc>
          <w:tcPr>
            <w:tcW w:w="4000" w:type="dxa"/>
            <w:vAlign w:val="bottom"/>
          </w:tcPr>
          <w:p>
            <w:pPr>
              <w:jc w:val="right"/>
              <w:spacing w:after="0" w:line="202" w:lineRule="exact"/>
              <w:rPr>
                <w:sz w:val="20"/>
                <w:szCs w:val="20"/>
                <w:color w:val="auto"/>
              </w:rPr>
            </w:pPr>
            <w:r>
              <w:rPr>
                <w:rFonts w:ascii="Arial" w:cs="Arial" w:eastAsia="Arial" w:hAnsi="Arial"/>
                <w:sz w:val="18"/>
                <w:szCs w:val="18"/>
                <w:color w:val="auto"/>
              </w:rPr>
              <w:t>S-21</w:t>
            </w:r>
          </w:p>
        </w:tc>
      </w:tr>
      <w:tr>
        <w:trPr>
          <w:trHeight w:val="217"/>
        </w:trPr>
        <w:tc>
          <w:tcPr>
            <w:tcW w:w="7060" w:type="dxa"/>
            <w:vAlign w:val="bottom"/>
            <w:gridSpan w:val="2"/>
          </w:tcPr>
          <w:p>
            <w:pPr>
              <w:ind w:left="12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INCORPORATION BY REFERENCE</w:t>
              </w:r>
            </w:hyperlink>
          </w:p>
        </w:tc>
        <w:tc>
          <w:tcPr>
            <w:tcW w:w="4000" w:type="dxa"/>
            <w:vAlign w:val="bottom"/>
          </w:tcPr>
          <w:p>
            <w:pPr>
              <w:jc w:val="right"/>
              <w:spacing w:after="0"/>
              <w:rPr>
                <w:sz w:val="20"/>
                <w:szCs w:val="20"/>
                <w:color w:val="auto"/>
              </w:rPr>
            </w:pPr>
            <w:r>
              <w:rPr>
                <w:rFonts w:ascii="Arial" w:cs="Arial" w:eastAsia="Arial" w:hAnsi="Arial"/>
                <w:sz w:val="18"/>
                <w:szCs w:val="18"/>
                <w:color w:val="auto"/>
              </w:rPr>
              <w:t>S-22</w:t>
            </w:r>
          </w:p>
        </w:tc>
      </w:tr>
      <w:tr>
        <w:trPr>
          <w:trHeight w:val="338"/>
        </w:trPr>
        <w:tc>
          <w:tcPr>
            <w:tcW w:w="420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0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59"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67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ABOUT THIS PROSPECTUS SUPPLEMENT</w:t>
      </w:r>
    </w:p>
    <w:p>
      <w:pPr>
        <w:spacing w:after="0" w:line="234" w:lineRule="exact"/>
        <w:rPr>
          <w:sz w:val="20"/>
          <w:szCs w:val="20"/>
          <w:color w:val="auto"/>
        </w:rPr>
      </w:pPr>
    </w:p>
    <w:p>
      <w:pPr>
        <w:ind w:left="300" w:right="60" w:firstLine="426"/>
        <w:spacing w:after="0" w:line="237" w:lineRule="auto"/>
        <w:rPr>
          <w:sz w:val="20"/>
          <w:szCs w:val="20"/>
          <w:color w:val="auto"/>
        </w:rPr>
      </w:pPr>
      <w:r>
        <w:rPr>
          <w:rFonts w:ascii="Arial" w:cs="Arial" w:eastAsia="Arial" w:hAnsi="Arial"/>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describes more general information, some of which may not apply to this offering. Under this shelf registration process, we may from time to time sell our ADSs having an aggregate offering price of up to $50,000,000 under this prospectus supplement at prices and on terms to be determined by market conditions at the time of the offering.</w:t>
      </w:r>
    </w:p>
    <w:p>
      <w:pPr>
        <w:spacing w:after="0" w:line="205" w:lineRule="exact"/>
        <w:rPr>
          <w:sz w:val="20"/>
          <w:szCs w:val="20"/>
          <w:color w:val="auto"/>
        </w:rPr>
      </w:pPr>
    </w:p>
    <w:p>
      <w:pPr>
        <w:ind w:left="300" w:right="180" w:firstLine="426"/>
        <w:spacing w:after="0" w:line="238" w:lineRule="auto"/>
        <w:rPr>
          <w:sz w:val="20"/>
          <w:szCs w:val="20"/>
          <w:color w:val="auto"/>
        </w:rPr>
      </w:pPr>
      <w:r>
        <w:rPr>
          <w:rFonts w:ascii="Arial" w:cs="Arial" w:eastAsia="Arial" w:hAnsi="Arial"/>
          <w:sz w:val="18"/>
          <w:szCs w:val="18"/>
          <w:color w:val="auto"/>
        </w:rPr>
        <w:t>Before buying any of the ADSs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205" w:lineRule="exact"/>
        <w:rPr>
          <w:sz w:val="20"/>
          <w:szCs w:val="20"/>
          <w:color w:val="auto"/>
        </w:rPr>
      </w:pPr>
    </w:p>
    <w:p>
      <w:pPr>
        <w:ind w:left="300" w:right="140" w:firstLine="426"/>
        <w:spacing w:after="0" w:line="237"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 for example, a document incorporated by reference in this prospectus supplement, the statement in the document having the later date modifies or supersedes the earlier statement.</w:t>
      </w:r>
    </w:p>
    <w:p>
      <w:pPr>
        <w:spacing w:after="0" w:line="205" w:lineRule="exact"/>
        <w:rPr>
          <w:sz w:val="20"/>
          <w:szCs w:val="20"/>
          <w:color w:val="auto"/>
        </w:rPr>
      </w:pPr>
    </w:p>
    <w:p>
      <w:pPr>
        <w:ind w:left="300" w:right="20" w:firstLine="426"/>
        <w:spacing w:after="0" w:line="236"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supplement and any related free writing prospectus filed by us with the SEC. We have not, and SVB Leerink has not, authorized anyone to provide you with different information. If anyone provides you with different or inconsistent information, you should not rely on it.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208" w:lineRule="exact"/>
        <w:rPr>
          <w:sz w:val="20"/>
          <w:szCs w:val="20"/>
          <w:color w:val="auto"/>
        </w:rPr>
      </w:pPr>
    </w:p>
    <w:p>
      <w:pPr>
        <w:ind w:left="300" w:right="520" w:firstLine="426"/>
        <w:spacing w:after="0" w:line="246" w:lineRule="auto"/>
        <w:rPr>
          <w:sz w:val="20"/>
          <w:szCs w:val="20"/>
          <w:color w:val="auto"/>
        </w:rPr>
      </w:pPr>
      <w:r>
        <w:rPr>
          <w:rFonts w:ascii="Arial" w:cs="Arial" w:eastAsia="Arial" w:hAnsi="Arial"/>
          <w:sz w:val="18"/>
          <w:szCs w:val="18"/>
          <w:color w:val="auto"/>
        </w:rPr>
        <w:t>You should also read and consider the information in the documents to which we have referred you in the sections entitled “Where You Can Find More Information” and “Incorporation by Reference” in this prospectus supplement.</w:t>
      </w:r>
    </w:p>
    <w:p>
      <w:pPr>
        <w:spacing w:after="0" w:line="197"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Throughout this prospectus, and the documents incorporated by reference, unless otherwise designated, the terms “Mereo,” the “Company,” “we,” “us,” and “our” refer to Mereo BioPharma Group plc and our wholly-owned subsidiaries Mereo BioPharma 1 Limited, Mereo BioPharma 2 Limited, Mereo BioPharma 3 Limited, Mereo BioPharma 4 Limited, Mereo BioPharma 5, Inc. (formerly OncoMed Pharmaceuticals, Inc.), Mereo BioPharma Ireland Limited, Mereo US Holdings Inc. and NAVI Subsidiary, Inc. Our consolidated financial statements also treat Mereo BioPharma Group plc Employee Benefit Trust, an employee benefit trust operated by us, as a wholly-owned subsidiary of ours. References in this prospectus to the “Merger” are to the merger of Mereo MergerCo One Inc. and OncoMed Pharmaceuticals, Inc., with OncoMed Pharmaceuticals, Inc. surviving as a wholly-owned subsidiary of Mereo US Holdings Inc., and as an indirect wholly-owned subsidiary of Mereo BioPharma Group plc pursuant to the Agreement and Plan of Merger and Reorganization, dated December 5, 2018, by and among Mereo BioPharma Group plc, Mereo US Holdings Inc., Mereo MergerCo One Inc. and OncoMed Pharmaceuticals,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130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6998970" cy="57130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4" w:lineRule="exact"/>
        <w:rPr>
          <w:sz w:val="20"/>
          <w:szCs w:val="20"/>
          <w:color w:val="auto"/>
        </w:rPr>
      </w:pPr>
    </w:p>
    <w:p>
      <w:pPr>
        <w:jc w:val="both"/>
        <w:ind w:left="300" w:right="440" w:firstLine="426"/>
        <w:spacing w:after="0" w:line="261" w:lineRule="auto"/>
        <w:rPr>
          <w:sz w:val="20"/>
          <w:szCs w:val="20"/>
          <w:color w:val="auto"/>
        </w:rPr>
      </w:pPr>
      <w:r>
        <w:rPr>
          <w:rFonts w:ascii="Arial" w:cs="Arial" w:eastAsia="Arial" w:hAnsi="Arial"/>
          <w:sz w:val="17"/>
          <w:szCs w:val="17"/>
          <w:color w:val="auto"/>
        </w:rPr>
        <w:t>This prospectus supplement, the accompanying prospectus and the documents incorporated into it contain statements that constitute forward-looking statements. Many of these forward-looking statements can be identified by the use of forward-looking words such as “anticipate,” “believe,” “could,” “estimate,” “expect,” “intend,” “plan,” “potential” and “should,” among others.</w:t>
      </w:r>
    </w:p>
    <w:p>
      <w:pPr>
        <w:spacing w:after="0" w:line="186" w:lineRule="exact"/>
        <w:rPr>
          <w:sz w:val="20"/>
          <w:szCs w:val="20"/>
          <w:color w:val="auto"/>
        </w:rPr>
      </w:pPr>
    </w:p>
    <w:p>
      <w:pPr>
        <w:ind w:left="300" w:right="20" w:firstLine="426"/>
        <w:spacing w:after="0" w:line="236" w:lineRule="auto"/>
        <w:rPr>
          <w:sz w:val="20"/>
          <w:szCs w:val="20"/>
          <w:color w:val="auto"/>
        </w:rPr>
      </w:pPr>
      <w:r>
        <w:rPr>
          <w:rFonts w:ascii="Arial" w:cs="Arial" w:eastAsia="Arial" w:hAnsi="Arial"/>
          <w:sz w:val="18"/>
          <w:szCs w:val="18"/>
          <w:color w:val="auto"/>
        </w:rPr>
        <w:t>Forward-looking statements appear in a number of places in this prospectus supplement, the accompanying prospectus and the documents incorporated into it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20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39" w:lineRule="exact"/>
        <w:rPr>
          <w:sz w:val="20"/>
          <w:szCs w:val="20"/>
          <w:color w:val="auto"/>
        </w:rPr>
      </w:pPr>
    </w:p>
    <w:p>
      <w:pPr>
        <w:ind w:left="1120" w:right="280" w:hanging="407"/>
        <w:spacing w:after="0" w:line="218" w:lineRule="auto"/>
        <w:tabs>
          <w:tab w:leader="none" w:pos="112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1" w:lineRule="exact"/>
        <w:rPr>
          <w:rFonts w:ascii="MS PGothic" w:cs="MS PGothic" w:eastAsia="MS PGothic" w:hAnsi="MS PGothic"/>
          <w:sz w:val="25"/>
          <w:szCs w:val="25"/>
          <w:color w:val="auto"/>
          <w:vertAlign w:val="superscript"/>
        </w:rPr>
      </w:pPr>
    </w:p>
    <w:p>
      <w:pPr>
        <w:ind w:left="1120" w:hanging="407"/>
        <w:spacing w:after="0" w:line="230" w:lineRule="auto"/>
        <w:tabs>
          <w:tab w:leader="none" w:pos="112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attributes and benefits of our product candidates and their competitive position;</w:t>
      </w:r>
    </w:p>
    <w:p>
      <w:pPr>
        <w:spacing w:after="0" w:line="26" w:lineRule="exact"/>
        <w:rPr>
          <w:rFonts w:ascii="MS PGothic" w:cs="MS PGothic" w:eastAsia="MS PGothic" w:hAnsi="MS PGothic"/>
          <w:sz w:val="25"/>
          <w:szCs w:val="25"/>
          <w:color w:val="auto"/>
          <w:vertAlign w:val="superscript"/>
        </w:rPr>
      </w:pPr>
    </w:p>
    <w:p>
      <w:pPr>
        <w:ind w:left="1120" w:right="140" w:hanging="407"/>
        <w:spacing w:after="0" w:line="218" w:lineRule="auto"/>
        <w:tabs>
          <w:tab w:leader="none" w:pos="112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partner or sell our two product candidates, acumapimod for the treatment of AECOPD and leflutrozole for the treatment of infertility and HH in obese men, on attractive terms or at all;</w:t>
      </w:r>
    </w:p>
    <w:p>
      <w:pPr>
        <w:spacing w:after="0" w:line="27" w:lineRule="exact"/>
        <w:rPr>
          <w:rFonts w:ascii="MS PGothic" w:cs="MS PGothic" w:eastAsia="MS PGothic" w:hAnsi="MS PGothic"/>
          <w:sz w:val="25"/>
          <w:szCs w:val="25"/>
          <w:color w:val="auto"/>
          <w:vertAlign w:val="superscript"/>
        </w:rPr>
      </w:pPr>
    </w:p>
    <w:p>
      <w:pPr>
        <w:ind w:left="1120" w:hanging="407"/>
        <w:spacing w:after="0" w:line="218" w:lineRule="auto"/>
        <w:tabs>
          <w:tab w:leader="none" w:pos="112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1" w:lineRule="exact"/>
        <w:rPr>
          <w:rFonts w:ascii="MS PGothic" w:cs="MS PGothic" w:eastAsia="MS PGothic" w:hAnsi="MS PGothic"/>
          <w:sz w:val="25"/>
          <w:szCs w:val="25"/>
          <w:color w:val="auto"/>
          <w:vertAlign w:val="superscript"/>
        </w:rPr>
      </w:pPr>
    </w:p>
    <w:p>
      <w:pPr>
        <w:ind w:left="1120" w:hanging="407"/>
        <w:spacing w:after="0" w:line="230" w:lineRule="auto"/>
        <w:tabs>
          <w:tab w:leader="none" w:pos="112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26" w:lineRule="exact"/>
        <w:rPr>
          <w:rFonts w:ascii="MS PGothic" w:cs="MS PGothic" w:eastAsia="MS PGothic" w:hAnsi="MS PGothic"/>
          <w:sz w:val="25"/>
          <w:szCs w:val="25"/>
          <w:color w:val="auto"/>
          <w:vertAlign w:val="superscript"/>
        </w:rPr>
      </w:pPr>
    </w:p>
    <w:p>
      <w:pPr>
        <w:ind w:left="1120" w:right="60" w:hanging="407"/>
        <w:spacing w:after="0" w:line="218" w:lineRule="auto"/>
        <w:tabs>
          <w:tab w:leader="none" w:pos="112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volatility in the price of our ordinary shares and ADSs if the shares sold through our recent private placements are sold on the market;</w:t>
      </w:r>
    </w:p>
    <w:p>
      <w:pPr>
        <w:spacing w:after="0" w:line="1" w:lineRule="exact"/>
        <w:rPr>
          <w:rFonts w:ascii="MS PGothic" w:cs="MS PGothic" w:eastAsia="MS PGothic" w:hAnsi="MS PGothic"/>
          <w:sz w:val="25"/>
          <w:szCs w:val="25"/>
          <w:color w:val="auto"/>
          <w:vertAlign w:val="superscript"/>
        </w:rPr>
      </w:pPr>
    </w:p>
    <w:p>
      <w:pPr>
        <w:ind w:left="1120" w:hanging="407"/>
        <w:spacing w:after="0" w:line="230" w:lineRule="auto"/>
        <w:tabs>
          <w:tab w:leader="none" w:pos="112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being subject to ongoing regulatory obligations if our products secure regulatory approval;</w:t>
      </w:r>
    </w:p>
    <w:p>
      <w:pPr>
        <w:spacing w:after="0" w:line="26" w:lineRule="exact"/>
        <w:rPr>
          <w:rFonts w:ascii="MS PGothic" w:cs="MS PGothic" w:eastAsia="MS PGothic" w:hAnsi="MS PGothic"/>
          <w:sz w:val="25"/>
          <w:szCs w:val="25"/>
          <w:color w:val="auto"/>
          <w:vertAlign w:val="superscript"/>
        </w:rPr>
      </w:pPr>
    </w:p>
    <w:p>
      <w:pPr>
        <w:ind w:left="1120" w:right="540" w:hanging="407"/>
        <w:spacing w:after="0" w:line="218" w:lineRule="auto"/>
        <w:tabs>
          <w:tab w:leader="none" w:pos="112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1" w:lineRule="exact"/>
        <w:rPr>
          <w:rFonts w:ascii="MS PGothic" w:cs="MS PGothic" w:eastAsia="MS PGothic" w:hAnsi="MS PGothic"/>
          <w:sz w:val="25"/>
          <w:szCs w:val="25"/>
          <w:color w:val="auto"/>
          <w:vertAlign w:val="superscript"/>
        </w:rPr>
      </w:pPr>
    </w:p>
    <w:p>
      <w:pPr>
        <w:ind w:left="1120" w:hanging="407"/>
        <w:spacing w:after="0" w:line="230" w:lineRule="auto"/>
        <w:tabs>
          <w:tab w:leader="none" w:pos="112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patient market size of any diseases and market adoption of our products by physicians and patients;</w:t>
      </w:r>
    </w:p>
    <w:p>
      <w:pPr>
        <w:spacing w:after="0" w:line="26" w:lineRule="exact"/>
        <w:rPr>
          <w:rFonts w:ascii="MS PGothic" w:cs="MS PGothic" w:eastAsia="MS PGothic" w:hAnsi="MS PGothic"/>
          <w:sz w:val="25"/>
          <w:szCs w:val="25"/>
          <w:color w:val="auto"/>
          <w:vertAlign w:val="superscript"/>
        </w:rPr>
      </w:pPr>
    </w:p>
    <w:p>
      <w:pPr>
        <w:ind w:left="1120" w:hanging="407"/>
        <w:spacing w:after="0" w:line="205" w:lineRule="auto"/>
        <w:tabs>
          <w:tab w:leader="none" w:pos="112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26" w:lineRule="exact"/>
        <w:rPr>
          <w:rFonts w:ascii="MS PGothic" w:cs="MS PGothic" w:eastAsia="MS PGothic" w:hAnsi="MS PGothic"/>
          <w:sz w:val="25"/>
          <w:szCs w:val="25"/>
          <w:color w:val="auto"/>
          <w:vertAlign w:val="superscript"/>
        </w:rPr>
      </w:pPr>
    </w:p>
    <w:p>
      <w:pPr>
        <w:ind w:left="1120" w:hanging="407"/>
        <w:spacing w:after="0" w:line="205" w:lineRule="auto"/>
        <w:tabs>
          <w:tab w:leader="none" w:pos="112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our patent portfolio;</w:t>
      </w:r>
    </w:p>
    <w:p>
      <w:pPr>
        <w:spacing w:after="0" w:line="26" w:lineRule="exact"/>
        <w:rPr>
          <w:rFonts w:ascii="MS PGothic" w:cs="MS PGothic" w:eastAsia="MS PGothic" w:hAnsi="MS PGothic"/>
          <w:sz w:val="25"/>
          <w:szCs w:val="25"/>
          <w:color w:val="auto"/>
          <w:vertAlign w:val="superscript"/>
        </w:rPr>
      </w:pPr>
    </w:p>
    <w:p>
      <w:pPr>
        <w:ind w:left="1120" w:right="20" w:hanging="407"/>
        <w:spacing w:after="0" w:line="218" w:lineRule="auto"/>
        <w:tabs>
          <w:tab w:leader="none" w:pos="112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COVID-19 pandemic and the associated disruptions that could materially impact our business including planned clinical developments and our ongoing clinical studies;</w:t>
      </w:r>
    </w:p>
    <w:p>
      <w:pPr>
        <w:spacing w:after="0" w:line="27" w:lineRule="exact"/>
        <w:rPr>
          <w:rFonts w:ascii="MS PGothic" w:cs="MS PGothic" w:eastAsia="MS PGothic" w:hAnsi="MS PGothic"/>
          <w:sz w:val="25"/>
          <w:szCs w:val="25"/>
          <w:color w:val="auto"/>
          <w:vertAlign w:val="superscript"/>
        </w:rPr>
      </w:pPr>
    </w:p>
    <w:p>
      <w:pPr>
        <w:ind w:left="1120" w:right="220" w:hanging="407"/>
        <w:spacing w:after="0" w:line="218" w:lineRule="auto"/>
        <w:tabs>
          <w:tab w:leader="none" w:pos="112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United Kingdom’s withdrawal from the European Union could lead to increased market volatility, make it more difficult for us to do business in Europe or have other adverse effects on our business;</w:t>
      </w:r>
    </w:p>
    <w:p>
      <w:pPr>
        <w:spacing w:after="0" w:line="1" w:lineRule="exact"/>
        <w:rPr>
          <w:rFonts w:ascii="MS PGothic" w:cs="MS PGothic" w:eastAsia="MS PGothic" w:hAnsi="MS PGothic"/>
          <w:sz w:val="25"/>
          <w:szCs w:val="25"/>
          <w:color w:val="auto"/>
          <w:vertAlign w:val="superscript"/>
        </w:rPr>
      </w:pPr>
    </w:p>
    <w:p>
      <w:pPr>
        <w:ind w:left="1120" w:hanging="407"/>
        <w:spacing w:after="0" w:line="230" w:lineRule="auto"/>
        <w:tabs>
          <w:tab w:leader="none" w:pos="112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key personnel and recruit additional qualified personnel;</w:t>
      </w:r>
    </w:p>
    <w:p>
      <w:pPr>
        <w:spacing w:after="0" w:line="26" w:lineRule="exact"/>
        <w:rPr>
          <w:rFonts w:ascii="MS PGothic" w:cs="MS PGothic" w:eastAsia="MS PGothic" w:hAnsi="MS PGothic"/>
          <w:sz w:val="25"/>
          <w:szCs w:val="25"/>
          <w:color w:val="auto"/>
          <w:vertAlign w:val="superscript"/>
        </w:rPr>
      </w:pPr>
    </w:p>
    <w:p>
      <w:pPr>
        <w:ind w:left="1120" w:hanging="407"/>
        <w:spacing w:after="0" w:line="205" w:lineRule="auto"/>
        <w:tabs>
          <w:tab w:leader="none" w:pos="112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manage growth;</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320" w:top="459" w:right="6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7443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6998970" cy="17443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120" w:hanging="407"/>
        <w:spacing w:after="0"/>
        <w:tabs>
          <w:tab w:leader="none" w:pos="112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integrate and realize the benefits of our past or future strategic acquisitions or investments; and</w:t>
      </w:r>
    </w:p>
    <w:p>
      <w:pPr>
        <w:spacing w:after="0" w:line="26" w:lineRule="exact"/>
        <w:rPr>
          <w:rFonts w:ascii="MS PGothic" w:cs="MS PGothic" w:eastAsia="MS PGothic" w:hAnsi="MS PGothic"/>
          <w:sz w:val="25"/>
          <w:szCs w:val="25"/>
          <w:color w:val="auto"/>
          <w:vertAlign w:val="superscript"/>
        </w:rPr>
      </w:pPr>
    </w:p>
    <w:p>
      <w:pPr>
        <w:ind w:left="1120" w:hanging="407"/>
        <w:spacing w:after="0" w:line="205" w:lineRule="auto"/>
        <w:tabs>
          <w:tab w:leader="none" w:pos="112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 factors discussed under “Risk Factors.”</w:t>
      </w:r>
    </w:p>
    <w:p>
      <w:pPr>
        <w:spacing w:after="0" w:line="202" w:lineRule="exact"/>
        <w:rPr>
          <w:sz w:val="20"/>
          <w:szCs w:val="20"/>
          <w:color w:val="auto"/>
        </w:rPr>
      </w:pPr>
    </w:p>
    <w:p>
      <w:pPr>
        <w:jc w:val="both"/>
        <w:ind w:left="300" w:firstLine="426"/>
        <w:spacing w:after="0"/>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3" w:lineRule="exact"/>
        <w:rPr>
          <w:sz w:val="20"/>
          <w:szCs w:val="20"/>
          <w:color w:val="auto"/>
        </w:rPr>
      </w:pPr>
    </w:p>
    <w:p>
      <w:pPr>
        <w:ind w:left="300" w:right="280" w:firstLine="426"/>
        <w:spacing w:after="0" w:line="238" w:lineRule="auto"/>
        <w:rPr>
          <w:sz w:val="20"/>
          <w:szCs w:val="20"/>
          <w:color w:val="auto"/>
        </w:rPr>
      </w:pPr>
      <w:r>
        <w:rPr>
          <w:rFonts w:ascii="Arial" w:cs="Arial" w:eastAsia="Arial" w:hAnsi="Arial"/>
          <w:sz w:val="18"/>
          <w:szCs w:val="18"/>
          <w:color w:val="auto"/>
        </w:rPr>
        <w:t>You should read this prospectus supplement, the accompanying prospectus and the documents that we incorporate by reference in this prospectus supplement, the accompanying prospectus and have filed as exhibits to the registration statement, of which this prospectus supplement is a part,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880"/>
          </w:cols>
          <w:pgMar w:left="320" w:top="459" w:right="6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416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ind w:left="300" w:right="20" w:firstLine="426"/>
        <w:spacing w:after="0" w:line="242" w:lineRule="auto"/>
        <w:rPr>
          <w:sz w:val="20"/>
          <w:szCs w:val="20"/>
          <w:color w:val="auto"/>
        </w:rPr>
      </w:pPr>
      <w:r>
        <w:rPr>
          <w:rFonts w:ascii="Arial" w:cs="Arial" w:eastAsia="Arial" w:hAnsi="Arial"/>
          <w:sz w:val="18"/>
          <w:szCs w:val="18"/>
          <w:i w:val="1"/>
          <w:iCs w:val="1"/>
          <w:color w:val="auto"/>
        </w:rPr>
        <w:t>This summary highlights information contained elsewhere in this prospectus supplement or incorporated by reference herein. This summary may not contain all the information that may be important to you, and we urge you to read this entire prospectus supplement carefully, including the risks related to our business, our industry, investing in our ordinary shares, that we describe under “Risk Factors” and our consolidated financial statements, including the notes thereto, included and incorporated by reference in this prospectus supplement, before deciding to invest in our ADSs.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6" w:lineRule="exact"/>
        <w:rPr>
          <w:sz w:val="20"/>
          <w:szCs w:val="20"/>
          <w:color w:val="auto"/>
        </w:rPr>
      </w:pPr>
    </w:p>
    <w:p>
      <w:pPr>
        <w:ind w:left="300" w:right="20" w:firstLine="426"/>
        <w:spacing w:after="0" w:line="236" w:lineRule="auto"/>
        <w:rPr>
          <w:sz w:val="20"/>
          <w:szCs w:val="20"/>
          <w:color w:val="auto"/>
        </w:rPr>
      </w:pPr>
      <w:r>
        <w:rPr>
          <w:rFonts w:ascii="Arial" w:cs="Arial" w:eastAsia="Arial" w:hAnsi="Arial"/>
          <w:sz w:val="18"/>
          <w:szCs w:val="18"/>
          <w:color w:val="auto"/>
        </w:rPr>
        <w:t>We are a biopharmaceutical company focused on the development and commercialization of innovative therapeutics that aim to improve outcomes for oncology and rare diseases. We have developed a portfolio of six clinical stage product candidates. Our lead oncology product candidate, etigilimab (“Anti-TIGIT”), has completed a Phase 1a dose escalation clinical trial in patients with advanced solid tumors and has been evaluated in a Phase 1b study in combination with nivolumab in select tumor types. Our second oncology product, navicixizumab, for the treatment of late line ovarian cancer, has completed a Phase 1 study and has been partnered with OncXerna Therapeutics, Inc., formerly Oncologie, Inc. Our rare disease product candidates are setrusumab for the treatment of OI and alvelestat for the treatment of severe AATD which is being investigated in an ongoing Phase 2 proof-of-concept study in the U.S. and Europe and expect to report top line data from this study in the second half of 2021. The FDA recently granted Rare Pediatric Disease designation to setrusumab for the treatment of OI. Following the completion of our Phase 2b ASTEROID study, both the FDA and the European Medicines Agency (“EMA”) have agreed on the principles of a design of a single Phase 3 pivotal pediatric study in OI and we plan to form a strategic partnership for the development of setrusumab prior to the initiation of a Phase 3 study.</w:t>
      </w:r>
    </w:p>
    <w:p>
      <w:pPr>
        <w:spacing w:after="0" w:line="204" w:lineRule="exact"/>
        <w:rPr>
          <w:sz w:val="20"/>
          <w:szCs w:val="20"/>
          <w:color w:val="auto"/>
        </w:rPr>
      </w:pPr>
    </w:p>
    <w:p>
      <w:pPr>
        <w:ind w:left="300" w:right="140" w:firstLine="426"/>
        <w:spacing w:after="0" w:line="238" w:lineRule="auto"/>
        <w:rPr>
          <w:sz w:val="20"/>
          <w:szCs w:val="20"/>
          <w:color w:val="auto"/>
        </w:rPr>
      </w:pPr>
      <w:r>
        <w:rPr>
          <w:rFonts w:ascii="Arial" w:cs="Arial" w:eastAsia="Arial" w:hAnsi="Arial"/>
          <w:sz w:val="18"/>
          <w:szCs w:val="18"/>
          <w:color w:val="auto"/>
        </w:rPr>
        <w:t>We plan to develop our product candidates for oncology and rare diseases through the next key clinical milestone and then partner or in selected cases to develop through regulatory approval and potentially commercialization. We plan to partner or sell our other two product candidates (which do not target oncology or rare diseases), acumapimod for the treatment of AECOPD and leflutrozole for the treatment of infertility and HH in obese men, recognizing the need for greater resources to take these product candidates to market.</w:t>
      </w:r>
    </w:p>
    <w:p>
      <w:pPr>
        <w:spacing w:after="0" w:line="202"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Our strategy is selectively to acquire and develop product candidates for oncology and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through asset purchases or exclusive licenses of certain intellectual property rights, six clinical-stage product candidates four of which were in oncology and rare diseases. We acquired four of these six clinical-stage product candidates from large pharmaceutical companies and acquired two in the Merger. We aim to efficiently develop our product candidates through the clinic and have commenced or completed large, randomized Phase 2 clinical trials for four of our product candidates.</w:t>
      </w:r>
    </w:p>
    <w:p>
      <w:pPr>
        <w:spacing w:after="0" w:line="203" w:lineRule="exact"/>
        <w:rPr>
          <w:sz w:val="20"/>
          <w:szCs w:val="20"/>
          <w:color w:val="auto"/>
        </w:rPr>
      </w:pPr>
    </w:p>
    <w:p>
      <w:pPr>
        <w:ind w:left="300" w:right="60" w:firstLine="426"/>
        <w:spacing w:after="0" w:line="238" w:lineRule="auto"/>
        <w:rPr>
          <w:sz w:val="20"/>
          <w:szCs w:val="20"/>
          <w:color w:val="auto"/>
        </w:rPr>
      </w:pPr>
      <w:r>
        <w:rPr>
          <w:rFonts w:ascii="Arial" w:cs="Arial" w:eastAsia="Arial" w:hAnsi="Arial"/>
          <w:sz w:val="18"/>
          <w:szCs w:val="18"/>
          <w:color w:val="auto"/>
        </w:rPr>
        <w:t>Oncology and 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oncology and rare diseases both involve close collaboration with key opinion leaders and investigators. Development of rare disease products generally involves close coordination with the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00"/>
          </w:cols>
          <w:pgMar w:left="320" w:top="459" w:right="6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590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6998970" cy="525907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700"/>
        <w:spacing w:after="0" w:line="246" w:lineRule="auto"/>
        <w:rPr>
          <w:sz w:val="20"/>
          <w:szCs w:val="20"/>
          <w:color w:val="auto"/>
        </w:rPr>
      </w:pPr>
      <w:r>
        <w:rPr>
          <w:rFonts w:ascii="Arial" w:cs="Arial" w:eastAsia="Arial" w:hAnsi="Arial"/>
          <w:sz w:val="18"/>
          <w:szCs w:val="18"/>
          <w:color w:val="auto"/>
        </w:rPr>
        <w:t>patient organizations and patients are treated at a limited number of specialized sites which helps identification of the patient population and enables a small targeted sales infrastructure to commercialize the products in key markets.</w:t>
      </w:r>
    </w:p>
    <w:p>
      <w:pPr>
        <w:spacing w:after="0" w:line="197"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7"/>
          <w:szCs w:val="17"/>
          <w:color w:val="auto"/>
        </w:rPr>
        <w:t>Our team has extensive experience in the pharmaceutical and biotechnology sector in the identification, acquisition, development, manufacturing and commercialization of product candidates in multiple therapeutic areas. Our senior management has long-standing relationships with senior executives of large pharmaceutical and biotechnology companies which we believe enhances our ability to form strategic partnerships on our product candidates and to identify and acquire additional product candidates.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w:t>
      </w:r>
    </w:p>
    <w:p>
      <w:pPr>
        <w:spacing w:after="0" w:line="126" w:lineRule="exact"/>
        <w:rPr>
          <w:sz w:val="20"/>
          <w:szCs w:val="20"/>
          <w:color w:val="auto"/>
        </w:rPr>
      </w:pPr>
    </w:p>
    <w:p>
      <w:pPr>
        <w:ind w:left="300" w:right="100" w:firstLine="426"/>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(the “JOBS Act”). As an emerging growth company we have chosen to take advantage of certain exemptions from various reporting requirements that are applicable to other publicly traded entities that are not emerging growth companies. These exemptions include:</w:t>
      </w:r>
    </w:p>
    <w:p>
      <w:pPr>
        <w:spacing w:after="0" w:line="72" w:lineRule="exact"/>
        <w:rPr>
          <w:sz w:val="20"/>
          <w:szCs w:val="20"/>
          <w:color w:val="auto"/>
        </w:rPr>
      </w:pPr>
    </w:p>
    <w:p>
      <w:pPr>
        <w:ind w:left="1120" w:hanging="407"/>
        <w:spacing w:after="0"/>
        <w:tabs>
          <w:tab w:leader="none" w:pos="112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26" w:lineRule="exact"/>
        <w:rPr>
          <w:rFonts w:ascii="MS PGothic" w:cs="MS PGothic" w:eastAsia="MS PGothic" w:hAnsi="MS PGothic"/>
          <w:sz w:val="25"/>
          <w:szCs w:val="25"/>
          <w:color w:val="auto"/>
          <w:vertAlign w:val="superscript"/>
        </w:rPr>
      </w:pPr>
    </w:p>
    <w:p>
      <w:pPr>
        <w:ind w:left="1120" w:hanging="407"/>
        <w:spacing w:after="0" w:line="223" w:lineRule="auto"/>
        <w:tabs>
          <w:tab w:leader="none" w:pos="112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8" w:lineRule="exact"/>
        <w:rPr>
          <w:rFonts w:ascii="MS PGothic" w:cs="MS PGothic" w:eastAsia="MS PGothic" w:hAnsi="MS PGothic"/>
          <w:sz w:val="25"/>
          <w:szCs w:val="25"/>
          <w:color w:val="auto"/>
          <w:vertAlign w:val="superscript"/>
        </w:rPr>
      </w:pPr>
    </w:p>
    <w:p>
      <w:pPr>
        <w:ind w:left="1120" w:right="100" w:hanging="407"/>
        <w:spacing w:after="0" w:line="218" w:lineRule="auto"/>
        <w:tabs>
          <w:tab w:leader="none" w:pos="112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submit certain executive compensation matters to shareholder advisory votes, such as “say-on-pay,” “say-on-frequency,” and “say-on-golden parachutes;” and</w:t>
      </w:r>
    </w:p>
    <w:p>
      <w:pPr>
        <w:spacing w:after="0" w:line="27" w:lineRule="exact"/>
        <w:rPr>
          <w:rFonts w:ascii="MS PGothic" w:cs="MS PGothic" w:eastAsia="MS PGothic" w:hAnsi="MS PGothic"/>
          <w:sz w:val="25"/>
          <w:szCs w:val="25"/>
          <w:color w:val="auto"/>
          <w:vertAlign w:val="superscript"/>
        </w:rPr>
      </w:pPr>
    </w:p>
    <w:p>
      <w:pPr>
        <w:ind w:left="1120" w:right="360" w:hanging="407"/>
        <w:spacing w:after="0" w:line="223" w:lineRule="auto"/>
        <w:tabs>
          <w:tab w:leader="none" w:pos="112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204" w:lineRule="exact"/>
        <w:rPr>
          <w:sz w:val="20"/>
          <w:szCs w:val="20"/>
          <w:color w:val="auto"/>
        </w:rPr>
      </w:pPr>
    </w:p>
    <w:p>
      <w:pPr>
        <w:ind w:left="300" w:right="140" w:firstLine="426"/>
        <w:spacing w:after="0" w:line="234" w:lineRule="auto"/>
        <w:rPr>
          <w:sz w:val="20"/>
          <w:szCs w:val="20"/>
          <w:color w:val="auto"/>
        </w:rPr>
      </w:pPr>
      <w:r>
        <w:rPr>
          <w:rFonts w:ascii="Arial" w:cs="Arial" w:eastAsia="Arial" w:hAnsi="Arial"/>
          <w:sz w:val="18"/>
          <w:szCs w:val="18"/>
          <w:color w:val="auto"/>
        </w:rPr>
        <w:t>We may take advantage of these provisions until the earliest of: (i) the last day of the first fiscal year in which our annual gross revenues exceed $1.07 billion; (ii) the last day of 2024; (iii) the date that we become a “large accelerated filer” as defined in Rule 12b-2 under the Exchange Act, which would occur if the market value of our common equity held by non-affiliates exceeds</w:t>
      </w:r>
    </w:p>
    <w:p>
      <w:pPr>
        <w:spacing w:after="0" w:line="2" w:lineRule="exact"/>
        <w:rPr>
          <w:sz w:val="20"/>
          <w:szCs w:val="20"/>
          <w:color w:val="auto"/>
        </w:rPr>
      </w:pPr>
    </w:p>
    <w:p>
      <w:pPr>
        <w:ind w:left="300" w:right="500"/>
        <w:spacing w:after="0" w:line="246" w:lineRule="auto"/>
        <w:rPr>
          <w:sz w:val="20"/>
          <w:szCs w:val="20"/>
          <w:color w:val="auto"/>
        </w:rPr>
      </w:pPr>
      <w:r>
        <w:rPr>
          <w:rFonts w:ascii="Arial" w:cs="Arial" w:eastAsia="Arial" w:hAnsi="Arial"/>
          <w:sz w:val="18"/>
          <w:szCs w:val="18"/>
          <w:color w:val="auto"/>
        </w:rPr>
        <w:t>$700 million as of the last business day of our most recently completed second fiscal quarter; or (iv) the date on which we have issued more than $1.0 billion in non-convertible debt securities during any three-year period.</w:t>
      </w:r>
    </w:p>
    <w:p>
      <w:pPr>
        <w:spacing w:after="0" w:line="197" w:lineRule="exact"/>
        <w:rPr>
          <w:sz w:val="20"/>
          <w:szCs w:val="20"/>
          <w:color w:val="auto"/>
        </w:rPr>
      </w:pPr>
    </w:p>
    <w:p>
      <w:pPr>
        <w:ind w:left="300" w:right="160" w:firstLine="426"/>
        <w:spacing w:after="0" w:line="246" w:lineRule="auto"/>
        <w:rPr>
          <w:sz w:val="20"/>
          <w:szCs w:val="20"/>
          <w:color w:val="auto"/>
        </w:rPr>
      </w:pPr>
      <w:r>
        <w:rPr>
          <w:rFonts w:ascii="Arial" w:cs="Arial" w:eastAsia="Arial" w:hAnsi="Arial"/>
          <w:sz w:val="18"/>
          <w:szCs w:val="18"/>
          <w:color w:val="auto"/>
        </w:rPr>
        <w:t>As a result, we do not know if some investors will find our ADSs less attractive. The result may be a less active trading market for our ADSs, and the price of our ADSs may become more volatile.</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Private Issuer</w:t>
      </w:r>
    </w:p>
    <w:p>
      <w:pPr>
        <w:spacing w:after="0" w:line="126" w:lineRule="exact"/>
        <w:rPr>
          <w:sz w:val="20"/>
          <w:szCs w:val="20"/>
          <w:color w:val="auto"/>
        </w:rPr>
      </w:pPr>
    </w:p>
    <w:p>
      <w:pPr>
        <w:ind w:left="300" w:right="40" w:firstLine="426"/>
        <w:spacing w:after="0" w:line="246" w:lineRule="auto"/>
        <w:rPr>
          <w:sz w:val="20"/>
          <w:szCs w:val="20"/>
          <w:color w:val="auto"/>
        </w:rPr>
      </w:pPr>
      <w:r>
        <w:rPr>
          <w:rFonts w:ascii="Arial" w:cs="Arial" w:eastAsia="Arial" w:hAnsi="Arial"/>
          <w:sz w:val="18"/>
          <w:szCs w:val="18"/>
          <w:color w:val="auto"/>
        </w:rPr>
        <w:t>We report under the Exchange Act as a non-U.S. company with foreign private issuer status. Even after we no longer qualify as an emerging growth company, as long as we qualify as a foreign private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880"/>
          </w:cols>
          <w:pgMar w:left="320" w:top="459" w:right="6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8017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6998970" cy="38017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260"/>
        <w:spacing w:after="0" w:line="246" w:lineRule="auto"/>
        <w:rPr>
          <w:sz w:val="20"/>
          <w:szCs w:val="20"/>
          <w:color w:val="auto"/>
        </w:rPr>
      </w:pPr>
      <w:r>
        <w:rPr>
          <w:rFonts w:ascii="Arial" w:cs="Arial" w:eastAsia="Arial" w:hAnsi="Arial"/>
          <w:sz w:val="18"/>
          <w:szCs w:val="18"/>
          <w:color w:val="auto"/>
        </w:rPr>
        <w:t>issuer under the Exchange Act we will be exempt from certain provisions of the Exchange Act that are applicable to U.S. domestic public companies, including:</w:t>
      </w:r>
    </w:p>
    <w:p>
      <w:pPr>
        <w:spacing w:after="0" w:line="224" w:lineRule="exact"/>
        <w:rPr>
          <w:sz w:val="20"/>
          <w:szCs w:val="20"/>
          <w:color w:val="auto"/>
        </w:rPr>
      </w:pPr>
    </w:p>
    <w:p>
      <w:pPr>
        <w:ind w:left="1120" w:right="240" w:hanging="407"/>
        <w:spacing w:after="0" w:line="218" w:lineRule="auto"/>
        <w:tabs>
          <w:tab w:leader="none" w:pos="112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7" w:lineRule="exact"/>
        <w:rPr>
          <w:rFonts w:ascii="MS PGothic" w:cs="MS PGothic" w:eastAsia="MS PGothic" w:hAnsi="MS PGothic"/>
          <w:sz w:val="25"/>
          <w:szCs w:val="25"/>
          <w:color w:val="auto"/>
          <w:vertAlign w:val="superscript"/>
        </w:rPr>
      </w:pPr>
    </w:p>
    <w:p>
      <w:pPr>
        <w:ind w:left="1120" w:right="140" w:hanging="407"/>
        <w:spacing w:after="0" w:line="218" w:lineRule="auto"/>
        <w:tabs>
          <w:tab w:leader="none" w:pos="112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27" w:lineRule="exact"/>
        <w:rPr>
          <w:rFonts w:ascii="MS PGothic" w:cs="MS PGothic" w:eastAsia="MS PGothic" w:hAnsi="MS PGothic"/>
          <w:sz w:val="25"/>
          <w:szCs w:val="25"/>
          <w:color w:val="auto"/>
          <w:vertAlign w:val="superscript"/>
        </w:rPr>
      </w:pPr>
    </w:p>
    <w:p>
      <w:pPr>
        <w:ind w:left="1120" w:hanging="407"/>
        <w:spacing w:after="0" w:line="229" w:lineRule="auto"/>
        <w:tabs>
          <w:tab w:leader="none" w:pos="1120" w:val="left"/>
        </w:tabs>
        <w:numPr>
          <w:ilvl w:val="0"/>
          <w:numId w:val="47"/>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203" w:lineRule="exact"/>
        <w:rPr>
          <w:sz w:val="20"/>
          <w:szCs w:val="20"/>
          <w:color w:val="auto"/>
        </w:rPr>
      </w:pPr>
    </w:p>
    <w:p>
      <w:pPr>
        <w:ind w:left="300" w:right="300" w:firstLine="426"/>
        <w:spacing w:after="0" w:line="238"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5" w:lineRule="exact"/>
        <w:rPr>
          <w:sz w:val="20"/>
          <w:szCs w:val="20"/>
          <w:color w:val="auto"/>
        </w:rPr>
      </w:pPr>
    </w:p>
    <w:p>
      <w:pPr>
        <w:jc w:val="both"/>
        <w:ind w:left="300" w:right="100" w:firstLine="426"/>
        <w:spacing w:after="0"/>
        <w:rPr>
          <w:sz w:val="20"/>
          <w:szCs w:val="20"/>
          <w:color w:val="auto"/>
        </w:rPr>
      </w:pPr>
      <w:r>
        <w:rPr>
          <w:rFonts w:ascii="Arial" w:cs="Arial" w:eastAsia="Arial" w:hAnsi="Arial"/>
          <w:sz w:val="18"/>
          <w:szCs w:val="18"/>
          <w:color w:val="auto"/>
        </w:rPr>
        <w:t>As a foreign private issuer, we are permitted to follow the corporate governance practices of our home country in lieu of certain provisions of the Nasdaq. We therefore follow U.K. corporate governance practices in lieu of certain Nasdaq corporate governance requirements including the requirement to seek shareholder approval for a specified issuance of securities.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left="300" w:right="220" w:firstLine="426"/>
        <w:spacing w:after="0" w:line="237"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registered office address is Fourth Floor, One Cavendish Place, London, W1G 0QF, United Kingdom and our telephone number is +44 (0) 33 3023 7300. Our website address is www.mereobiopharma.com. The information contained on, or that can be accessed from, our website does not form part of this prospectus supplement. Our agent for service of process in the United States is Mereo US Holdings Inc.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880"/>
          </w:cols>
          <w:pgMar w:left="320" w:top="459" w:right="6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00" w:type="dxa"/>
            <w:vAlign w:val="bottom"/>
            <w:tcBorders>
              <w:top w:val="single" w:sz="8" w:color="auto"/>
              <w:left w:val="single" w:sz="8" w:color="auto"/>
            </w:tcBorders>
          </w:tcPr>
          <w:p>
            <w:pPr>
              <w:spacing w:after="0"/>
              <w:rPr>
                <w:sz w:val="24"/>
                <w:szCs w:val="24"/>
                <w:color w:val="auto"/>
              </w:rPr>
            </w:pPr>
          </w:p>
        </w:tc>
        <w:tc>
          <w:tcPr>
            <w:tcW w:w="692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THE OFFERING</w:t>
            </w:r>
          </w:p>
        </w:tc>
      </w:tr>
      <w:tr>
        <w:trPr>
          <w:trHeight w:val="445"/>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ADSs Offered by Us</w:t>
            </w:r>
          </w:p>
        </w:tc>
        <w:tc>
          <w:tcPr>
            <w:tcW w:w="69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ADSs having an aggregate offering price of up to $50,000,000.</w:t>
            </w:r>
          </w:p>
        </w:tc>
      </w:tr>
      <w:tr>
        <w:trPr>
          <w:trHeight w:val="445"/>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Manner of Offering</w:t>
            </w:r>
          </w:p>
        </w:tc>
        <w:tc>
          <w:tcPr>
            <w:tcW w:w="69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“At the market” offering that may be made from time to time through</w:t>
            </w:r>
          </w:p>
        </w:tc>
      </w:tr>
      <w:tr>
        <w:trPr>
          <w:trHeight w:val="217"/>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our sales agent, SVB Leerink LLC. See “Plan of Distribution.”</w:t>
            </w:r>
          </w:p>
        </w:tc>
      </w:tr>
      <w:tr>
        <w:trPr>
          <w:trHeight w:val="431"/>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Use of Proceeds</w:t>
            </w:r>
          </w:p>
        </w:tc>
        <w:tc>
          <w:tcPr>
            <w:tcW w:w="69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We intend to use the net proceeds from this offering, if any, for</w:t>
            </w:r>
          </w:p>
        </w:tc>
      </w:tr>
      <w:tr>
        <w:trPr>
          <w:trHeight w:val="203"/>
        </w:trPr>
        <w:tc>
          <w:tcPr>
            <w:tcW w:w="4100" w:type="dxa"/>
            <w:vAlign w:val="bottom"/>
            <w:tcBorders>
              <w:left w:val="single" w:sz="8" w:color="auto"/>
            </w:tcBorders>
          </w:tcPr>
          <w:p>
            <w:pPr>
              <w:spacing w:after="0"/>
              <w:rPr>
                <w:sz w:val="17"/>
                <w:szCs w:val="17"/>
                <w:color w:val="auto"/>
              </w:rPr>
            </w:pPr>
          </w:p>
        </w:tc>
        <w:tc>
          <w:tcPr>
            <w:tcW w:w="6920" w:type="dxa"/>
            <w:vAlign w:val="bottom"/>
            <w:tcBorders>
              <w:right w:val="single" w:sz="8" w:color="auto"/>
            </w:tcBorders>
          </w:tcPr>
          <w:p>
            <w:pPr>
              <w:ind w:left="1280"/>
              <w:spacing w:after="0" w:line="202" w:lineRule="exact"/>
              <w:rPr>
                <w:sz w:val="20"/>
                <w:szCs w:val="20"/>
                <w:color w:val="auto"/>
              </w:rPr>
            </w:pPr>
            <w:r>
              <w:rPr>
                <w:rFonts w:ascii="Arial" w:cs="Arial" w:eastAsia="Arial" w:hAnsi="Arial"/>
                <w:sz w:val="18"/>
                <w:szCs w:val="18"/>
                <w:color w:val="auto"/>
              </w:rPr>
              <w:t>general corporate purposes, which may include research and</w:t>
            </w:r>
          </w:p>
        </w:tc>
      </w:tr>
      <w:tr>
        <w:trPr>
          <w:trHeight w:val="203"/>
        </w:trPr>
        <w:tc>
          <w:tcPr>
            <w:tcW w:w="4100" w:type="dxa"/>
            <w:vAlign w:val="bottom"/>
            <w:tcBorders>
              <w:left w:val="single" w:sz="8" w:color="auto"/>
            </w:tcBorders>
          </w:tcPr>
          <w:p>
            <w:pPr>
              <w:spacing w:after="0"/>
              <w:rPr>
                <w:sz w:val="17"/>
                <w:szCs w:val="17"/>
                <w:color w:val="auto"/>
              </w:rPr>
            </w:pPr>
          </w:p>
        </w:tc>
        <w:tc>
          <w:tcPr>
            <w:tcW w:w="6920" w:type="dxa"/>
            <w:vAlign w:val="bottom"/>
            <w:tcBorders>
              <w:right w:val="single" w:sz="8" w:color="auto"/>
            </w:tcBorders>
          </w:tcPr>
          <w:p>
            <w:pPr>
              <w:ind w:left="1280"/>
              <w:spacing w:after="0" w:line="202" w:lineRule="exact"/>
              <w:rPr>
                <w:sz w:val="20"/>
                <w:szCs w:val="20"/>
                <w:color w:val="auto"/>
              </w:rPr>
            </w:pPr>
            <w:r>
              <w:rPr>
                <w:rFonts w:ascii="Arial" w:cs="Arial" w:eastAsia="Arial" w:hAnsi="Arial"/>
                <w:sz w:val="18"/>
                <w:szCs w:val="18"/>
                <w:color w:val="auto"/>
              </w:rPr>
              <w:t>development expenses, working capital and general and</w:t>
            </w:r>
          </w:p>
        </w:tc>
      </w:tr>
      <w:tr>
        <w:trPr>
          <w:trHeight w:val="217"/>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administrative expenses. See “Use of Proceeds.”</w:t>
            </w:r>
          </w:p>
        </w:tc>
      </w:tr>
      <w:tr>
        <w:trPr>
          <w:trHeight w:val="431"/>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Risk Factors</w:t>
            </w:r>
          </w:p>
        </w:tc>
        <w:tc>
          <w:tcPr>
            <w:tcW w:w="69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You should read the “Risk Factors” section of this prospectus</w:t>
            </w:r>
          </w:p>
        </w:tc>
      </w:tr>
      <w:tr>
        <w:trPr>
          <w:trHeight w:val="203"/>
        </w:trPr>
        <w:tc>
          <w:tcPr>
            <w:tcW w:w="4100" w:type="dxa"/>
            <w:vAlign w:val="bottom"/>
            <w:tcBorders>
              <w:left w:val="single" w:sz="8" w:color="auto"/>
            </w:tcBorders>
          </w:tcPr>
          <w:p>
            <w:pPr>
              <w:spacing w:after="0"/>
              <w:rPr>
                <w:sz w:val="17"/>
                <w:szCs w:val="17"/>
                <w:color w:val="auto"/>
              </w:rPr>
            </w:pPr>
          </w:p>
        </w:tc>
        <w:tc>
          <w:tcPr>
            <w:tcW w:w="6920" w:type="dxa"/>
            <w:vAlign w:val="bottom"/>
            <w:tcBorders>
              <w:right w:val="single" w:sz="8" w:color="auto"/>
            </w:tcBorders>
          </w:tcPr>
          <w:p>
            <w:pPr>
              <w:ind w:left="1280"/>
              <w:spacing w:after="0" w:line="202" w:lineRule="exact"/>
              <w:rPr>
                <w:sz w:val="20"/>
                <w:szCs w:val="20"/>
                <w:color w:val="auto"/>
              </w:rPr>
            </w:pPr>
            <w:r>
              <w:rPr>
                <w:rFonts w:ascii="Arial" w:cs="Arial" w:eastAsia="Arial" w:hAnsi="Arial"/>
                <w:sz w:val="18"/>
                <w:szCs w:val="18"/>
                <w:color w:val="auto"/>
              </w:rPr>
              <w:t>supplement for a discussion of factors to consider carefully before</w:t>
            </w:r>
          </w:p>
        </w:tc>
      </w:tr>
      <w:tr>
        <w:trPr>
          <w:trHeight w:val="217"/>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deciding to purchase our ADSs.</w:t>
            </w:r>
          </w:p>
        </w:tc>
      </w:tr>
      <w:tr>
        <w:trPr>
          <w:trHeight w:val="446"/>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Nasdaq Global Select Market Symbol</w:t>
            </w:r>
          </w:p>
        </w:tc>
        <w:tc>
          <w:tcPr>
            <w:tcW w:w="69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MREO</w:t>
            </w:r>
          </w:p>
        </w:tc>
      </w:tr>
      <w:tr>
        <w:trPr>
          <w:trHeight w:val="240"/>
        </w:trPr>
        <w:tc>
          <w:tcPr>
            <w:tcW w:w="4100" w:type="dxa"/>
            <w:vAlign w:val="bottom"/>
            <w:tcBorders>
              <w:left w:val="single" w:sz="8" w:color="auto"/>
              <w:bottom w:val="single" w:sz="8" w:color="auto"/>
            </w:tcBorders>
          </w:tcPr>
          <w:p>
            <w:pPr>
              <w:spacing w:after="0"/>
              <w:rPr>
                <w:sz w:val="20"/>
                <w:szCs w:val="20"/>
                <w:color w:val="auto"/>
              </w:rPr>
            </w:pPr>
          </w:p>
        </w:tc>
        <w:tc>
          <w:tcPr>
            <w:tcW w:w="6920" w:type="dxa"/>
            <w:vAlign w:val="bottom"/>
            <w:tcBorders>
              <w:bottom w:val="single" w:sz="8" w:color="auto"/>
              <w:right w:val="single" w:sz="8" w:color="auto"/>
            </w:tcBorders>
          </w:tcPr>
          <w:p>
            <w:pPr>
              <w:spacing w:after="0"/>
              <w:rPr>
                <w:sz w:val="20"/>
                <w:szCs w:val="20"/>
                <w:color w:val="auto"/>
              </w:rPr>
            </w:pPr>
          </w:p>
        </w:tc>
      </w:tr>
      <w:tr>
        <w:trPr>
          <w:trHeight w:val="604"/>
        </w:trPr>
        <w:tc>
          <w:tcPr>
            <w:tcW w:w="4100" w:type="dxa"/>
            <w:vAlign w:val="bottom"/>
          </w:tcPr>
          <w:p>
            <w:pPr>
              <w:spacing w:after="0"/>
              <w:rPr>
                <w:sz w:val="24"/>
                <w:szCs w:val="24"/>
                <w:color w:val="auto"/>
              </w:rPr>
            </w:pPr>
          </w:p>
        </w:tc>
        <w:tc>
          <w:tcPr>
            <w:tcW w:w="6920" w:type="dxa"/>
            <w:vAlign w:val="bottom"/>
          </w:tcPr>
          <w:p>
            <w:pPr>
              <w:ind w:left="1260"/>
              <w:spacing w:after="0"/>
              <w:rPr>
                <w:sz w:val="20"/>
                <w:szCs w:val="20"/>
                <w:color w:val="auto"/>
              </w:rPr>
            </w:pPr>
            <w:r>
              <w:rPr>
                <w:rFonts w:ascii="Arial" w:cs="Arial" w:eastAsia="Arial" w:hAnsi="Arial"/>
                <w:sz w:val="18"/>
                <w:szCs w:val="18"/>
                <w:color w:val="auto"/>
              </w:rPr>
              <w:t>S-7</w:t>
            </w:r>
          </w:p>
        </w:tc>
      </w:tr>
    </w:tbl>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34"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Investing in our securities involves significant risks. Before making an investment decision, you should carefully consider the risks described under “Risk Factors” under Item 3.D. – “Risk Factors” in our most recent Annual Report on Form 20-F, and any updates in our Reports on Form 6-K, together with all of the other information appearing in this prospectus supplement, the accompanying prospectus or incorporated by reference into this prospectus supplement,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 supplement and the accompanying prospectus.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ADSs</w:t>
      </w:r>
    </w:p>
    <w:p>
      <w:pPr>
        <w:spacing w:after="0" w:line="104"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b w:val="1"/>
          <w:bCs w:val="1"/>
          <w:i w:val="1"/>
          <w:iCs w:val="1"/>
          <w:color w:val="auto"/>
        </w:rPr>
        <w:t>The market price for ADSs and the underlying ordinary shares may be volatile and may decline regardless of our operating performance, and the value of your investment could materially decline.</w:t>
      </w:r>
    </w:p>
    <w:p>
      <w:pPr>
        <w:spacing w:after="0" w:line="68" w:lineRule="exact"/>
        <w:rPr>
          <w:sz w:val="20"/>
          <w:szCs w:val="20"/>
          <w:color w:val="auto"/>
        </w:rPr>
      </w:pPr>
    </w:p>
    <w:p>
      <w:pPr>
        <w:ind w:left="120" w:right="1000" w:firstLine="440"/>
        <w:spacing w:after="0" w:line="246" w:lineRule="auto"/>
        <w:rPr>
          <w:sz w:val="20"/>
          <w:szCs w:val="20"/>
          <w:color w:val="auto"/>
        </w:rPr>
      </w:pPr>
      <w:r>
        <w:rPr>
          <w:rFonts w:ascii="Arial" w:cs="Arial" w:eastAsia="Arial" w:hAnsi="Arial"/>
          <w:sz w:val="18"/>
          <w:szCs w:val="18"/>
          <w:color w:val="auto"/>
        </w:rPr>
        <w:t>The trading price of ADSs may fluctuate, and the trading price of ordinary shares on AIM is likely to continue to fluctuate, substantially.</w:t>
      </w:r>
    </w:p>
    <w:p>
      <w:pPr>
        <w:spacing w:after="0" w:line="197"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The market price of ADSs and ordinary shares may fluctuate significantly in response to numerous factors, many of which are beyond our control, including:</w:t>
      </w:r>
    </w:p>
    <w:p>
      <w:pPr>
        <w:spacing w:after="0" w:line="188" w:lineRule="exact"/>
        <w:rPr>
          <w:sz w:val="20"/>
          <w:szCs w:val="20"/>
          <w:color w:val="auto"/>
        </w:rPr>
      </w:pPr>
    </w:p>
    <w:p>
      <w:pPr>
        <w:ind w:left="980" w:hanging="432"/>
        <w:spacing w:after="0"/>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positive or negative results from, or delays in, testing or clinical trials conducted by our or our competitors;</w:t>
      </w:r>
    </w:p>
    <w:p>
      <w:pPr>
        <w:spacing w:after="0" w:line="26" w:lineRule="exact"/>
        <w:rPr>
          <w:rFonts w:ascii="MS PGothic" w:cs="MS PGothic" w:eastAsia="MS PGothic" w:hAnsi="MS PGothic"/>
          <w:sz w:val="25"/>
          <w:szCs w:val="25"/>
          <w:color w:val="auto"/>
          <w:vertAlign w:val="superscript"/>
        </w:rPr>
      </w:pPr>
    </w:p>
    <w:p>
      <w:pPr>
        <w:ind w:left="980" w:right="32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entering into strategic relationships with respect to development or commercialization of our product candidates or entry into strategic relationships on terms that are not deemed to be favorable to us;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technological innovations or commercial product introductions by us or competitors;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government regulations;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developments concerning proprietary rights, including patents and litigation matters;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impact of public health epidemics, such as the ongoing COVID-19 pandemic, and government efforts to slow their spread;</w:t>
      </w:r>
    </w:p>
    <w:p>
      <w:pPr>
        <w:spacing w:after="0" w:line="26" w:lineRule="exact"/>
        <w:rPr>
          <w:rFonts w:ascii="MS PGothic" w:cs="MS PGothic" w:eastAsia="MS PGothic" w:hAnsi="MS PGothic"/>
          <w:sz w:val="25"/>
          <w:szCs w:val="25"/>
          <w:color w:val="auto"/>
          <w:vertAlign w:val="superscript"/>
        </w:rPr>
      </w:pPr>
    </w:p>
    <w:p>
      <w:pPr>
        <w:ind w:left="980" w:right="20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economic, public health, financial or geopolitical events that affect us or the financial markets generally, including the duration and severity of the impact of the ongoing COVID-19 pandemic;</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 concern relating to the commercial value or safety of our product candidates;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financing or other corporate transactions;</w:t>
      </w:r>
    </w:p>
    <w:p>
      <w:pPr>
        <w:spacing w:after="0" w:line="26" w:lineRule="exact"/>
        <w:rPr>
          <w:rFonts w:ascii="MS PGothic" w:cs="MS PGothic" w:eastAsia="MS PGothic" w:hAnsi="MS PGothic"/>
          <w:sz w:val="25"/>
          <w:szCs w:val="25"/>
          <w:color w:val="auto"/>
          <w:vertAlign w:val="superscript"/>
        </w:rPr>
      </w:pPr>
    </w:p>
    <w:p>
      <w:pPr>
        <w:ind w:left="980" w:right="80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publication of research reports or comments by securities or industry analysts, and variances in our periodic results of operations from securities analysts’ estimates;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general market conditions in the biopharmaceutical and pharmaceutical industries or in the economy as a whole;</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loss of any of our key scientific or senior management personnel;</w:t>
      </w:r>
    </w:p>
    <w:p>
      <w:pPr>
        <w:spacing w:after="0" w:line="26"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our ADSs or ordinary shares by us, our senior management and board members, holders of ADSs or our other security holders in the future, including the 214,206,105 ordinary shares issued in a recent private placement;</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80" w:hanging="432"/>
        <w:spacing w:after="0"/>
        <w:tabs>
          <w:tab w:leader="none" w:pos="98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actions by institutional shareholders;</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speculation in the press or the investment community; or</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events and factors, many of which are beyond our control.</w:t>
      </w:r>
    </w:p>
    <w:p>
      <w:pPr>
        <w:spacing w:after="0" w:line="2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These and other market and industry factors may cause the market price and demand for our ADSs to fluctuate substantially, regardless of our actual operating performance, which may limit or prevent investors from readily selling ADSs or ordinary shares and may otherwise negatively affect the liquidity of ADSs and ordinary shares.</w:t>
      </w:r>
    </w:p>
    <w:p>
      <w:pPr>
        <w:spacing w:after="0" w:line="203"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In addition, the stock market in general, and emerging companies in particular, have experienced significant price and volume fluctuations that often have been unrelated to the operating performance of the companies affected by these fluctuations. These broad market fluctuations may adversely affect the trading price of ADSs and ordinary shares, regardless of our operating performance. Furthermore, the trading prices for our ADSs and the underlying ordinary shares as well as the ordinary shares of our competitors have been highly volatile as a result of the COVID-19 pandemic. In addition, a recession, depression or other sustained adverse market event resulting from the spread of COVID-19 could materially and adversely affect our business and the market price of our ADSs and ordinary shares.</w:t>
      </w:r>
    </w:p>
    <w:p>
      <w:pPr>
        <w:spacing w:after="0" w:line="20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the past in the United States, when the market price of a security has been volatile, holders of that security have often instituted securities class action litigation against the issuer of such securities. If any of the holders of ADSs or ordinary shares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ordinary shares or ADSs could depress the market price of ADSs.</w:t>
      </w:r>
    </w:p>
    <w:p>
      <w:pPr>
        <w:spacing w:after="0" w:line="126"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If holders of ordinary shares or ADSs sell, or indicate an intent to sell, substantial amounts of ordinary shares or ADSs in the public markets, the trading price of ADSs or ordinary shares could decline significantly. These sales might also make it more difficult for us to sell equity or equity-related securities at a time and price that we otherwise would deem appropriate.</w:t>
      </w:r>
    </w:p>
    <w:p>
      <w:pPr>
        <w:spacing w:after="0" w:line="181"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The dual listing of ordinary shares and ADSs is costly to maintain and may adversely affect the liquidity and value of ordinary shares and ADSs.</w:t>
      </w:r>
    </w:p>
    <w:p>
      <w:pPr>
        <w:spacing w:after="0" w:line="68"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ADSs are listed for trading on Nasdaq and our ordinary shares trade on AIM. Since April 24, 2019 we have maintained a dual listing, which has generated and will continue to generate additional costs, including significant legal, accounting, investor relations, and other expenses that we did not incur prior to April 24, 2019, in addition to the costs associated with the additional reporting requirements described elsewhere in our most recent Annual Report on Form 20-F. We cannot predict the effect of this dual listing on the value of our ADSs and ordinary shares. However, the dual listing of ADSs and ordinary shares may dilute the liquidity of these securities in one or both markets and may adversely affect the development of an active trading market for our ADSs. The price of our ADSs could also be adversely affected by trading in ordinary shares on AIM. In addition, the dual listing of ordinary shares and ADSs may cause the market price for ADSs and the underlying ordinary shares to fluctuate and decline regardless of our operating performance. See “—The market price for ADSs and the underlying ordinary shares may be volatile and may decline regardless of our operating performance, and the value of your investment could materially decline.” If in the future we do not continue to remain dual-listed, the process of terminating our listing on one exchange or the other may cause disruption in the trading of our securities and contribute to volatility in the trading prices of our securities.</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Fluctuations in the exchange rate between the U.S. dollar and the pound sterling may increase the risk of holding ADSs.</w:t>
      </w:r>
    </w:p>
    <w:p>
      <w:pPr>
        <w:spacing w:after="0" w:line="12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share price of ordinary shares is quoted on AIM in pence sterling, while our ADSs trade on Nasdaq in U.S. dollars. Fluctuations in the exchange rate between the U.S. dollar and the pound sterling may result in differences between the value of our ADSs and the value of ordinary shares, which may result in heavy trading by investors seeking to exploit such differences. In addition, as a result of fluctuations in the exchange rate between the U.S. dollar and the pound sterling, the U.S. dollar equivalent of the proceeds that a holder of our ADSs would receive upon the sale in the United Kingdom of any ordinary shares withdrawn from the depositary, and the U.S. dollar equivalent of any cash dividends paid in pound sterling on ordinary shares represented by our ADSs, could also decline.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be subject to limitations on the transfer of ADSs and the withdrawal of the underlying ordinary shares.</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ADSs are transferable on the books of the depositary. However, the depositary may close its books at any time or from time to time when the depositary, in good faith, determines such action is necessary or advisable pursuant to the deposit agreement. The depositary may refuse to deliver, transfer or register transfers of ADSs generally when our books or the books of the depositary are closed, or at any time if we or the depositary thinks it is necessary or advisable to do so because of any requirement of law, government or governmental body, or under any provision of the deposit agreement, or for any other reason, subject to your right to cancel your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because we are paying a dividend on our ordinary shares.</w:t>
      </w:r>
    </w:p>
    <w:p>
      <w:pPr>
        <w:spacing w:after="0" w:line="208"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In addition, you may not be able to cancel your ADSs and withdraw the underlying ordinary shares when you owe money for fees, taxes and similar charges to the depositary and when it is necessary to prohibit withdrawals in order to comply with any laws or governmental regulations that apply to our ADSs or to the withdrawal of our ordinary shares or other deposited securities.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26" w:lineRule="exact"/>
        <w:rPr>
          <w:sz w:val="20"/>
          <w:szCs w:val="20"/>
          <w:color w:val="auto"/>
        </w:rPr>
      </w:pPr>
    </w:p>
    <w:p>
      <w:pPr>
        <w:jc w:val="both"/>
        <w:ind w:left="120" w:right="380" w:firstLine="440"/>
        <w:spacing w:after="0"/>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U.K. Companies Act 2006, and by our Articles of Association (our “Articles”). These rights differ in certain respects from the rights of shareholders in typical U.S. corporations.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depositary for ADSs is entitled to charge holders fees for various services, including annual service fees.</w:t>
      </w:r>
    </w:p>
    <w:p>
      <w:pPr>
        <w:spacing w:after="0" w:line="12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depositary for ADSs is entitled to charge holders fees for various services including for the issuance of ADSs upon deposit of ordinary shares, cancellation of ADSs, distributions of cash dividends or other cash distributions, distributions of ADSs pursuant to share dividends or other free share distributions, distributions of securities other than ADSs and annual service fees. In the case of ADSs issued by the depositary into The Depository Trust Company (“DTC”), the fees will be charged by the DTC participant to the account of the applicable beneficial owner in accordance with the procedures and practices of the DTC participant as in effect at the time. The depositary for ADSs will not be responsible for any United Kingdom stamp duty or stamp duty reserve tax arising upon the issuance or transfer of ADSs. For a discussion of the United Kingdom stamp duty and stamp duty</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80"/>
        <w:spacing w:after="0" w:line="246" w:lineRule="auto"/>
        <w:rPr>
          <w:sz w:val="20"/>
          <w:szCs w:val="20"/>
          <w:color w:val="auto"/>
        </w:rPr>
      </w:pPr>
      <w:r>
        <w:rPr>
          <w:rFonts w:ascii="Arial" w:cs="Arial" w:eastAsia="Arial" w:hAnsi="Arial"/>
          <w:sz w:val="18"/>
          <w:szCs w:val="18"/>
          <w:color w:val="auto"/>
        </w:rPr>
        <w:t>reserve tax consequences of the issuance and transfer of ADSs, see “Material Tax Considerations— Stamp Duty and Stamp Duty Reserve Tax” in the accompanying prospectus.</w:t>
      </w:r>
    </w:p>
    <w:p>
      <w:pPr>
        <w:spacing w:after="0" w:line="175"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research or unfavorable research about our business, the price and trading volume of ordinary shares and ADSs could decline.</w:t>
      </w:r>
    </w:p>
    <w:p>
      <w:pPr>
        <w:spacing w:after="0" w:line="68" w:lineRule="exact"/>
        <w:rPr>
          <w:sz w:val="20"/>
          <w:szCs w:val="20"/>
          <w:color w:val="auto"/>
        </w:rPr>
      </w:pPr>
    </w:p>
    <w:p>
      <w:pPr>
        <w:ind w:left="120" w:firstLine="440"/>
        <w:spacing w:after="0" w:line="255" w:lineRule="auto"/>
        <w:rPr>
          <w:sz w:val="20"/>
          <w:szCs w:val="20"/>
          <w:color w:val="auto"/>
        </w:rPr>
      </w:pPr>
      <w:r>
        <w:rPr>
          <w:rFonts w:ascii="Arial" w:cs="Arial" w:eastAsia="Arial" w:hAnsi="Arial"/>
          <w:sz w:val="17"/>
          <w:szCs w:val="17"/>
          <w:color w:val="auto"/>
        </w:rPr>
        <w:t>The trading market for our ordinary shares and ADSs depends in part on the research and reports that securities or industry analysts publish about us or our business. If one or more of the analysts who covers us downgrades our ordinary shares or ADSs or publishes incorrect or unfavorable research about our business, the price of our ordinary shares and/or ADSs would likely decline. If one or more of these analysts ceases coverage of us or fails to publish reports on us regularly, or downgrades our ordinary shares or ADSs, demand for ADSs or ordinary shares could decrease, which could cause the price of ADSs and/or ordinary shares and/or trading volume to decline.</w:t>
      </w:r>
    </w:p>
    <w:p>
      <w:pPr>
        <w:spacing w:after="0" w:line="168"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i w:val="1"/>
          <w:iCs w:val="1"/>
          <w:color w:val="auto"/>
        </w:rPr>
        <w:t>Our ADS holders may not be entitled to a jury trial with respect to claims arising under the deposit agreement, which could result in less favorable results to the plaintiff(s) in any such action.</w:t>
      </w:r>
    </w:p>
    <w:p>
      <w:pPr>
        <w:spacing w:after="0" w:line="68"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deposit agreement governing our ADSs provides that holders and beneficial owners of ADSs irrevocably waive the right to a trial by jury in any legal proceeding arising out of or relating to the deposit agreement or our ADSs, including claims under U.S. federal securities laws, against us or the depositary to the fullest extent permitted by applicable law. If this jury trial waiver provision is prohibited by applicable law, an action could nevertheless proceed under the terms of the deposit agreement with a jury trial. Although we are not aware of a specific federal decision that addresses the enforceability of a jury trial waiver in the context of U.S. federal securities laws, it is our understanding that jury trial waivers are generally enforceable. Moreover, insofar as the deposit agreement is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our ADSs.</w:t>
      </w:r>
    </w:p>
    <w:p>
      <w:pPr>
        <w:spacing w:after="0" w:line="20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 condition, stipulation or provision of the deposit agreement or ADSs serves as a waiver by any holder or beneficial owner of ADSs or by us or the depositary of compliance with any provision of U.S. federal securities laws and the rules and regulations promulgated thereunder.</w:t>
      </w:r>
    </w:p>
    <w:p>
      <w:pPr>
        <w:spacing w:after="0" w:line="20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If any holder or beneficial owner of ADSs brings a claim against us or the depositary in connection with matters arising under the deposit agreement or our ADSs, including claims under U.S. federal securities laws, such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i w:val="1"/>
          <w:iCs w:val="1"/>
          <w:color w:val="auto"/>
        </w:rPr>
        <w:t>You may not receive distributions on ordinary shares represented by ADSs or any value for them if it is unlawful or impractical to make them available to holders of ADSs.</w:t>
      </w:r>
    </w:p>
    <w:p>
      <w:pPr>
        <w:spacing w:after="0" w:line="68"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Pursuant to the terms of the deposit agreement, the depositary for ADSs will distribute the cash dividends or other distributions it or the custodian receives on ordinary shares or other deposited securities after deducting its fees and expenses. You will receive these distributions in proportion to the number of ordinary shares your ADSs represent. However, in accordance with the limitations set forth in the deposit agreement, it may be unlawful or impractical to make a distribution available to holders of ADSs. We have no obligation to take any other action to permit the distribution of ADSs, ordinary shares, rights or anything else to holders of ADSs. This means that you may not receive the distributions we make on our ordinary shares or any value from them if it is unlawful or impractical to make them available to you. These restrictions may have a material adverse effect on the value of ADSs.</w:t>
      </w:r>
    </w:p>
    <w:p>
      <w:pPr>
        <w:spacing w:after="0" w:line="181"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It may be difficult for you to bring any action or enforce any judgment obtained in the United States against us or members of our Board, which may limit the remedies otherwise available to us.</w:t>
      </w:r>
    </w:p>
    <w:p>
      <w:pPr>
        <w:spacing w:after="0" w:line="68"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are incorporated as a public limited company in England and Wales, and the majority of our assets are located outside the United States. In addition, the majority of the members of our board of directors (our “Board”) are nationals and residents of countries, including the United Kingdom, outside of the United States. Most or all of the assets of these individuals are located outside the United States. As a result, it may be difficult or impossible for you to bring an action against us or against these individuals in the United States if you believe your rights have been infringed under the securities laws or otherwise. In addition, a United Kingdom court may prevent you from enforcing a judgment of a U.S. court against us or these individuals based on the securities laws of the United States or any state thereof. A United Kingdom court may not allow you to bring an action against us or our directors based on the securities laws of the United States or any state thereof.</w:t>
      </w:r>
    </w:p>
    <w:p>
      <w:pPr>
        <w:spacing w:after="0" w:line="186" w:lineRule="exact"/>
        <w:rPr>
          <w:sz w:val="20"/>
          <w:szCs w:val="20"/>
          <w:color w:val="auto"/>
        </w:rPr>
      </w:pPr>
    </w:p>
    <w:p>
      <w:pPr>
        <w:ind w:left="120" w:right="1040"/>
        <w:spacing w:after="0" w:line="271" w:lineRule="auto"/>
        <w:rPr>
          <w:sz w:val="20"/>
          <w:szCs w:val="20"/>
          <w:color w:val="auto"/>
        </w:rPr>
      </w:pPr>
      <w:r>
        <w:rPr>
          <w:rFonts w:ascii="Arial" w:cs="Arial" w:eastAsia="Arial" w:hAnsi="Arial"/>
          <w:sz w:val="18"/>
          <w:szCs w:val="18"/>
          <w:b w:val="1"/>
          <w:bCs w:val="1"/>
          <w:i w:val="1"/>
          <w:iCs w:val="1"/>
          <w:color w:val="auto"/>
        </w:rPr>
        <w:t>Shareholders in countries other than the United Kingdom will suffer dilution if they are unable to participate in future pre-emptive equity offerings.</w:t>
      </w:r>
    </w:p>
    <w:p>
      <w:pPr>
        <w:spacing w:after="0" w:line="68"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Under English law, shareholders (being those shareholders that are included in a company’s register of members as holders of the legal title to that company’s shares) usually have pre-emptive rights to subscribe on a pro rata basis in the issuance of new shares for cash. The exercise of those pre-emptive rights by certain shareholders not resident in the United Kingdom may be restricted by applicable law or practice in the United Kingdom and overseas jurisdictions. In particular, the exercise of pre-emptive rights by United States shareholders would be prohibited unless an offering is registered under the Securities Act or an exemption from the registration requirements of the Securities Act applies. Furthermore, under the deposit agreement for our ADSs, the depositary generally will not make available those pre-emptive rights to holders of ADSs unless certain conditions are met, including that the provision of such pre-emptive rights to the ADS holders is reasonably practicable. If no exemption applies and we determine not to register such offering, shareholders in the United States may not be able or permitted to exercise their pre-emptive rights. We are also permitted under English law to disapply pre-emptive rights (subject to the approval of our shareholders by special resolution or the inclusion in the articles of a power to disapply such rights) either generally or in relation to a specific allotment and thereby exclude certain shareholders, such as overseas shareholders, from participating in a rights offering (usually to avoid a breach of local securities laws).</w:t>
      </w:r>
    </w:p>
    <w:p>
      <w:pPr>
        <w:spacing w:after="0" w:line="182"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Holders of ADSs may not have the same voting rights as holders of ordinary shares and may not receive voting materials in time to be able to exercise their right to vote.</w:t>
      </w:r>
    </w:p>
    <w:p>
      <w:pPr>
        <w:spacing w:after="0" w:line="68"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Holders of ADSs are not able to exercise voting rights attaching to ordinary shares underlying our ADSs on an individual basis. Each holder of ADSs has appointed the depositary or its nominee as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61" w:lineRule="auto"/>
        <w:rPr>
          <w:sz w:val="20"/>
          <w:szCs w:val="20"/>
          <w:color w:val="auto"/>
        </w:rPr>
      </w:pPr>
      <w:r>
        <w:rPr>
          <w:rFonts w:ascii="Arial" w:cs="Arial" w:eastAsia="Arial" w:hAnsi="Arial"/>
          <w:sz w:val="17"/>
          <w:szCs w:val="17"/>
          <w:color w:val="auto"/>
        </w:rPr>
        <w:t>holder’s representative to exercise, pursuant to the instructions of the holder, the voting rights attaching to our ordinary shares underlying our ADSs. Holders of ADSs may not receive voting materials in time to instruct the depositary to vote, and it is possible that they, or persons who hold their ADSs through brokers, dealers or other third parties, will not have the opportunity to exercise a right to vote.</w:t>
      </w:r>
    </w:p>
    <w:p>
      <w:pPr>
        <w:spacing w:after="0" w:line="164" w:lineRule="exact"/>
        <w:rPr>
          <w:sz w:val="20"/>
          <w:szCs w:val="20"/>
          <w:color w:val="auto"/>
        </w:rPr>
      </w:pPr>
    </w:p>
    <w:p>
      <w:pPr>
        <w:ind w:left="120" w:right="900"/>
        <w:spacing w:after="0" w:line="27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ADSs or ordinary shares in the foreseeable future, capital appreciation, if any, will be your sole source of gains and you may never receive a return on your investment.</w:t>
      </w:r>
    </w:p>
    <w:p>
      <w:pPr>
        <w:spacing w:after="0" w:line="68"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Under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Further, we intend to retain future earnings, if any, for use in our business and do not anticipate paying any cash dividends in the foreseeable future. In addition, our credit facility prohibits us from paying dividends on our equity securities without Kreos’s consent, and any future debt agreements may likewise preclude us from paying dividends. As a result, capital appreciation, if any, on ADSs or ordinary shares will be your sole source of gains for the foreseeable future.</w:t>
      </w:r>
    </w:p>
    <w:p>
      <w:pPr>
        <w:spacing w:after="0" w:line="183"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b w:val="1"/>
          <w:bCs w:val="1"/>
          <w:i w:val="1"/>
          <w:iCs w:val="1"/>
          <w:color w:val="auto"/>
        </w:rPr>
        <w:t>We are currently a “foreign private issuer” under the rules and regulations of the SEC and, as a result, are exempt from a number of rules under the Exchange Act and are permitted to file less information with the SEC than a company incorporated in the United States.</w:t>
      </w:r>
    </w:p>
    <w:p>
      <w:pPr>
        <w:spacing w:after="0" w:line="83"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We are incorporated as a public limited company in England and Wales and are deemed to be a “foreign private issuer” under the rules and regulations of the SEC. As a foreign private issuer, we are exempt from certain rules under the Exchange Act that would otherwise apply if we were a company incorporated in the United States, including:</w:t>
      </w:r>
    </w:p>
    <w:p>
      <w:pPr>
        <w:spacing w:after="0" w:line="230" w:lineRule="exact"/>
        <w:rPr>
          <w:sz w:val="20"/>
          <w:szCs w:val="20"/>
          <w:color w:val="auto"/>
        </w:rPr>
      </w:pPr>
    </w:p>
    <w:p>
      <w:pPr>
        <w:ind w:left="980" w:right="380" w:hanging="432"/>
        <w:spacing w:after="0" w:line="218" w:lineRule="auto"/>
        <w:tabs>
          <w:tab w:leader="none" w:pos="9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file periodic reports and financial statements with the SEC as frequently or as promptly as United States companies with securities registered under the Exchange Act;</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file financial statements prepared in accordance with U.S. GAAP;</w:t>
      </w:r>
    </w:p>
    <w:p>
      <w:pPr>
        <w:spacing w:after="0" w:line="26" w:lineRule="exact"/>
        <w:rPr>
          <w:rFonts w:ascii="MS PGothic" w:cs="MS PGothic" w:eastAsia="MS PGothic" w:hAnsi="MS PGothic"/>
          <w:sz w:val="25"/>
          <w:szCs w:val="25"/>
          <w:color w:val="auto"/>
          <w:vertAlign w:val="superscript"/>
        </w:rPr>
      </w:pPr>
    </w:p>
    <w:p>
      <w:pPr>
        <w:ind w:left="980" w:hanging="432"/>
        <w:spacing w:after="0" w:line="205" w:lineRule="auto"/>
        <w:tabs>
          <w:tab w:leader="none" w:pos="9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proxy rules, which impose certain disclosure and procedural requirements for proxy solicitations; and</w:t>
      </w:r>
    </w:p>
    <w:p>
      <w:pPr>
        <w:spacing w:after="0" w:line="26" w:lineRule="exact"/>
        <w:rPr>
          <w:rFonts w:ascii="MS PGothic" w:cs="MS PGothic" w:eastAsia="MS PGothic" w:hAnsi="MS PGothic"/>
          <w:sz w:val="25"/>
          <w:szCs w:val="25"/>
          <w:color w:val="auto"/>
          <w:vertAlign w:val="superscript"/>
        </w:rPr>
      </w:pPr>
    </w:p>
    <w:p>
      <w:pPr>
        <w:ind w:left="980" w:hanging="432"/>
        <w:spacing w:after="0" w:line="218" w:lineRule="auto"/>
        <w:tabs>
          <w:tab w:leader="none" w:pos="9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comply with Regulation Fair Disclosure (“Regulation FD”), which imposes certain restrictions on the selective disclosure of material information.</w:t>
      </w:r>
    </w:p>
    <w:p>
      <w:pPr>
        <w:spacing w:after="0" w:line="203" w:lineRule="exact"/>
        <w:rPr>
          <w:sz w:val="20"/>
          <w:szCs w:val="20"/>
          <w:color w:val="auto"/>
        </w:rPr>
      </w:pPr>
    </w:p>
    <w:p>
      <w:pPr>
        <w:ind w:left="120" w:right="360" w:firstLine="440"/>
        <w:spacing w:after="0"/>
        <w:rPr>
          <w:sz w:val="20"/>
          <w:szCs w:val="20"/>
          <w:color w:val="auto"/>
        </w:rPr>
      </w:pPr>
      <w:r>
        <w:rPr>
          <w:rFonts w:ascii="Arial" w:cs="Arial" w:eastAsia="Arial" w:hAnsi="Arial"/>
          <w:sz w:val="18"/>
          <w:szCs w:val="18"/>
          <w:color w:val="auto"/>
        </w:rPr>
        <w:t>In addition, our officers, directors and principal shareholders are exempt from the reporting and “short-swing” profit recovery provisions of Section 16 of the Exchange Act and the related rules with respect to their purchases and sales of our ADSs and ordinary shares.</w:t>
      </w:r>
    </w:p>
    <w:p>
      <w:pPr>
        <w:spacing w:after="0" w:line="181" w:lineRule="exact"/>
        <w:rPr>
          <w:sz w:val="20"/>
          <w:szCs w:val="20"/>
          <w:color w:val="auto"/>
        </w:rPr>
      </w:pPr>
    </w:p>
    <w:p>
      <w:pPr>
        <w:ind w:left="120" w:right="860"/>
        <w:spacing w:after="0" w:line="271" w:lineRule="auto"/>
        <w:rPr>
          <w:sz w:val="20"/>
          <w:szCs w:val="20"/>
          <w:color w:val="auto"/>
        </w:rPr>
      </w:pPr>
      <w:r>
        <w:rPr>
          <w:rFonts w:ascii="Arial" w:cs="Arial" w:eastAsia="Arial" w:hAnsi="Arial"/>
          <w:sz w:val="18"/>
          <w:szCs w:val="18"/>
          <w:b w:val="1"/>
          <w:bCs w:val="1"/>
          <w:i w:val="1"/>
          <w:iCs w:val="1"/>
          <w:color w:val="auto"/>
        </w:rPr>
        <w:t>As a foreign private issuer, we are not required to comply with some of the corporate governance standards of Nasdaq applicable to companies incorporated in the United States.</w:t>
      </w:r>
    </w:p>
    <w:p>
      <w:pPr>
        <w:spacing w:after="0" w:line="68"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Board is required to meet certain corporate governance standards under Nasdaq Listing Rules, including the requirement to maintain an audit committee comprised of three or more directors satisfying the independence standards of Nasdaq applicable to audit committee members. While foreign private issuers are not required to comply with most of the other corporate governance rules of Nasdaq, we believe we currently comply with, and intend to continue to comply with, the majority of such requirements, including the requirements to maintain a majority of independent directors and nominating and compensation committees of our Board comprised solely of independent directors. We follow UK requirements with respect to shareholder meetings including shareholder meetings required to disapply preemption rights and issue ordinary shares to investors in connection with private placements of our securities and follow the AIM rules and Corporate Governance Code published by the Quoted Companies Alliance for other corporate governance matters. As a result, holders of our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0"/>
        <w:spacing w:after="0" w:line="246" w:lineRule="auto"/>
        <w:rPr>
          <w:sz w:val="20"/>
          <w:szCs w:val="20"/>
          <w:color w:val="auto"/>
        </w:rPr>
      </w:pPr>
      <w:r>
        <w:rPr>
          <w:rFonts w:ascii="Arial" w:cs="Arial" w:eastAsia="Arial" w:hAnsi="Arial"/>
          <w:sz w:val="18"/>
          <w:szCs w:val="18"/>
          <w:color w:val="auto"/>
        </w:rPr>
        <w:t>ADSs may not be afforded the benefits of the corporate governance standards of Nasdaq to the same extent applicable to companies incorporated in the United States.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reporting requirements may apply if we lose our status as a foreign private issuer.</w:t>
      </w:r>
    </w:p>
    <w:p>
      <w:pPr>
        <w:spacing w:after="0" w:line="126"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If we lose our status as a “foreign private issuer” under the rules and regulations of the SEC at some future time, then we will no longer be exempt from such rules and, among other things, will be required to file periodic reports and financial statements as if we were a company incorporated in the United States. The costs incurred in fulfilling these additional regulatory requirements could be substantial.</w:t>
      </w:r>
    </w:p>
    <w:p>
      <w:pPr>
        <w:spacing w:after="0" w:line="181"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b w:val="1"/>
          <w:bCs w:val="1"/>
          <w:i w:val="1"/>
          <w:iCs w:val="1"/>
          <w:color w:val="auto"/>
        </w:rPr>
        <w:t>Although our reporting obligations as a foreign private issuer are fewer than those of a public company incorporated in the United States, our costs of complying with our SEC reporting requirements are significant, and our management is required to devote substantial time to complying with SEC regulations.</w:t>
      </w:r>
    </w:p>
    <w:p>
      <w:pPr>
        <w:spacing w:after="0" w:line="8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 company with securities listed in the United States, and particularly after we no longer qualify as an emerging growth company, we will incur significant legal, accounting, and other expenses that we did not incur previously.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expensive for us to obtain director and officer liability insurance, which in turn could make it more difficult for us to attract and retain qualified senior management personnel or members for our Board. In addition,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2"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the ADSs less attractive to investors.</w:t>
      </w:r>
    </w:p>
    <w:p>
      <w:pPr>
        <w:spacing w:after="0" w:line="68"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As such, we are eligible to, and intend to, take advantage, for up to five years, of certain exemptions from various reporting requirements applicable to other public companies that are not Emerging Growth Companies, such as not being required to comply with the auditor attestation requirements of Section 404 of the Sarbanes-Oxley Act of 2002. These exemptions include:</w:t>
      </w:r>
    </w:p>
    <w:p>
      <w:pPr>
        <w:spacing w:after="0" w:line="232" w:lineRule="exact"/>
        <w:rPr>
          <w:sz w:val="20"/>
          <w:szCs w:val="20"/>
          <w:color w:val="auto"/>
        </w:rPr>
      </w:pPr>
    </w:p>
    <w:p>
      <w:pPr>
        <w:ind w:left="980" w:right="260" w:hanging="432"/>
        <w:spacing w:after="0" w:line="218" w:lineRule="auto"/>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27" w:lineRule="exact"/>
        <w:rPr>
          <w:rFonts w:ascii="MS PGothic" w:cs="MS PGothic" w:eastAsia="MS PGothic" w:hAnsi="MS PGothic"/>
          <w:sz w:val="25"/>
          <w:szCs w:val="25"/>
          <w:color w:val="auto"/>
          <w:vertAlign w:val="superscript"/>
        </w:rPr>
      </w:pPr>
    </w:p>
    <w:p>
      <w:pPr>
        <w:ind w:left="980" w:right="160" w:hanging="432"/>
        <w:spacing w:after="0" w:line="223" w:lineRule="auto"/>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reduced disclosure obligations regarding executive compensation; and</w:t>
      </w:r>
    </w:p>
    <w:p>
      <w:pPr>
        <w:spacing w:after="0" w:line="26" w:lineRule="exact"/>
        <w:rPr>
          <w:rFonts w:ascii="MS PGothic" w:cs="MS PGothic" w:eastAsia="MS PGothic" w:hAnsi="MS PGothic"/>
          <w:sz w:val="25"/>
          <w:szCs w:val="25"/>
          <w:color w:val="auto"/>
          <w:vertAlign w:val="superscript"/>
        </w:rPr>
      </w:pPr>
    </w:p>
    <w:p>
      <w:pPr>
        <w:ind w:left="980" w:right="60" w:hanging="432"/>
        <w:spacing w:after="0" w:line="218" w:lineRule="auto"/>
        <w:tabs>
          <w:tab w:leader="none" w:pos="98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We expect to continue to take advantage of some or all of the available exemptions. We cannot predict whether investors will find the ADSs less attractive if we rely on these exemptions. If some investors find the ADSs less attractive as a result, there may be a less active trading market for the ADSs and the market price of the ADSs may be more volatile.</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the JOBS Act also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80"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8"/>
          <w:szCs w:val="18"/>
          <w:b w:val="1"/>
          <w:bCs w:val="1"/>
          <w:i w:val="1"/>
          <w:iCs w:val="1"/>
          <w:color w:val="auto"/>
        </w:rPr>
        <w:t>The executive officers, Board and certain of our existing shareholders own a majority or a significant portion of our outstanding ordinary shares and, as a result, have control or significant influence over us and our interests may conflict with the interests of these shareholders.</w:t>
      </w:r>
    </w:p>
    <w:p>
      <w:pPr>
        <w:spacing w:after="0" w:line="8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executive officers, Board and significant shareholders and their respective affiliates, in the aggregate, beneficially own a majority of our outstanding ordinary shares (including ordinary shares in the form of our ADSs). Depending on the level of attendance at our general meetings of shareholders, these shareholders either alone or voting together as a group may be in a position to control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and the approval of certain significant corporate transactions. Any shareholder or group of shareholders controlling more than 75% of the share capital present and voting at our general meetings of shareholders may control any shareholder resolution amending our Articles. These shareholders may have interests that differ from ours and may vote in a way with which we disagree and which may be adverse to your interests. Among other consequences, this concentration of ownership may have the effect of delaying or preventing a change in control and might therefore negatively affect the market price of our ADSs and ordinary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a passive foreign investment company (“PFIC”) for any taxable year, which could result in material adverse U.S.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income tax consequences if you are a U.S. investor.</w:t>
      </w:r>
    </w:p>
    <w:p>
      <w:pPr>
        <w:spacing w:after="0" w:line="10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general, a non-U.S. corporation will be a PFIC for any taxable year in which (i) 75% or more of its gross income consists of passive income (the “income test”) or (ii) 50% or more of the value of its assets consists of assets (generally determined on a quarterly average basis)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w:t>
      </w:r>
    </w:p>
    <w:p>
      <w:pPr>
        <w:spacing w:after="0" w:line="207"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Based on our gross income, the average value of our assets, including goodwill, and the nature of the current state of our business, we believe we were a PFIC for the taxable year ended December 31, 2019. There can be no assurance regarding our PFIC status for the current taxable year or any particular year in the future because PFIC status is factual in nature, depends upon factors not wholly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within our control, generally cannot be determined until the close of the taxable year in question and is determined annually. Accordingly, U.S. investors should invest in our ADSs only if they are willing to bear the U.S. federal income tax consequences associated with investments in PFICs.</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If we were a PFIC for any taxable year during which a U.S. investor owns ADSs or ordinary shares, certain adverse U.S. federal income tax consequences could apply to such U.S. investor. We will provide the information necessary for a U.S. investor to make a qualifying electing fund election with respect to us. See “Material Tax Considerations—Material U.S. Federal Income Tax Considerations— Passive Foreign Investment Company Rules” in the accompanying prospectus. U.S. investors should consult their tax advisers regarding our PFIC status for any taxable year and the potential application of the PFIC rules to an investment in our ADSs.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may issue and sell our ADSs having aggregate sales proceeds of up to $50,000,000 from time to time. Because there is no minimum offering amount required as a condition to close this offering, the actual total public offering amount, commissions and proceeds to us, if any, are not determinable at this time. We currently intend to use the net proceeds of this offering, if any, for advancing our clinical development programs, general corporate purposes and other business opportunities. Our expected use of net proceeds from this offering represents our current intentions based upon our present plans and business conditions. As of the date of this prospectus supplement, we cannot predict with certainty all of the particular uses for the net proceeds to be received upon the completion of this offering or the amounts that we will actually spend on the uses set forth above.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34"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We have entered into a sales agreement with SVB Leerink LLC (“SVB Leerink”), under which we may issue and sell from time to time up to $50,000,000 of our ADSs, each representing five ordinary shares, through SVB Leerink as our sales agent. Sales of our ADSs, if any, will be made at market prices by any method that is deemed to be an “at the market” offering as defined in Rule 415 under the Securities Act, including sales made directly on The Nasdaq Global Select Market or any other trading market for our ADSs, or sales to or through a market maker other than on an exchange. If authorized by us in writing, SVB Leerink may also sell our ADSs by any other method permitted by law, including negotiated transactions, and SVB Leerink may also purchase our ADSs as principal.</w:t>
      </w:r>
    </w:p>
    <w:p>
      <w:pPr>
        <w:spacing w:after="0" w:line="205"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7"/>
          <w:szCs w:val="17"/>
          <w:color w:val="auto"/>
        </w:rPr>
        <w:t>SVB Leerink will offer our ADSs subject to the terms and conditions of the sales agreement on a daily basis or as otherwise agreed upon by us and SVB Leerink. We will designate the maximum amount of ADSs to be sold through SVB Leerink on a daily basis or otherwise determine such maximum amount together with SVB Leerink. Subject to the terms and conditions of the sales agreement, SVB Leerink will use its commercially reasonable efforts to sell on our behalf all of the ADSs requested to be sold by us. We may instruct SVB Leerink not to sell ADSs if the sales cannot be effected at or above the price designated by us in any such instruction. SVB Leerink or we may suspend the offering of our ADSs being made through SVB Leerink under the sales agreement upon proper notice to the other party.</w:t>
      </w:r>
    </w:p>
    <w:p>
      <w:pPr>
        <w:spacing w:after="0" w:line="19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aggregate compensation payable to SVB Leerink as sales agent equals up to 3% of the gross sales price of the ADSs sold through it pursuant to the sales agreement. We have also agreed to reimburse SVB Leerink up to $50,000 of SVB Leerink’s actual outside legal expenses incurred by SVB Leerink in connection with this offering, and for certain other expenses, including SVB Leerink’s FINRA counsel fees in an amount up to $10,000. In accordance with FINRA Rule 5110 these reimbursed fees and expenses are deemed sales compensation to SVB Leerink in connection with this offering. We estimate that the total expenses of the offering payable by us, excluding commissions payable to SVB Leerink under the sales agreement and ADS issuance fees payable to the depositary bank, will be approximately $30,000.</w:t>
      </w:r>
    </w:p>
    <w:p>
      <w:pPr>
        <w:spacing w:after="0" w:line="203"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The remaining sales proceeds, after deducting any expenses payable by us and any transaction fees imposed by any governmental, regulatory, or self-regulatory organization in connection with the sales, will equal our net proceeds for the sale of such ADSs.</w:t>
      </w:r>
    </w:p>
    <w:p>
      <w:pPr>
        <w:spacing w:after="0" w:line="17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SVB Leerink will provide written confirmation to us following the close of trading on The Nasdaq Global Select Market on each day in which ADSs are sold through it as sales agent under the sales agreement. Each confirmation will include the number of ADSs sold through it as sales agent on that day, the volume weighted average price of the shares sold, the percentage of the daily trading volume and the net proceeds to us.</w:t>
      </w:r>
    </w:p>
    <w:p>
      <w:pPr>
        <w:spacing w:after="0" w:line="205"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We will report at least quarterly the number of ADSs sold through SVB Leerink under the sales agreement, the net proceeds to us and the compensation paid by us to SVB Leerink in connection with the sales of ADSs.</w:t>
      </w:r>
    </w:p>
    <w:p>
      <w:pPr>
        <w:spacing w:after="0" w:line="197"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Settlement for sales of ADSs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080"/>
          </w:cols>
          <w:pgMar w:left="32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In connection with the sales of our ADSs on our behalf, SVB Leerink may be deemed to be an “underwriter” within the meaning of the Securities Act, and the compensation paid to SVB Leerink may be deemed to be underwriting commissions or discounts. We have agreed in the sales agreement to provide indemnification and contribution to SVB Leerink against certain liabilities, including liabilities under the Securities Act. As sales agent, SVB Leerink will not engage in any transactions that stabilizes our ADSs.</w:t>
      </w:r>
    </w:p>
    <w:p>
      <w:pPr>
        <w:spacing w:after="0" w:line="205"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Our ADSs are listed on The Nasdaq Global Select Market and trade under the symbol “MREO.” The depositary bank of our ADSs is Citibank, N.A.</w:t>
      </w:r>
    </w:p>
    <w:p>
      <w:pPr>
        <w:spacing w:after="0" w:line="197"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The offering of our ADSs pursuant to the sales agreement will terminate upon the earlier of (i) the sale of all ADSs subject to the sales agreement and (ii) the termination of the sales agreement as permitted therein. We and SVB Leerink may each terminate the sales agreement at any time upon ten days’ prior notice.</w:t>
      </w:r>
    </w:p>
    <w:p>
      <w:pPr>
        <w:spacing w:after="0" w:line="203"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This summary of the material provisions of the sales agreement does not purport to be a complete statement of its terms and conditions. A copy of the sales agreement is filed as an exhibit to the registration statement to which this prospectus supplement forms a part.</w:t>
      </w:r>
    </w:p>
    <w:p>
      <w:pPr>
        <w:spacing w:after="0" w:line="203" w:lineRule="exact"/>
        <w:rPr>
          <w:sz w:val="20"/>
          <w:szCs w:val="20"/>
          <w:color w:val="auto"/>
        </w:rPr>
      </w:pPr>
    </w:p>
    <w:p>
      <w:pPr>
        <w:ind w:left="120" w:right="380" w:firstLine="440"/>
        <w:spacing w:after="0" w:line="238" w:lineRule="auto"/>
        <w:rPr>
          <w:sz w:val="20"/>
          <w:szCs w:val="20"/>
          <w:color w:val="auto"/>
        </w:rPr>
      </w:pPr>
      <w:r>
        <w:rPr>
          <w:rFonts w:ascii="Arial" w:cs="Arial" w:eastAsia="Arial" w:hAnsi="Arial"/>
          <w:sz w:val="18"/>
          <w:szCs w:val="18"/>
          <w:color w:val="auto"/>
        </w:rPr>
        <w:t>SVB Leerink and/or its affiliates have provided, and may in the future provide, various investment banking, commercial banking, financial advisory and other financial services for us and our affiliates, for which services they have received and, may in the future receive, customary fees. In the course of its business, SVB Leerink may actively trade our securities for its own account or for the accounts of customers, and, accordingly, SVB Leerink may at any time hold long or short positions in such securities.</w:t>
      </w:r>
    </w:p>
    <w:p>
      <w:pPr>
        <w:spacing w:after="0" w:line="205"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In connection with a private placement we completed on June 4, 2020, SVB Leerink received certain cash compensation. Silicon Valley Bank, an affiliate of SVB Leerink, is also a lender under one of our loan agreements and holds warrants to purchase ordinary shares. To the extent we use proceeds from this offering to repay indebtedness under such loan agreement, Silicon Valley Bank may receive proceeds from this offering.</w:t>
      </w:r>
    </w:p>
    <w:p>
      <w:pPr>
        <w:spacing w:after="0" w:line="205"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A prospectus supplement and the accompanying prospectus in electronic format may be made available on a website maintained by SVB Leerink, and SVB Leerink may distribute the prospectus supplement and the accompanying prospectus electronically.</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080"/>
          </w:cols>
          <w:pgMar w:left="320" w:top="459"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jc w:val="both"/>
        <w:ind w:left="120" w:right="120" w:firstLine="440"/>
        <w:spacing w:after="0" w:line="261" w:lineRule="auto"/>
        <w:rPr>
          <w:sz w:val="20"/>
          <w:szCs w:val="20"/>
          <w:color w:val="auto"/>
        </w:rPr>
      </w:pPr>
      <w:r>
        <w:rPr>
          <w:rFonts w:ascii="Arial" w:cs="Arial" w:eastAsia="Arial" w:hAnsi="Arial"/>
          <w:sz w:val="17"/>
          <w:szCs w:val="17"/>
          <w:color w:val="auto"/>
        </w:rPr>
        <w:t>Mayer Brown LLP has passed upon certain legal matters regarding the securities offered hereby. The validity of the ordinary shares underlying the ADSs to be offered pursuant to this prospectus supplement will be passed upon for us by Mayer Brown International LLP. SVB Leerink, LLC is being represented in connection with this offering by Kirkland &amp; Ellis LLP and Kirkland &amp; Ellis (International) LLP.</w:t>
      </w:r>
    </w:p>
    <w:p>
      <w:pPr>
        <w:spacing w:after="0" w:line="27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The consolidated financial statements of Mereo BioPharma Group plc appearing in Mereo BioPharma Group plc’s Annual Report (Form 20-F) for the year ended December 31, 2019,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9" w:lineRule="exact"/>
        <w:rPr>
          <w:sz w:val="20"/>
          <w:szCs w:val="20"/>
          <w:color w:val="auto"/>
        </w:rPr>
      </w:pPr>
    </w:p>
    <w:p>
      <w:pPr>
        <w:jc w:val="center"/>
        <w:ind w:right="220"/>
        <w:spacing w:after="0" w:line="418" w:lineRule="auto"/>
        <w:rPr>
          <w:sz w:val="20"/>
          <w:szCs w:val="20"/>
          <w:color w:val="auto"/>
        </w:rPr>
      </w:pPr>
      <w:r>
        <w:rPr>
          <w:rFonts w:ascii="Arial" w:cs="Arial" w:eastAsia="Arial" w:hAnsi="Arial"/>
          <w:sz w:val="18"/>
          <w:szCs w:val="18"/>
          <w:color w:val="auto"/>
        </w:rPr>
        <w:t>The registered business address of Ernst &amp; Young LLP is Apex Plaza, Forbury Road, Reading, RG1 1YE, United Kingdom. S-20</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F-3 under the Securities Act. This prospectus supplement,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supplement relating to a document filed as an exhibit is qualified in all respects by the filed exhibit.</w:t>
      </w:r>
    </w:p>
    <w:p>
      <w:pPr>
        <w:spacing w:after="0" w:line="20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proxy and information statements, and other information about issuers, like us, that file electronically with the SEC. The address of that website is www.sec.gov.</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maintain a corporate website at https://www.mereobiopharma.com. Information contained on, or that can be accessed through, our website does not constitute a part of this prospectus supplement and our website address is included in this prospectus supplement as an inactive textual reference only.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BY REFERENCE</w:t>
      </w:r>
    </w:p>
    <w:p>
      <w:pPr>
        <w:spacing w:after="0" w:line="234"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to you by referring you to other documents which we have filed or will file with the SEC. We are incorporating by reference in this prospectus supplement the documents listed below and all amendments or supplements we may file to such documents, as well as any future filings we may make with the SEC on Form 20-F under the Exchange Act before the time that all of the securities offered by this prospectus supplement have been sold or de-registered:</w:t>
      </w:r>
    </w:p>
    <w:p>
      <w:pPr>
        <w:spacing w:after="0" w:line="193" w:lineRule="exact"/>
        <w:rPr>
          <w:sz w:val="20"/>
          <w:szCs w:val="20"/>
          <w:color w:val="auto"/>
        </w:rPr>
      </w:pPr>
    </w:p>
    <w:p>
      <w:pPr>
        <w:ind w:left="980" w:hanging="432"/>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98">
        <w:r>
          <w:rPr>
            <w:rFonts w:ascii="Arial" w:cs="Arial" w:eastAsia="Arial" w:hAnsi="Arial"/>
            <w:sz w:val="18"/>
            <w:szCs w:val="18"/>
            <w:u w:val="single" w:color="auto"/>
            <w:color w:val="0000EE"/>
          </w:rPr>
          <w:t>Form 20-F</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June 15, 2020;</w:t>
      </w:r>
    </w:p>
    <w:p>
      <w:pPr>
        <w:spacing w:after="0" w:line="107" w:lineRule="exact"/>
        <w:rPr>
          <w:rFonts w:ascii="Arial" w:cs="Arial" w:eastAsia="Arial" w:hAnsi="Arial"/>
          <w:sz w:val="18"/>
          <w:szCs w:val="18"/>
          <w:color w:val="auto"/>
        </w:rPr>
      </w:pPr>
    </w:p>
    <w:p>
      <w:pPr>
        <w:ind w:left="980" w:right="180" w:hanging="432"/>
        <w:spacing w:after="0" w:line="218"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Our reports on Form 6-K furnished to the SEC on </w:t>
      </w:r>
      <w:hyperlink r:id="rId99">
        <w:r>
          <w:rPr>
            <w:rFonts w:ascii="Arial" w:cs="Arial" w:eastAsia="Arial" w:hAnsi="Arial"/>
            <w:sz w:val="18"/>
            <w:szCs w:val="18"/>
            <w:u w:val="single" w:color="auto"/>
            <w:color w:val="0000EE"/>
          </w:rPr>
          <w:t>September 29,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00">
        <w:r>
          <w:rPr>
            <w:rFonts w:ascii="Arial" w:cs="Arial" w:eastAsia="Arial" w:hAnsi="Arial"/>
            <w:sz w:val="18"/>
            <w:szCs w:val="18"/>
            <w:u w:val="single" w:color="auto"/>
            <w:color w:val="0000EE"/>
          </w:rPr>
          <w:t>October 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that we incorporate by reference into this prospectus supplement; and</w:t>
      </w:r>
    </w:p>
    <w:p>
      <w:pPr>
        <w:spacing w:after="0" w:line="108" w:lineRule="exact"/>
        <w:rPr>
          <w:rFonts w:ascii="Arial" w:cs="Arial" w:eastAsia="Arial" w:hAnsi="Arial"/>
          <w:sz w:val="18"/>
          <w:szCs w:val="18"/>
          <w:color w:val="auto"/>
        </w:rPr>
      </w:pPr>
    </w:p>
    <w:p>
      <w:pPr>
        <w:ind w:left="980" w:hanging="432"/>
        <w:spacing w:after="0" w:line="226"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contained in Item 1 of the Registration Statement on </w:t>
      </w:r>
      <w:hyperlink r:id="rId101">
        <w:r>
          <w:rPr>
            <w:rFonts w:ascii="Arial" w:cs="Arial" w:eastAsia="Arial" w:hAnsi="Arial"/>
            <w:sz w:val="18"/>
            <w:szCs w:val="18"/>
            <w:u w:val="single" w:color="auto"/>
            <w:color w:val="0000EE"/>
          </w:rPr>
          <w:t>Form 8-A</w:t>
        </w:r>
      </w:hyperlink>
      <w:r>
        <w:rPr>
          <w:rFonts w:ascii="Arial" w:cs="Arial" w:eastAsia="Arial" w:hAnsi="Arial"/>
          <w:sz w:val="18"/>
          <w:szCs w:val="18"/>
          <w:color w:val="auto"/>
        </w:rPr>
        <w:t xml:space="preserve">, File No. 001-38452, originally filed with the SEC on April 9, 2018 and subsequently amended on April 15, 2019, as updated by </w:t>
      </w:r>
      <w:hyperlink r:id="rId102">
        <w:r>
          <w:rPr>
            <w:rFonts w:ascii="Arial" w:cs="Arial" w:eastAsia="Arial" w:hAnsi="Arial"/>
            <w:sz w:val="18"/>
            <w:szCs w:val="18"/>
            <w:u w:val="single" w:color="auto"/>
            <w:color w:val="0000EE"/>
          </w:rPr>
          <w:t>Exhibit 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2019 Form 20-F, including the “Description of Ordinary Shares” and the “Description of American Depositary Shares” contained therein and any amendment or report filed for the purpose of further updating such descriptions.</w:t>
      </w:r>
    </w:p>
    <w:p>
      <w:pPr>
        <w:spacing w:after="0" w:line="203" w:lineRule="exact"/>
        <w:rPr>
          <w:rFonts w:ascii="MS PGothic" w:cs="MS PGothic" w:eastAsia="MS PGothic" w:hAnsi="MS PGothic"/>
          <w:sz w:val="25"/>
          <w:szCs w:val="25"/>
          <w:color w:val="auto"/>
          <w:vertAlign w:val="superscript"/>
        </w:rPr>
      </w:pPr>
    </w:p>
    <w:p>
      <w:pPr>
        <w:ind w:left="120" w:firstLine="440"/>
        <w:spacing w:after="0" w:line="236" w:lineRule="auto"/>
        <w:rPr>
          <w:sz w:val="20"/>
          <w:szCs w:val="20"/>
          <w:color w:val="auto"/>
        </w:rPr>
      </w:pPr>
      <w:r>
        <w:rPr>
          <w:rFonts w:ascii="Arial" w:cs="Arial" w:eastAsia="Arial" w:hAnsi="Arial"/>
          <w:sz w:val="18"/>
          <w:szCs w:val="18"/>
          <w:color w:val="auto"/>
        </w:rPr>
        <w:t>In addition, any reports on Form 6-K submitted to the SEC by us pursuant to the Exchange Act after the date of the initial registration statement and prior to effectiveness of the registration statement that we specifically identify in such forms as being incorporated by reference into the registration statement of which this prospectus supplement forms a part and all subsequent annual reports on Form 20-F filed after the effective date of this registration statement and prior to the termination of this offering and any reports on Form 6-K subsequently submitted to the SEC or portions thereof that we specifically identify in such forms as being incorporated by reference into the registration statement of which this prospectus supplement forms a part, shall be considered to be incorporated into this prospectus supplement by reference and shall be considered a part of this prospectus supplement from the date of filing or submission of such documents.</w:t>
      </w:r>
    </w:p>
    <w:p>
      <w:pPr>
        <w:spacing w:after="0" w:line="208" w:lineRule="exact"/>
        <w:rPr>
          <w:rFonts w:ascii="MS PGothic" w:cs="MS PGothic" w:eastAsia="MS PGothic" w:hAnsi="MS PGothic"/>
          <w:sz w:val="25"/>
          <w:szCs w:val="25"/>
          <w:color w:val="auto"/>
          <w:vertAlign w:val="superscript"/>
        </w:rPr>
      </w:pPr>
    </w:p>
    <w:p>
      <w:pPr>
        <w:ind w:left="120" w:right="180" w:firstLine="440"/>
        <w:spacing w:after="0" w:line="238" w:lineRule="auto"/>
        <w:rPr>
          <w:sz w:val="20"/>
          <w:szCs w:val="20"/>
          <w:color w:val="auto"/>
        </w:rPr>
      </w:pPr>
      <w:r>
        <w:rPr>
          <w:rFonts w:ascii="Arial" w:cs="Arial" w:eastAsia="Arial" w:hAnsi="Arial"/>
          <w:sz w:val="18"/>
          <w:szCs w:val="18"/>
          <w:color w:val="auto"/>
        </w:rPr>
        <w:t>As you read the above documents, you may find inconsistencies in information from one document to another. If you find inconsistencies between the documents and this prospectus supplement, you should rely on the statements made in the most recent document. All information appearing in this prospectus supplement is qualified in its entirety by the information and financial statements, including the notes thereto, contained in the documents incorporated by reference herein.</w:t>
      </w:r>
    </w:p>
    <w:p>
      <w:pPr>
        <w:spacing w:after="0" w:line="205" w:lineRule="exact"/>
        <w:rPr>
          <w:rFonts w:ascii="MS PGothic" w:cs="MS PGothic" w:eastAsia="MS PGothic" w:hAnsi="MS PGothic"/>
          <w:sz w:val="25"/>
          <w:szCs w:val="25"/>
          <w:color w:val="auto"/>
          <w:vertAlign w:val="superscript"/>
        </w:rPr>
      </w:pPr>
    </w:p>
    <w:p>
      <w:pPr>
        <w:ind w:left="120" w:right="280" w:firstLine="440"/>
        <w:spacing w:after="0" w:line="246" w:lineRule="auto"/>
        <w:rPr>
          <w:sz w:val="20"/>
          <w:szCs w:val="20"/>
          <w:color w:val="auto"/>
        </w:rPr>
      </w:pPr>
      <w:r>
        <w:rPr>
          <w:rFonts w:ascii="Arial" w:cs="Arial" w:eastAsia="Arial" w:hAnsi="Arial"/>
          <w:sz w:val="18"/>
          <w:szCs w:val="18"/>
          <w:color w:val="auto"/>
        </w:rPr>
        <w:t>We will provide to each person, including any beneficial owner, to whom this prospectus supplement is delivered, a copy of these filings, at no cost, upon written or oral request to us at the following address:</w:t>
      </w:r>
    </w:p>
    <w:p>
      <w:pPr>
        <w:spacing w:after="0" w:line="84" w:lineRule="exact"/>
        <w:rPr>
          <w:rFonts w:ascii="MS PGothic" w:cs="MS PGothic" w:eastAsia="MS PGothic" w:hAnsi="MS PGothic"/>
          <w:sz w:val="25"/>
          <w:szCs w:val="25"/>
          <w:color w:val="auto"/>
          <w:vertAlign w:val="superscript"/>
        </w:rPr>
      </w:pPr>
    </w:p>
    <w:p>
      <w:pPr>
        <w:ind w:left="3980"/>
        <w:spacing w:after="0"/>
        <w:rPr>
          <w:sz w:val="20"/>
          <w:szCs w:val="20"/>
          <w:color w:val="auto"/>
        </w:rPr>
      </w:pPr>
      <w:r>
        <w:rPr>
          <w:rFonts w:ascii="Arial" w:cs="Arial" w:eastAsia="Arial" w:hAnsi="Arial"/>
          <w:sz w:val="18"/>
          <w:szCs w:val="18"/>
          <w:color w:val="auto"/>
        </w:rPr>
        <w:t>Mereo BioPharma Group plc</w:t>
      </w:r>
    </w:p>
    <w:p>
      <w:pPr>
        <w:ind w:left="3980"/>
        <w:spacing w:after="0" w:line="234" w:lineRule="auto"/>
        <w:rPr>
          <w:sz w:val="20"/>
          <w:szCs w:val="20"/>
          <w:color w:val="auto"/>
        </w:rPr>
      </w:pPr>
      <w:r>
        <w:rPr>
          <w:rFonts w:ascii="Arial" w:cs="Arial" w:eastAsia="Arial" w:hAnsi="Arial"/>
          <w:sz w:val="18"/>
          <w:szCs w:val="18"/>
          <w:color w:val="auto"/>
        </w:rPr>
        <w:t>1 Cavendish Place</w:t>
      </w:r>
    </w:p>
    <w:p>
      <w:pPr>
        <w:ind w:left="3980"/>
        <w:spacing w:after="0" w:line="235" w:lineRule="auto"/>
        <w:rPr>
          <w:sz w:val="20"/>
          <w:szCs w:val="20"/>
          <w:color w:val="auto"/>
        </w:rPr>
      </w:pPr>
      <w:r>
        <w:rPr>
          <w:rFonts w:ascii="Arial" w:cs="Arial" w:eastAsia="Arial" w:hAnsi="Arial"/>
          <w:sz w:val="18"/>
          <w:szCs w:val="18"/>
          <w:color w:val="auto"/>
        </w:rPr>
        <w:t>4th Floor</w:t>
      </w:r>
    </w:p>
    <w:p>
      <w:pPr>
        <w:ind w:left="3980"/>
        <w:spacing w:after="0" w:line="235" w:lineRule="auto"/>
        <w:rPr>
          <w:sz w:val="20"/>
          <w:szCs w:val="20"/>
          <w:color w:val="auto"/>
        </w:rPr>
      </w:pPr>
      <w:r>
        <w:rPr>
          <w:rFonts w:ascii="Arial" w:cs="Arial" w:eastAsia="Arial" w:hAnsi="Arial"/>
          <w:sz w:val="18"/>
          <w:szCs w:val="18"/>
          <w:color w:val="auto"/>
        </w:rPr>
        <w:t>London, W1G 0QF</w:t>
      </w:r>
    </w:p>
    <w:p>
      <w:pPr>
        <w:ind w:left="3980"/>
        <w:spacing w:after="0" w:line="235" w:lineRule="auto"/>
        <w:rPr>
          <w:sz w:val="20"/>
          <w:szCs w:val="20"/>
          <w:color w:val="auto"/>
        </w:rPr>
      </w:pPr>
      <w:r>
        <w:rPr>
          <w:rFonts w:ascii="Arial" w:cs="Arial" w:eastAsia="Arial" w:hAnsi="Arial"/>
          <w:sz w:val="18"/>
          <w:szCs w:val="18"/>
          <w:color w:val="auto"/>
        </w:rPr>
        <w:t>United Kingdom</w:t>
      </w:r>
    </w:p>
    <w:p>
      <w:pPr>
        <w:ind w:left="3980"/>
        <w:spacing w:after="0" w:line="235" w:lineRule="auto"/>
        <w:rPr>
          <w:sz w:val="20"/>
          <w:szCs w:val="20"/>
          <w:color w:val="auto"/>
        </w:rPr>
      </w:pPr>
      <w:r>
        <w:rPr>
          <w:rFonts w:ascii="Arial" w:cs="Arial" w:eastAsia="Arial" w:hAnsi="Arial"/>
          <w:sz w:val="18"/>
          <w:szCs w:val="18"/>
          <w:color w:val="auto"/>
        </w:rPr>
        <w:t>Tel: +44-333-023-7300</w:t>
      </w:r>
    </w:p>
    <w:p>
      <w:pPr>
        <w:ind w:left="3980"/>
        <w:spacing w:after="0"/>
        <w:rPr>
          <w:sz w:val="20"/>
          <w:szCs w:val="20"/>
          <w:color w:val="auto"/>
        </w:rPr>
      </w:pPr>
      <w:r>
        <w:rPr>
          <w:rFonts w:ascii="Arial" w:cs="Arial" w:eastAsia="Arial" w:hAnsi="Arial"/>
          <w:sz w:val="18"/>
          <w:szCs w:val="18"/>
          <w:color w:val="auto"/>
        </w:rPr>
        <w:t>Attention: Investor Relations</w:t>
      </w:r>
    </w:p>
    <w:p>
      <w:pPr>
        <w:spacing w:after="0" w:line="144" w:lineRule="exact"/>
        <w:rPr>
          <w:rFonts w:ascii="MS PGothic" w:cs="MS PGothic" w:eastAsia="MS PGothic" w:hAnsi="MS PGothic"/>
          <w:sz w:val="25"/>
          <w:szCs w:val="25"/>
          <w:color w:val="auto"/>
          <w:vertAlign w:val="superscript"/>
        </w:rPr>
      </w:pPr>
    </w:p>
    <w:p>
      <w:pPr>
        <w:jc w:val="center"/>
        <w:ind w:right="-15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080"/>
          </w:cols>
          <w:pgMar w:left="32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We have not authorized anyone else to provide you with different or additional information. An offer of these securities is not being made in any jurisdiction where the offer or sale is not permitted. You should not assume that the information in this prospectus supplement is accurate as of any date other than the date on the front of those documents.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20"/>
        <w:spacing w:after="0"/>
        <w:rPr>
          <w:sz w:val="20"/>
          <w:szCs w:val="20"/>
          <w:color w:val="auto"/>
        </w:rPr>
      </w:pPr>
      <w:r>
        <w:rPr>
          <w:rFonts w:ascii="Arial" w:cs="Arial" w:eastAsia="Arial" w:hAnsi="Arial"/>
          <w:sz w:val="25"/>
          <w:szCs w:val="25"/>
          <w:b w:val="1"/>
          <w:bCs w:val="1"/>
          <w:color w:val="auto"/>
        </w:rPr>
        <w:t>$50,000,000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805180</wp:posOffset>
            </wp:positionV>
            <wp:extent cx="2468880" cy="900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246888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979"/>
        <w:spacing w:after="0"/>
        <w:rPr>
          <w:sz w:val="20"/>
          <w:szCs w:val="20"/>
          <w:color w:val="auto"/>
        </w:rPr>
      </w:pPr>
      <w:r>
        <w:rPr>
          <w:rFonts w:ascii="Arial" w:cs="Arial" w:eastAsia="Arial" w:hAnsi="Arial"/>
          <w:sz w:val="25"/>
          <w:szCs w:val="25"/>
          <w:b w:val="1"/>
          <w:bCs w:val="1"/>
          <w:color w:val="auto"/>
        </w:rPr>
        <w:t>American Depositary Shares representing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1071245</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PROSPECTUS</w:t>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SVB Leerink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569595</wp:posOffset>
            </wp:positionV>
            <wp:extent cx="18173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478155</wp:posOffset>
            </wp:positionV>
            <wp:extent cx="699516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PART II—INFORMATION NOT REQUIRED IN THE PROSPECTUS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Articles of Association of Mereo BioPharma Group plc (“Mereo,” the “Company” or the “registrant”) provide that Mereo may indemnify the directors and other officers of Mereo in respect of any proceedings, whether civil or criminal, brought against them by reason of their being directors or officers of Mereo and to the fullest extent permitted by the Companies Act 2006 of the United Kingdom (“CA 2006”).</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Generally, under CA 2006, any provision by which Mereo directly or indirectly provides an indemnity (to any extent) for a director of Mereo or of an “associated company” (i.e., a company that is a parent, subsidiary or sister company of Mereo) against any liability attaching to him or her in connection with any negligence, default, breach of duty or breach of trust in relation to the company of which he or she is a director is (subject to certain exceptions specified under CA 2006) void.</w:t>
      </w:r>
    </w:p>
    <w:p>
      <w:pPr>
        <w:spacing w:after="0" w:line="20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Mereo has entered into a deed of indemnity with each of its directors. Except as prohibited by applicable law, these deeds of indemnity may require Mereo, among other requirements, to indemnify its directors and executive officers for certain expenses, including attorneys’ fees, costs and expenses incurred by such directors and executive officers with the prior written consent of Mereo in any action or proceeding arising out of their service as a director or executive officer of Mereo, or one of its subsidiaries.</w:t>
      </w:r>
    </w:p>
    <w:p>
      <w:pPr>
        <w:spacing w:after="0" w:line="205"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Mereo maintains directors’ and officers’ insurance coverage, which, subject to policy terms and limitations, is expected to include coverage to reimburse Mereo for amounts that it may be required or permitted by law to pay directors or officers of Mereo.</w:t>
      </w:r>
    </w:p>
    <w:p>
      <w:pPr>
        <w:spacing w:after="0" w:line="19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officers or persons controlling Mereo pursuant to the foregoing provisions, Mereo has been informed that in the opinion of the Securities and Exchange Commission such indemnification is against public policy as expressed in the Securities Act and is, therefore, unenforceable.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Exhibits and financial statements</w:t>
      </w:r>
    </w:p>
    <w:p>
      <w:pPr>
        <w:spacing w:after="0" w:line="104" w:lineRule="exact"/>
        <w:rPr>
          <w:sz w:val="20"/>
          <w:szCs w:val="20"/>
          <w:color w:val="auto"/>
        </w:rPr>
      </w:pPr>
    </w:p>
    <w:p>
      <w:pPr>
        <w:ind w:left="120" w:right="160" w:firstLine="436"/>
        <w:spacing w:after="0" w:line="271" w:lineRule="auto"/>
        <w:tabs>
          <w:tab w:leader="none" w:pos="83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to this registration statement are listed in the Exhibit Index to this registration statement and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by reference.</w:t>
      </w:r>
    </w:p>
    <w:p>
      <w:pPr>
        <w:spacing w:after="0" w:line="153" w:lineRule="exact"/>
        <w:rPr>
          <w:rFonts w:ascii="Arial" w:cs="Arial" w:eastAsia="Arial" w:hAnsi="Arial"/>
          <w:sz w:val="18"/>
          <w:szCs w:val="18"/>
          <w:color w:val="auto"/>
        </w:rPr>
      </w:pPr>
    </w:p>
    <w:p>
      <w:pPr>
        <w:ind w:left="120" w:right="260" w:firstLine="436"/>
        <w:spacing w:after="0" w:line="271" w:lineRule="auto"/>
        <w:tabs>
          <w:tab w:leader="none" w:pos="83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have been omitted because the information required to be set forth therein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 is shown in our combined financial statements or the notes thereto.</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Undertakings</w:t>
      </w:r>
    </w:p>
    <w:p>
      <w:pPr>
        <w:spacing w:after="0" w:line="139" w:lineRule="exact"/>
        <w:rPr>
          <w:sz w:val="20"/>
          <w:szCs w:val="20"/>
          <w:color w:val="auto"/>
        </w:rPr>
      </w:pPr>
    </w:p>
    <w:p>
      <w:pPr>
        <w:ind w:left="980" w:hanging="432"/>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420" w:right="760" w:hanging="427"/>
        <w:spacing w:after="0" w:line="246" w:lineRule="auto"/>
        <w:tabs>
          <w:tab w:leader="none" w:pos="14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2" w:lineRule="exact"/>
        <w:rPr>
          <w:rFonts w:ascii="Arial" w:cs="Arial" w:eastAsia="Arial" w:hAnsi="Arial"/>
          <w:sz w:val="18"/>
          <w:szCs w:val="18"/>
          <w:color w:val="auto"/>
        </w:rPr>
      </w:pPr>
    </w:p>
    <w:p>
      <w:pPr>
        <w:ind w:left="1860" w:hanging="435"/>
        <w:spacing w:after="0"/>
        <w:tabs>
          <w:tab w:leader="none" w:pos="18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860" w:right="300" w:hanging="435"/>
        <w:spacing w:after="0" w:line="261" w:lineRule="auto"/>
        <w:tabs>
          <w:tab w:leader="none" w:pos="1860" w:val="left"/>
        </w:tabs>
        <w:numPr>
          <w:ilvl w:val="2"/>
          <w:numId w:val="5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880" w:right="80"/>
        <w:spacing w:after="0" w:line="255" w:lineRule="auto"/>
        <w:rPr>
          <w:sz w:val="20"/>
          <w:szCs w:val="20"/>
          <w:color w:val="auto"/>
        </w:rPr>
      </w:pPr>
      <w:r>
        <w:rPr>
          <w:rFonts w:ascii="Arial" w:cs="Arial" w:eastAsia="Arial" w:hAnsi="Arial"/>
          <w:sz w:val="17"/>
          <w:szCs w:val="17"/>
          <w:color w:val="auto"/>
        </w:rPr>
        <w:t>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96" w:lineRule="exact"/>
        <w:rPr>
          <w:sz w:val="20"/>
          <w:szCs w:val="20"/>
          <w:color w:val="auto"/>
        </w:rPr>
      </w:pPr>
    </w:p>
    <w:p>
      <w:pPr>
        <w:ind w:left="1860" w:right="100" w:hanging="435"/>
        <w:spacing w:after="0" w:line="246" w:lineRule="auto"/>
        <w:tabs>
          <w:tab w:leader="none" w:pos="18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2" w:lineRule="exact"/>
        <w:rPr>
          <w:rFonts w:ascii="Arial" w:cs="Arial" w:eastAsia="Arial" w:hAnsi="Arial"/>
          <w:sz w:val="18"/>
          <w:szCs w:val="18"/>
          <w:color w:val="auto"/>
        </w:rPr>
      </w:pPr>
    </w:p>
    <w:p>
      <w:pPr>
        <w:ind w:left="1860" w:right="60"/>
        <w:spacing w:after="0" w:line="238" w:lineRule="auto"/>
        <w:rPr>
          <w:rFonts w:ascii="Arial" w:cs="Arial" w:eastAsia="Arial" w:hAnsi="Arial"/>
          <w:sz w:val="18"/>
          <w:szCs w:val="18"/>
          <w:color w:val="auto"/>
        </w:rPr>
      </w:pPr>
      <w:r>
        <w:rPr>
          <w:rFonts w:ascii="Arial" w:cs="Arial" w:eastAsia="Arial" w:hAnsi="Arial"/>
          <w:sz w:val="18"/>
          <w:szCs w:val="18"/>
          <w:color w:val="auto"/>
        </w:rPr>
        <w:t>provided, however, that paragraphs (a)(1)(i), (a)(1)(ii) and a(l)(iii)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07" w:lineRule="exact"/>
        <w:rPr>
          <w:rFonts w:ascii="Arial" w:cs="Arial" w:eastAsia="Arial" w:hAnsi="Arial"/>
          <w:sz w:val="18"/>
          <w:szCs w:val="18"/>
          <w:color w:val="auto"/>
        </w:rPr>
      </w:pPr>
    </w:p>
    <w:p>
      <w:pPr>
        <w:ind w:left="1420" w:right="280" w:hanging="427"/>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08" w:lineRule="exact"/>
        <w:rPr>
          <w:rFonts w:ascii="Arial" w:cs="Arial" w:eastAsia="Arial" w:hAnsi="Arial"/>
          <w:sz w:val="18"/>
          <w:szCs w:val="18"/>
          <w:color w:val="auto"/>
        </w:rPr>
      </w:pPr>
    </w:p>
    <w:p>
      <w:pPr>
        <w:ind w:left="1420" w:right="120" w:hanging="427"/>
        <w:spacing w:after="0" w:line="246"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2" w:lineRule="exact"/>
        <w:rPr>
          <w:rFonts w:ascii="Arial" w:cs="Arial" w:eastAsia="Arial" w:hAnsi="Arial"/>
          <w:sz w:val="18"/>
          <w:szCs w:val="18"/>
          <w:color w:val="auto"/>
        </w:rPr>
      </w:pPr>
    </w:p>
    <w:p>
      <w:pPr>
        <w:ind w:left="1420" w:right="20" w:hanging="427"/>
        <w:spacing w:after="0" w:line="236"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Exchange Act of 1934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if such financial statements and information are contained in periodic reports filed with or furnished to the SEC by the registrant pursuant to Section 13 or Section 15(d) of the Securities Exchange Act of 1934 that are incorporated by reference in this Form F-3.</w:t>
      </w:r>
    </w:p>
    <w:p>
      <w:pPr>
        <w:spacing w:after="0" w:line="111" w:lineRule="exact"/>
        <w:rPr>
          <w:rFonts w:ascii="Arial" w:cs="Arial" w:eastAsia="Arial" w:hAnsi="Arial"/>
          <w:sz w:val="18"/>
          <w:szCs w:val="18"/>
          <w:color w:val="auto"/>
        </w:rPr>
      </w:pPr>
    </w:p>
    <w:p>
      <w:pPr>
        <w:ind w:left="1420" w:hanging="427"/>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1860" w:hanging="435"/>
        <w:spacing w:after="0"/>
        <w:tabs>
          <w:tab w:leader="none" w:pos="18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17" w:lineRule="exact"/>
        <w:rPr>
          <w:rFonts w:ascii="Arial" w:cs="Arial" w:eastAsia="Arial" w:hAnsi="Arial"/>
          <w:sz w:val="18"/>
          <w:szCs w:val="18"/>
          <w:color w:val="auto"/>
        </w:rPr>
      </w:pPr>
    </w:p>
    <w:p>
      <w:pPr>
        <w:ind w:left="2300" w:right="220" w:hanging="429"/>
        <w:spacing w:after="0"/>
        <w:tabs>
          <w:tab w:leader="none" w:pos="2300" w:val="left"/>
        </w:tabs>
        <w:numPr>
          <w:ilvl w:val="2"/>
          <w:numId w:val="5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8" w:lineRule="exact"/>
        <w:rPr>
          <w:rFonts w:ascii="Arial" w:cs="Arial" w:eastAsia="Arial" w:hAnsi="Arial"/>
          <w:sz w:val="18"/>
          <w:szCs w:val="18"/>
          <w:color w:val="auto"/>
        </w:rPr>
      </w:pPr>
    </w:p>
    <w:p>
      <w:pPr>
        <w:ind w:left="2300" w:hanging="429"/>
        <w:spacing w:after="0" w:line="237" w:lineRule="auto"/>
        <w:tabs>
          <w:tab w:leader="none" w:pos="2300" w:val="left"/>
        </w:tabs>
        <w:numPr>
          <w:ilvl w:val="2"/>
          <w:numId w:val="56"/>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320" w:right="40"/>
        <w:spacing w:after="0" w:line="236" w:lineRule="auto"/>
        <w:rPr>
          <w:sz w:val="20"/>
          <w:szCs w:val="20"/>
          <w:color w:val="auto"/>
        </w:rPr>
      </w:pPr>
      <w:r>
        <w:rPr>
          <w:rFonts w:ascii="Arial" w:cs="Arial" w:eastAsia="Arial" w:hAnsi="Arial"/>
          <w:sz w:val="18"/>
          <w:szCs w:val="18"/>
          <w:color w:val="auto"/>
        </w:rPr>
        <w:t>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12" w:lineRule="exact"/>
        <w:rPr>
          <w:sz w:val="20"/>
          <w:szCs w:val="20"/>
          <w:color w:val="auto"/>
        </w:rPr>
      </w:pPr>
    </w:p>
    <w:p>
      <w:pPr>
        <w:ind w:left="1860" w:right="20" w:hanging="435"/>
        <w:spacing w:after="0" w:line="236" w:lineRule="auto"/>
        <w:tabs>
          <w:tab w:leader="none" w:pos="18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2" w:lineRule="exact"/>
        <w:rPr>
          <w:rFonts w:ascii="Arial" w:cs="Arial" w:eastAsia="Arial" w:hAnsi="Arial"/>
          <w:sz w:val="18"/>
          <w:szCs w:val="18"/>
          <w:color w:val="auto"/>
        </w:rPr>
      </w:pPr>
    </w:p>
    <w:p>
      <w:pPr>
        <w:ind w:left="1420" w:hanging="427"/>
        <w:spacing w:after="0" w:line="246" w:lineRule="auto"/>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02" w:lineRule="exact"/>
        <w:rPr>
          <w:rFonts w:ascii="Arial" w:cs="Arial" w:eastAsia="Arial" w:hAnsi="Arial"/>
          <w:sz w:val="18"/>
          <w:szCs w:val="18"/>
          <w:color w:val="auto"/>
        </w:rPr>
      </w:pPr>
    </w:p>
    <w:p>
      <w:pPr>
        <w:ind w:left="1420" w:right="320"/>
        <w:spacing w:after="0" w:line="238" w:lineRule="auto"/>
        <w:rPr>
          <w:rFonts w:ascii="Arial" w:cs="Arial" w:eastAsia="Arial" w:hAnsi="Arial"/>
          <w:sz w:val="18"/>
          <w:szCs w:val="18"/>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0" w:lineRule="exact"/>
        <w:rPr>
          <w:rFonts w:ascii="Arial" w:cs="Arial" w:eastAsia="Arial" w:hAnsi="Arial"/>
          <w:sz w:val="18"/>
          <w:szCs w:val="18"/>
          <w:color w:val="auto"/>
        </w:rPr>
      </w:pPr>
    </w:p>
    <w:p>
      <w:pPr>
        <w:ind w:left="1860" w:right="280" w:hanging="435"/>
        <w:spacing w:after="0" w:line="246" w:lineRule="auto"/>
        <w:tabs>
          <w:tab w:leader="none" w:pos="18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02" w:lineRule="exact"/>
        <w:rPr>
          <w:rFonts w:ascii="Arial" w:cs="Arial" w:eastAsia="Arial" w:hAnsi="Arial"/>
          <w:sz w:val="18"/>
          <w:szCs w:val="18"/>
          <w:color w:val="auto"/>
        </w:rPr>
      </w:pPr>
    </w:p>
    <w:p>
      <w:pPr>
        <w:ind w:left="1860" w:right="100" w:hanging="435"/>
        <w:spacing w:after="0" w:line="246" w:lineRule="auto"/>
        <w:tabs>
          <w:tab w:leader="none" w:pos="18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2" w:lineRule="exact"/>
        <w:rPr>
          <w:rFonts w:ascii="Arial" w:cs="Arial" w:eastAsia="Arial" w:hAnsi="Arial"/>
          <w:sz w:val="18"/>
          <w:szCs w:val="18"/>
          <w:color w:val="auto"/>
        </w:rPr>
      </w:pPr>
    </w:p>
    <w:p>
      <w:pPr>
        <w:ind w:left="1860" w:right="400" w:hanging="435"/>
        <w:spacing w:after="0" w:line="246" w:lineRule="auto"/>
        <w:tabs>
          <w:tab w:leader="none" w:pos="18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2" w:lineRule="exact"/>
        <w:rPr>
          <w:rFonts w:ascii="Arial" w:cs="Arial" w:eastAsia="Arial" w:hAnsi="Arial"/>
          <w:sz w:val="18"/>
          <w:szCs w:val="18"/>
          <w:color w:val="auto"/>
        </w:rPr>
      </w:pPr>
    </w:p>
    <w:p>
      <w:pPr>
        <w:ind w:left="1860" w:hanging="435"/>
        <w:spacing w:after="0"/>
        <w:tabs>
          <w:tab w:leader="none" w:pos="18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980" w:right="120" w:hanging="432"/>
        <w:spacing w:after="0" w:line="23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(c)-(g) Not applicable.</w:t>
      </w:r>
    </w:p>
    <w:p>
      <w:pPr>
        <w:spacing w:after="0" w:line="117" w:lineRule="exact"/>
        <w:rPr>
          <w:sz w:val="20"/>
          <w:szCs w:val="20"/>
          <w:color w:val="auto"/>
        </w:rPr>
      </w:pPr>
    </w:p>
    <w:p>
      <w:pPr>
        <w:ind w:left="980" w:right="40" w:hanging="432"/>
        <w:spacing w:after="0" w:line="251" w:lineRule="auto"/>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referred to in Item 8,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4" w:lineRule="exact"/>
        <w:rPr>
          <w:rFonts w:ascii="Arial" w:cs="Arial" w:eastAsia="Arial" w:hAnsi="Arial"/>
          <w:sz w:val="17"/>
          <w:szCs w:val="17"/>
          <w:color w:val="auto"/>
        </w:rPr>
      </w:pPr>
    </w:p>
    <w:p>
      <w:pPr>
        <w:ind w:left="980" w:right="100" w:hanging="432"/>
        <w:spacing w:after="0" w:line="238"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0" w:lineRule="exact"/>
        <w:rPr>
          <w:rFonts w:ascii="Arial" w:cs="Arial" w:eastAsia="Arial" w:hAnsi="Arial"/>
          <w:sz w:val="18"/>
          <w:szCs w:val="18"/>
          <w:color w:val="auto"/>
        </w:rPr>
      </w:pPr>
    </w:p>
    <w:p>
      <w:pPr>
        <w:ind w:left="980" w:hanging="432"/>
        <w:spacing w:after="0" w:line="238"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0" w:type="dxa"/>
            <w:vAlign w:val="bottom"/>
            <w:gridSpan w:val="4"/>
          </w:tcPr>
          <w:p>
            <w:pPr>
              <w:ind w:left="354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75"/>
        </w:trPr>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Description</w:t>
            </w:r>
          </w:p>
        </w:tc>
        <w:tc>
          <w:tcPr>
            <w:tcW w:w="3880" w:type="dxa"/>
            <w:vAlign w:val="bottom"/>
          </w:tcPr>
          <w:p>
            <w:pPr>
              <w:spacing w:after="0"/>
              <w:rPr>
                <w:sz w:val="15"/>
                <w:szCs w:val="15"/>
                <w:color w:val="auto"/>
              </w:rPr>
            </w:pPr>
          </w:p>
        </w:tc>
      </w:tr>
      <w:tr>
        <w:trPr>
          <w:trHeight w:val="318"/>
        </w:trPr>
        <w:tc>
          <w:tcPr>
            <w:tcW w:w="560" w:type="dxa"/>
            <w:vAlign w:val="bottom"/>
          </w:tcPr>
          <w:p>
            <w:pPr>
              <w:jc w:val="right"/>
              <w:ind w:right="54"/>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24"/>
                <w:szCs w:val="24"/>
                <w:color w:val="auto"/>
              </w:rPr>
            </w:pPr>
          </w:p>
        </w:tc>
        <w:tc>
          <w:tcPr>
            <w:tcW w:w="9400" w:type="dxa"/>
            <w:vAlign w:val="bottom"/>
            <w:gridSpan w:val="4"/>
          </w:tcPr>
          <w:p>
            <w:pPr>
              <w:spacing w:after="0"/>
              <w:rPr>
                <w:sz w:val="20"/>
                <w:szCs w:val="20"/>
                <w:color w:val="auto"/>
              </w:rPr>
            </w:pPr>
            <w:r>
              <w:rPr>
                <w:rFonts w:ascii="Arial" w:cs="Arial" w:eastAsia="Arial" w:hAnsi="Arial"/>
                <w:sz w:val="18"/>
                <w:szCs w:val="18"/>
                <w:color w:val="auto"/>
              </w:rPr>
              <w:t>Form of Underwriting Agreement.</w:t>
            </w:r>
          </w:p>
        </w:tc>
      </w:tr>
      <w:tr>
        <w:trPr>
          <w:trHeight w:val="311"/>
        </w:trPr>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740" w:type="dxa"/>
            <w:vAlign w:val="bottom"/>
          </w:tcPr>
          <w:p>
            <w:pPr>
              <w:spacing w:after="0"/>
              <w:rPr>
                <w:sz w:val="24"/>
                <w:szCs w:val="24"/>
                <w:color w:val="auto"/>
              </w:rPr>
            </w:pPr>
          </w:p>
        </w:tc>
        <w:tc>
          <w:tcPr>
            <w:tcW w:w="9400" w:type="dxa"/>
            <w:vAlign w:val="bottom"/>
            <w:gridSpan w:val="4"/>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Sales Agreement, dated October 6, 2020, by and between Mereo BioPharma Group PLC and SVB Leerink LLC.</w:t>
              </w:r>
            </w:hyperlink>
          </w:p>
        </w:tc>
      </w:tr>
      <w:tr>
        <w:trPr>
          <w:trHeight w:val="270"/>
        </w:trPr>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740" w:type="dxa"/>
            <w:vAlign w:val="bottom"/>
          </w:tcPr>
          <w:p>
            <w:pPr>
              <w:spacing w:after="0"/>
              <w:rPr>
                <w:sz w:val="23"/>
                <w:szCs w:val="23"/>
                <w:color w:val="auto"/>
              </w:rPr>
            </w:pPr>
          </w:p>
        </w:tc>
        <w:tc>
          <w:tcPr>
            <w:tcW w:w="9400" w:type="dxa"/>
            <w:vAlign w:val="bottom"/>
            <w:tcBorders>
              <w:bottom w:val="single" w:sz="8" w:color="0000EE"/>
            </w:tcBorders>
            <w:gridSpan w:val="4"/>
          </w:tcPr>
          <w:p>
            <w:pPr>
              <w:spacing w:after="0"/>
              <w:rPr>
                <w:rFonts w:ascii="Arial" w:cs="Arial" w:eastAsia="Arial" w:hAnsi="Arial"/>
                <w:sz w:val="18"/>
                <w:szCs w:val="18"/>
                <w:color w:val="0000EE"/>
                <w:w w:val="99"/>
              </w:rPr>
            </w:pPr>
            <w:hyperlink r:id="rId148">
              <w:r>
                <w:rPr>
                  <w:rFonts w:ascii="Arial" w:cs="Arial" w:eastAsia="Arial" w:hAnsi="Arial"/>
                  <w:sz w:val="18"/>
                  <w:szCs w:val="18"/>
                  <w:color w:val="0000EE"/>
                  <w:w w:val="99"/>
                </w:rPr>
                <w:t>Form of Deposit Agreement (incorporated by reference to Exhibit 4.2 to the registrant’s registration statement on Form</w:t>
              </w:r>
            </w:hyperlink>
          </w:p>
        </w:tc>
      </w:tr>
      <w:tr>
        <w:trPr>
          <w:trHeight w:val="183"/>
        </w:trPr>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0" w:type="dxa"/>
            <w:vAlign w:val="bottom"/>
            <w:gridSpan w:val="4"/>
          </w:tcPr>
          <w:p>
            <w:pPr>
              <w:spacing w:after="0" w:line="182" w:lineRule="exact"/>
              <w:rPr>
                <w:rFonts w:ascii="Arial" w:cs="Arial" w:eastAsia="Arial" w:hAnsi="Arial"/>
                <w:sz w:val="18"/>
                <w:szCs w:val="18"/>
                <w:color w:val="0000EE"/>
              </w:rPr>
            </w:pPr>
            <w:hyperlink r:id="rId148">
              <w:r>
                <w:rPr>
                  <w:rFonts w:ascii="Arial" w:cs="Arial" w:eastAsia="Arial" w:hAnsi="Arial"/>
                  <w:sz w:val="18"/>
                  <w:szCs w:val="18"/>
                  <w:color w:val="0000EE"/>
                </w:rPr>
                <w:t>F-4 filed with the SEC on January 25, 2019 (File No. 333-229351)).</w:t>
              </w:r>
            </w:hyperlink>
          </w:p>
        </w:tc>
      </w:tr>
      <w:tr>
        <w:trPr>
          <w:trHeight w:val="331"/>
        </w:trPr>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740" w:type="dxa"/>
            <w:vAlign w:val="bottom"/>
          </w:tcPr>
          <w:p>
            <w:pPr>
              <w:spacing w:after="0"/>
              <w:rPr>
                <w:sz w:val="24"/>
                <w:szCs w:val="24"/>
                <w:color w:val="auto"/>
              </w:rPr>
            </w:pPr>
          </w:p>
        </w:tc>
        <w:tc>
          <w:tcPr>
            <w:tcW w:w="5340" w:type="dxa"/>
            <w:vAlign w:val="bottom"/>
            <w:tcBorders>
              <w:top w:val="single" w:sz="8" w:color="0000EE"/>
            </w:tcBorders>
            <w:gridSpan w:val="2"/>
          </w:tcPr>
          <w:p>
            <w:pPr>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Form of American Depositary Receipt (included in Exhibit 4.1).</w:t>
              </w:r>
            </w:hyperlink>
          </w:p>
        </w:tc>
        <w:tc>
          <w:tcPr>
            <w:tcW w:w="4060" w:type="dxa"/>
            <w:vAlign w:val="bottom"/>
            <w:gridSpan w:val="2"/>
          </w:tcPr>
          <w:p>
            <w:pPr>
              <w:spacing w:after="0"/>
              <w:rPr>
                <w:sz w:val="24"/>
                <w:szCs w:val="24"/>
                <w:color w:val="auto"/>
              </w:rPr>
            </w:pPr>
          </w:p>
        </w:tc>
      </w:tr>
      <w:tr>
        <w:trPr>
          <w:trHeight w:val="310"/>
        </w:trPr>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740" w:type="dxa"/>
            <w:vAlign w:val="bottom"/>
          </w:tcPr>
          <w:p>
            <w:pPr>
              <w:spacing w:after="0"/>
              <w:rPr>
                <w:sz w:val="24"/>
                <w:szCs w:val="24"/>
                <w:color w:val="auto"/>
              </w:rPr>
            </w:pPr>
          </w:p>
        </w:tc>
        <w:tc>
          <w:tcPr>
            <w:tcW w:w="9400" w:type="dxa"/>
            <w:vAlign w:val="bottom"/>
            <w:gridSpan w:val="4"/>
          </w:tcPr>
          <w:p>
            <w:pPr>
              <w:spacing w:after="0"/>
              <w:rPr>
                <w:rFonts w:ascii="Arial" w:cs="Arial" w:eastAsia="Arial" w:hAnsi="Arial"/>
                <w:sz w:val="18"/>
                <w:szCs w:val="18"/>
                <w:color w:val="0000EE"/>
              </w:rPr>
            </w:pPr>
            <w:hyperlink w:anchor="page143">
              <w:r>
                <w:rPr>
                  <w:rFonts w:ascii="Arial" w:cs="Arial" w:eastAsia="Arial" w:hAnsi="Arial"/>
                  <w:sz w:val="18"/>
                  <w:szCs w:val="18"/>
                  <w:u w:val="single" w:color="auto"/>
                  <w:color w:val="0000EE"/>
                </w:rPr>
                <w:t>Opinion of Mayer Brown International LLP</w:t>
              </w:r>
              <w:r>
                <w:rPr>
                  <w:rFonts w:ascii="Arial" w:cs="Arial" w:eastAsia="Arial" w:hAnsi="Arial"/>
                  <w:sz w:val="18"/>
                  <w:szCs w:val="18"/>
                  <w:color w:val="0000EE"/>
                </w:rPr>
                <w:t>.</w:t>
              </w:r>
            </w:hyperlink>
          </w:p>
        </w:tc>
      </w:tr>
      <w:tr>
        <w:trPr>
          <w:trHeight w:val="311"/>
        </w:trPr>
        <w:tc>
          <w:tcPr>
            <w:tcW w:w="560" w:type="dxa"/>
            <w:vAlign w:val="bottom"/>
          </w:tcPr>
          <w:p>
            <w:pPr>
              <w:jc w:val="right"/>
              <w:spacing w:after="0"/>
              <w:rPr>
                <w:sz w:val="20"/>
                <w:szCs w:val="20"/>
                <w:color w:val="auto"/>
              </w:rPr>
            </w:pPr>
            <w:r>
              <w:rPr>
                <w:rFonts w:ascii="Arial" w:cs="Arial" w:eastAsia="Arial" w:hAnsi="Arial"/>
                <w:sz w:val="18"/>
                <w:szCs w:val="18"/>
                <w:color w:val="auto"/>
                <w:w w:val="96"/>
              </w:rPr>
              <w:t>23.1***</w:t>
            </w:r>
          </w:p>
        </w:tc>
        <w:tc>
          <w:tcPr>
            <w:tcW w:w="740" w:type="dxa"/>
            <w:vAlign w:val="bottom"/>
          </w:tcPr>
          <w:p>
            <w:pPr>
              <w:spacing w:after="0"/>
              <w:rPr>
                <w:sz w:val="24"/>
                <w:szCs w:val="24"/>
                <w:color w:val="auto"/>
              </w:rPr>
            </w:pPr>
          </w:p>
        </w:tc>
        <w:tc>
          <w:tcPr>
            <w:tcW w:w="9400" w:type="dxa"/>
            <w:vAlign w:val="bottom"/>
            <w:gridSpan w:val="4"/>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Consent of Ernst &amp; Young LLP, Independent Registered Public Accounting Firm.</w:t>
              </w:r>
            </w:hyperlink>
          </w:p>
        </w:tc>
      </w:tr>
      <w:tr>
        <w:trPr>
          <w:trHeight w:val="310"/>
        </w:trPr>
        <w:tc>
          <w:tcPr>
            <w:tcW w:w="560" w:type="dxa"/>
            <w:vAlign w:val="bottom"/>
          </w:tcPr>
          <w:p>
            <w:pPr>
              <w:jc w:val="right"/>
              <w:spacing w:after="0"/>
              <w:rPr>
                <w:sz w:val="20"/>
                <w:szCs w:val="20"/>
                <w:color w:val="auto"/>
              </w:rPr>
            </w:pPr>
            <w:r>
              <w:rPr>
                <w:rFonts w:ascii="Arial" w:cs="Arial" w:eastAsia="Arial" w:hAnsi="Arial"/>
                <w:sz w:val="18"/>
                <w:szCs w:val="18"/>
                <w:color w:val="auto"/>
                <w:w w:val="96"/>
              </w:rPr>
              <w:t>23.2***</w:t>
            </w:r>
          </w:p>
        </w:tc>
        <w:tc>
          <w:tcPr>
            <w:tcW w:w="740" w:type="dxa"/>
            <w:vAlign w:val="bottom"/>
          </w:tcPr>
          <w:p>
            <w:pPr>
              <w:spacing w:after="0"/>
              <w:rPr>
                <w:sz w:val="24"/>
                <w:szCs w:val="24"/>
                <w:color w:val="auto"/>
              </w:rPr>
            </w:pPr>
          </w:p>
        </w:tc>
        <w:tc>
          <w:tcPr>
            <w:tcW w:w="9400" w:type="dxa"/>
            <w:vAlign w:val="bottom"/>
            <w:gridSpan w:val="4"/>
          </w:tcPr>
          <w:p>
            <w:pPr>
              <w:spacing w:after="0"/>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Consent of Mayer Brown International LLP (included in Exhibit 5.1).</w:t>
              </w:r>
            </w:hyperlink>
          </w:p>
        </w:tc>
      </w:tr>
      <w:tr>
        <w:trPr>
          <w:trHeight w:val="311"/>
        </w:trPr>
        <w:tc>
          <w:tcPr>
            <w:tcW w:w="560" w:type="dxa"/>
            <w:vAlign w:val="bottom"/>
          </w:tcPr>
          <w:p>
            <w:pPr>
              <w:jc w:val="right"/>
              <w:spacing w:after="0"/>
              <w:rPr>
                <w:sz w:val="20"/>
                <w:szCs w:val="20"/>
                <w:color w:val="auto"/>
              </w:rPr>
            </w:pPr>
            <w:r>
              <w:rPr>
                <w:rFonts w:ascii="Arial" w:cs="Arial" w:eastAsia="Arial" w:hAnsi="Arial"/>
                <w:sz w:val="18"/>
                <w:szCs w:val="18"/>
                <w:color w:val="auto"/>
                <w:w w:val="96"/>
              </w:rPr>
              <w:t>24.1***</w:t>
            </w:r>
          </w:p>
        </w:tc>
        <w:tc>
          <w:tcPr>
            <w:tcW w:w="740" w:type="dxa"/>
            <w:vAlign w:val="bottom"/>
          </w:tcPr>
          <w:p>
            <w:pPr>
              <w:spacing w:after="0"/>
              <w:rPr>
                <w:sz w:val="24"/>
                <w:szCs w:val="24"/>
                <w:color w:val="auto"/>
              </w:rPr>
            </w:pPr>
          </w:p>
        </w:tc>
        <w:tc>
          <w:tcPr>
            <w:tcW w:w="9400" w:type="dxa"/>
            <w:vAlign w:val="bottom"/>
            <w:gridSpan w:val="4"/>
          </w:tcPr>
          <w:p>
            <w:pPr>
              <w:spacing w:after="0"/>
              <w:rPr>
                <w:rFonts w:ascii="Arial" w:cs="Arial" w:eastAsia="Arial" w:hAnsi="Arial"/>
                <w:sz w:val="18"/>
                <w:szCs w:val="18"/>
                <w:color w:val="0000EE"/>
              </w:rPr>
            </w:pPr>
            <w:hyperlink w:anchor="page95">
              <w:r>
                <w:rPr>
                  <w:rFonts w:ascii="Arial" w:cs="Arial" w:eastAsia="Arial" w:hAnsi="Arial"/>
                  <w:sz w:val="18"/>
                  <w:szCs w:val="18"/>
                  <w:u w:val="single" w:color="auto"/>
                  <w:color w:val="0000EE"/>
                </w:rPr>
                <w:t>Powers of Attorney (included on the signature page to the Registration Statement)</w:t>
              </w:r>
              <w:r>
                <w:rPr>
                  <w:rFonts w:ascii="Arial" w:cs="Arial" w:eastAsia="Arial" w:hAnsi="Arial"/>
                  <w:sz w:val="18"/>
                  <w:szCs w:val="18"/>
                  <w:color w:val="0000EE"/>
                </w:rPr>
                <w:t>.</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18173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5" w:lineRule="exact"/>
        <w:rPr>
          <w:sz w:val="20"/>
          <w:szCs w:val="20"/>
          <w:color w:val="auto"/>
        </w:rPr>
      </w:pPr>
    </w:p>
    <w:p>
      <w:pPr>
        <w:ind w:left="120" w:right="1160" w:hanging="4"/>
        <w:spacing w:after="0" w:line="234" w:lineRule="auto"/>
        <w:tabs>
          <w:tab w:leader="none" w:pos="5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be subsequently filed, if applicable, by an amendment to this registration statement or by a Report on Form 6-K. ** Previously filed.</w:t>
      </w:r>
    </w:p>
    <w:p>
      <w:pPr>
        <w:spacing w:after="0" w:line="1"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820"/>
          </w:cols>
          <w:pgMar w:left="320" w:top="459" w:right="7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London, the United Kingdom on October 6, 2020.</w:t>
      </w:r>
    </w:p>
    <w:p>
      <w:pPr>
        <w:spacing w:after="0" w:line="2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MEREO BIOPHARMA GROUP PLC</w:t>
      </w:r>
    </w:p>
    <w:p>
      <w:pPr>
        <w:spacing w:after="0" w:line="20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Denise Scots-Knight, Ph.D.</w:t>
      </w:r>
    </w:p>
    <w:tbl>
      <w:tblPr>
        <w:tblLayout w:type="fixed"/>
        <w:tblInd w:w="7080" w:type="dxa"/>
        <w:tblCellMar>
          <w:top w:w="0" w:type="dxa"/>
          <w:left w:w="0" w:type="dxa"/>
          <w:bottom w:w="0" w:type="dxa"/>
          <w:right w:w="0" w:type="dxa"/>
        </w:tblCellMar>
      </w:tblPr>
      <w:tr>
        <w:trPr>
          <w:trHeight w:val="209"/>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Denise Scots-Knight, Ph.D.</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120" w:right="20" w:firstLine="440"/>
        <w:spacing w:after="0" w:line="234" w:lineRule="auto"/>
        <w:rPr>
          <w:sz w:val="20"/>
          <w:szCs w:val="20"/>
          <w:color w:val="auto"/>
        </w:rPr>
      </w:pPr>
      <w:r>
        <w:rPr>
          <w:rFonts w:ascii="Arial" w:cs="Arial" w:eastAsia="Arial" w:hAnsi="Arial"/>
          <w:sz w:val="18"/>
          <w:szCs w:val="18"/>
          <w:color w:val="auto"/>
        </w:rPr>
        <w:t>KNOW ALL PERSONS BY THESE PRESENT, that each person whose signature appears below hereby constitutes and appoints Denise Scots-Knight, Ph.D., as his or her true and lawful attorney-in-fact and agent,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w:t>
      </w:r>
    </w:p>
    <w:p>
      <w:pPr>
        <w:spacing w:after="0" w:line="4" w:lineRule="exact"/>
        <w:rPr>
          <w:sz w:val="20"/>
          <w:szCs w:val="20"/>
          <w:color w:val="auto"/>
        </w:rPr>
      </w:pPr>
    </w:p>
    <w:p>
      <w:pPr>
        <w:ind w:left="120" w:right="400"/>
        <w:spacing w:after="0"/>
        <w:rPr>
          <w:sz w:val="20"/>
          <w:szCs w:val="20"/>
          <w:color w:val="auto"/>
        </w:rPr>
      </w:pPr>
      <w:r>
        <w:rPr>
          <w:rFonts w:ascii="Arial" w:cs="Arial" w:eastAsia="Arial" w:hAnsi="Arial"/>
          <w:sz w:val="18"/>
          <w:szCs w:val="18"/>
          <w:color w:val="auto"/>
        </w:rPr>
        <w:t>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may lawfully do or cause to be done by virtue hereof.</w:t>
      </w:r>
    </w:p>
    <w:p>
      <w:pPr>
        <w:spacing w:after="0" w:line="203"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October 6, 2020 in the capacities indicated: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56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1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18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rPr>
              <w:t>Title</w:t>
            </w:r>
          </w:p>
        </w:tc>
      </w:tr>
      <w:tr>
        <w:trPr>
          <w:trHeight w:val="20"/>
        </w:trPr>
        <w:tc>
          <w:tcPr>
            <w:tcW w:w="2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11"/>
        </w:trPr>
        <w:tc>
          <w:tcPr>
            <w:tcW w:w="46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color w:val="auto"/>
                <w:w w:val="99"/>
              </w:rPr>
              <w:t>/s/ Denise Scots-Knight, Ph.D.</w:t>
            </w:r>
          </w:p>
        </w:tc>
        <w:tc>
          <w:tcPr>
            <w:tcW w:w="840" w:type="dxa"/>
            <w:vAlign w:val="bottom"/>
            <w:tcBorders>
              <w:bottom w:val="single" w:sz="8" w:color="auto"/>
            </w:tcBorders>
          </w:tcPr>
          <w:p>
            <w:pPr>
              <w:spacing w:after="0"/>
              <w:rPr>
                <w:sz w:val="24"/>
                <w:szCs w:val="24"/>
                <w:color w:val="auto"/>
              </w:rPr>
            </w:pPr>
          </w:p>
        </w:tc>
        <w:tc>
          <w:tcPr>
            <w:tcW w:w="5180" w:type="dxa"/>
            <w:vAlign w:val="bottom"/>
            <w:gridSpan w:val="3"/>
          </w:tcPr>
          <w:p>
            <w:pPr>
              <w:jc w:val="center"/>
              <w:ind w:left="452"/>
              <w:spacing w:after="0"/>
              <w:rPr>
                <w:sz w:val="20"/>
                <w:szCs w:val="20"/>
                <w:color w:val="auto"/>
              </w:rPr>
            </w:pPr>
            <w:r>
              <w:rPr>
                <w:rFonts w:ascii="Arial" w:cs="Arial" w:eastAsia="Arial" w:hAnsi="Arial"/>
                <w:sz w:val="18"/>
                <w:szCs w:val="18"/>
                <w:color w:val="auto"/>
                <w:w w:val="99"/>
              </w:rPr>
              <w:t>Chief Executive Officer and Member of the Board</w:t>
            </w:r>
          </w:p>
        </w:tc>
      </w:tr>
      <w:tr>
        <w:trPr>
          <w:trHeight w:val="211"/>
        </w:trPr>
        <w:tc>
          <w:tcPr>
            <w:tcW w:w="4680" w:type="dxa"/>
            <w:vAlign w:val="bottom"/>
            <w:gridSpan w:val="3"/>
          </w:tcPr>
          <w:p>
            <w:pPr>
              <w:jc w:val="center"/>
              <w:ind w:left="730"/>
              <w:spacing w:after="0"/>
              <w:rPr>
                <w:sz w:val="20"/>
                <w:szCs w:val="20"/>
                <w:color w:val="auto"/>
              </w:rPr>
            </w:pPr>
            <w:r>
              <w:rPr>
                <w:rFonts w:ascii="Arial" w:cs="Arial" w:eastAsia="Arial" w:hAnsi="Arial"/>
                <w:sz w:val="18"/>
                <w:szCs w:val="18"/>
                <w:color w:val="auto"/>
                <w:w w:val="99"/>
              </w:rPr>
              <w:t>Denise Scots-Knight, Ph.D.</w:t>
            </w:r>
          </w:p>
        </w:tc>
        <w:tc>
          <w:tcPr>
            <w:tcW w:w="840" w:type="dxa"/>
            <w:vAlign w:val="bottom"/>
          </w:tcPr>
          <w:p>
            <w:pPr>
              <w:spacing w:after="0"/>
              <w:rPr>
                <w:sz w:val="18"/>
                <w:szCs w:val="18"/>
                <w:color w:val="auto"/>
              </w:rPr>
            </w:pPr>
          </w:p>
        </w:tc>
        <w:tc>
          <w:tcPr>
            <w:tcW w:w="5180" w:type="dxa"/>
            <w:vAlign w:val="bottom"/>
            <w:gridSpan w:val="3"/>
          </w:tcPr>
          <w:p>
            <w:pPr>
              <w:jc w:val="center"/>
              <w:ind w:left="432"/>
              <w:spacing w:after="0" w:line="197" w:lineRule="exact"/>
              <w:rPr>
                <w:sz w:val="20"/>
                <w:szCs w:val="20"/>
                <w:color w:val="auto"/>
              </w:rPr>
            </w:pPr>
            <w:r>
              <w:rPr>
                <w:rFonts w:ascii="Arial" w:cs="Arial" w:eastAsia="Arial" w:hAnsi="Arial"/>
                <w:sz w:val="18"/>
                <w:szCs w:val="18"/>
                <w:color w:val="auto"/>
                <w:w w:val="99"/>
              </w:rPr>
              <w:t>(Principal Executive Officer and Principal Financial Officer)</w:t>
            </w:r>
          </w:p>
        </w:tc>
      </w:tr>
      <w:tr>
        <w:trPr>
          <w:trHeight w:val="418"/>
        </w:trPr>
        <w:tc>
          <w:tcPr>
            <w:tcW w:w="46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color w:val="auto"/>
                <w:w w:val="99"/>
              </w:rPr>
              <w:t>/s/ Michael S. Wyzga</w:t>
            </w:r>
          </w:p>
        </w:tc>
        <w:tc>
          <w:tcPr>
            <w:tcW w:w="840" w:type="dxa"/>
            <w:vAlign w:val="bottom"/>
            <w:tcBorders>
              <w:bottom w:val="single" w:sz="8" w:color="auto"/>
            </w:tcBorders>
          </w:tcPr>
          <w:p>
            <w:pPr>
              <w:spacing w:after="0"/>
              <w:rPr>
                <w:sz w:val="24"/>
                <w:szCs w:val="24"/>
                <w:color w:val="auto"/>
              </w:rPr>
            </w:pPr>
          </w:p>
        </w:tc>
        <w:tc>
          <w:tcPr>
            <w:tcW w:w="5180" w:type="dxa"/>
            <w:vAlign w:val="bottom"/>
            <w:gridSpan w:val="3"/>
          </w:tcPr>
          <w:p>
            <w:pPr>
              <w:jc w:val="center"/>
              <w:ind w:left="432"/>
              <w:spacing w:after="0"/>
              <w:rPr>
                <w:sz w:val="20"/>
                <w:szCs w:val="20"/>
                <w:color w:val="auto"/>
              </w:rPr>
            </w:pPr>
            <w:r>
              <w:rPr>
                <w:rFonts w:ascii="Arial" w:cs="Arial" w:eastAsia="Arial" w:hAnsi="Arial"/>
                <w:sz w:val="18"/>
                <w:szCs w:val="18"/>
                <w:color w:val="auto"/>
                <w:w w:val="99"/>
              </w:rPr>
              <w:t>Interim Chief Financial Officer and Member of the Board</w:t>
            </w:r>
          </w:p>
        </w:tc>
      </w:tr>
      <w:tr>
        <w:trPr>
          <w:trHeight w:val="210"/>
        </w:trPr>
        <w:tc>
          <w:tcPr>
            <w:tcW w:w="4680" w:type="dxa"/>
            <w:vAlign w:val="bottom"/>
            <w:gridSpan w:val="3"/>
          </w:tcPr>
          <w:p>
            <w:pPr>
              <w:jc w:val="center"/>
              <w:ind w:left="750"/>
              <w:spacing w:after="0"/>
              <w:rPr>
                <w:sz w:val="20"/>
                <w:szCs w:val="20"/>
                <w:color w:val="auto"/>
              </w:rPr>
            </w:pPr>
            <w:r>
              <w:rPr>
                <w:rFonts w:ascii="Arial" w:cs="Arial" w:eastAsia="Arial" w:hAnsi="Arial"/>
                <w:sz w:val="18"/>
                <w:szCs w:val="18"/>
                <w:color w:val="auto"/>
                <w:w w:val="99"/>
              </w:rPr>
              <w:t>Michael S. Wyzga</w:t>
            </w:r>
          </w:p>
        </w:tc>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418"/>
        </w:trPr>
        <w:tc>
          <w:tcPr>
            <w:tcW w:w="46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color w:val="auto"/>
                <w:w w:val="98"/>
              </w:rPr>
              <w:t>/s/ Peter Fellner, Ph.D.</w:t>
            </w:r>
          </w:p>
        </w:tc>
        <w:tc>
          <w:tcPr>
            <w:tcW w:w="840" w:type="dxa"/>
            <w:vAlign w:val="bottom"/>
            <w:tcBorders>
              <w:bottom w:val="single" w:sz="8" w:color="auto"/>
            </w:tcBorders>
          </w:tcPr>
          <w:p>
            <w:pPr>
              <w:spacing w:after="0"/>
              <w:rPr>
                <w:sz w:val="24"/>
                <w:szCs w:val="24"/>
                <w:color w:val="auto"/>
              </w:rPr>
            </w:pPr>
          </w:p>
        </w:tc>
        <w:tc>
          <w:tcPr>
            <w:tcW w:w="5180" w:type="dxa"/>
            <w:vAlign w:val="bottom"/>
            <w:gridSpan w:val="3"/>
          </w:tcPr>
          <w:p>
            <w:pPr>
              <w:jc w:val="center"/>
              <w:ind w:left="432"/>
              <w:spacing w:after="0"/>
              <w:rPr>
                <w:sz w:val="20"/>
                <w:szCs w:val="20"/>
                <w:color w:val="auto"/>
              </w:rPr>
            </w:pPr>
            <w:r>
              <w:rPr>
                <w:rFonts w:ascii="Arial" w:cs="Arial" w:eastAsia="Arial" w:hAnsi="Arial"/>
                <w:sz w:val="18"/>
                <w:szCs w:val="18"/>
                <w:color w:val="auto"/>
              </w:rPr>
              <w:t>Chairman of the Board</w:t>
            </w:r>
          </w:p>
        </w:tc>
      </w:tr>
      <w:tr>
        <w:trPr>
          <w:trHeight w:val="210"/>
        </w:trPr>
        <w:tc>
          <w:tcPr>
            <w:tcW w:w="4680" w:type="dxa"/>
            <w:vAlign w:val="bottom"/>
            <w:gridSpan w:val="3"/>
          </w:tcPr>
          <w:p>
            <w:pPr>
              <w:jc w:val="center"/>
              <w:ind w:left="750"/>
              <w:spacing w:after="0"/>
              <w:rPr>
                <w:sz w:val="20"/>
                <w:szCs w:val="20"/>
                <w:color w:val="auto"/>
              </w:rPr>
            </w:pPr>
            <w:r>
              <w:rPr>
                <w:rFonts w:ascii="Arial" w:cs="Arial" w:eastAsia="Arial" w:hAnsi="Arial"/>
                <w:sz w:val="18"/>
                <w:szCs w:val="18"/>
                <w:color w:val="auto"/>
                <w:w w:val="98"/>
              </w:rPr>
              <w:t>Peter Fellner, Ph.D.</w:t>
            </w:r>
          </w:p>
        </w:tc>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418"/>
        </w:trPr>
        <w:tc>
          <w:tcPr>
            <w:tcW w:w="46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color w:val="auto"/>
                <w:w w:val="99"/>
              </w:rPr>
              <w:t>/s/ Peter Bains</w:t>
            </w:r>
          </w:p>
        </w:tc>
        <w:tc>
          <w:tcPr>
            <w:tcW w:w="840" w:type="dxa"/>
            <w:vAlign w:val="bottom"/>
            <w:tcBorders>
              <w:bottom w:val="single" w:sz="8" w:color="auto"/>
            </w:tcBorders>
          </w:tcPr>
          <w:p>
            <w:pPr>
              <w:spacing w:after="0"/>
              <w:rPr>
                <w:sz w:val="24"/>
                <w:szCs w:val="24"/>
                <w:color w:val="auto"/>
              </w:rPr>
            </w:pPr>
          </w:p>
        </w:tc>
        <w:tc>
          <w:tcPr>
            <w:tcW w:w="5180" w:type="dxa"/>
            <w:vAlign w:val="bottom"/>
            <w:gridSpan w:val="3"/>
          </w:tcPr>
          <w:p>
            <w:pPr>
              <w:jc w:val="center"/>
              <w:ind w:left="432"/>
              <w:spacing w:after="0"/>
              <w:rPr>
                <w:sz w:val="20"/>
                <w:szCs w:val="20"/>
                <w:color w:val="auto"/>
              </w:rPr>
            </w:pPr>
            <w:r>
              <w:rPr>
                <w:rFonts w:ascii="Arial" w:cs="Arial" w:eastAsia="Arial" w:hAnsi="Arial"/>
                <w:sz w:val="18"/>
                <w:szCs w:val="18"/>
                <w:color w:val="auto"/>
              </w:rPr>
              <w:t>Member of the Board</w:t>
            </w:r>
          </w:p>
        </w:tc>
      </w:tr>
      <w:tr>
        <w:trPr>
          <w:trHeight w:val="210"/>
        </w:trPr>
        <w:tc>
          <w:tcPr>
            <w:tcW w:w="4680" w:type="dxa"/>
            <w:vAlign w:val="bottom"/>
            <w:gridSpan w:val="3"/>
          </w:tcPr>
          <w:p>
            <w:pPr>
              <w:jc w:val="center"/>
              <w:ind w:left="750"/>
              <w:spacing w:after="0"/>
              <w:rPr>
                <w:sz w:val="20"/>
                <w:szCs w:val="20"/>
                <w:color w:val="auto"/>
              </w:rPr>
            </w:pPr>
            <w:r>
              <w:rPr>
                <w:rFonts w:ascii="Arial" w:cs="Arial" w:eastAsia="Arial" w:hAnsi="Arial"/>
                <w:sz w:val="18"/>
                <w:szCs w:val="18"/>
                <w:color w:val="auto"/>
                <w:w w:val="98"/>
              </w:rPr>
              <w:t>Peter Bains</w:t>
            </w:r>
          </w:p>
        </w:tc>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418"/>
        </w:trPr>
        <w:tc>
          <w:tcPr>
            <w:tcW w:w="46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color w:val="auto"/>
                <w:w w:val="99"/>
              </w:rPr>
              <w:t>/s/ Jeremy Bender, Ph.D.</w:t>
            </w:r>
          </w:p>
        </w:tc>
        <w:tc>
          <w:tcPr>
            <w:tcW w:w="840" w:type="dxa"/>
            <w:vAlign w:val="bottom"/>
            <w:tcBorders>
              <w:bottom w:val="single" w:sz="8" w:color="auto"/>
            </w:tcBorders>
          </w:tcPr>
          <w:p>
            <w:pPr>
              <w:spacing w:after="0"/>
              <w:rPr>
                <w:sz w:val="24"/>
                <w:szCs w:val="24"/>
                <w:color w:val="auto"/>
              </w:rPr>
            </w:pPr>
          </w:p>
        </w:tc>
        <w:tc>
          <w:tcPr>
            <w:tcW w:w="5180" w:type="dxa"/>
            <w:vAlign w:val="bottom"/>
            <w:gridSpan w:val="3"/>
          </w:tcPr>
          <w:p>
            <w:pPr>
              <w:jc w:val="center"/>
              <w:ind w:left="432"/>
              <w:spacing w:after="0"/>
              <w:rPr>
                <w:sz w:val="20"/>
                <w:szCs w:val="20"/>
                <w:color w:val="auto"/>
              </w:rPr>
            </w:pPr>
            <w:r>
              <w:rPr>
                <w:rFonts w:ascii="Arial" w:cs="Arial" w:eastAsia="Arial" w:hAnsi="Arial"/>
                <w:sz w:val="18"/>
                <w:szCs w:val="18"/>
                <w:color w:val="auto"/>
              </w:rPr>
              <w:t>Member of the Board</w:t>
            </w:r>
          </w:p>
        </w:tc>
      </w:tr>
      <w:tr>
        <w:trPr>
          <w:trHeight w:val="210"/>
        </w:trPr>
        <w:tc>
          <w:tcPr>
            <w:tcW w:w="4680" w:type="dxa"/>
            <w:vAlign w:val="bottom"/>
            <w:gridSpan w:val="3"/>
          </w:tcPr>
          <w:p>
            <w:pPr>
              <w:jc w:val="center"/>
              <w:ind w:left="750"/>
              <w:spacing w:after="0"/>
              <w:rPr>
                <w:sz w:val="20"/>
                <w:szCs w:val="20"/>
                <w:color w:val="auto"/>
              </w:rPr>
            </w:pPr>
            <w:r>
              <w:rPr>
                <w:rFonts w:ascii="Arial" w:cs="Arial" w:eastAsia="Arial" w:hAnsi="Arial"/>
                <w:sz w:val="18"/>
                <w:szCs w:val="18"/>
                <w:color w:val="auto"/>
                <w:w w:val="99"/>
              </w:rPr>
              <w:t>Jeremy Bender, Ph.D.</w:t>
            </w:r>
          </w:p>
        </w:tc>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418"/>
        </w:trPr>
        <w:tc>
          <w:tcPr>
            <w:tcW w:w="46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color w:val="auto"/>
                <w:w w:val="99"/>
              </w:rPr>
              <w:t>/s/ Anders Ekblom, M.D., Ph.D.</w:t>
            </w:r>
          </w:p>
        </w:tc>
        <w:tc>
          <w:tcPr>
            <w:tcW w:w="840" w:type="dxa"/>
            <w:vAlign w:val="bottom"/>
            <w:tcBorders>
              <w:bottom w:val="single" w:sz="8" w:color="auto"/>
            </w:tcBorders>
          </w:tcPr>
          <w:p>
            <w:pPr>
              <w:spacing w:after="0"/>
              <w:rPr>
                <w:sz w:val="24"/>
                <w:szCs w:val="24"/>
                <w:color w:val="auto"/>
              </w:rPr>
            </w:pPr>
          </w:p>
        </w:tc>
        <w:tc>
          <w:tcPr>
            <w:tcW w:w="5180" w:type="dxa"/>
            <w:vAlign w:val="bottom"/>
            <w:gridSpan w:val="3"/>
          </w:tcPr>
          <w:p>
            <w:pPr>
              <w:jc w:val="center"/>
              <w:ind w:left="432"/>
              <w:spacing w:after="0"/>
              <w:rPr>
                <w:sz w:val="20"/>
                <w:szCs w:val="20"/>
                <w:color w:val="auto"/>
              </w:rPr>
            </w:pPr>
            <w:r>
              <w:rPr>
                <w:rFonts w:ascii="Arial" w:cs="Arial" w:eastAsia="Arial" w:hAnsi="Arial"/>
                <w:sz w:val="18"/>
                <w:szCs w:val="18"/>
                <w:color w:val="auto"/>
              </w:rPr>
              <w:t>Member of the Board</w:t>
            </w:r>
          </w:p>
        </w:tc>
      </w:tr>
      <w:tr>
        <w:trPr>
          <w:trHeight w:val="210"/>
        </w:trPr>
        <w:tc>
          <w:tcPr>
            <w:tcW w:w="4680" w:type="dxa"/>
            <w:vAlign w:val="bottom"/>
            <w:gridSpan w:val="3"/>
          </w:tcPr>
          <w:p>
            <w:pPr>
              <w:jc w:val="center"/>
              <w:ind w:left="750"/>
              <w:spacing w:after="0"/>
              <w:rPr>
                <w:sz w:val="20"/>
                <w:szCs w:val="20"/>
                <w:color w:val="auto"/>
              </w:rPr>
            </w:pPr>
            <w:r>
              <w:rPr>
                <w:rFonts w:ascii="Arial" w:cs="Arial" w:eastAsia="Arial" w:hAnsi="Arial"/>
                <w:sz w:val="18"/>
                <w:szCs w:val="18"/>
                <w:color w:val="auto"/>
                <w:w w:val="99"/>
              </w:rPr>
              <w:t>Anders Ekblom, M.D., Ph.D.</w:t>
            </w:r>
          </w:p>
        </w:tc>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364"/>
        </w:trPr>
        <w:tc>
          <w:tcPr>
            <w:tcW w:w="2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20" w:type="dxa"/>
            <w:vAlign w:val="bottom"/>
            <w:gridSpan w:val="4"/>
          </w:tcPr>
          <w:p>
            <w:pPr>
              <w:ind w:left="70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780" w:type="dxa"/>
        <w:tblCellMar>
          <w:top w:w="0" w:type="dxa"/>
          <w:left w:w="0" w:type="dxa"/>
          <w:bottom w:w="0" w:type="dxa"/>
          <w:right w:w="0" w:type="dxa"/>
        </w:tblCellMar>
      </w:tblPr>
      <w:tr>
        <w:trPr>
          <w:trHeight w:val="175"/>
        </w:trPr>
        <w:tc>
          <w:tcPr>
            <w:tcW w:w="22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2280" w:type="dxa"/>
            <w:vAlign w:val="bottom"/>
          </w:tcPr>
          <w:p>
            <w:pPr>
              <w:spacing w:after="0"/>
              <w:rPr>
                <w:sz w:val="15"/>
                <w:szCs w:val="15"/>
                <w:color w:val="auto"/>
              </w:rPr>
            </w:pPr>
          </w:p>
        </w:tc>
        <w:tc>
          <w:tcPr>
            <w:tcW w:w="3300" w:type="dxa"/>
            <w:vAlign w:val="bottom"/>
            <w:gridSpan w:val="3"/>
          </w:tcPr>
          <w:p>
            <w:pPr>
              <w:jc w:val="center"/>
              <w:ind w:left="1515"/>
              <w:spacing w:after="0"/>
              <w:rPr>
                <w:sz w:val="20"/>
                <w:szCs w:val="20"/>
                <w:color w:val="auto"/>
              </w:rPr>
            </w:pPr>
            <w:r>
              <w:rPr>
                <w:rFonts w:ascii="Arial" w:cs="Arial" w:eastAsia="Arial" w:hAnsi="Arial"/>
                <w:sz w:val="14"/>
                <w:szCs w:val="14"/>
                <w:b w:val="1"/>
                <w:bCs w:val="1"/>
                <w:color w:val="auto"/>
              </w:rPr>
              <w:t>Title</w:t>
            </w:r>
          </w:p>
        </w:tc>
      </w:tr>
      <w:tr>
        <w:trPr>
          <w:trHeight w:val="20"/>
        </w:trPr>
        <w:tc>
          <w:tcPr>
            <w:tcW w:w="2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9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/s/ Kunal Kashyap</w:t>
            </w:r>
          </w:p>
        </w:tc>
        <w:tc>
          <w:tcPr>
            <w:tcW w:w="3300" w:type="dxa"/>
            <w:vAlign w:val="bottom"/>
            <w:gridSpan w:val="3"/>
          </w:tcPr>
          <w:p>
            <w:pPr>
              <w:jc w:val="center"/>
              <w:ind w:left="1535"/>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960" w:type="dxa"/>
            <w:vAlign w:val="bottom"/>
            <w:gridSpan w:val="3"/>
          </w:tcPr>
          <w:p>
            <w:pPr>
              <w:jc w:val="center"/>
              <w:ind w:right="20"/>
              <w:spacing w:after="0"/>
              <w:rPr>
                <w:sz w:val="20"/>
                <w:szCs w:val="20"/>
                <w:color w:val="auto"/>
              </w:rPr>
            </w:pPr>
            <w:r>
              <w:rPr>
                <w:rFonts w:ascii="Arial" w:cs="Arial" w:eastAsia="Arial" w:hAnsi="Arial"/>
                <w:sz w:val="18"/>
                <w:szCs w:val="18"/>
                <w:color w:val="auto"/>
              </w:rPr>
              <w:t>Kunal Kashyap</w:t>
            </w: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18"/>
        </w:trPr>
        <w:tc>
          <w:tcPr>
            <w:tcW w:w="49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/s/ Deepika R. Pakianathan, Ph.D.</w:t>
            </w:r>
          </w:p>
        </w:tc>
        <w:tc>
          <w:tcPr>
            <w:tcW w:w="3300" w:type="dxa"/>
            <w:vAlign w:val="bottom"/>
            <w:gridSpan w:val="3"/>
          </w:tcPr>
          <w:p>
            <w:pPr>
              <w:jc w:val="center"/>
              <w:ind w:left="1535"/>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960" w:type="dxa"/>
            <w:vAlign w:val="bottom"/>
            <w:gridSpan w:val="3"/>
          </w:tcPr>
          <w:p>
            <w:pPr>
              <w:jc w:val="center"/>
              <w:ind w:right="20"/>
              <w:spacing w:after="0"/>
              <w:rPr>
                <w:sz w:val="20"/>
                <w:szCs w:val="20"/>
                <w:color w:val="auto"/>
              </w:rPr>
            </w:pPr>
            <w:r>
              <w:rPr>
                <w:rFonts w:ascii="Arial" w:cs="Arial" w:eastAsia="Arial" w:hAnsi="Arial"/>
                <w:sz w:val="18"/>
                <w:szCs w:val="18"/>
                <w:color w:val="auto"/>
              </w:rPr>
              <w:t>Deepika R. Pakianathan, Ph.D.</w:t>
            </w: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418"/>
        </w:trPr>
        <w:tc>
          <w:tcPr>
            <w:tcW w:w="49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/s/ Brian Schwartz</w:t>
            </w:r>
          </w:p>
        </w:tc>
        <w:tc>
          <w:tcPr>
            <w:tcW w:w="3300" w:type="dxa"/>
            <w:vAlign w:val="bottom"/>
            <w:gridSpan w:val="3"/>
          </w:tcPr>
          <w:p>
            <w:pPr>
              <w:jc w:val="center"/>
              <w:ind w:left="1535"/>
              <w:spacing w:after="0"/>
              <w:rPr>
                <w:sz w:val="20"/>
                <w:szCs w:val="20"/>
                <w:color w:val="auto"/>
              </w:rPr>
            </w:pPr>
            <w:r>
              <w:rPr>
                <w:rFonts w:ascii="Arial" w:cs="Arial" w:eastAsia="Arial" w:hAnsi="Arial"/>
                <w:sz w:val="18"/>
                <w:szCs w:val="18"/>
                <w:color w:val="auto"/>
                <w:w w:val="99"/>
              </w:rPr>
              <w:t>Member of the Board</w:t>
            </w:r>
          </w:p>
        </w:tc>
      </w:tr>
      <w:tr>
        <w:trPr>
          <w:trHeight w:val="210"/>
        </w:trPr>
        <w:tc>
          <w:tcPr>
            <w:tcW w:w="4960" w:type="dxa"/>
            <w:vAlign w:val="bottom"/>
            <w:gridSpan w:val="3"/>
          </w:tcPr>
          <w:p>
            <w:pPr>
              <w:jc w:val="center"/>
              <w:ind w:right="20"/>
              <w:spacing w:after="0"/>
              <w:rPr>
                <w:sz w:val="20"/>
                <w:szCs w:val="20"/>
                <w:color w:val="auto"/>
              </w:rPr>
            </w:pPr>
            <w:r>
              <w:rPr>
                <w:rFonts w:ascii="Arial" w:cs="Arial" w:eastAsia="Arial" w:hAnsi="Arial"/>
                <w:sz w:val="18"/>
                <w:szCs w:val="18"/>
                <w:color w:val="auto"/>
              </w:rPr>
              <w:t>Brian Schwartz</w:t>
            </w: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bl>
    <w:p>
      <w:pPr>
        <w:spacing w:after="0" w:line="300"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342"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Mereo BioPharma Group plc has signed this registration statement on October 6, 2020.</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Mereo US Holdings Inc.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-1905</wp:posOffset>
            </wp:positionV>
            <wp:extent cx="25717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8"/>
          <w:szCs w:val="18"/>
          <w:color w:val="auto"/>
        </w:rPr>
        <w:t>Name:  Denise Scots-Knight, Ph.D.</w:t>
      </w:r>
    </w:p>
    <w:p>
      <w:pPr>
        <w:ind w:left="7080"/>
        <w:spacing w:after="0"/>
        <w:tabs>
          <w:tab w:leader="none" w:pos="7720" w:val="left"/>
        </w:tabs>
        <w:rPr>
          <w:sz w:val="20"/>
          <w:szCs w:val="20"/>
          <w:color w:val="auto"/>
        </w:rPr>
      </w:pPr>
      <w:r>
        <w:rPr>
          <w:rFonts w:ascii="Arial" w:cs="Arial" w:eastAsia="Arial" w:hAnsi="Arial"/>
          <w:sz w:val="18"/>
          <w:szCs w:val="18"/>
          <w:color w:val="auto"/>
        </w:rPr>
        <w:t>Title:</w:t>
        <w:tab/>
        <w:t>President</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960"/>
          </w:cols>
          <w:pgMar w:left="320" w:top="459" w:right="619" w:bottom="1440" w:gutter="0" w:footer="0" w:header="0"/>
        </w:sectPr>
      </w:pPr>
    </w:p>
    <w:bookmarkStart w:id="96" w:name="page97"/>
    <w:bookmarkEnd w:id="96"/>
    <w:p>
      <w:pPr>
        <w:ind w:left="10224"/>
        <w:spacing w:after="0"/>
        <w:rPr>
          <w:sz w:val="20"/>
          <w:szCs w:val="20"/>
          <w:color w:val="auto"/>
        </w:rPr>
      </w:pPr>
      <w:r>
        <w:rPr>
          <w:rFonts w:ascii="Arial" w:cs="Arial" w:eastAsia="Arial" w:hAnsi="Arial"/>
          <w:sz w:val="17"/>
          <w:szCs w:val="17"/>
          <w:color w:val="auto"/>
        </w:rPr>
        <w:t>Exhibit 1.2</w:t>
      </w:r>
    </w:p>
    <w:p>
      <w:pPr>
        <w:spacing w:after="0" w:line="200" w:lineRule="exact"/>
        <w:rPr>
          <w:sz w:val="20"/>
          <w:szCs w:val="20"/>
          <w:color w:val="auto"/>
        </w:rPr>
      </w:pPr>
    </w:p>
    <w:p>
      <w:pPr>
        <w:spacing w:after="0" w:line="24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$50,000,000</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American Depositary Shares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Each Representing Five Ordinary Share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(Nominal Value £0.003 per ordinary share)</w:t>
      </w:r>
    </w:p>
    <w:p>
      <w:pPr>
        <w:spacing w:after="0" w:line="200" w:lineRule="exact"/>
        <w:rPr>
          <w:sz w:val="20"/>
          <w:szCs w:val="20"/>
          <w:color w:val="auto"/>
        </w:rPr>
      </w:pP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SALES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6,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SVB LEERINK LLC</w:t>
      </w:r>
    </w:p>
    <w:p>
      <w:pPr>
        <w:spacing w:after="0" w:line="22" w:lineRule="exact"/>
        <w:rPr>
          <w:sz w:val="20"/>
          <w:szCs w:val="20"/>
          <w:color w:val="auto"/>
        </w:rPr>
      </w:pPr>
    </w:p>
    <w:p>
      <w:pPr>
        <w:ind w:left="4"/>
        <w:spacing w:after="0"/>
        <w:rPr>
          <w:sz w:val="20"/>
          <w:szCs w:val="20"/>
          <w:color w:val="auto"/>
        </w:rPr>
      </w:pPr>
      <w:r>
        <w:rPr>
          <w:rFonts w:ascii="Arial" w:cs="Arial" w:eastAsia="Arial" w:hAnsi="Arial"/>
          <w:sz w:val="18"/>
          <w:szCs w:val="18"/>
          <w:color w:val="auto"/>
        </w:rPr>
        <w:t>1301 Avenue of the Americas, 12</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Mereo BioPharma Group plc, a public limited company incorporated under the laws of England and Wales with registered number 09481161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with SVB Leerink LLC (the “</w:t>
      </w:r>
      <w:r>
        <w:rPr>
          <w:rFonts w:ascii="Arial" w:cs="Arial" w:eastAsia="Arial" w:hAnsi="Arial"/>
          <w:sz w:val="18"/>
          <w:szCs w:val="18"/>
          <w:b w:val="1"/>
          <w:bCs w:val="1"/>
          <w:u w:val="single" w:color="auto"/>
          <w:color w:val="auto"/>
        </w:rPr>
        <w:t>Agent</w:t>
      </w:r>
      <w:r>
        <w:rPr>
          <w:rFonts w:ascii="Arial" w:cs="Arial" w:eastAsia="Arial" w:hAnsi="Arial"/>
          <w:sz w:val="18"/>
          <w:szCs w:val="18"/>
          <w:color w:val="auto"/>
        </w:rPr>
        <w:t>”), as follows:</w:t>
      </w:r>
    </w:p>
    <w:p>
      <w:pPr>
        <w:spacing w:after="0" w:line="170" w:lineRule="exact"/>
        <w:rPr>
          <w:sz w:val="20"/>
          <w:szCs w:val="20"/>
          <w:color w:val="auto"/>
        </w:rPr>
      </w:pPr>
    </w:p>
    <w:p>
      <w:pPr>
        <w:ind w:left="4" w:right="160" w:firstLine="436"/>
        <w:spacing w:after="0" w:line="291" w:lineRule="auto"/>
        <w:tabs>
          <w:tab w:leader="none" w:pos="794"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Issuance and Sale of Shares</w:t>
      </w:r>
      <w:r>
        <w:rPr>
          <w:rFonts w:ascii="Arial" w:cs="Arial" w:eastAsia="Arial" w:hAnsi="Arial"/>
          <w:sz w:val="16"/>
          <w:szCs w:val="16"/>
          <w:color w:val="auto"/>
        </w:rPr>
        <w:t>. The Company agrees that, from time to time during the term of this Agreement, on the terms and subject to the conditions set forth herein, it may issue and sell through the Agent American Depositary Shares of the Company (“</w:t>
      </w:r>
      <w:r>
        <w:rPr>
          <w:rFonts w:ascii="Arial" w:cs="Arial" w:eastAsia="Arial" w:hAnsi="Arial"/>
          <w:sz w:val="16"/>
          <w:szCs w:val="16"/>
          <w:b w:val="1"/>
          <w:bCs w:val="1"/>
          <w:u w:val="single" w:color="auto"/>
          <w:color w:val="auto"/>
        </w:rPr>
        <w:t>ADSs</w:t>
      </w:r>
      <w:r>
        <w:rPr>
          <w:rFonts w:ascii="Arial" w:cs="Arial" w:eastAsia="Arial" w:hAnsi="Arial"/>
          <w:sz w:val="16"/>
          <w:szCs w:val="16"/>
          <w:color w:val="auto"/>
        </w:rPr>
        <w:t>”) each representing five</w:t>
      </w:r>
    </w:p>
    <w:p>
      <w:pPr>
        <w:ind w:left="4" w:right="20" w:hanging="4"/>
        <w:spacing w:after="0" w:line="268" w:lineRule="auto"/>
        <w:tabs>
          <w:tab w:leader="none" w:pos="259" w:val="left"/>
        </w:tabs>
        <w:numPr>
          <w:ilvl w:val="0"/>
          <w:numId w:val="63"/>
        </w:numPr>
        <w:rPr>
          <w:rFonts w:ascii="Arial" w:cs="Arial" w:eastAsia="Arial" w:hAnsi="Arial"/>
          <w:sz w:val="17"/>
          <w:szCs w:val="17"/>
          <w:color w:val="auto"/>
        </w:rPr>
      </w:pPr>
      <w:r>
        <w:rPr>
          <w:rFonts w:ascii="Arial" w:cs="Arial" w:eastAsia="Arial" w:hAnsi="Arial"/>
          <w:sz w:val="17"/>
          <w:szCs w:val="17"/>
          <w:color w:val="auto"/>
        </w:rPr>
        <w:t>ordinary shares, nominal value £0.003 per ordinary share, to be issued by the Company (the “</w:t>
      </w:r>
      <w:r>
        <w:rPr>
          <w:rFonts w:ascii="Arial" w:cs="Arial" w:eastAsia="Arial" w:hAnsi="Arial"/>
          <w:sz w:val="17"/>
          <w:szCs w:val="17"/>
          <w:b w:val="1"/>
          <w:bCs w:val="1"/>
          <w:u w:val="single" w:color="auto"/>
          <w:color w:val="auto"/>
        </w:rPr>
        <w:t>Ordinary Shares</w:t>
      </w:r>
      <w:r>
        <w:rPr>
          <w:rFonts w:ascii="Arial" w:cs="Arial" w:eastAsia="Arial" w:hAnsi="Arial"/>
          <w:sz w:val="17"/>
          <w:szCs w:val="17"/>
          <w:color w:val="auto"/>
        </w:rPr>
        <w:t>”), with such ADSs having an aggregate offering price of up to $50,000,000, subject to the limitations set forth in Section 5(c) (the “</w:t>
      </w:r>
      <w:r>
        <w:rPr>
          <w:rFonts w:ascii="Arial" w:cs="Arial" w:eastAsia="Arial" w:hAnsi="Arial"/>
          <w:sz w:val="17"/>
          <w:szCs w:val="17"/>
          <w:b w:val="1"/>
          <w:bCs w:val="1"/>
          <w:u w:val="single" w:color="auto"/>
          <w:color w:val="auto"/>
        </w:rPr>
        <w:t>Placement Shares</w:t>
      </w:r>
      <w:r>
        <w:rPr>
          <w:rFonts w:ascii="Arial" w:cs="Arial" w:eastAsia="Arial" w:hAnsi="Arial"/>
          <w:sz w:val="17"/>
          <w:szCs w:val="17"/>
          <w:color w:val="auto"/>
        </w:rPr>
        <w:t>”). Notwithstanding anything to the contrary contained herein, the parties hereto agree that compliance with the limitation set forth in this Section 1 on the aggregate gross sales price of the Placement Shares that may be issued and sold under this Agreement from time to time shall be the sole responsibility of the Company, and that the Agent shall have no obligation in connection with such compliance. The issuance and sale of the Placement Shares through the Agent will be effected pursuant to the Registration Statement (as defined below) filed by the Company with the Securities and Exchange Commission (the “</w:t>
      </w:r>
      <w:r>
        <w:rPr>
          <w:rFonts w:ascii="Arial" w:cs="Arial" w:eastAsia="Arial" w:hAnsi="Arial"/>
          <w:sz w:val="17"/>
          <w:szCs w:val="17"/>
          <w:b w:val="1"/>
          <w:bCs w:val="1"/>
          <w:u w:val="single" w:color="auto"/>
          <w:color w:val="auto"/>
        </w:rPr>
        <w:t>Commission</w:t>
      </w:r>
      <w:r>
        <w:rPr>
          <w:rFonts w:ascii="Arial" w:cs="Arial" w:eastAsia="Arial" w:hAnsi="Arial"/>
          <w:sz w:val="17"/>
          <w:szCs w:val="17"/>
          <w:color w:val="auto"/>
        </w:rPr>
        <w:t>”) on October 6, 2020 and initially declared effective by the Commission on or about the date hereof, although nothing in this Agreement shall be construed as requiring the Company to issue any Placement Shares. The ADSs will be issued pursuant to the deposit agreement, dated as of April 23, 2019 (the “</w:t>
      </w:r>
      <w:r>
        <w:rPr>
          <w:rFonts w:ascii="Arial" w:cs="Arial" w:eastAsia="Arial" w:hAnsi="Arial"/>
          <w:sz w:val="17"/>
          <w:szCs w:val="17"/>
          <w:b w:val="1"/>
          <w:bCs w:val="1"/>
          <w:u w:val="single" w:color="auto"/>
          <w:color w:val="auto"/>
        </w:rPr>
        <w:t>Deposit Agreement</w:t>
      </w:r>
      <w:r>
        <w:rPr>
          <w:rFonts w:ascii="Arial" w:cs="Arial" w:eastAsia="Arial" w:hAnsi="Arial"/>
          <w:sz w:val="17"/>
          <w:szCs w:val="17"/>
          <w:color w:val="auto"/>
        </w:rPr>
        <w:t>”), among the Company, Citibank, N.A., as depositary (the “</w:t>
      </w:r>
      <w:r>
        <w:rPr>
          <w:rFonts w:ascii="Arial" w:cs="Arial" w:eastAsia="Arial" w:hAnsi="Arial"/>
          <w:sz w:val="17"/>
          <w:szCs w:val="17"/>
          <w:b w:val="1"/>
          <w:bCs w:val="1"/>
          <w:u w:val="single" w:color="auto"/>
          <w:color w:val="auto"/>
        </w:rPr>
        <w:t>Depositary</w:t>
      </w:r>
      <w:r>
        <w:rPr>
          <w:rFonts w:ascii="Arial" w:cs="Arial" w:eastAsia="Arial" w:hAnsi="Arial"/>
          <w:sz w:val="17"/>
          <w:szCs w:val="17"/>
          <w:color w:val="auto"/>
        </w:rPr>
        <w:t>”), and all holders and beneficial holders of the ADSs issued thereunder.</w:t>
      </w:r>
    </w:p>
    <w:p>
      <w:pPr>
        <w:spacing w:after="0" w:line="179" w:lineRule="exact"/>
        <w:rPr>
          <w:sz w:val="20"/>
          <w:szCs w:val="20"/>
          <w:color w:val="auto"/>
        </w:rPr>
      </w:pPr>
    </w:p>
    <w:p>
      <w:pPr>
        <w:ind w:left="4" w:right="160" w:firstLine="440"/>
        <w:spacing w:after="0" w:line="273" w:lineRule="auto"/>
        <w:rPr>
          <w:sz w:val="20"/>
          <w:szCs w:val="20"/>
          <w:color w:val="auto"/>
        </w:rPr>
      </w:pPr>
      <w:r>
        <w:rPr>
          <w:rFonts w:ascii="Arial" w:cs="Arial" w:eastAsia="Arial" w:hAnsi="Arial"/>
          <w:sz w:val="17"/>
          <w:szCs w:val="17"/>
          <w:color w:val="auto"/>
        </w:rPr>
        <w:t>The Company has prepared and will file, in accordance with the provisions of the Securities Act of 1933, as amended, and the rules and regulations thereunder (collectively, the “</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with the Commission a registration statement on Form F-3, including (a) a base prospectus, relating to certain securities, including the Ordinary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and (b) a prospectus supplement specifically relating to the Placement Shares to be issued from time to time pursuant to this Agreement (the “</w:t>
      </w:r>
      <w:r>
        <w:rPr>
          <w:rFonts w:ascii="Arial" w:cs="Arial" w:eastAsia="Arial" w:hAnsi="Arial"/>
          <w:sz w:val="17"/>
          <w:szCs w:val="17"/>
          <w:b w:val="1"/>
          <w:bCs w:val="1"/>
          <w:u w:val="single" w:color="auto"/>
          <w:color w:val="auto"/>
        </w:rPr>
        <w:t>Prospectus</w:t>
      </w:r>
    </w:p>
    <w:p>
      <w:pPr>
        <w:sectPr>
          <w:pgSz w:w="11900" w:h="16838" w:orient="portrait"/>
          <w:cols w:equalWidth="0" w:num="1">
            <w:col w:w="11024"/>
          </w:cols>
          <w:pgMar w:left="436" w:top="125" w:right="439" w:bottom="1440" w:gutter="0" w:footer="0" w:header="0"/>
        </w:sectPr>
      </w:pPr>
    </w:p>
    <w:bookmarkStart w:id="97" w:name="page98"/>
    <w:bookmarkEnd w:id="97"/>
    <w:p>
      <w:pPr>
        <w:spacing w:after="0" w:line="268" w:lineRule="auto"/>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Supplement</w:t>
      </w:r>
      <w:r>
        <w:rPr>
          <w:rFonts w:ascii="Arial" w:cs="Arial" w:eastAsia="Arial" w:hAnsi="Arial"/>
          <w:sz w:val="17"/>
          <w:szCs w:val="17"/>
          <w:color w:val="auto"/>
        </w:rPr>
        <w:t>”) to the base prospectus included as part of such registration statement. The Company will furnish to the Agent, for use by the Agent,</w:t>
      </w:r>
      <w:r>
        <w:rPr>
          <w:rFonts w:ascii="Arial" w:cs="Arial" w:eastAsia="Arial" w:hAnsi="Arial"/>
          <w:sz w:val="17"/>
          <w:szCs w:val="17"/>
          <w:b w:val="1"/>
          <w:bCs w:val="1"/>
          <w:color w:val="auto"/>
        </w:rPr>
        <w:t xml:space="preserve"> </w:t>
      </w:r>
      <w:r>
        <w:rPr>
          <w:rFonts w:ascii="Arial" w:cs="Arial" w:eastAsia="Arial" w:hAnsi="Arial"/>
          <w:sz w:val="17"/>
          <w:szCs w:val="17"/>
          <w:color w:val="auto"/>
        </w:rPr>
        <w:t>copies of the base prospectus included as part of such registration statement at the time it becomes effective, as supplemented by the Prospectus Supplement. Except where the context otherwise requires, such registration statement,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Rule 462(b) under the Securities Act, is herein called the “</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used herein, as defined in Rule 433 under the Securities Act (“</w:t>
      </w:r>
      <w:r>
        <w:rPr>
          <w:rFonts w:ascii="Arial" w:cs="Arial" w:eastAsia="Arial" w:hAnsi="Arial"/>
          <w:sz w:val="17"/>
          <w:szCs w:val="17"/>
          <w:b w:val="1"/>
          <w:bCs w:val="1"/>
          <w:u w:val="single" w:color="auto"/>
          <w:color w:val="auto"/>
        </w:rPr>
        <w:t>Rule 433</w:t>
      </w:r>
      <w:r>
        <w:rPr>
          <w:rFonts w:ascii="Arial" w:cs="Arial" w:eastAsia="Arial" w:hAnsi="Arial"/>
          <w:sz w:val="17"/>
          <w:szCs w:val="17"/>
          <w:color w:val="auto"/>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Arial" w:cs="Arial" w:eastAsia="Arial" w:hAnsi="Arial"/>
          <w:sz w:val="17"/>
          <w:szCs w:val="17"/>
          <w:b w:val="1"/>
          <w:bCs w:val="1"/>
          <w:u w:val="single" w:color="auto"/>
          <w:color w:val="auto"/>
        </w:rPr>
        <w:t>Prospectus</w:t>
      </w:r>
      <w:r>
        <w:rPr>
          <w:rFonts w:ascii="Arial" w:cs="Arial" w:eastAsia="Arial" w:hAnsi="Arial"/>
          <w:sz w:val="17"/>
          <w:szCs w:val="17"/>
          <w:color w:val="auto"/>
        </w:rPr>
        <w:t>.” The Company has filed with the Commission a registration statement on Form F-6 (No. 333-223890), filed with the Commission by the Depositary and the Company on March 23, 2018, and amended by pre-effective amendments No. 1 and No. 2 filed with the Commission by the Depositary and the Company on April 9, 2018 and January 25, 2019, covering the registration of the ADSs under the Securities Act. The registration statement relating to the ADSs, as amended at the time it became effective, is hereinafter referred to as the “</w:t>
      </w:r>
      <w:r>
        <w:rPr>
          <w:rFonts w:ascii="Arial" w:cs="Arial" w:eastAsia="Arial" w:hAnsi="Arial"/>
          <w:sz w:val="17"/>
          <w:szCs w:val="17"/>
          <w:b w:val="1"/>
          <w:bCs w:val="1"/>
          <w:u w:val="single" w:color="auto"/>
          <w:color w:val="auto"/>
        </w:rPr>
        <w:t>ADS Registration Statement</w:t>
      </w:r>
      <w:r>
        <w:rPr>
          <w:rFonts w:ascii="Arial" w:cs="Arial" w:eastAsia="Arial" w:hAnsi="Arial"/>
          <w:sz w:val="17"/>
          <w:szCs w:val="17"/>
          <w:color w:val="auto"/>
        </w:rPr>
        <w:t>.” The Company has also filed with the Commission, in accordance with Section 12 of the Exchange Act, and the rules and regulations of the Commission thereunder, a registration statement on Form 8-A (File No. 001-38452) under the Exchange Act to register, under Section 12(b) of the Exchange Act, the ADSs and the Ordinary Shares.</w:t>
      </w:r>
    </w:p>
    <w:p>
      <w:pPr>
        <w:spacing w:after="0" w:line="179"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Any reference herein to the Registration Statement, the Prospectus Supplement, the Prospectus or any issuer free writing prospectus shall be deemed to refer to and include the documents, if any, that are or are deemed to be incorporated by reference therein (the “</w:t>
      </w:r>
      <w:r>
        <w:rPr>
          <w:rFonts w:ascii="Arial" w:cs="Arial" w:eastAsia="Arial" w:hAnsi="Arial"/>
          <w:sz w:val="17"/>
          <w:szCs w:val="17"/>
          <w:b w:val="1"/>
          <w:bCs w:val="1"/>
          <w:u w:val="single" w:color="auto"/>
          <w:color w:val="auto"/>
        </w:rPr>
        <w:t>Incorporated Documents</w:t>
      </w:r>
      <w:r>
        <w:rPr>
          <w:rFonts w:ascii="Arial" w:cs="Arial" w:eastAsia="Arial" w:hAnsi="Arial"/>
          <w:sz w:val="17"/>
          <w:szCs w:val="17"/>
          <w:color w:val="auto"/>
        </w:rPr>
        <w:t>”), including, unless the context otherwise requires, the documents, if any, filed as exhibits to such Incorporated Documents. Any reference herein to the terms “amend,” “amendment” or “supplement” with respect to the Registration Statement, the Prospectus Supplement, the Prospectus or any issuer free writing prospectus shall be deemed to refer to and include the filing of any document under the Exchange Act on or after the most-recent effective date of the Registration Statement, or the respective dates of the Prospectus Supplement, Prospectus or such issuer free writing prospectus, as the case may be, and incorporated therein by reference. For purposes of this Agreement, all references to the Registration Statement, the Prospectus or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Arial" w:cs="Arial" w:eastAsia="Arial" w:hAnsi="Arial"/>
          <w:sz w:val="17"/>
          <w:szCs w:val="17"/>
          <w:b w:val="1"/>
          <w:bCs w:val="1"/>
          <w:u w:val="single" w:color="auto"/>
          <w:color w:val="auto"/>
        </w:rPr>
        <w:t>EDGAR</w:t>
      </w:r>
      <w:r>
        <w:rPr>
          <w:rFonts w:ascii="Arial" w:cs="Arial" w:eastAsia="Arial" w:hAnsi="Arial"/>
          <w:sz w:val="17"/>
          <w:szCs w:val="17"/>
          <w:color w:val="auto"/>
        </w:rPr>
        <w:t>”).</w:t>
      </w:r>
    </w:p>
    <w:p>
      <w:pPr>
        <w:spacing w:after="0" w:line="181" w:lineRule="exact"/>
        <w:rPr>
          <w:sz w:val="20"/>
          <w:szCs w:val="20"/>
          <w:color w:val="auto"/>
        </w:rPr>
      </w:pPr>
    </w:p>
    <w:p>
      <w:pPr>
        <w:ind w:firstLine="436"/>
        <w:spacing w:after="0" w:line="292" w:lineRule="auto"/>
        <w:tabs>
          <w:tab w:leader="none" w:pos="84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any Placement Shares through the Agent hereunder (each, a “</w:t>
      </w:r>
      <w:r>
        <w:rPr>
          <w:rFonts w:ascii="Arial" w:cs="Arial" w:eastAsia="Arial" w:hAnsi="Arial"/>
          <w:sz w:val="16"/>
          <w:szCs w:val="16"/>
          <w:b w:val="1"/>
          <w:bCs w:val="1"/>
          <w:u w:val="single" w:color="auto"/>
          <w:color w:val="auto"/>
        </w:rPr>
        <w:t>Placement</w:t>
      </w:r>
      <w:r>
        <w:rPr>
          <w:rFonts w:ascii="Arial" w:cs="Arial" w:eastAsia="Arial" w:hAnsi="Arial"/>
          <w:sz w:val="16"/>
          <w:szCs w:val="16"/>
          <w:color w:val="auto"/>
        </w:rPr>
        <w:t>”), it will notify the Agent by email notice (or other method mutually agreed to in writing by the parties) (each such notice, a “</w:t>
      </w:r>
      <w:r>
        <w:rPr>
          <w:rFonts w:ascii="Arial" w:cs="Arial" w:eastAsia="Arial" w:hAnsi="Arial"/>
          <w:sz w:val="16"/>
          <w:szCs w:val="16"/>
          <w:b w:val="1"/>
          <w:bCs w:val="1"/>
          <w:u w:val="single" w:color="auto"/>
          <w:color w:val="auto"/>
        </w:rPr>
        <w:t>Placement Notice</w:t>
      </w:r>
      <w:r>
        <w:rPr>
          <w:rFonts w:ascii="Arial" w:cs="Arial" w:eastAsia="Arial" w:hAnsi="Arial"/>
          <w:sz w:val="16"/>
          <w:szCs w:val="16"/>
          <w:color w:val="auto"/>
        </w:rPr>
        <w:t xml:space="preserve">”) containing the parameters in accordance with which it desires such Placement Shares to be sold, which at a minimum shall include the maximum number or amount of Placement Shares to be sold, the time period during which sales are requested to be made, any limitation on the number or amount of Placement Shares that may be sold in any one Trading Day (as defined in Section 3) and any minimum price below which sales may not be made, a form of which containing such minimum sales parameters is attached hereto as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xml:space="preserve">. The Placement Notice must originate from one of the individuals authorized to act on behalf of the Company and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(with a copy to each of the other individuals from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98" w:name="page99"/>
    <w:bookmarkEnd w:id="9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Company listed on such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and shall be addressed to each of the recipients from the Agent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as such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may be updated by either party from time to time by sending a written notice containing a revised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to the other party in the manner provided in Section 12 (including by email correspondence to each of the individuals of the Company set forth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if receipt of such correspondence is actually acknowledged by any of the individuals to whom the notice is sent, other than via auto-reply). The Placement Notice shall be effective upon receipt by the Agent unless and until (i) in accordance with the notice requirements set forth in Section 4, the Agent declines to accept the terms contained therein for any reason, in its sole discretion, within two Trading Days of the date the Agent receives the Placement Notice, (ii) in accordance with the notice requirements set forth in Section 4, the Agent suspends sales under the Placement Notice for any reason in its sole discretion, (iii) the entire amount of the Placement Shares has been sold pursuant to this Agreement, (iv) in accordance with the notice requirements set forth in Section 4, the Company suspends sales under or terminates the Placement Notice for any reason in its sole discretion, (v) the Company issues a subsequent Placement Notice and explicitly indicates that its parameters supersede those contained in the earlier dated Placement Notice or (vi) this Agreement has been terminated pursuant to the provisions of Section 11. The amount of any discount, commission or other compensation to be paid by the Company to the Agent in connection with the sale of the Placement Shares effected through the Agent shall be calculated in accordance with the terms set forth in </w:t>
      </w:r>
      <w:r>
        <w:rPr>
          <w:rFonts w:ascii="Arial" w:cs="Arial" w:eastAsia="Arial" w:hAnsi="Arial"/>
          <w:sz w:val="16"/>
          <w:szCs w:val="16"/>
          <w:b w:val="1"/>
          <w:bCs w:val="1"/>
          <w:u w:val="single" w:color="auto"/>
          <w:color w:val="auto"/>
        </w:rPr>
        <w:t>Schedule 3</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be paid in such manner as may be compliant with the UK Companies Act 2006 (“</w:t>
      </w:r>
      <w:r>
        <w:rPr>
          <w:rFonts w:ascii="Arial" w:cs="Arial" w:eastAsia="Arial" w:hAnsi="Arial"/>
          <w:sz w:val="16"/>
          <w:szCs w:val="16"/>
          <w:b w:val="1"/>
          <w:bCs w:val="1"/>
          <w:u w:val="single" w:color="auto"/>
          <w:color w:val="auto"/>
        </w:rPr>
        <w:t>CA 2006</w:t>
      </w:r>
      <w:r>
        <w:rPr>
          <w:rFonts w:ascii="Arial" w:cs="Arial" w:eastAsia="Arial" w:hAnsi="Arial"/>
          <w:sz w:val="16"/>
          <w:szCs w:val="16"/>
          <w:color w:val="auto"/>
        </w:rPr>
        <w:t>”). It is expressly acknowledged and</w:t>
      </w:r>
      <w:r>
        <w:rPr>
          <w:rFonts w:ascii="Arial" w:cs="Arial" w:eastAsia="Arial" w:hAnsi="Arial"/>
          <w:sz w:val="16"/>
          <w:szCs w:val="16"/>
          <w:b w:val="1"/>
          <w:bCs w:val="1"/>
          <w:color w:val="auto"/>
        </w:rPr>
        <w:t xml:space="preserve"> </w:t>
      </w:r>
      <w:r>
        <w:rPr>
          <w:rFonts w:ascii="Arial" w:cs="Arial" w:eastAsia="Arial" w:hAnsi="Arial"/>
          <w:sz w:val="16"/>
          <w:szCs w:val="16"/>
          <w:color w:val="auto"/>
        </w:rPr>
        <w:t>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spacing w:after="0" w:line="178" w:lineRule="exact"/>
        <w:rPr>
          <w:sz w:val="20"/>
          <w:szCs w:val="20"/>
          <w:color w:val="auto"/>
        </w:rPr>
      </w:pPr>
    </w:p>
    <w:p>
      <w:pPr>
        <w:ind w:firstLine="436"/>
        <w:spacing w:after="0" w:line="267" w:lineRule="auto"/>
        <w:tabs>
          <w:tab w:leader="none" w:pos="890"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Sale of Placement Shares by the Agent</w:t>
      </w:r>
      <w:r>
        <w:rPr>
          <w:rFonts w:ascii="Arial" w:cs="Arial" w:eastAsia="Arial" w:hAnsi="Arial"/>
          <w:sz w:val="17"/>
          <w:szCs w:val="17"/>
          <w:color w:val="auto"/>
        </w:rPr>
        <w:t>. On the basis of the representations and warranties herein contained and subject to the terms and conditions herein set forth, including Section 5(c), upon the Agent’s acceptance of the terms of a Placement Notice as provided in Section 2,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including applicable laws, rules and regulations in any other relevant jurisdiction) and the rules of the Nasdaq Global Market (“</w:t>
      </w:r>
      <w:r>
        <w:rPr>
          <w:rFonts w:ascii="Arial" w:cs="Arial" w:eastAsia="Arial" w:hAnsi="Arial"/>
          <w:sz w:val="17"/>
          <w:szCs w:val="17"/>
          <w:b w:val="1"/>
          <w:bCs w:val="1"/>
          <w:u w:val="single" w:color="auto"/>
          <w:color w:val="auto"/>
        </w:rPr>
        <w:t>Nasdaq</w:t>
      </w:r>
      <w:r>
        <w:rPr>
          <w:rFonts w:ascii="Arial" w:cs="Arial" w:eastAsia="Arial" w:hAnsi="Arial"/>
          <w:sz w:val="17"/>
          <w:szCs w:val="17"/>
          <w:color w:val="auto"/>
        </w:rPr>
        <w:t xml:space="preserve">”) to sell such Placement Shares up to the number or amount specified in, and otherwise in accordance with the terms of, such Placement Notice. The Agent will provide written confirmation to the Company (including by email correspondence to each of the individuals of the Company set forth on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and the Net Proceeds (as defined below) payable to the Company. Unless otherwise specified by the Company in a Placement Notice, the Agent may sell Placement Shares by any method permitted by law deemed to be an “at the market offering” as defined in Rule 415 of the Securities Act, including sales made directly on or through Nasdaq, on or through any other existing trading market for the ADSs or to or through a market maker. If expressly authorized by the Company (including in a Placement Notice), the Agent may also sell Placement Shares in negotiated transactions. Notwithstanding the provisions of Section 6(zz), except as may be otherwise agreed by the Company and the Agent, the Agent shall not purchase Placement Shares on a principal basis pursuant to this Agreement unless the Company and the Agent enter into a separate written agreement setting forth the terms of such sale. The Company acknowledges and agrees that (i) there can be no assurance that the Agent will be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99" w:name="page100"/>
    <w:bookmarkEnd w:id="99"/>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including applicable laws, rules and regulations in any other relevant jurisdiction) and the rules of Nasdaq to sell such Placement Shares as required under this Agreement and (iii) the Agent shall be under no obligation to purchase Placement Shares on a principal basis pursuant to this Agreement unless the Company and the Agent enter into a separate written agreement setting forth the terms of such sale. For the purposes hereof, “</w:t>
      </w:r>
      <w:r>
        <w:rPr>
          <w:rFonts w:ascii="Arial" w:cs="Arial" w:eastAsia="Arial" w:hAnsi="Arial"/>
          <w:sz w:val="17"/>
          <w:szCs w:val="17"/>
          <w:b w:val="1"/>
          <w:bCs w:val="1"/>
          <w:u w:val="single" w:color="auto"/>
          <w:color w:val="auto"/>
        </w:rPr>
        <w:t>Trading Day</w:t>
      </w:r>
      <w:r>
        <w:rPr>
          <w:rFonts w:ascii="Arial" w:cs="Arial" w:eastAsia="Arial" w:hAnsi="Arial"/>
          <w:sz w:val="17"/>
          <w:szCs w:val="17"/>
          <w:color w:val="auto"/>
        </w:rPr>
        <w:t>” means any day on which the ADSs are purchased and sold on Nasdaq, and which is a business day for the purposes of the AIM Rules for Companies (as defined below).</w:t>
      </w:r>
    </w:p>
    <w:p>
      <w:pPr>
        <w:spacing w:after="0" w:line="17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It is expressly acknowledged and agreed that the Agent shall, in performing its obligations hereunder, comply (if applicable) with the requirements of the EU Regulation (EU 596/2014) on market abuse (the “</w:t>
      </w:r>
      <w:r>
        <w:rPr>
          <w:rFonts w:ascii="Arial" w:cs="Arial" w:eastAsia="Arial" w:hAnsi="Arial"/>
          <w:sz w:val="18"/>
          <w:szCs w:val="18"/>
          <w:b w:val="1"/>
          <w:bCs w:val="1"/>
          <w:u w:val="single" w:color="auto"/>
          <w:color w:val="auto"/>
        </w:rPr>
        <w:t>Market Abuse Regulation</w:t>
      </w:r>
      <w:r>
        <w:rPr>
          <w:rFonts w:ascii="Arial" w:cs="Arial" w:eastAsia="Arial" w:hAnsi="Arial"/>
          <w:sz w:val="18"/>
          <w:szCs w:val="18"/>
          <w:color w:val="auto"/>
        </w:rPr>
        <w:t>”), including (without limitation) Article 11 of the Market Abuse Regulation (where appropriate).</w:t>
      </w:r>
    </w:p>
    <w:p>
      <w:pPr>
        <w:spacing w:after="0" w:line="184"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The Agent will (a), to the extent applicable in the performance of its duties hereunder, comply with all applicable provisions of the United Kingdom Financial Services and Markets Act 2000, as amended (“</w:t>
      </w:r>
      <w:r>
        <w:rPr>
          <w:rFonts w:ascii="Arial" w:cs="Arial" w:eastAsia="Arial" w:hAnsi="Arial"/>
          <w:sz w:val="17"/>
          <w:szCs w:val="17"/>
          <w:b w:val="1"/>
          <w:bCs w:val="1"/>
          <w:u w:val="single" w:color="auto"/>
          <w:color w:val="auto"/>
        </w:rPr>
        <w:t>FSMA</w:t>
      </w:r>
      <w:r>
        <w:rPr>
          <w:rFonts w:ascii="Arial" w:cs="Arial" w:eastAsia="Arial" w:hAnsi="Arial"/>
          <w:sz w:val="17"/>
          <w:szCs w:val="17"/>
          <w:color w:val="auto"/>
        </w:rPr>
        <w:t>”), and (b) only communicate or cause to be communicated in the United Kingdom any invitation or inducement to engage in investment activity (within the meaning of section 21 of the FSMA) received by them in connection with the issue or sale of any Placement Shares in circumstances in which section 21(1) of the FSMA does not apply to the Company.</w:t>
      </w:r>
    </w:p>
    <w:p>
      <w:pPr>
        <w:spacing w:after="0" w:line="167"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In relation to each member state of the European Economic Area and the United Kingdom (each a “</w:t>
      </w:r>
      <w:r>
        <w:rPr>
          <w:rFonts w:ascii="Arial" w:cs="Arial" w:eastAsia="Arial" w:hAnsi="Arial"/>
          <w:sz w:val="17"/>
          <w:szCs w:val="17"/>
          <w:b w:val="1"/>
          <w:bCs w:val="1"/>
          <w:u w:val="single" w:color="auto"/>
          <w:color w:val="auto"/>
        </w:rPr>
        <w:t>Relevant State</w:t>
      </w:r>
      <w:r>
        <w:rPr>
          <w:rFonts w:ascii="Arial" w:cs="Arial" w:eastAsia="Arial" w:hAnsi="Arial"/>
          <w:sz w:val="17"/>
          <w:szCs w:val="17"/>
          <w:color w:val="auto"/>
        </w:rPr>
        <w:t>”), the Agent represents, warrants and agrees that it will not make an offer of any Placement Shares to the public in that Relevant State, except that it may make an offer to the public in that Relevant State of any Placement Shares at any time under the following exemptions under Regulation (EU) 2017/1129 (the “</w:t>
      </w:r>
      <w:r>
        <w:rPr>
          <w:rFonts w:ascii="Arial" w:cs="Arial" w:eastAsia="Arial" w:hAnsi="Arial"/>
          <w:sz w:val="17"/>
          <w:szCs w:val="17"/>
          <w:b w:val="1"/>
          <w:bCs w:val="1"/>
          <w:u w:val="single" w:color="auto"/>
          <w:color w:val="auto"/>
        </w:rPr>
        <w:t>Prospectus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Regulation</w:t>
      </w:r>
      <w:r>
        <w:rPr>
          <w:rFonts w:ascii="Arial" w:cs="Arial" w:eastAsia="Arial" w:hAnsi="Arial"/>
          <w:sz w:val="17"/>
          <w:szCs w:val="17"/>
          <w:color w:val="auto"/>
        </w:rPr>
        <w:t>”): (a) to any legal entity which is a qualified investor as defined under the Prospectus Regulation, (b) to fewer than 150 natural or legal</w:t>
      </w:r>
      <w:r>
        <w:rPr>
          <w:rFonts w:ascii="Arial" w:cs="Arial" w:eastAsia="Arial" w:hAnsi="Arial"/>
          <w:sz w:val="17"/>
          <w:szCs w:val="17"/>
          <w:b w:val="1"/>
          <w:bCs w:val="1"/>
          <w:color w:val="auto"/>
        </w:rPr>
        <w:t xml:space="preserve"> </w:t>
      </w:r>
      <w:r>
        <w:rPr>
          <w:rFonts w:ascii="Arial" w:cs="Arial" w:eastAsia="Arial" w:hAnsi="Arial"/>
          <w:sz w:val="17"/>
          <w:szCs w:val="17"/>
          <w:color w:val="auto"/>
        </w:rPr>
        <w:t>persons (other than qualified investors as defined under the Prospectus Regulation), or (c) in any other circumstances falling within article 1(4) of the Prospectus Regulation; provided in each case that no such offer of the Placement Shares shall require the Company to publish a prospectus pursuant to article 3 of the Prospectus Regulation or supplement a prospectus pursuant to article 23 of the Prospectus Regulation. For the purposes of this provision, the expression an “offer to the public” in relation to any Placement Shares in any Relevant State means the communication in any form and by any means of sufficient information on the terms of the relevant Placement and the Placing Shares to be offered so as to enable an investor to decide to subscribe for the Placement Shares.</w:t>
      </w:r>
    </w:p>
    <w:p>
      <w:pPr>
        <w:spacing w:after="0" w:line="181" w:lineRule="exact"/>
        <w:rPr>
          <w:sz w:val="20"/>
          <w:szCs w:val="20"/>
          <w:color w:val="auto"/>
        </w:rPr>
      </w:pPr>
    </w:p>
    <w:p>
      <w:pPr>
        <w:ind w:left="880" w:hanging="44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Suspension of Sales</w:t>
      </w:r>
      <w:r>
        <w:rPr>
          <w:rFonts w:ascii="Arial" w:cs="Arial" w:eastAsia="Arial" w:hAnsi="Arial"/>
          <w:sz w:val="18"/>
          <w:szCs w:val="18"/>
          <w:color w:val="auto"/>
        </w:rPr>
        <w:t>.</w:t>
      </w:r>
    </w:p>
    <w:p>
      <w:pPr>
        <w:spacing w:after="0" w:line="225" w:lineRule="exact"/>
        <w:rPr>
          <w:sz w:val="20"/>
          <w:szCs w:val="20"/>
          <w:color w:val="auto"/>
        </w:rPr>
      </w:pPr>
    </w:p>
    <w:p>
      <w:pPr>
        <w:ind w:right="80" w:firstLine="436"/>
        <w:spacing w:after="0" w:line="271" w:lineRule="auto"/>
        <w:tabs>
          <w:tab w:leader="none" w:pos="817"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The Company or the Agent may, upon notice to the other party in writing (including by email correspondence to each of the individuals of the other party set forth on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suspend any sale of Placement Shares;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suspension shall not affect or impair either party’s obligations with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respect to any Placement Shares sold hereunder prior to the receipt of such notice. Each of the parties agrees that no such notice under this Section 4 shall be effective against the other party unless notice is sent by one of the individuals named on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hereto to the other party in writing (including by email correspondence to each of the individuals of the other party set forth on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if receipt of such correspondence is actually acknowledged by any of the individuals to whom the notice is sent, other than via auto-reply).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00" w:name="page101"/>
    <w:bookmarkEnd w:id="100"/>
    <w:p>
      <w:pPr>
        <w:ind w:right="20" w:firstLine="436"/>
        <w:spacing w:after="0" w:line="257" w:lineRule="auto"/>
        <w:tabs>
          <w:tab w:leader="none" w:pos="830"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 other provision of this Agreement, during any period in which the Company is, or could be deemed to be, in possession of material non-public information (other than material non-public information that Placement Shares are intended to be sold pursuant to the terms of this Agreement), the Company and the Agent agree that (i) no sale of Placement Shares will take place, (ii) the Company shall not request the sale of any Placement Shares and shall cancel any effective Placement Notices instructing the Agent to make any sales and (iii) the Agent shall not be obligated to sell or offer to sell any Placement Shares.</w:t>
      </w:r>
    </w:p>
    <w:p>
      <w:pPr>
        <w:spacing w:after="0" w:line="188" w:lineRule="exact"/>
        <w:rPr>
          <w:sz w:val="20"/>
          <w:szCs w:val="20"/>
          <w:color w:val="auto"/>
        </w:rPr>
      </w:pPr>
    </w:p>
    <w:p>
      <w:pPr>
        <w:ind w:left="820" w:hanging="384"/>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Settlement and Delivery of the Placement Shares</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71" w:lineRule="auto"/>
        <w:tabs>
          <w:tab w:leader="none" w:pos="82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Settlement of Placement Shares</w:t>
      </w:r>
      <w:r>
        <w:rPr>
          <w:rFonts w:ascii="Arial" w:cs="Arial" w:eastAsia="Arial" w:hAnsi="Arial"/>
          <w:sz w:val="17"/>
          <w:szCs w:val="17"/>
          <w:color w:val="auto"/>
        </w:rPr>
        <w:t>. Unless otherwise specified in the applicable Placement Notice, settlement for sales of Placement Shares will occur on the second Trading Day following the date on which such sales are made or on such later Trading Day as may be required for the Company to comply with the AIM Rules for Companies in respect of admission of the relevant Ordinary Shares to be represented by the Placement Shares to trading on AIM (each, a “</w:t>
      </w:r>
      <w:r>
        <w:rPr>
          <w:rFonts w:ascii="Arial" w:cs="Arial" w:eastAsia="Arial" w:hAnsi="Arial"/>
          <w:sz w:val="17"/>
          <w:szCs w:val="17"/>
          <w:b w:val="1"/>
          <w:bCs w:val="1"/>
          <w:u w:val="single" w:color="auto"/>
          <w:color w:val="auto"/>
        </w:rPr>
        <w:t>Settlement Date</w:t>
      </w:r>
      <w:r>
        <w:rPr>
          <w:rFonts w:ascii="Arial" w:cs="Arial" w:eastAsia="Arial" w:hAnsi="Arial"/>
          <w:sz w:val="17"/>
          <w:szCs w:val="17"/>
          <w:color w:val="auto"/>
        </w:rPr>
        <w:t>”). The amount of proceeds to be delivered to the Company on a Settlement Date against receipt of the Placement Shares sold (the “</w:t>
      </w:r>
      <w:r>
        <w:rPr>
          <w:rFonts w:ascii="Arial" w:cs="Arial" w:eastAsia="Arial" w:hAnsi="Arial"/>
          <w:sz w:val="17"/>
          <w:szCs w:val="17"/>
          <w:b w:val="1"/>
          <w:bCs w:val="1"/>
          <w:u w:val="single" w:color="auto"/>
          <w:color w:val="auto"/>
        </w:rPr>
        <w:t>Net Proceeds</w:t>
      </w:r>
      <w:r>
        <w:rPr>
          <w:rFonts w:ascii="Arial" w:cs="Arial" w:eastAsia="Arial" w:hAnsi="Arial"/>
          <w:sz w:val="17"/>
          <w:szCs w:val="17"/>
          <w:color w:val="auto"/>
        </w:rPr>
        <w:t>”) will be equal to the aggregate gross sales price received by the Agent at which such Placement Shares were sold, after deduction of (i) the Agent’s commission, discount or other compensation for such sales payable by the Company pursuant to Section 2 hereof, (ii) any other amounts due and payable by the Company to the Agent hereunder pursuant to Section 7(g) hereof and (iii) any transaction fees imposed by any governmental or self-regulatory organization in respect of such sales.</w:t>
      </w:r>
    </w:p>
    <w:p>
      <w:pPr>
        <w:spacing w:after="0" w:line="178" w:lineRule="exact"/>
        <w:rPr>
          <w:rFonts w:ascii="Arial" w:cs="Arial" w:eastAsia="Arial" w:hAnsi="Arial"/>
          <w:sz w:val="17"/>
          <w:szCs w:val="17"/>
          <w:color w:val="auto"/>
        </w:rPr>
      </w:pPr>
    </w:p>
    <w:p>
      <w:pPr>
        <w:ind w:firstLine="436"/>
        <w:spacing w:after="0" w:line="284" w:lineRule="auto"/>
        <w:tabs>
          <w:tab w:leader="none" w:pos="83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Delivery of Placement Shares</w:t>
      </w:r>
      <w:r>
        <w:rPr>
          <w:rFonts w:ascii="Arial" w:cs="Arial" w:eastAsia="Arial" w:hAnsi="Arial"/>
          <w:sz w:val="16"/>
          <w:szCs w:val="16"/>
          <w:color w:val="auto"/>
        </w:rPr>
        <w:t>. On each Settlement Date and against payment of the purchase price for the relevant Placement Shares, the Company will, or will cause the Depositary or its transfer agent (if applicable) to, electronically transfer the Placement Shares being sold against the deposit with the Depositary’s custodian (or nominee) of the corresponding number of Ordinary Shares necessary for the issuance of the Placement Shares by crediting the Agent’s or its designee’s account (provided the Agent shall have given the Company written notice of such designee prior to the Settlement Date) at The Depository Trust Company through its Deposit and Withdrawal at Custodian System (“</w:t>
      </w:r>
      <w:r>
        <w:rPr>
          <w:rFonts w:ascii="Arial" w:cs="Arial" w:eastAsia="Arial" w:hAnsi="Arial"/>
          <w:sz w:val="16"/>
          <w:szCs w:val="16"/>
          <w:b w:val="1"/>
          <w:bCs w:val="1"/>
          <w:u w:val="single" w:color="auto"/>
          <w:color w:val="auto"/>
        </w:rPr>
        <w:t>DWAC</w:t>
      </w:r>
      <w:r>
        <w:rPr>
          <w:rFonts w:ascii="Arial" w:cs="Arial" w:eastAsia="Arial" w:hAnsi="Arial"/>
          <w:sz w:val="16"/>
          <w:szCs w:val="16"/>
          <w:color w:val="auto"/>
        </w:rPr>
        <w:t>”) or by such other means of delivery as may be mutually agreed upon by the parties hereto, which in all cases shall be duly authorized, freely tradeable, transferable, registered ADSs in good deliverable form. On each Settlement Date, the Ordinary Shares to be credited by the Company to the account of the Depositary shall be credited as fully paid, free from any encumbrance and on terms that they will rank pari passu in all respects with the existing Ordinary Shares. On each Settlement Date, the Agent will deliver the related Net Proceeds in same day funds to an account designated by the Company on or prior to the Settlement Date. The Agent shall be responsible for providing DWAC instructions or other instructions for delivery by other means with regard to the transfer of the Placement Shares being sold. In addition to and in no way limiting the rights and obligations set forth in Section 9(a) hereto, the Company agrees that if the Company or its transfer agent (if applicable), or the Depositary, defaults in its obligation to deliver duly authorized, freely tradeable, transferable, registered ADSs in good deliverable form by 2:30 P.M., New York City time, on a Settlement Date (other than as a result of a failure by the Agent to provide instructions for delivery), the Company will (i) take all necessary action to cause the full amount of any Net Proceeds that were delivered to the Company’s account with respect to such settlement, together with any costs incurred by the Agent and/or its clearing firm in connection with recovering such Net Proceeds, to be immediately returned to the Agent or its clearing firm no later than 5:00 P.M., New York City time, on such Settlement Date, by wire transfer of immediately available funds to an account designated by the Agent or its clearing firm, (ii) indemnify and hold the Agent and its clearing firm harmless against any loss, claim, damage, or expense (including reasonable legal fees and expenses), as incurred, arising out of or in connection with such default by the Company, its transfer agent (if applicable) or the Depositary and (iii) pay to the Agent any commission, discount or other compensation to which it would otherwise have been entitled absent such default.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01" w:name="page102"/>
    <w:bookmarkEnd w:id="101"/>
    <w:p>
      <w:pPr>
        <w:ind w:left="4" w:firstLine="436"/>
        <w:spacing w:after="0" w:line="268" w:lineRule="auto"/>
        <w:tabs>
          <w:tab w:leader="none" w:pos="824"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Limitations on Offering Size</w:t>
      </w:r>
      <w:r>
        <w:rPr>
          <w:rFonts w:ascii="Arial" w:cs="Arial" w:eastAsia="Arial" w:hAnsi="Arial"/>
          <w:sz w:val="17"/>
          <w:szCs w:val="17"/>
          <w:color w:val="auto"/>
        </w:rPr>
        <w:t>. Under no circumstances shall the Company cause or request the offer or sale of any Placement Shares if, in giving effect to the sale of such Placement Shares, the aggregate number or gross sales proceeds of Placement Shares sold pursuant to this Agreement would exceed the lesser of: (i) the number or dollar amount of ADSs registered pursuant to, and available for offer and sale under, the Registration Statement pursuant to which the offering of Placement Shares is being made, (ii) the number or dollar amount of Ordinary Shares permitted to be offered and sold by the Company under Form F-3 (including General Instruction I.B.5. thereof, if such instruction is applicable), (iii) the number of Ordinary Shares representing the pound sterling nominal amount of Ordinary Shares that the Company’s board of directors or a duly authorized committee thereof is authorized to allot from time to time, in accordance with the Company’s articles of association and pursuant to a valid authority under section 551 of the CA 2006 (as defined below) and a valid power under section 570 of the CA 2006 to allot Ordinary Shares as if section 561 of the CA 2006 did not apply (less Ordinary Shares issuable upon exercise, conversion or exchange of any outstanding securities of the Company or otherwise reserved from the Company’s authorized capital stock), or (iv) the dollar amount of Ordinary Shares for which the Company has filed the Prospectus Supplement. Under no circumstances shall the Company cause or request the offer or sale of any Placement Shares pursuant to this Agreement at a price lower than the minimum price authorized from time to time by the Company’s board of directors or a duly authorized committee thereof, and notified to the Agent in writing. Notwithstanding anything to the contrary contained herein, the parties hereto acknowledge and agree that compliance with the limitations set forth in this Section 5(c) on the number or dollar amount of Placement Shares that may be issued and sold under this Agreement from time to time shall be the sole responsibility of the Company, and that the Agent shall have no obligation in connection with such compliance.</w:t>
      </w:r>
    </w:p>
    <w:p>
      <w:pPr>
        <w:spacing w:after="0" w:line="180" w:lineRule="exact"/>
        <w:rPr>
          <w:sz w:val="20"/>
          <w:szCs w:val="20"/>
          <w:color w:val="auto"/>
        </w:rPr>
      </w:pPr>
    </w:p>
    <w:p>
      <w:pPr>
        <w:jc w:val="both"/>
        <w:ind w:left="4" w:right="140" w:firstLine="436"/>
        <w:spacing w:after="0" w:line="287" w:lineRule="auto"/>
        <w:tabs>
          <w:tab w:leader="none" w:pos="759"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and agrees with, the Agent that as of the date of this Agreement, and as of (i) each Representation Date (as defined in Section 7(m)), (ii) each date on which a Placement Notice is given, (iii) the date and time of each sale of any Placement Shares pursuant to this Agreement and (iv) each Settlement Date (each such time or date referred to in clauses</w:t>
      </w:r>
    </w:p>
    <w:p>
      <w:pPr>
        <w:spacing w:after="0" w:line="2" w:lineRule="exact"/>
        <w:rPr>
          <w:rFonts w:ascii="Arial" w:cs="Arial" w:eastAsia="Arial" w:hAnsi="Arial"/>
          <w:sz w:val="16"/>
          <w:szCs w:val="16"/>
          <w:color w:val="auto"/>
        </w:rPr>
      </w:pPr>
    </w:p>
    <w:p>
      <w:pPr>
        <w:ind w:left="224" w:hanging="224"/>
        <w:spacing w:after="0"/>
        <w:tabs>
          <w:tab w:leader="none" w:pos="2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through (iv), an “</w:t>
      </w:r>
      <w:r>
        <w:rPr>
          <w:rFonts w:ascii="Arial" w:cs="Arial" w:eastAsia="Arial" w:hAnsi="Arial"/>
          <w:sz w:val="18"/>
          <w:szCs w:val="18"/>
          <w:b w:val="1"/>
          <w:bCs w:val="1"/>
          <w:u w:val="single" w:color="auto"/>
          <w:color w:val="auto"/>
        </w:rPr>
        <w:t>Applicable Time</w:t>
      </w:r>
      <w:r>
        <w:rPr>
          <w:rFonts w:ascii="Arial" w:cs="Arial" w:eastAsia="Arial" w:hAnsi="Arial"/>
          <w:sz w:val="18"/>
          <w:szCs w:val="18"/>
          <w:color w:val="auto"/>
        </w:rPr>
        <w:t>”):</w:t>
      </w:r>
    </w:p>
    <w:p>
      <w:pPr>
        <w:spacing w:after="0" w:line="211" w:lineRule="exact"/>
        <w:rPr>
          <w:sz w:val="20"/>
          <w:szCs w:val="20"/>
          <w:color w:val="auto"/>
        </w:rPr>
      </w:pPr>
    </w:p>
    <w:p>
      <w:pPr>
        <w:ind w:left="4" w:right="20" w:firstLine="436"/>
        <w:spacing w:after="0" w:line="286" w:lineRule="auto"/>
        <w:tabs>
          <w:tab w:leader="none" w:pos="824"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Registration Statement and Prospectus</w:t>
      </w:r>
      <w:r>
        <w:rPr>
          <w:rFonts w:ascii="Arial" w:cs="Arial" w:eastAsia="Arial" w:hAnsi="Arial"/>
          <w:sz w:val="16"/>
          <w:szCs w:val="16"/>
          <w:color w:val="auto"/>
        </w:rPr>
        <w:t>. The Company and the transactions contemplated by this Agreement meet the requirements for and comply with the conditions for the use of Form F-3 (including General Instructions I.A and I.B.1.) under the Securities Act. The Registration Statement will be filed with the Commission and will be declared effective by the Commission under the Securities Act prior to the issuance of any Placement Notices by the Company. At the time the Registration Statement originally became effective and at the time the Company’s Annual Report on Form</w:t>
      </w:r>
    </w:p>
    <w:p>
      <w:pPr>
        <w:spacing w:after="0" w:line="1" w:lineRule="exact"/>
        <w:rPr>
          <w:rFonts w:ascii="Arial" w:cs="Arial" w:eastAsia="Arial" w:hAnsi="Arial"/>
          <w:sz w:val="16"/>
          <w:szCs w:val="16"/>
          <w:color w:val="auto"/>
        </w:rPr>
      </w:pPr>
    </w:p>
    <w:p>
      <w:pPr>
        <w:ind w:left="4" w:right="20"/>
        <w:spacing w:after="0" w:line="267" w:lineRule="auto"/>
        <w:rPr>
          <w:rFonts w:ascii="Arial" w:cs="Arial" w:eastAsia="Arial" w:hAnsi="Arial"/>
          <w:sz w:val="16"/>
          <w:szCs w:val="16"/>
          <w:color w:val="auto"/>
        </w:rPr>
      </w:pPr>
      <w:r>
        <w:rPr>
          <w:rFonts w:ascii="Arial" w:cs="Arial" w:eastAsia="Arial" w:hAnsi="Arial"/>
          <w:sz w:val="17"/>
          <w:szCs w:val="17"/>
          <w:color w:val="auto"/>
        </w:rPr>
        <w:t>20-F for the year ended December 31, 2019, was filed with the Commission, the Company met the then-applicable requirements for use of Form F-3 (including General Instructions I.A and I.B.1.) under the Securities Act. The Registration Statement meets, and the offering and sale of Placement Shares as contemplated hereby comply with, the requirements of Rule 415(a)(1)(x) under the Securities Act. The Agent is named as the agent engaged by the Company in the section entitled “Plan of Distribution” in the Prospectus Supplement. The Company has not received, and has no notice from the Commission of, any notice pursuant to Rule 401(g)(1) under the Securities Act objecting to the use of the shelf registration statement form. No stop order of the Commission preventing or suspending the use of the base prospectus, the Prospectus Supplement or the Prospectus, or the effectiveness of the Registration Statement, has been issued, and no proceedings for such purpose are pending before or, to the knowledge of the Company, threatened by the Commission. At the time of the initial filing of the Registration Statement, the Company paid the required Commission filing fees relating to the securities covered by the Registration Statement, including the Shares that may be sold pursuant to this Agreement, in accordance with Rule 457(o) under the Securities Act. Copies of the Registration Statement, the Prospectus, any such amendments or supplements to any of the foregoing and all Incorporated Documents that were filed with the Commission on or prior to the date of this Agreement have been delivered, or are available through EDGAR, to the Agent and its counsel.</w:t>
      </w:r>
    </w:p>
    <w:p>
      <w:pPr>
        <w:spacing w:after="0" w:line="11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4"/>
          </w:cols>
          <w:pgMar w:left="436" w:top="274" w:right="519" w:bottom="1440" w:gutter="0" w:footer="0" w:header="0"/>
        </w:sectPr>
      </w:pPr>
    </w:p>
    <w:bookmarkStart w:id="102" w:name="page103"/>
    <w:bookmarkEnd w:id="102"/>
    <w:p>
      <w:pPr>
        <w:ind w:firstLine="436"/>
        <w:spacing w:after="0" w:line="272" w:lineRule="auto"/>
        <w:tabs>
          <w:tab w:leader="none" w:pos="830"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ADS Registration Statement</w:t>
      </w:r>
      <w:r>
        <w:rPr>
          <w:rFonts w:ascii="Arial" w:cs="Arial" w:eastAsia="Arial" w:hAnsi="Arial"/>
          <w:sz w:val="17"/>
          <w:szCs w:val="17"/>
          <w:color w:val="auto"/>
        </w:rPr>
        <w:t>. The ADS Registration Statement has (i) been prepared by the Company in conformity with the requirements of the Securities Act and the rules and regulations thereunder, (ii) been filed with the Commission under the Securities Act, and (iii) become effective under the Securities Act. The Commission has not issued any order suspending the effectiveness of the ADS Registration Statement, and no proceeding for that purpose has been instituted or, to the Company’s knowledge, threatened by the Commission. The ADS Registration Statement, at the time it became effective under the Securities Act, (i) conformed in all respects to the requirements of the Securities Act and the rules and regulations thereunder and (ii) and did not, as of the applicable effective date, contain an untrue statement of a material fact or omit to state a material fact required to be stated therein or necessary to make the statements therein not misleading.</w:t>
      </w:r>
    </w:p>
    <w:p>
      <w:pPr>
        <w:spacing w:after="0" w:line="177" w:lineRule="exact"/>
        <w:rPr>
          <w:rFonts w:ascii="Arial" w:cs="Arial" w:eastAsia="Arial" w:hAnsi="Arial"/>
          <w:sz w:val="17"/>
          <w:szCs w:val="17"/>
          <w:color w:val="auto"/>
        </w:rPr>
      </w:pPr>
    </w:p>
    <w:p>
      <w:pPr>
        <w:ind w:right="80" w:firstLine="436"/>
        <w:spacing w:after="0" w:line="288" w:lineRule="auto"/>
        <w:tabs>
          <w:tab w:leader="none" w:pos="82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Accurate Disclosure</w:t>
      </w:r>
      <w:r>
        <w:rPr>
          <w:rFonts w:ascii="Arial" w:cs="Arial" w:eastAsia="Arial" w:hAnsi="Arial"/>
          <w:sz w:val="16"/>
          <w:szCs w:val="16"/>
          <w:color w:val="auto"/>
        </w:rPr>
        <w:t>. None of the Registration Statement, the ADS Registration Statement and any amendment thereto, at its effective time, or at any Settlement Date, contained, contains or will contain an untrue statement of a material fact or omitted, omits or will omit to state a material fact required to be stated therein or necessary to make the statements therein not misleading. Neither the Prospectus nor any amendment or supplement thereto (including any prospectus wrapper), as of its date, at the time of any filing with the Commission pursuant to Rule 424(b), or at any Settlement Date, included, includes or will include an untrue statement of a material fact or omitted, omits or will omit to state a material fact necessary in order to make the statements therein, in light of the circumstances under which they were made, not misleading. The documents incorporated or deemed to be incorporated by reference in the Registration Statement and the Prospectus, at the time the Registration Statement became effective or when such documents incorporated by reference were filed with the Commission, as the case may be, when read together with the other information in the Registration Statement or the Prospectus, as the case may be, did not and will not include an untrue statement of a material fact or omit to state a material fact required to be stated therein or necessary to make the statements therein not misleading.</w:t>
      </w:r>
    </w:p>
    <w:p>
      <w:pPr>
        <w:spacing w:after="0" w:line="16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representations and warranties in this subsection shall not apply to statements in or omissions from the Registration Statement (or any amendment thereto), the ADS Registration Statement (or any amendment thereto) or the Prospectus (or any amendment or supplement thereto, including any prospectus wrapper) made in reliance upon and in conformity with the written information furnished to the Company by the Agent Information (as defined below) expressly for use therein.</w:t>
      </w:r>
    </w:p>
    <w:p>
      <w:pPr>
        <w:spacing w:after="0" w:line="187" w:lineRule="exact"/>
        <w:rPr>
          <w:sz w:val="20"/>
          <w:szCs w:val="20"/>
          <w:color w:val="auto"/>
        </w:rPr>
      </w:pPr>
    </w:p>
    <w:p>
      <w:pPr>
        <w:ind w:right="480" w:firstLine="436"/>
        <w:spacing w:after="0" w:line="257" w:lineRule="auto"/>
        <w:tabs>
          <w:tab w:leader="none" w:pos="83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Issuer Free Writing Prospectuses</w:t>
      </w:r>
      <w:r>
        <w:rPr>
          <w:rFonts w:ascii="Arial" w:cs="Arial" w:eastAsia="Arial" w:hAnsi="Arial"/>
          <w:sz w:val="18"/>
          <w:szCs w:val="18"/>
          <w:color w:val="auto"/>
        </w:rPr>
        <w:t>. No Issuer Free Writing Prospectus conflicts or will conflict with the information contained in the Registration Statement, ADS Registration Statement or the Prospectus, and any other prospectus deemed to be a part thereof that has not been superseded or modified. Each Issuer Free Writing Prospectus that the Company has filed, or is required to file, pursuant to Rule 433(d) under the Securities Act or that was prepared by or behalf of or used or referred to by the Company complies or will comply in all material respects with the requirements of the Securities Act.</w:t>
      </w:r>
    </w:p>
    <w:p>
      <w:pPr>
        <w:spacing w:after="0" w:line="187" w:lineRule="exact"/>
        <w:rPr>
          <w:rFonts w:ascii="Arial" w:cs="Arial" w:eastAsia="Arial" w:hAnsi="Arial"/>
          <w:sz w:val="18"/>
          <w:szCs w:val="18"/>
          <w:color w:val="auto"/>
        </w:rPr>
      </w:pPr>
    </w:p>
    <w:p>
      <w:pPr>
        <w:ind w:right="200" w:firstLine="436"/>
        <w:spacing w:after="0" w:line="263" w:lineRule="auto"/>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Company Not Ineligible Issuer</w:t>
      </w:r>
      <w:r>
        <w:rPr>
          <w:rFonts w:ascii="Arial" w:cs="Arial" w:eastAsia="Arial" w:hAnsi="Arial"/>
          <w:sz w:val="18"/>
          <w:szCs w:val="18"/>
          <w:color w:val="auto"/>
        </w:rPr>
        <w:t>. At the time of filing the Registration Statement and any amendment thereto, at any time during which a Placement Notice is in effect and at the date hereof, the Company was not and is not an “ineligible issuer,” as defined in Rule 405 under the Securities Act.</w:t>
      </w:r>
    </w:p>
    <w:p>
      <w:pPr>
        <w:spacing w:after="0" w:line="183" w:lineRule="exact"/>
        <w:rPr>
          <w:rFonts w:ascii="Arial" w:cs="Arial" w:eastAsia="Arial" w:hAnsi="Arial"/>
          <w:sz w:val="18"/>
          <w:szCs w:val="18"/>
          <w:color w:val="auto"/>
        </w:rPr>
      </w:pPr>
    </w:p>
    <w:p>
      <w:pPr>
        <w:ind w:right="180" w:firstLine="436"/>
        <w:spacing w:after="0" w:line="263"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Emerging Growth Company Status</w:t>
      </w:r>
      <w:r>
        <w:rPr>
          <w:rFonts w:ascii="Arial" w:cs="Arial" w:eastAsia="Arial" w:hAnsi="Arial"/>
          <w:sz w:val="18"/>
          <w:szCs w:val="18"/>
          <w:color w:val="auto"/>
        </w:rPr>
        <w:t>. From the time of the initial confidential submission of the Registration Statement to the Commission through the date hereof, the Company has been and is an “emerging growth company,” as defined in Section 2(a) of the Securities Act (an “</w:t>
      </w:r>
      <w:r>
        <w:rPr>
          <w:rFonts w:ascii="Arial" w:cs="Arial" w:eastAsia="Arial" w:hAnsi="Arial"/>
          <w:sz w:val="18"/>
          <w:szCs w:val="18"/>
          <w:b w:val="1"/>
          <w:bCs w:val="1"/>
          <w:u w:val="single" w:color="auto"/>
          <w:color w:val="auto"/>
        </w:rPr>
        <w:t>Emerging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Growth Company</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03" w:name="page104"/>
    <w:bookmarkEnd w:id="103"/>
    <w:p>
      <w:pPr>
        <w:ind w:left="4" w:right="60" w:firstLine="436"/>
        <w:spacing w:after="0" w:line="284" w:lineRule="auto"/>
        <w:tabs>
          <w:tab w:leader="none" w:pos="834"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Stamp Taxes</w:t>
      </w:r>
      <w:r>
        <w:rPr>
          <w:rFonts w:ascii="Arial" w:cs="Arial" w:eastAsia="Arial" w:hAnsi="Arial"/>
          <w:sz w:val="16"/>
          <w:szCs w:val="16"/>
          <w:color w:val="auto"/>
        </w:rPr>
        <w:t>. Except as disclosed in the Registration Statement and the Prospectus, while the Company’s Ordinary Shares are admitted to trading on AIM but are not listed on any market (with the term “listed” being construed in accordance with section 99A of the Finance Act 1986) and AIM continues to be accepted as a “recognized growth market” (as construed in accordance with section 99A of Finance Act 1986), no stamp duty, stamp duty reserve, registration, stamp or other issuance or transfer taxes or other similar taxes or duties are payable in the United Kingdom by or on behalf of the Agent in connection with (i) the issuance of Ordinary Shares by the Company or the deposit of the Ordinary Shares by the Company in accordance with the terms of the Deposit Agreement against the issuance of the ADSs or American Depositary Receipts (“</w:t>
      </w:r>
      <w:r>
        <w:rPr>
          <w:rFonts w:ascii="Arial" w:cs="Arial" w:eastAsia="Arial" w:hAnsi="Arial"/>
          <w:sz w:val="16"/>
          <w:szCs w:val="16"/>
          <w:b w:val="1"/>
          <w:bCs w:val="1"/>
          <w:u w:val="single" w:color="auto"/>
          <w:color w:val="auto"/>
        </w:rPr>
        <w:t>ADRs</w:t>
      </w:r>
      <w:r>
        <w:rPr>
          <w:rFonts w:ascii="Arial" w:cs="Arial" w:eastAsia="Arial" w:hAnsi="Arial"/>
          <w:sz w:val="16"/>
          <w:szCs w:val="16"/>
          <w:color w:val="auto"/>
        </w:rPr>
        <w:t>”) evidencing ADSs (if any); (ii) the issuance by the Depositary of the ADSs or ADRs evidencing ADSs (if any) in accordance with the terms of the Deposit Agreement;</w:t>
      </w:r>
    </w:p>
    <w:p>
      <w:pPr>
        <w:spacing w:after="0" w:line="2" w:lineRule="exact"/>
        <w:rPr>
          <w:rFonts w:ascii="Arial" w:cs="Arial" w:eastAsia="Arial" w:hAnsi="Arial"/>
          <w:sz w:val="16"/>
          <w:szCs w:val="16"/>
          <w:color w:val="auto"/>
        </w:rPr>
      </w:pPr>
    </w:p>
    <w:p>
      <w:pPr>
        <w:ind w:left="4" w:right="20" w:hanging="4"/>
        <w:spacing w:after="0" w:line="255" w:lineRule="auto"/>
        <w:tabs>
          <w:tab w:leader="none" w:pos="319"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sale, agreement to sell, issuance or delivery of the ADSs or ADRs evidencing ADSs (if any) to the Agent; (iv) the initial sale, agreement to sell or delivery by the Agent of the ADSs or ADRs evidencing ADSs (if any) to or for the account of purchasers thereof; or (v) the execution and delivery of this Agreement or the Deposit Agreement.</w:t>
      </w:r>
    </w:p>
    <w:p>
      <w:pPr>
        <w:spacing w:after="0" w:line="189" w:lineRule="exact"/>
        <w:rPr>
          <w:rFonts w:ascii="Arial" w:cs="Arial" w:eastAsia="Arial" w:hAnsi="Arial"/>
          <w:sz w:val="18"/>
          <w:szCs w:val="18"/>
          <w:color w:val="auto"/>
        </w:rPr>
      </w:pPr>
    </w:p>
    <w:p>
      <w:pPr>
        <w:ind w:left="4" w:right="480" w:firstLine="436"/>
        <w:spacing w:after="0" w:line="286" w:lineRule="auto"/>
        <w:tabs>
          <w:tab w:leader="none" w:pos="834"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Dividends and Distributions</w:t>
      </w:r>
      <w:r>
        <w:rPr>
          <w:rFonts w:ascii="Arial" w:cs="Arial" w:eastAsia="Arial" w:hAnsi="Arial"/>
          <w:sz w:val="17"/>
          <w:szCs w:val="17"/>
          <w:color w:val="auto"/>
        </w:rPr>
        <w:t>. Except as described in the Prospectus, all dividends and other distributions declared and payable on the Ordinary Shares may under applicable English law and regulations be paid to the Depositary in pounds sterling and may be converted into foreign currency that may be transferred out of the United Kingdom in accordance with the Deposit Agreement.</w:t>
      </w:r>
    </w:p>
    <w:p>
      <w:pPr>
        <w:spacing w:after="0" w:line="165" w:lineRule="exact"/>
        <w:rPr>
          <w:rFonts w:ascii="Arial" w:cs="Arial" w:eastAsia="Arial" w:hAnsi="Arial"/>
          <w:sz w:val="17"/>
          <w:szCs w:val="17"/>
          <w:color w:val="auto"/>
        </w:rPr>
      </w:pPr>
    </w:p>
    <w:p>
      <w:pPr>
        <w:ind w:left="784" w:hanging="344"/>
        <w:spacing w:after="0"/>
        <w:tabs>
          <w:tab w:leader="none" w:pos="784"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Foreign Private Issuer</w:t>
      </w:r>
      <w:r>
        <w:rPr>
          <w:rFonts w:ascii="Arial" w:cs="Arial" w:eastAsia="Arial" w:hAnsi="Arial"/>
          <w:sz w:val="18"/>
          <w:szCs w:val="18"/>
          <w:color w:val="auto"/>
        </w:rPr>
        <w:t>. The Company is a “foreign private issuer” within the meaning of Rule 405 under the Securities Act.</w:t>
      </w:r>
    </w:p>
    <w:p>
      <w:pPr>
        <w:spacing w:after="0" w:line="225" w:lineRule="exact"/>
        <w:rPr>
          <w:rFonts w:ascii="Arial" w:cs="Arial" w:eastAsia="Arial" w:hAnsi="Arial"/>
          <w:sz w:val="18"/>
          <w:szCs w:val="18"/>
          <w:color w:val="auto"/>
        </w:rPr>
      </w:pPr>
    </w:p>
    <w:p>
      <w:pPr>
        <w:ind w:left="4" w:firstLine="436"/>
        <w:spacing w:after="0" w:line="286" w:lineRule="auto"/>
        <w:tabs>
          <w:tab w:leader="none" w:pos="794"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Independent Accountants</w:t>
      </w:r>
      <w:r>
        <w:rPr>
          <w:rFonts w:ascii="Arial" w:cs="Arial" w:eastAsia="Arial" w:hAnsi="Arial"/>
          <w:sz w:val="17"/>
          <w:szCs w:val="17"/>
          <w:color w:val="auto"/>
        </w:rPr>
        <w:t>. The accountants who certified the audited financial statements of the Company included or incorporated by reference in the Registration Statement and the Prospectus are an independent registered public accounting firm as required by, and delivered their report thereon in compliance with, the Securities Act and the Public Company Accounting Oversight Board (United States).</w:t>
      </w:r>
    </w:p>
    <w:p>
      <w:pPr>
        <w:spacing w:after="0" w:line="165" w:lineRule="exact"/>
        <w:rPr>
          <w:rFonts w:ascii="Arial" w:cs="Arial" w:eastAsia="Arial" w:hAnsi="Arial"/>
          <w:sz w:val="17"/>
          <w:szCs w:val="17"/>
          <w:color w:val="auto"/>
        </w:rPr>
      </w:pPr>
    </w:p>
    <w:p>
      <w:pPr>
        <w:ind w:left="4" w:right="200" w:firstLine="436"/>
        <w:spacing w:after="0" w:line="290" w:lineRule="auto"/>
        <w:tabs>
          <w:tab w:leader="none" w:pos="834"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consolidated financial statements of the Company included or incorporated by reference in the Registration Statement and the Prospectus, together with the related notes, comply as to form in all material respects with Regulation S-X under the Securities Act and present fairly, in all material respects, the financial position of the Company and its consolidated Subsidiaries (as defined below) at the dates indicated and the results of operations and cash flows of the Company and its consolidated Subsidiaries for the periods specified; said financial statements have been prepared in conformity with International Financial Reporting Standards as issued by the International Accounting Standards Board (“</w:t>
      </w:r>
      <w:r>
        <w:rPr>
          <w:rFonts w:ascii="Arial" w:cs="Arial" w:eastAsia="Arial" w:hAnsi="Arial"/>
          <w:sz w:val="16"/>
          <w:szCs w:val="16"/>
          <w:b w:val="1"/>
          <w:bCs w:val="1"/>
          <w:u w:val="single" w:color="auto"/>
          <w:color w:val="auto"/>
        </w:rPr>
        <w:t>IFRS</w:t>
      </w:r>
      <w:r>
        <w:rPr>
          <w:rFonts w:ascii="Arial" w:cs="Arial" w:eastAsia="Arial" w:hAnsi="Arial"/>
          <w:sz w:val="16"/>
          <w:szCs w:val="16"/>
          <w:color w:val="auto"/>
        </w:rPr>
        <w:t>”) applied on a consistent basis throughout the periods involved except as may be expressly stated in the related notes thereto. The interactive data in eXtensible Business Reporting Language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65" w:lineRule="exact"/>
        <w:rPr>
          <w:rFonts w:ascii="Arial" w:cs="Arial" w:eastAsia="Arial" w:hAnsi="Arial"/>
          <w:sz w:val="16"/>
          <w:szCs w:val="16"/>
          <w:color w:val="auto"/>
        </w:rPr>
      </w:pPr>
    </w:p>
    <w:p>
      <w:pPr>
        <w:ind w:left="4" w:right="80" w:firstLine="436"/>
        <w:spacing w:after="0" w:line="311" w:lineRule="auto"/>
        <w:tabs>
          <w:tab w:leader="none" w:pos="794"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Compliance with the Sarbanes-Oxley Act of 2002</w:t>
      </w:r>
      <w:r>
        <w:rPr>
          <w:rFonts w:ascii="Arial" w:cs="Arial" w:eastAsia="Arial" w:hAnsi="Arial"/>
          <w:sz w:val="16"/>
          <w:szCs w:val="16"/>
          <w:color w:val="auto"/>
        </w:rPr>
        <w:t>. There is and has been no failure on the part of the Company or any of the Company’s directors or officers, in their capacities as such, to comply in all material respects with any applicable provision of the Sarbanes-Oxley Act of 2002 and the rules and regulations promulgated in connection therewith, including Section 402 related to loans and Sections 302 and 906 related to certifications.</w:t>
      </w:r>
    </w:p>
    <w:p>
      <w:pPr>
        <w:spacing w:after="0" w:line="148" w:lineRule="exact"/>
        <w:rPr>
          <w:rFonts w:ascii="Arial" w:cs="Arial" w:eastAsia="Arial" w:hAnsi="Arial"/>
          <w:sz w:val="16"/>
          <w:szCs w:val="16"/>
          <w:color w:val="auto"/>
        </w:rPr>
      </w:pPr>
    </w:p>
    <w:p>
      <w:pPr>
        <w:jc w:val="both"/>
        <w:ind w:left="4" w:right="140" w:firstLine="436"/>
        <w:spacing w:after="0" w:line="342" w:lineRule="auto"/>
        <w:tabs>
          <w:tab w:leader="none" w:pos="884"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Except as otherwise stated therein, since the respective dates as of which information is given in the Registration Statement or the Prospectus, (A) there has been no material adverse change in the condition, financial or otherwise, or in the earnings,</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04" w:name="page105"/>
    <w:bookmarkEnd w:id="104"/>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business affairs or business prospects of the Company and its Subsidiaries considered as one enterprise, whether or not arising in the ordinary course of business (a “</w:t>
      </w:r>
      <w:r>
        <w:rPr>
          <w:rFonts w:ascii="Arial" w:cs="Arial" w:eastAsia="Arial" w:hAnsi="Arial"/>
          <w:sz w:val="17"/>
          <w:szCs w:val="17"/>
          <w:b w:val="1"/>
          <w:bCs w:val="1"/>
          <w:u w:val="single" w:color="auto"/>
          <w:color w:val="auto"/>
        </w:rPr>
        <w:t>Material Adverse Effect</w:t>
      </w:r>
      <w:r>
        <w:rPr>
          <w:rFonts w:ascii="Arial" w:cs="Arial" w:eastAsia="Arial" w:hAnsi="Arial"/>
          <w:sz w:val="17"/>
          <w:szCs w:val="17"/>
          <w:color w:val="auto"/>
        </w:rPr>
        <w:t>”), (B) there have been no transactions entered into by the Company or any of its Subsidiaries, other than those in the ordinary course of business, which are material with respect to the Company and its Subsidiaries considered as one enterprise, (C) there have been no material liabilities or obligations, direct or contingent, entered into by the Company or any of its Subsidiaries and (D) there has been no dividend or distribution of any kind declared, paid or made by the Company on any class of its capital stock.</w:t>
      </w:r>
    </w:p>
    <w:p>
      <w:pPr>
        <w:spacing w:after="0" w:line="176" w:lineRule="exact"/>
        <w:rPr>
          <w:sz w:val="20"/>
          <w:szCs w:val="20"/>
          <w:color w:val="auto"/>
        </w:rPr>
      </w:pPr>
    </w:p>
    <w:p>
      <w:pPr>
        <w:ind w:right="40" w:firstLine="436"/>
        <w:spacing w:after="0" w:line="254" w:lineRule="auto"/>
        <w:tabs>
          <w:tab w:leader="none" w:pos="83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Good Standing of the Company</w:t>
      </w:r>
      <w:r>
        <w:rPr>
          <w:rFonts w:ascii="Arial" w:cs="Arial" w:eastAsia="Arial" w:hAnsi="Arial"/>
          <w:sz w:val="18"/>
          <w:szCs w:val="18"/>
          <w:color w:val="auto"/>
        </w:rPr>
        <w:t>. The Company has been duly incorporated and is validly existing as a public limited company under the laws of England and Wales (to the extent such concepts are applicable in England and Wales) and has corporate or similar power and authority to own, lease and operate its properties and to conduct its business as described in the Registration Statement and the Prospectus and to enter into and perform its obligations under this Agreement; and the Company is duly qualified as a foreign corporation to transact business and is in good standing (to the extent such concept applies) in each other jurisdiction in which such qualification is required, whether by reason of the ownership or leasing of property or the conduct of business, except where the failure to be so qualified or to be in good standing would not reasonably be expected to result in a Material Adverse Effect.</w:t>
      </w:r>
    </w:p>
    <w:p>
      <w:pPr>
        <w:spacing w:after="0" w:line="190" w:lineRule="exact"/>
        <w:rPr>
          <w:rFonts w:ascii="Arial" w:cs="Arial" w:eastAsia="Arial" w:hAnsi="Arial"/>
          <w:sz w:val="18"/>
          <w:szCs w:val="18"/>
          <w:color w:val="auto"/>
        </w:rPr>
      </w:pPr>
    </w:p>
    <w:p>
      <w:pPr>
        <w:ind w:firstLine="436"/>
        <w:spacing w:after="0" w:line="288" w:lineRule="auto"/>
        <w:tabs>
          <w:tab w:leader="none" w:pos="83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Good Standing of the Company’s Subsidiaries</w:t>
      </w:r>
      <w:r>
        <w:rPr>
          <w:rFonts w:ascii="Arial" w:cs="Arial" w:eastAsia="Arial" w:hAnsi="Arial"/>
          <w:sz w:val="16"/>
          <w:szCs w:val="16"/>
          <w:color w:val="auto"/>
        </w:rPr>
        <w:t>. Each subsidiary of the Company (each, a “</w:t>
      </w:r>
      <w:r>
        <w:rPr>
          <w:rFonts w:ascii="Arial" w:cs="Arial" w:eastAsia="Arial" w:hAnsi="Arial"/>
          <w:sz w:val="16"/>
          <w:szCs w:val="16"/>
          <w:b w:val="1"/>
          <w:bCs w:val="1"/>
          <w:u w:val="single" w:color="auto"/>
          <w:color w:val="auto"/>
        </w:rPr>
        <w:t>Subsidiary</w:t>
      </w:r>
      <w:r>
        <w:rPr>
          <w:rFonts w:ascii="Arial" w:cs="Arial" w:eastAsia="Arial" w:hAnsi="Arial"/>
          <w:sz w:val="16"/>
          <w:szCs w:val="16"/>
          <w:color w:val="auto"/>
        </w:rPr>
        <w:t>” and, collectively, the “</w:t>
      </w:r>
      <w:r>
        <w:rPr>
          <w:rFonts w:ascii="Arial" w:cs="Arial" w:eastAsia="Arial" w:hAnsi="Arial"/>
          <w:sz w:val="16"/>
          <w:szCs w:val="16"/>
          <w:b w:val="1"/>
          <w:bCs w:val="1"/>
          <w:u w:val="single" w:color="auto"/>
          <w:color w:val="auto"/>
        </w:rPr>
        <w:t>Subsidiaries</w:t>
      </w:r>
      <w:r>
        <w:rPr>
          <w:rFonts w:ascii="Arial" w:cs="Arial" w:eastAsia="Arial" w:hAnsi="Arial"/>
          <w:sz w:val="16"/>
          <w:szCs w:val="16"/>
          <w:color w:val="auto"/>
        </w:rPr>
        <w:t>”) has been duly organized and is validly existing in good standing (to the extent such concept applies) under the laws of the jurisdiction of its incorporation or organization, has corporate or similar power and authority to own, lease and operate its properties and to conduct its business as described in the Registration Statement and the Prospectus and is duly qualified to transact business and is in good standing (to the extent such concept applies) in each jurisdiction in which such qualification is required, whether by reason of the ownership or leasing of property or the conduct of business, except where the failure to be so qualified or to be in good standing (to the extent such concept applies) would not reasonably be expected to result in a Material Adverse Effect. Except as otherwise disclosed in the Registration Statement and the Prospectus, all of the issued and outstanding capital stock of each Subsidiary has been duly authorized and validly issued, is fully paid and non-assessable (to the extent such concept applies) and is owned by the Company, directly or through Subsidiaries, free and clear of any security interest, mortgage, pledge, lien, encumbrance, claim or equity. None of the outstanding shares of capital stock of any Subsidiary was issued in violation of the preemptive or similar rights of any securityholder of such Subsidiary. The only Subsidiaries of the Company are the entities listed on Exhibit 21.1 to the Registration Statement.</w:t>
      </w:r>
    </w:p>
    <w:p>
      <w:pPr>
        <w:spacing w:after="0" w:line="167" w:lineRule="exact"/>
        <w:rPr>
          <w:rFonts w:ascii="Arial" w:cs="Arial" w:eastAsia="Arial" w:hAnsi="Arial"/>
          <w:sz w:val="16"/>
          <w:szCs w:val="16"/>
          <w:color w:val="auto"/>
        </w:rPr>
      </w:pPr>
    </w:p>
    <w:p>
      <w:pPr>
        <w:ind w:left="820" w:hanging="384"/>
        <w:spacing w:after="0"/>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57" w:lineRule="auto"/>
        <w:tabs>
          <w:tab w:leader="none" w:pos="71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issued and outstanding share capital of the Company is as set forth in the Registration Statement and the Prospectus. The issued and outstanding Ordinary Shares of the Company have been duly authorized and are validly issued and fully paid and no further contribution in respect of such Ordinary Shares will be required to be made to the Company by the holders of such shares by reason solely of them being such holders. None of the issued and outstanding Ordinary Shares of the Company was issued in violation of the preemptive or other similar rights of any securityholder of the Company.</w:t>
      </w:r>
    </w:p>
    <w:p>
      <w:pPr>
        <w:spacing w:after="0" w:line="187" w:lineRule="exact"/>
        <w:rPr>
          <w:rFonts w:ascii="Arial" w:cs="Arial" w:eastAsia="Arial" w:hAnsi="Arial"/>
          <w:sz w:val="18"/>
          <w:szCs w:val="18"/>
          <w:color w:val="auto"/>
        </w:rPr>
      </w:pPr>
    </w:p>
    <w:p>
      <w:pPr>
        <w:ind w:right="20" w:firstLine="436"/>
        <w:spacing w:after="0" w:line="296" w:lineRule="auto"/>
        <w:tabs>
          <w:tab w:leader="none" w:pos="762"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Ordinary Shares may be issued to the Depositary’s custodian or its nominee against payment therefor to the Company following which the Depositary will issue ADSs (or ADRs evidencing ADSs) against the deposit of Ordinary Shares underlying such ADSs (or ADRs evidencing ADSs) and at the time of issue such issuance of Ordinary Shares will be within all authorizations of the directors for the issuance of Ordinary Shares under the CA 2006. Upon due issuance by the Depositary of the ADSs against the deposit of the Ordinary Shares in respect thereof in accordance with the provisions of the Deposit Agreement, such ADSs will be duly and validly issued and the persons in whose names the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05" w:name="page106"/>
    <w:bookmarkEnd w:id="10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ADSs are registered will be entitled to the rights specified therein and in the Deposit Agreement. Except as disclosed in the Registration Statement, the allotment and issue of the Ordinary Shares in the form of ADSs by the Company and the deposit of the Ordinary Shares with the Depositary or its nominee and the issuance of the ADSs evidencing such Ordinary Shares as contemplated by this Agreement and the Deposit Agreement will not trigger any anti-dilution rights of any holder of any Ordinary Shares or ADSs, securities convertible into or exchangeable or exercisable for Ordinary Shares or ADSs or options, warrants or other rights to purchase Ordinary Shares or ADSs or any other securities of the Company with respect to such Ordinary Shares, ADSs, securities, options, warrants or rights, save for any rights of preemption under the CA 2006 that will, at the time of allotment of the relevant Ordinary Shares, have been validly waived or disapplied. The Deposit Agreement and the ADRs evidencing ADSs (if any) or ADSs conform in all material respects to each description thereof in the Registration Statement and the Prospectus. Each holder of ADS and, to the extent applicable, ADRs issued pursuant to the Deposit Agreement shall be entitled, subject to the Deposit Agreement, to seek enforcement of its rights through the Depositary or its nominee registered as a representative of the holders of the ADSs and ADRs, as applicable, in a direct suit, action or proceeding against the Company.</w:t>
      </w:r>
    </w:p>
    <w:p>
      <w:pPr>
        <w:spacing w:after="0" w:line="182" w:lineRule="exact"/>
        <w:rPr>
          <w:sz w:val="20"/>
          <w:szCs w:val="20"/>
          <w:color w:val="auto"/>
        </w:rPr>
      </w:pPr>
    </w:p>
    <w:p>
      <w:pPr>
        <w:ind w:left="820" w:hanging="384"/>
        <w:spacing w:after="0"/>
        <w:tabs>
          <w:tab w:leader="none" w:pos="8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w:t>
      </w:r>
      <w:r>
        <w:rPr>
          <w:rFonts w:ascii="Arial" w:cs="Arial" w:eastAsia="Arial" w:hAnsi="Arial"/>
          <w:sz w:val="18"/>
          <w:szCs w:val="18"/>
          <w:color w:val="auto"/>
        </w:rPr>
        <w:t>. This Agreement has been duly authorized, executed and delivered by the Company.</w:t>
      </w:r>
    </w:p>
    <w:p>
      <w:pPr>
        <w:spacing w:after="0" w:line="225" w:lineRule="exact"/>
        <w:rPr>
          <w:rFonts w:ascii="Arial" w:cs="Arial" w:eastAsia="Arial" w:hAnsi="Arial"/>
          <w:sz w:val="18"/>
          <w:szCs w:val="18"/>
          <w:color w:val="auto"/>
        </w:rPr>
      </w:pPr>
    </w:p>
    <w:p>
      <w:pPr>
        <w:ind w:firstLine="436"/>
        <w:spacing w:after="0" w:line="270" w:lineRule="auto"/>
        <w:tabs>
          <w:tab w:leader="none" w:pos="800"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Authorization and Description of Ordinary Shares</w:t>
      </w:r>
      <w:r>
        <w:rPr>
          <w:rFonts w:ascii="Arial" w:cs="Arial" w:eastAsia="Arial" w:hAnsi="Arial"/>
          <w:sz w:val="17"/>
          <w:szCs w:val="17"/>
          <w:color w:val="auto"/>
        </w:rPr>
        <w:t>. On each Settlement Date, the Company and its directors will have the power and authority to allot and issue the Ordinary Shares underlying the ADSs to be delivered on such Settlement Date pursuant to this Agreement without further sanction or consent by any securityholder of the Company (including under section 551 of the CA 2006) and, when the Ordinary Shares are issued and allotted by the Company to the Depositary’s custodian (or its nominee) and the ADSs are issued and delivered pursuant to the Deposit Agreement against payment of the consideration therefor, those ADSs (and the underlying Ordinary Shares) will be validly issued and fully paid without any encumbrance; and on each Settlement Date, the issuance of the relevant Ordinary Shares will not be subject to the preemptive or other similar rights of any securityholder of the Company, or any such rights will have been validly disapplied. The Ordinary Shares will conform in all material respects to all statements relating thereto contained in the Registration Statement and the Prospectus and such description conforms in all material respects to the rights set forth in the instruments defining the same.</w:t>
      </w:r>
    </w:p>
    <w:p>
      <w:pPr>
        <w:spacing w:after="0" w:line="180" w:lineRule="exact"/>
        <w:rPr>
          <w:rFonts w:ascii="Arial" w:cs="Arial" w:eastAsia="Arial" w:hAnsi="Arial"/>
          <w:sz w:val="17"/>
          <w:szCs w:val="17"/>
          <w:color w:val="auto"/>
        </w:rPr>
      </w:pPr>
    </w:p>
    <w:p>
      <w:pPr>
        <w:ind w:right="60" w:firstLine="436"/>
        <w:spacing w:after="0" w:line="289" w:lineRule="auto"/>
        <w:tabs>
          <w:tab w:leader="none" w:pos="810"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Authorization of Deposit Agreement</w:t>
      </w:r>
      <w:r>
        <w:rPr>
          <w:rFonts w:ascii="Arial" w:cs="Arial" w:eastAsia="Arial" w:hAnsi="Arial"/>
          <w:sz w:val="16"/>
          <w:szCs w:val="16"/>
          <w:color w:val="auto"/>
        </w:rPr>
        <w:t>. The Deposit Agreement has been duly authorized, executed and delivered by the Company and, assuming due authorization, execution and delivery by the Depositary, constitutes a valid and legally binding obligation of the Company, enforceable in accordance with its terms, except as rights to indemnification thereunder may be limited by applicable law and public policy considerations and subject, as to enforceability, to bankruptcy, insolvency, reorganization, moratorium and similar laws of general applicability relating to or affecting creditors’ rights and to general equity principles; upon due issuance by the Depositary of the ADSs against the deposit of the Ordinary Shares in respect thereof in accordance with the provisions of the Deposit Agreement, such ADSs will be duly and validly issued, and the persons in whose names the ADSs are registered will be entitled to the rights specified therein, respectively, and in the Deposit Agreement; and the Deposit Agreement and the ADSs conform in all material respects to the descriptions thereof contained in the Registration Statement and the Prospectus. There has been no change in the Company’s agreement with the Depositary in connection with any pre-release of the ADSs and no such change is currently contemplated.</w:t>
      </w:r>
    </w:p>
    <w:p>
      <w:pPr>
        <w:spacing w:after="0" w:line="166" w:lineRule="exact"/>
        <w:rPr>
          <w:rFonts w:ascii="Arial" w:cs="Arial" w:eastAsia="Arial" w:hAnsi="Arial"/>
          <w:sz w:val="16"/>
          <w:szCs w:val="16"/>
          <w:color w:val="auto"/>
        </w:rPr>
      </w:pPr>
    </w:p>
    <w:p>
      <w:pPr>
        <w:ind w:right="40" w:firstLine="436"/>
        <w:spacing w:after="0" w:line="263" w:lineRule="auto"/>
        <w:tabs>
          <w:tab w:leader="none" w:pos="79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There are no persons with registration rights or other similar rights to have any securities registered for sale pursuant to the Registration Statement or otherwise registered for sale or sold by the Company under the Securities Act pursuant to this Agreement, other than those rights that have been disclosed in the Registration Statement and the Prospectus and have been waived.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06" w:name="page107"/>
    <w:bookmarkEnd w:id="106"/>
    <w:p>
      <w:pPr>
        <w:ind w:left="-40" w:firstLine="436"/>
        <w:spacing w:after="0" w:line="284" w:lineRule="auto"/>
        <w:tabs>
          <w:tab w:leader="none" w:pos="79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Absence of Violations, Defaults and Conflicts</w:t>
      </w:r>
      <w:r>
        <w:rPr>
          <w:rFonts w:ascii="Arial" w:cs="Arial" w:eastAsia="Arial" w:hAnsi="Arial"/>
          <w:sz w:val="16"/>
          <w:szCs w:val="16"/>
          <w:color w:val="auto"/>
        </w:rPr>
        <w:t>. Neither the Company nor any Subsidiary is (A) in violation of its charter, articles of association,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Subsidiary is a party or by which either of them may be bound or to which any of the properties or assets of the Company or any Subsidiary is subject (collectively, “</w:t>
      </w:r>
      <w:r>
        <w:rPr>
          <w:rFonts w:ascii="Arial" w:cs="Arial" w:eastAsia="Arial" w:hAnsi="Arial"/>
          <w:sz w:val="16"/>
          <w:szCs w:val="16"/>
          <w:b w:val="1"/>
          <w:bCs w:val="1"/>
          <w:u w:val="single" w:color="auto"/>
          <w:color w:val="auto"/>
        </w:rPr>
        <w:t>Agreements and Instruments</w:t>
      </w:r>
      <w:r>
        <w:rPr>
          <w:rFonts w:ascii="Arial" w:cs="Arial" w:eastAsia="Arial" w:hAnsi="Arial"/>
          <w:sz w:val="16"/>
          <w:szCs w:val="16"/>
          <w:color w:val="auto"/>
        </w:rPr>
        <w:t>”), or (C) in violation of any applicable law, statute, rule, regulation, judgment, order, writ or decree of any arbitrator, court, governmental body, regulatory body, administrative agency or other authority, body or agency having jurisdiction over the Company or its Subsidiaries or any of their respective properties, assets or operations (each, a “</w:t>
      </w:r>
      <w:r>
        <w:rPr>
          <w:rFonts w:ascii="Arial" w:cs="Arial" w:eastAsia="Arial" w:hAnsi="Arial"/>
          <w:sz w:val="16"/>
          <w:szCs w:val="16"/>
          <w:b w:val="1"/>
          <w:bCs w:val="1"/>
          <w:u w:val="single" w:color="auto"/>
          <w:color w:val="auto"/>
        </w:rPr>
        <w:t>Governmental Entity</w:t>
      </w:r>
      <w:r>
        <w:rPr>
          <w:rFonts w:ascii="Arial" w:cs="Arial" w:eastAsia="Arial" w:hAnsi="Arial"/>
          <w:sz w:val="16"/>
          <w:szCs w:val="16"/>
          <w:color w:val="auto"/>
        </w:rPr>
        <w:t>”), except in the case of each of (B) and (C) above, for such defaults or violations that would not, singly or in the aggregate, reasonably be expected to result in a Material Adverse Effect. The execution, delivery and performance of this Agreement and the performance of the Deposit Agreement and the consummation of the transactions contemplated herein or therein and in the Registration Statement and the Prospectus (including the allotment and issuance of the Placement Shares and deposit with the Depositary or its nominee of the Ordinary Shares represented by the ADSs and the use of the proceeds from the sale of the Placement Shares as described therein under the caption “</w:t>
      </w:r>
      <w:r>
        <w:rPr>
          <w:rFonts w:ascii="Arial" w:cs="Arial" w:eastAsia="Arial" w:hAnsi="Arial"/>
          <w:sz w:val="16"/>
          <w:szCs w:val="16"/>
          <w:b w:val="1"/>
          <w:bCs w:val="1"/>
          <w:u w:val="single" w:color="auto"/>
          <w:color w:val="auto"/>
        </w:rPr>
        <w:t>Use of Proceeds</w:t>
      </w:r>
      <w:r>
        <w:rPr>
          <w:rFonts w:ascii="Arial" w:cs="Arial" w:eastAsia="Arial" w:hAnsi="Arial"/>
          <w:sz w:val="16"/>
          <w:szCs w:val="16"/>
          <w:color w:val="auto"/>
        </w:rPr>
        <w:t>”) and compliance by the Company with its obligations hereunder have been duly authorized by all necessary corporate action by the Company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its Subsidiaries pursuant to, the Agreements and Instruments (except for such conflicts, breaches, defaults or Repayment Events or liens, charges or encumbrances that would not, singly or in the aggregate, result in a Material Adverse Effect), nor will such action result in any violation of the provisions of the charter, by-laws or similar organizational document of the Company or its Subsidiaries or any law, statute, rule, regulation, judgment, order, writ or decree of any Governmental Entity.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its Subsidiaries.</w:t>
      </w:r>
    </w:p>
    <w:p>
      <w:pPr>
        <w:spacing w:after="0" w:line="397" w:lineRule="exact"/>
        <w:rPr>
          <w:rFonts w:ascii="Arial" w:cs="Arial" w:eastAsia="Arial" w:hAnsi="Arial"/>
          <w:sz w:val="16"/>
          <w:szCs w:val="16"/>
          <w:color w:val="auto"/>
        </w:rPr>
      </w:pPr>
    </w:p>
    <w:p>
      <w:pPr>
        <w:ind w:left="-40" w:right="60" w:firstLine="436"/>
        <w:spacing w:after="0" w:line="275" w:lineRule="auto"/>
        <w:tabs>
          <w:tab w:leader="none" w:pos="790"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Listing</w:t>
      </w:r>
      <w:r>
        <w:rPr>
          <w:rFonts w:ascii="Arial" w:cs="Arial" w:eastAsia="Arial" w:hAnsi="Arial"/>
          <w:sz w:val="17"/>
          <w:szCs w:val="17"/>
          <w:color w:val="auto"/>
        </w:rPr>
        <w:t>. The ADSs have been approved for listing on the Nasdaq Global Market, subject to notice of issuance. The Company is in compliance with all trading and admission requirements and continuing obligations pursuant to the AIM Rules for Companies published by the London Stock Exchange from time to time (the “</w:t>
      </w:r>
      <w:r>
        <w:rPr>
          <w:rFonts w:ascii="Arial" w:cs="Arial" w:eastAsia="Arial" w:hAnsi="Arial"/>
          <w:sz w:val="17"/>
          <w:szCs w:val="17"/>
          <w:b w:val="1"/>
          <w:bCs w:val="1"/>
          <w:u w:val="single" w:color="auto"/>
          <w:color w:val="auto"/>
        </w:rPr>
        <w:t>AIM Rules for Companies</w:t>
      </w:r>
      <w:r>
        <w:rPr>
          <w:rFonts w:ascii="Arial" w:cs="Arial" w:eastAsia="Arial" w:hAnsi="Arial"/>
          <w:sz w:val="17"/>
          <w:szCs w:val="17"/>
          <w:color w:val="auto"/>
        </w:rPr>
        <w:t>”) and the UK Disclosure Guidance and Transparency Rules made by the UK Financial Conduct Authority as amended from time to time, in each case as applicable to the Company and except where non-compliance would not, singly or in the aggregate, reasonably be expected to result in a Material Adverse Effect.</w:t>
      </w:r>
    </w:p>
    <w:p>
      <w:pPr>
        <w:spacing w:after="0" w:line="176" w:lineRule="exact"/>
        <w:rPr>
          <w:rFonts w:ascii="Arial" w:cs="Arial" w:eastAsia="Arial" w:hAnsi="Arial"/>
          <w:sz w:val="17"/>
          <w:szCs w:val="17"/>
          <w:color w:val="auto"/>
        </w:rPr>
      </w:pPr>
    </w:p>
    <w:p>
      <w:pPr>
        <w:ind w:left="-40" w:right="60" w:firstLine="436"/>
        <w:spacing w:after="0" w:line="311" w:lineRule="auto"/>
        <w:tabs>
          <w:tab w:leader="none" w:pos="83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Absence of Labor Dispute</w:t>
      </w:r>
      <w:r>
        <w:rPr>
          <w:rFonts w:ascii="Arial" w:cs="Arial" w:eastAsia="Arial" w:hAnsi="Arial"/>
          <w:sz w:val="16"/>
          <w:szCs w:val="16"/>
          <w:color w:val="auto"/>
        </w:rPr>
        <w:t>. No labor dispute with the employees of the Company or its Subsidiaries exists or, to the knowledge of the Company, is imminent, and the Company is not aware of any existing or imminent labor disturbance by the employees of any of its or its Subsidiaries’ principal suppliers, manufacturers, customers or contractors, which, in either case, would reasonably be expected to result in a Material Adverse Effect.</w:t>
      </w:r>
    </w:p>
    <w:p>
      <w:pPr>
        <w:spacing w:after="0" w:line="148" w:lineRule="exact"/>
        <w:rPr>
          <w:rFonts w:ascii="Arial" w:cs="Arial" w:eastAsia="Arial" w:hAnsi="Arial"/>
          <w:sz w:val="16"/>
          <w:szCs w:val="16"/>
          <w:color w:val="auto"/>
        </w:rPr>
      </w:pPr>
    </w:p>
    <w:p>
      <w:pPr>
        <w:ind w:left="-40" w:right="300" w:firstLine="436"/>
        <w:spacing w:after="0" w:line="263" w:lineRule="auto"/>
        <w:tabs>
          <w:tab w:leader="none" w:pos="79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Absence of Monitoring Agreements</w:t>
      </w:r>
      <w:r>
        <w:rPr>
          <w:rFonts w:ascii="Arial" w:cs="Arial" w:eastAsia="Arial" w:hAnsi="Arial"/>
          <w:sz w:val="18"/>
          <w:szCs w:val="18"/>
          <w:color w:val="auto"/>
        </w:rPr>
        <w:t>. Neither the Company nor any of its Subsidiaries is a party to any corporate integrity agreements, monitoring agreements, consent decrees, settlement orders, or similar agreements with or imposed by any governmental or regulatory authority. The Company and each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74" w:right="499" w:bottom="1440" w:gutter="0" w:footer="0" w:header="0"/>
        </w:sectPr>
      </w:pPr>
    </w:p>
    <w:bookmarkStart w:id="107" w:name="page108"/>
    <w:bookmarkEnd w:id="10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its Subsidiaries is in compliance with all applicable U.S. or non-U.S. laws, rules, regulations, orders and decrees governing its business and the regulation of pharmaceuticals or biohazardous substances or materials, including without limitation the U.S. federal Food, Drug and Cosmetic Act, U.S. data privacy and securities laws and U.S. health care fraud and abuse laws, except where noncompliance would not, individually or in the aggregate, reasonably be expected to have a Material Adverse Effect.</w:t>
      </w:r>
    </w:p>
    <w:p>
      <w:pPr>
        <w:spacing w:after="0" w:line="187" w:lineRule="exact"/>
        <w:rPr>
          <w:sz w:val="20"/>
          <w:szCs w:val="20"/>
          <w:color w:val="auto"/>
        </w:rPr>
      </w:pPr>
    </w:p>
    <w:p>
      <w:pPr>
        <w:ind w:right="240" w:firstLine="436"/>
        <w:spacing w:after="0" w:line="308" w:lineRule="auto"/>
        <w:tabs>
          <w:tab w:leader="none" w:pos="83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Absence of Proceedings</w:t>
      </w:r>
      <w:r>
        <w:rPr>
          <w:rFonts w:ascii="Arial" w:cs="Arial" w:eastAsia="Arial" w:hAnsi="Arial"/>
          <w:sz w:val="17"/>
          <w:szCs w:val="17"/>
          <w:color w:val="auto"/>
        </w:rPr>
        <w:t>. Neither the Company nor any of its Subsidiaries is in violation of the AIM Rules for Companies, except, for any such violation or default that would not reasonably be expected to have, individually or in the aggregate, a Material Adverse Effect.</w:t>
      </w:r>
    </w:p>
    <w:p>
      <w:pPr>
        <w:spacing w:after="0" w:line="146" w:lineRule="exact"/>
        <w:rPr>
          <w:rFonts w:ascii="Arial" w:cs="Arial" w:eastAsia="Arial" w:hAnsi="Arial"/>
          <w:sz w:val="17"/>
          <w:szCs w:val="17"/>
          <w:color w:val="auto"/>
        </w:rPr>
      </w:pPr>
    </w:p>
    <w:p>
      <w:pPr>
        <w:ind w:right="20" w:firstLine="436"/>
        <w:spacing w:after="0" w:line="285" w:lineRule="auto"/>
        <w:tabs>
          <w:tab w:leader="none" w:pos="82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Possession of Licenses and Permits</w:t>
      </w:r>
      <w:r>
        <w:rPr>
          <w:rFonts w:ascii="Arial" w:cs="Arial" w:eastAsia="Arial" w:hAnsi="Arial"/>
          <w:sz w:val="16"/>
          <w:szCs w:val="16"/>
          <w:color w:val="auto"/>
        </w:rPr>
        <w:t>. The Company and each of its Subsidiaries possess all licenses, certificates, authorizations and permits issued by, and has made all declarations and filings with, the appropriate U.S. or non-U.S. governmental or regulatory authorities of competent jurisdiction (including, without limitation, the FDA, the EMA or comparable U.S. or non-U.S. governmental authorities of competent jurisdiction) that are necessary for the ownership or lease of their respective properties or the conduct of their respective businesses as described in the Registration Statement and the Prospectus (collectively, the “</w:t>
      </w:r>
      <w:r>
        <w:rPr>
          <w:rFonts w:ascii="Arial" w:cs="Arial" w:eastAsia="Arial" w:hAnsi="Arial"/>
          <w:sz w:val="16"/>
          <w:szCs w:val="16"/>
          <w:b w:val="1"/>
          <w:bCs w:val="1"/>
          <w:u w:val="single" w:color="auto"/>
          <w:color w:val="auto"/>
        </w:rPr>
        <w:t>Governmental Permits</w:t>
      </w:r>
      <w:r>
        <w:rPr>
          <w:rFonts w:ascii="Arial" w:cs="Arial" w:eastAsia="Arial" w:hAnsi="Arial"/>
          <w:sz w:val="16"/>
          <w:szCs w:val="16"/>
          <w:color w:val="auto"/>
        </w:rPr>
        <w:t>”), except where any failures to possess or make the same would not, individually or in the aggregate, reasonably be expected to have a Material Adverse Effect. The Company and its Subsidiaries are in compliance with all such Governmental Permits, and all such Governmental Permits are valid and in full force and effect, except where such non-compliance, invalidity or failure to be in full force and effect would not reasonably be expected, individually or in the aggregate, to have a Material Adverse Effect. Neither the Company nor any Subsidiary has received written notification of any revocation, modification, suspension, termination or invalidation (or proceedings related thereto) of any such Governmental Permit and the Company has no knowledge that any such Governmental Permit requiring renewal will not be renewed, except where any revocation, modification, suspension, termination or invalidation (or proceedings related thereto) would not, individually or in the aggregate, reasonably be expected to have a Material Adverse Effect. The Company and each of its Subsidiaries have filed, obtained, maintained or submitted all material reports, documents, forms, notices, applications, records, claims, submissions and supplements or amendments as required by any applicable laws or Governmental Permits, and all such material reports, documents, forms, notices, applications, records, claims, submissions and supplements or amendments were complete and accurate on the date filed in all material respects (or were materially corrected or supplemented by a subsequent submission), except where the failure to so file, obtain, maintain or submit, or such incompleteness or inaccuracy, would not reasonably be expected to have a Material Adverse Effect.</w:t>
      </w:r>
    </w:p>
    <w:p>
      <w:pPr>
        <w:spacing w:after="0" w:line="174" w:lineRule="exact"/>
        <w:rPr>
          <w:sz w:val="20"/>
          <w:szCs w:val="20"/>
          <w:color w:val="auto"/>
        </w:rPr>
      </w:pPr>
    </w:p>
    <w:p>
      <w:pPr>
        <w:ind w:firstLine="436"/>
        <w:spacing w:after="0" w:line="287"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Company Studies and Trials</w:t>
      </w:r>
      <w:r>
        <w:rPr>
          <w:rFonts w:ascii="Arial" w:cs="Arial" w:eastAsia="Arial" w:hAnsi="Arial"/>
          <w:sz w:val="16"/>
          <w:szCs w:val="16"/>
          <w:color w:val="auto"/>
        </w:rPr>
        <w:t>. The studies, tests and preclinical studies or clinical trials conducted by or on behalf of the Company and its Subsidiaries that are described in the Prospectus (the “</w:t>
      </w:r>
      <w:r>
        <w:rPr>
          <w:rFonts w:ascii="Arial" w:cs="Arial" w:eastAsia="Arial" w:hAnsi="Arial"/>
          <w:sz w:val="16"/>
          <w:szCs w:val="16"/>
          <w:b w:val="1"/>
          <w:bCs w:val="1"/>
          <w:u w:val="single" w:color="auto"/>
          <w:color w:val="auto"/>
        </w:rPr>
        <w:t>Company Studies and Trials</w:t>
      </w:r>
      <w:r>
        <w:rPr>
          <w:rFonts w:ascii="Arial" w:cs="Arial" w:eastAsia="Arial" w:hAnsi="Arial"/>
          <w:sz w:val="16"/>
          <w:szCs w:val="16"/>
          <w:color w:val="auto"/>
        </w:rPr>
        <w:t>”) were and, if still pending, are being conducted, to the Company’s knowledge, in all material respects in accordance with applicable laws and regulations; the descriptions of the results of the Company Studies and Trials contained in the Registration Statement and the Prospectus are, to the Company’s knowledge, accurate in all material respects; except to the extent disclosed in the Registration Statement and the Prospectus, the Company has no knowledge of any other studies or trials not described in the Prospectus, the results of which materially call into question the results described or referred to in the Prospectus when viewed in the context in which such results are described and the clinical state of development; and except to the extent disclosed in the Registration Statement and the Prospectus, the Company has not received any written notices or correspondence from the FDA, the EMA or comparable U.S. or non-U.S. governmental authorities of competent jurisdiction requiring the termination, suspension or material modification of any Company Studies and Trials where such termination, suspension or material modification would reasonably be expected to have a Material Adverse Effect. Neither the Company, nor its Subsidiaries nor to the Company’s knowledge, any of their respective directors, officers, employees or agents is debarred, suspended or excluded, or has been convicted of any crime that would result in a debarment, suspension or exclusion from any U.S. federal or state government health care program or human clinical research.</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08" w:name="page109"/>
    <w:bookmarkEnd w:id="108"/>
    <w:p>
      <w:pPr>
        <w:ind w:left="-20" w:right="700" w:firstLine="436"/>
        <w:spacing w:after="0" w:line="308"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Accuracy of Exhibits</w:t>
      </w:r>
      <w:r>
        <w:rPr>
          <w:rFonts w:ascii="Arial" w:cs="Arial" w:eastAsia="Arial" w:hAnsi="Arial"/>
          <w:sz w:val="17"/>
          <w:szCs w:val="17"/>
          <w:color w:val="auto"/>
        </w:rPr>
        <w:t>. There are no contracts or documents which are required to be described in the Registration Statement or the Prospectus or to be filed as exhibits to the Registration Statement which have not been so described and filed as required.</w:t>
      </w:r>
    </w:p>
    <w:p>
      <w:pPr>
        <w:spacing w:after="0" w:line="146" w:lineRule="exact"/>
        <w:rPr>
          <w:rFonts w:ascii="Arial" w:cs="Arial" w:eastAsia="Arial" w:hAnsi="Arial"/>
          <w:sz w:val="17"/>
          <w:szCs w:val="17"/>
          <w:color w:val="auto"/>
        </w:rPr>
      </w:pPr>
    </w:p>
    <w:p>
      <w:pPr>
        <w:ind w:left="-20" w:right="100" w:firstLine="436"/>
        <w:spacing w:after="0" w:line="263"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Relationships</w:t>
      </w:r>
      <w:r>
        <w:rPr>
          <w:rFonts w:ascii="Arial" w:cs="Arial" w:eastAsia="Arial" w:hAnsi="Arial"/>
          <w:sz w:val="18"/>
          <w:szCs w:val="18"/>
          <w:color w:val="auto"/>
        </w:rPr>
        <w:t>. No relationship, direct or indirect, exists between or among the Company, on the one hand, and the directors, officers, shareholders, customers or suppliers of the Company, on the other hand, that is required to be described in the Registration Statement or the Prospectus which is not so described.</w:t>
      </w:r>
    </w:p>
    <w:p>
      <w:pPr>
        <w:spacing w:after="0" w:line="183" w:lineRule="exact"/>
        <w:rPr>
          <w:rFonts w:ascii="Arial" w:cs="Arial" w:eastAsia="Arial" w:hAnsi="Arial"/>
          <w:sz w:val="18"/>
          <w:szCs w:val="18"/>
          <w:color w:val="auto"/>
        </w:rPr>
      </w:pPr>
    </w:p>
    <w:p>
      <w:pPr>
        <w:ind w:left="-20" w:right="20" w:firstLine="436"/>
        <w:spacing w:after="0" w:line="291"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Absence of Further Requirements</w:t>
      </w:r>
      <w:r>
        <w:rPr>
          <w:rFonts w:ascii="Arial" w:cs="Arial" w:eastAsia="Arial" w:hAnsi="Arial"/>
          <w:sz w:val="16"/>
          <w:szCs w:val="16"/>
          <w:color w:val="auto"/>
        </w:rPr>
        <w:t>. No filing with, or authorization, approval, consent, license, order, registration, qualification or decree of, any Governmental Entity is necessary or required for the performance by the Company of its obligations hereunder, in connection with the offering, allotment or issuance of the ADSs or the issuance and deposit with the Depositary or its nominee of the Ordinary Shares against issuance of ADRs evidencing ADSs (if any) and/or ADSs to be delivered, or the consummation of the transactions contemplated by this Agreement, except (A) such as have been already obtained or as may be required under the Securities Act, the rules of Nasdaq, state securities laws or the rules of the Financial Industry Regulatory Authority, Inc. (“</w:t>
      </w:r>
      <w:r>
        <w:rPr>
          <w:rFonts w:ascii="Arial" w:cs="Arial" w:eastAsia="Arial" w:hAnsi="Arial"/>
          <w:sz w:val="16"/>
          <w:szCs w:val="16"/>
          <w:b w:val="1"/>
          <w:bCs w:val="1"/>
          <w:u w:val="single" w:color="auto"/>
          <w:color w:val="auto"/>
        </w:rPr>
        <w:t>FINRA</w:t>
      </w:r>
      <w:r>
        <w:rPr>
          <w:rFonts w:ascii="Arial" w:cs="Arial" w:eastAsia="Arial" w:hAnsi="Arial"/>
          <w:sz w:val="16"/>
          <w:szCs w:val="16"/>
          <w:color w:val="auto"/>
        </w:rPr>
        <w:t>”) and (B) such as have been or will be obtained (where applicable) from the UK Financial Conduct Authority and London Stock Exchange plc or pursuant to the AIM Rules for Companies, the CA 2006 and/or the FSMA.</w:t>
      </w:r>
    </w:p>
    <w:p>
      <w:pPr>
        <w:spacing w:after="0" w:line="166" w:lineRule="exact"/>
        <w:rPr>
          <w:rFonts w:ascii="Arial" w:cs="Arial" w:eastAsia="Arial" w:hAnsi="Arial"/>
          <w:sz w:val="16"/>
          <w:szCs w:val="16"/>
          <w:color w:val="auto"/>
        </w:rPr>
      </w:pPr>
    </w:p>
    <w:p>
      <w:pPr>
        <w:ind w:left="-20" w:firstLine="436"/>
        <w:spacing w:after="0" w:line="269" w:lineRule="auto"/>
        <w:tabs>
          <w:tab w:leader="none" w:pos="880"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Title to Property</w:t>
      </w:r>
      <w:r>
        <w:rPr>
          <w:rFonts w:ascii="Arial" w:cs="Arial" w:eastAsia="Arial" w:hAnsi="Arial"/>
          <w:sz w:val="17"/>
          <w:szCs w:val="17"/>
          <w:color w:val="auto"/>
        </w:rPr>
        <w:t>. The Company and its Subsidiaries do not own any real property and any material real property and buildings held under lease by the Company and its Subsidiaries is held by them under valid, subsisting and enforceable leases with such exceptions as are not material and do not materially interfere with the use made and proposed to be made of such property by the Company and its Subsidiaries. The Company and its Subsidiaries have good title to all other properties owned by them, in each case, free and clear of all mortgages, pledges, liens, security interests, claims, restrictions or encumbrances of any kind except such as (A) are described in the Registration Statement and the Prospectus or (B) would not, individually or in the aggregate, reasonably be expected to have a Material Adverse Effect; and all of the leases and subleases material to the business of the Company and its Subsidiaries, considered as one enterprise, and under which the Company or its Subsidiaries holds properties described in the Registration Statement or the Prospectus,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81" w:lineRule="exact"/>
        <w:rPr>
          <w:rFonts w:ascii="Arial" w:cs="Arial" w:eastAsia="Arial" w:hAnsi="Arial"/>
          <w:sz w:val="17"/>
          <w:szCs w:val="17"/>
          <w:color w:val="auto"/>
        </w:rPr>
      </w:pPr>
    </w:p>
    <w:p>
      <w:pPr>
        <w:ind w:left="-20" w:firstLine="436"/>
        <w:spacing w:after="0" w:line="271" w:lineRule="auto"/>
        <w:tabs>
          <w:tab w:leader="none" w:pos="837"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Title to Intellectual Property; Privacy and Data Protection</w:t>
      </w:r>
      <w:r>
        <w:rPr>
          <w:rFonts w:ascii="Arial" w:cs="Arial" w:eastAsia="Arial" w:hAnsi="Arial"/>
          <w:sz w:val="17"/>
          <w:szCs w:val="17"/>
          <w:color w:val="auto"/>
        </w:rPr>
        <w:t>. Except as disclosed in the Registration Statement or the Prospectus and except as would not individually or in the aggregate reasonably be expected to have a Material Adverse Effect, (i) the Company and each of its Subsidiaries solely owns or otherwise possesses the valid right to use all (A) patents, patent applications, trademarks, trademark registrations, service marks, service mark registrations, Internet domain name registrations, copyrights, copyright registrations, licenses and trade secret rights and (B) inventions, software, works of authorships, trademarks, service marks, trade names, databases, formulae, know how, Internet domain names and all other intellectual property (including trade secrets and other unpatented and/or unpatentable proprietary confidential information, systems, or procedures) and all rights associated with any of foregoing in any jurisdiction ((A) and (B) collectively, “</w:t>
      </w:r>
      <w:r>
        <w:rPr>
          <w:rFonts w:ascii="Arial" w:cs="Arial" w:eastAsia="Arial" w:hAnsi="Arial"/>
          <w:sz w:val="17"/>
          <w:szCs w:val="17"/>
          <w:b w:val="1"/>
          <w:bCs w:val="1"/>
          <w:u w:val="single" w:color="auto"/>
          <w:color w:val="auto"/>
        </w:rPr>
        <w:t>Intellectual Property Rights</w:t>
      </w:r>
      <w:r>
        <w:rPr>
          <w:rFonts w:ascii="Arial" w:cs="Arial" w:eastAsia="Arial" w:hAnsi="Arial"/>
          <w:sz w:val="17"/>
          <w:szCs w:val="17"/>
          <w:color w:val="auto"/>
        </w:rPr>
        <w:t>”) that are necessary to conduct their respective businesses as currently conducted, or otherwise used or held for use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60" w:top="274" w:right="479" w:bottom="1440" w:gutter="0" w:footer="0" w:header="0"/>
        </w:sectPr>
      </w:pPr>
    </w:p>
    <w:bookmarkStart w:id="109" w:name="page110"/>
    <w:bookmarkEnd w:id="109"/>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their respective businesses as currently conducted, and as proposed to be conducted as described in the Registration Statement or the Prospectus (collectively, and together with all other Intellectual Property Rights owned by the Company or exclusively licensed to the Company or any of its Subsidiaries, the “</w:t>
      </w:r>
      <w:r>
        <w:rPr>
          <w:rFonts w:ascii="Arial" w:cs="Arial" w:eastAsia="Arial" w:hAnsi="Arial"/>
          <w:sz w:val="16"/>
          <w:szCs w:val="16"/>
          <w:b w:val="1"/>
          <w:bCs w:val="1"/>
          <w:u w:val="single" w:color="auto"/>
          <w:color w:val="auto"/>
        </w:rPr>
        <w:t>Company Intellectual Property Rights</w:t>
      </w:r>
      <w:r>
        <w:rPr>
          <w:rFonts w:ascii="Arial" w:cs="Arial" w:eastAsia="Arial" w:hAnsi="Arial"/>
          <w:sz w:val="16"/>
          <w:szCs w:val="16"/>
          <w:color w:val="auto"/>
        </w:rPr>
        <w:t>”), (ii) to the Company’s knowledge the Company’s and its respective Subsidiaries’ businesses as now conducted and as proposed to be conducted as described in the Registration Statement or the Prospectus do not and will not give rise to any infringement of, misappropriation of, or other violation of, any valid and enforceable Intellectual Property Rights of any other Person, and neither the Company nor any of its respective Subsidiaries has in the past three (3) years infringed, misappropriated, or otherwise violated, any Intellectual Property Rights of any other Person, (iii) there are no third parties who have any rights to any Intellectual Property Rights described in the Registration Statement or the Prospectus as being owned by or exclusively licensed to the Company or any of its Subsidiaries, including no liens, security interests, or other encumbrances, except for customary reversionary rights of third-party licensors with respect to Intellectual Property Rights that are disclosed as licensed to the Company or one or more of its Subsidiaries and non-exclusive licenses of Intellectual Property Rights granted by the Company or its Subsidiaries in the ordinary course of business, (iv) to the Company’s knowledge, there is no infringement, misappropriation or other violation by third parties of any Company Owned IP (as defined below), (v) there is no pending, and neither the Company nor or any of its Subsidiaries has received written notice of any threatened, action, suit, proceeding, or claim against the Company or any of its Subsidiaries (A) alleging the infringement, misappropriation or other violation by the Company or any of its Subsidiaries of any Intellectual Property Right of any Person; or (B) challenging the ownership, validity, enforceability, patentability or scope of any Company Intellectual Property Rights owned by the Company or any of its Subsidiaries (collectively, “</w:t>
      </w:r>
      <w:r>
        <w:rPr>
          <w:rFonts w:ascii="Arial" w:cs="Arial" w:eastAsia="Arial" w:hAnsi="Arial"/>
          <w:sz w:val="16"/>
          <w:szCs w:val="16"/>
          <w:b w:val="1"/>
          <w:bCs w:val="1"/>
          <w:u w:val="single" w:color="auto"/>
          <w:color w:val="auto"/>
        </w:rPr>
        <w:t>Company Owned IP</w:t>
      </w:r>
      <w:r>
        <w:rPr>
          <w:rFonts w:ascii="Arial" w:cs="Arial" w:eastAsia="Arial" w:hAnsi="Arial"/>
          <w:sz w:val="16"/>
          <w:szCs w:val="16"/>
          <w:color w:val="auto"/>
        </w:rPr>
        <w:t>”), or to the Company’s knowledge, exclusively licensed to, the Company or any of its Subsidiaries, including no interferences, oppositions, reexaminations, or government proceedings, and the Company is unaware of any facts which would form a reasonable basis for any such action, suit, proceeding, or claim, (vi) the Company and its Subsidiaries maintain commercially reasonable policies and procedures designed to protect the security, integrity and privacy of personally identifiable information, as defined under any applicable law (“</w:t>
      </w:r>
      <w:r>
        <w:rPr>
          <w:rFonts w:ascii="Arial" w:cs="Arial" w:eastAsia="Arial" w:hAnsi="Arial"/>
          <w:sz w:val="16"/>
          <w:szCs w:val="16"/>
          <w:b w:val="1"/>
          <w:bCs w:val="1"/>
          <w:u w:val="single" w:color="auto"/>
          <w:color w:val="auto"/>
        </w:rPr>
        <w:t>Protected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Information</w:t>
      </w:r>
      <w:r>
        <w:rPr>
          <w:rFonts w:ascii="Arial" w:cs="Arial" w:eastAsia="Arial" w:hAnsi="Arial"/>
          <w:sz w:val="16"/>
          <w:szCs w:val="16"/>
          <w:color w:val="auto"/>
        </w:rPr>
        <w:t>”) and have taken all reasonable steps to protect, maintain and safeguard the confidentiality of any confidential Company Owned IP,</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execution of appropriate nondisclosure and confidentiality agreements with their employees, (vii) the Company and its Subsidiaries are presently and were in the past three (3) years in compliance in all material respects with all applicable U.S. and/or non-U.S. laws relating to privacy, data protection, or the collection and use of Personal Information collected, used, or held for use by the Company or any of its Subsidiaries in the conduct of their respective businesses there has been no unauthorized access to, or any unauthorized use, disclosure, losses or theft of, or security breaches relating to, any Protected Information received, or transmitted, by, or in the possession, custody or control of the Company or any of its Subsidiaries, (viii) no claims have been asserted or threatened in writing against the Company or any of its Subsidiaries alleging a violation of any person’s privacy or Personal Information or data rights, (ix) the Company and each of its Subsidiaries solely owns all right, title and interest in and to all Intellectual Property Rights created or otherwise developed by any present or former employee, consultant or contractor of the Company or any of its Subsidiaries in the course of his, her, or its employment or other relationship with the Company or such Subsidiaries, free of any restrictions on the use or ownership of such Intellectual Property Rights, (x) the Company Owned IP is subsisting, in full force and effect and is being duly maintained, and, to the Company’s knowledge, if issued or registered, is valid and enforceable.</w:t>
      </w:r>
    </w:p>
    <w:p>
      <w:pPr>
        <w:spacing w:after="0" w:line="200" w:lineRule="exact"/>
        <w:rPr>
          <w:sz w:val="20"/>
          <w:szCs w:val="20"/>
          <w:color w:val="auto"/>
        </w:rPr>
      </w:pPr>
    </w:p>
    <w:p>
      <w:pPr>
        <w:spacing w:after="0" w:line="204" w:lineRule="exact"/>
        <w:rPr>
          <w:sz w:val="20"/>
          <w:szCs w:val="20"/>
          <w:color w:val="auto"/>
        </w:rPr>
      </w:pPr>
    </w:p>
    <w:p>
      <w:pPr>
        <w:ind w:right="180" w:firstLine="436"/>
        <w:spacing w:after="0" w:line="259" w:lineRule="auto"/>
        <w:tabs>
          <w:tab w:leader="none" w:pos="9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Except as described in the Registration Statement and the Prospectus or would not, singly or in the aggregate, reasonably be expected to result in a Material Adverse Effect, (A) neither the Company nor any Subsidiary is in violation of any federal, state, local or foreign statute, law, rule, regulation, ordinance, code, policy or rule of common law or any judicial or administrative interpretation thereof, including any judicial or administrative order, consent, decree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10" w:name="page111"/>
    <w:bookmarkEnd w:id="110"/>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“Hazardous Materials”) or to the manufacture, processing, distribution, use, treatment, storage, disposal, transport or handling of Hazardous Materials (collectively, “</w:t>
      </w:r>
      <w:r>
        <w:rPr>
          <w:rFonts w:ascii="Arial" w:cs="Arial" w:eastAsia="Arial" w:hAnsi="Arial"/>
          <w:sz w:val="16"/>
          <w:szCs w:val="16"/>
          <w:b w:val="1"/>
          <w:bCs w:val="1"/>
          <w:u w:val="single" w:color="auto"/>
          <w:color w:val="auto"/>
        </w:rPr>
        <w:t>Environmental Laws</w:t>
      </w:r>
      <w:r>
        <w:rPr>
          <w:rFonts w:ascii="Arial" w:cs="Arial" w:eastAsia="Arial" w:hAnsi="Arial"/>
          <w:sz w:val="16"/>
          <w:szCs w:val="16"/>
          <w:color w:val="auto"/>
        </w:rPr>
        <w:t>”), (B) the Company and its Subsidiaries have all permits, authorizations and approvals required under any applicable Environmental Laws and are each in compliance with their requirements, (C)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Subsidiary and (D) there are no events or circumstances that would reasonably be expected to form the basis of an order for clean-up or remediation, or an action, suit or proceeding by any private party or Governmental Entity, against or affecting the Company or any Subsidiary relating to Hazardous Materials or any Environmental Laws.</w:t>
      </w:r>
    </w:p>
    <w:p>
      <w:pPr>
        <w:spacing w:after="0" w:line="168" w:lineRule="exact"/>
        <w:rPr>
          <w:sz w:val="20"/>
          <w:szCs w:val="20"/>
          <w:color w:val="auto"/>
        </w:rPr>
      </w:pPr>
    </w:p>
    <w:p>
      <w:pPr>
        <w:ind w:firstLine="436"/>
        <w:spacing w:after="0" w:line="268" w:lineRule="auto"/>
        <w:tabs>
          <w:tab w:leader="none" w:pos="92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Accounting Controls and Disclosure Controls</w:t>
      </w:r>
      <w:r>
        <w:rPr>
          <w:rFonts w:ascii="Arial" w:cs="Arial" w:eastAsia="Arial" w:hAnsi="Arial"/>
          <w:sz w:val="17"/>
          <w:szCs w:val="17"/>
          <w:color w:val="auto"/>
        </w:rPr>
        <w:t>. The Company and its Subsidiaries maintain effective internal control over financial reporting (as defined under Rule 13a-15 and 15d-15 under the Exchange Act)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IFRS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(E) the interactive data in eXtensible Business Reporting Language incorporated by reference in the Registration Statement and the Prospectus fairly presents the information called for in all material respects and is prepared in accordance with the Commission’s rules and guidelines applicable thereto. Except as described in the Registration Statement,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adversely affected, or is reasonably likely to materially adversely affect, the Company’s internal control over financial reporting. The Company maintains disclosure controls and procedures (as defined in Rule 13a-15 and Rule 15d-15 under the Exchange Act) that are designed to ensure that information required to be disclosed by the Company in the reports that it files or submits under the Exchange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79" w:lineRule="exact"/>
        <w:rPr>
          <w:rFonts w:ascii="Arial" w:cs="Arial" w:eastAsia="Arial" w:hAnsi="Arial"/>
          <w:sz w:val="17"/>
          <w:szCs w:val="17"/>
          <w:color w:val="auto"/>
        </w:rPr>
      </w:pPr>
    </w:p>
    <w:p>
      <w:pPr>
        <w:ind w:right="60" w:firstLine="436"/>
        <w:spacing w:after="0" w:line="270" w:lineRule="auto"/>
        <w:tabs>
          <w:tab w:leader="none" w:pos="84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Payment of Taxes</w:t>
      </w:r>
      <w:r>
        <w:rPr>
          <w:rFonts w:ascii="Arial" w:cs="Arial" w:eastAsia="Arial" w:hAnsi="Arial"/>
          <w:sz w:val="17"/>
          <w:szCs w:val="17"/>
          <w:color w:val="auto"/>
        </w:rPr>
        <w:t>. All tax returns of the Company and its Subsidiaries required by law to be filed have been timely filed or appropriate extensions have been requested pursuant to applicable United States, non-United States, state, local or other law except insofar as the failure to file such returns or request such extensions would not reasonably be expected to result in a Material Adverse Effect, and have paid all taxes due pursuant to such returns or pursuant to any assessment received by the Company and its Subsidiaries, except for such taxes, if any, as are being contested in good faith and as to which adequate reserves have been established by the Company or its respective Subsidiary in conformity with IFRS or other applicable accounting principles or as would not reasonably be expected to result in a Material Adverse Effect. The charges, accruals and reserves on the books of the Company in respect of any income and corporation tax liability for any years not finally determined are, in conformity with IFRS, adequate to meet any assessments or re-assessments for additional income tax for any years not finally determined, except to the extent of any inadequacy that would not reasonably be expected to result in a Material Adverse Effect.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11" w:name="page112"/>
    <w:bookmarkEnd w:id="111"/>
    <w:p>
      <w:pPr>
        <w:ind w:firstLine="436"/>
        <w:spacing w:after="0" w:line="272" w:lineRule="auto"/>
        <w:tabs>
          <w:tab w:leader="none" w:pos="84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Insurance</w:t>
      </w:r>
      <w:r>
        <w:rPr>
          <w:rFonts w:ascii="Arial" w:cs="Arial" w:eastAsia="Arial" w:hAnsi="Arial"/>
          <w:sz w:val="17"/>
          <w:szCs w:val="17"/>
          <w:color w:val="auto"/>
        </w:rPr>
        <w:t>. Except as disclosed in the Registration Statement or the Prospectus, the Company and its Subsidiaries carry or are entitled to the benefits of insurance, with financially sound and reputable insurers, in such amounts and covering such risks as is generally maintained by companies of established repute and similar size engaged in the same or similar business, and all such insurance is in full force and effect. The Company has no reason to believe that it or its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Neither the Company nor any of its Subsidiaries has been denied any insurance coverage which it has sought or for which it has applied.</w:t>
      </w:r>
    </w:p>
    <w:p>
      <w:pPr>
        <w:spacing w:after="0" w:line="177" w:lineRule="exact"/>
        <w:rPr>
          <w:rFonts w:ascii="Arial" w:cs="Arial" w:eastAsia="Arial" w:hAnsi="Arial"/>
          <w:sz w:val="17"/>
          <w:szCs w:val="17"/>
          <w:color w:val="auto"/>
        </w:rPr>
      </w:pPr>
    </w:p>
    <w:p>
      <w:pPr>
        <w:ind w:right="140" w:firstLine="436"/>
        <w:spacing w:after="0" w:line="259" w:lineRule="auto"/>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is not required, and upon the allotment and issuance of the Ordinary Shares and the deposit with the Depositary or its nominee of the Ordinary Shares as herein contemplated and the application of the net proceeds therefrom as described in the Registration Statement and the Prospectus will not be required, to register as an “investment company” under the Investment Company Act of 1940, as amended (the “</w:t>
      </w:r>
      <w:r>
        <w:rPr>
          <w:rFonts w:ascii="Arial" w:cs="Arial" w:eastAsia="Arial" w:hAnsi="Arial"/>
          <w:sz w:val="18"/>
          <w:szCs w:val="18"/>
          <w:b w:val="1"/>
          <w:bCs w:val="1"/>
          <w:u w:val="single" w:color="auto"/>
          <w:color w:val="auto"/>
        </w:rPr>
        <w:t>Investment Company Act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436"/>
        <w:spacing w:after="0" w:line="291" w:lineRule="auto"/>
        <w:tabs>
          <w:tab w:leader="none" w:pos="84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Absence of Manipulation</w:t>
      </w:r>
      <w:r>
        <w:rPr>
          <w:rFonts w:ascii="Arial" w:cs="Arial" w:eastAsia="Arial" w:hAnsi="Arial"/>
          <w:sz w:val="16"/>
          <w:szCs w:val="16"/>
          <w:color w:val="auto"/>
        </w:rPr>
        <w:t>. Neither the Company nor, to the Company’s knowledge, any affiliate of the Company has taken, nor will the Company or any affiliate take, directly or indirectly, any action which is designed, or would reasonably be expected, to cause or result in, or which constitutes, the stabilization or manipulation of the price of any security of the Company to facilitate the sale or resale of the Placement Shares or to result in a violation of Regulation M under the Exchange Act. Neither the Company, nor any of its Subsidiaries, nor any person acting on its or their behalf (save for the Agent, in respect of whom no representation is provided) will take, directly or indirectly, any action designed to cause or to result in, or that has constituted or that might reasonably be expected to cause or result in, the stabilization of the Placement Shares in violation of applicable European Union or English laws or manipulation of the price of any security of the Company to facilitate the sale or resale of the Placement Shares.</w:t>
      </w:r>
    </w:p>
    <w:p>
      <w:pPr>
        <w:spacing w:after="0" w:line="166" w:lineRule="exact"/>
        <w:rPr>
          <w:rFonts w:ascii="Arial" w:cs="Arial" w:eastAsia="Arial" w:hAnsi="Arial"/>
          <w:sz w:val="16"/>
          <w:szCs w:val="16"/>
          <w:color w:val="auto"/>
        </w:rPr>
      </w:pPr>
    </w:p>
    <w:p>
      <w:pPr>
        <w:ind w:right="20" w:firstLine="436"/>
        <w:spacing w:after="0" w:line="257" w:lineRule="auto"/>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Market Abuse Regulation</w:t>
      </w:r>
      <w:r>
        <w:rPr>
          <w:rFonts w:ascii="Arial" w:cs="Arial" w:eastAsia="Arial" w:hAnsi="Arial"/>
          <w:sz w:val="18"/>
          <w:szCs w:val="18"/>
          <w:color w:val="auto"/>
        </w:rPr>
        <w:t>. The Company has complied in all material respects with the applicable provisions of the Market Abuse Regulation and has taken adequate measures and has adequate procedures in place in order to ensure such compliance, and none of the allotment and issue of the Placement Shares and the consummation of the transactions contemplated by this Agreement will constitute a violation by the Company of the Market Abuse Regulation, and no person acting on its behalf (save for the Agent, in respect of whom no representation is provided) has done any act or engaged in any course of conduct constituting such violation.</w:t>
      </w:r>
    </w:p>
    <w:p>
      <w:pPr>
        <w:spacing w:after="0" w:line="187" w:lineRule="exact"/>
        <w:rPr>
          <w:rFonts w:ascii="Arial" w:cs="Arial" w:eastAsia="Arial" w:hAnsi="Arial"/>
          <w:sz w:val="18"/>
          <w:szCs w:val="18"/>
          <w:color w:val="auto"/>
        </w:rPr>
      </w:pPr>
    </w:p>
    <w:p>
      <w:pPr>
        <w:ind w:right="160" w:firstLine="436"/>
        <w:spacing w:after="0" w:line="270" w:lineRule="auto"/>
        <w:tabs>
          <w:tab w:leader="none" w:pos="92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 Act</w:t>
      </w:r>
      <w:r>
        <w:rPr>
          <w:rFonts w:ascii="Arial" w:cs="Arial" w:eastAsia="Arial" w:hAnsi="Arial"/>
          <w:sz w:val="17"/>
          <w:szCs w:val="17"/>
          <w:color w:val="auto"/>
        </w:rPr>
        <w:t>. None of the Company, its Subsidiaries or, to the knowledge of the Company, any director, officer, agent, employee, affiliate or other person acting on behalf of the Company or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7"/>
          <w:szCs w:val="17"/>
          <w:b w:val="1"/>
          <w:bCs w:val="1"/>
          <w:u w:val="single" w:color="auto"/>
          <w:color w:val="auto"/>
        </w:rPr>
        <w:t>FCPA</w:t>
      </w:r>
      <w:r>
        <w:rPr>
          <w:rFonts w:ascii="Arial" w:cs="Arial" w:eastAsia="Arial" w:hAnsi="Arial"/>
          <w:sz w:val="17"/>
          <w:szCs w:val="17"/>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has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12" w:name="page113"/>
    <w:bookmarkEnd w:id="112"/>
    <w:p>
      <w:pPr>
        <w:ind w:firstLine="436"/>
        <w:spacing w:after="0" w:line="255" w:lineRule="auto"/>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Money Laundering Laws</w:t>
      </w:r>
      <w:r>
        <w:rPr>
          <w:rFonts w:ascii="Arial" w:cs="Arial" w:eastAsia="Arial" w:hAnsi="Arial"/>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Arial" w:cs="Arial" w:eastAsia="Arial" w:hAnsi="Arial"/>
          <w:sz w:val="18"/>
          <w:szCs w:val="18"/>
          <w:b w:val="1"/>
          <w:bCs w:val="1"/>
          <w:u w:val="single" w:color="auto"/>
          <w:color w:val="auto"/>
        </w:rPr>
        <w:t>Money Laundering Laws</w:t>
      </w:r>
      <w:r>
        <w:rPr>
          <w:rFonts w:ascii="Arial" w:cs="Arial" w:eastAsia="Arial" w:hAnsi="Arial"/>
          <w:sz w:val="18"/>
          <w:szCs w:val="18"/>
          <w:color w:val="auto"/>
        </w:rPr>
        <w:t>”); and no action, suit or proceeding by or before any Governmental Entity involving the Company or its Subsidiaries with respect to the Money Laundering Laws is pending or, to the knowledge of the Company, threatened.</w:t>
      </w:r>
    </w:p>
    <w:p>
      <w:pPr>
        <w:spacing w:after="0" w:line="192" w:lineRule="exact"/>
        <w:rPr>
          <w:rFonts w:ascii="Arial" w:cs="Arial" w:eastAsia="Arial" w:hAnsi="Arial"/>
          <w:sz w:val="18"/>
          <w:szCs w:val="18"/>
          <w:color w:val="auto"/>
        </w:rPr>
      </w:pPr>
    </w:p>
    <w:p>
      <w:pPr>
        <w:ind w:right="40" w:firstLine="436"/>
        <w:spacing w:after="0" w:line="270" w:lineRule="auto"/>
        <w:tabs>
          <w:tab w:leader="none" w:pos="920"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 None of the Company, its Subsidiaries or, to the knowledge of the Company, any director, officer, agent, employee, affiliate or representative of the Company or its Subsidiaries is an individual or entity (“</w:t>
      </w:r>
      <w:r>
        <w:rPr>
          <w:rFonts w:ascii="Arial" w:cs="Arial" w:eastAsia="Arial" w:hAnsi="Arial"/>
          <w:sz w:val="17"/>
          <w:szCs w:val="17"/>
          <w:b w:val="1"/>
          <w:bCs w:val="1"/>
          <w:u w:val="single" w:color="auto"/>
          <w:color w:val="auto"/>
        </w:rPr>
        <w:t>Person</w:t>
      </w:r>
      <w:r>
        <w:rPr>
          <w:rFonts w:ascii="Arial" w:cs="Arial" w:eastAsia="Arial" w:hAnsi="Arial"/>
          <w:sz w:val="17"/>
          <w:szCs w:val="17"/>
          <w:color w:val="auto"/>
        </w:rPr>
        <w:t>”) currently the subject or target of any sanctions administered or enforced by the United States Government, including, without limitation, the U.S. Department of the Treasury’s Office of Foreign Assets Control, the United Nations Security Council, the European Union, Her Majesty’s Treasury, or other relevant sanctions authority (collectively, “</w:t>
      </w:r>
      <w:r>
        <w:rPr>
          <w:rFonts w:ascii="Arial" w:cs="Arial" w:eastAsia="Arial" w:hAnsi="Arial"/>
          <w:sz w:val="17"/>
          <w:szCs w:val="17"/>
          <w:b w:val="1"/>
          <w:bCs w:val="1"/>
          <w:u w:val="single" w:color="auto"/>
          <w:color w:val="auto"/>
        </w:rPr>
        <w:t>Sanctions</w:t>
      </w:r>
      <w:r>
        <w:rPr>
          <w:rFonts w:ascii="Arial" w:cs="Arial" w:eastAsia="Arial" w:hAnsi="Arial"/>
          <w:sz w:val="17"/>
          <w:szCs w:val="17"/>
          <w:color w:val="auto"/>
        </w:rPr>
        <w:t>”), nor is the Company located, organized or resident in a country or territory that is the subject of Sanctions; and the Company will not directly or indirectly use the proceeds of the sale of the Securities, or lend, contribute or otherwise make available such proceeds to any Subsidiary,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agent, advisor, investor or otherwise) of Sanctions.</w:t>
      </w:r>
    </w:p>
    <w:p>
      <w:pPr>
        <w:spacing w:after="0" w:line="180" w:lineRule="exact"/>
        <w:rPr>
          <w:rFonts w:ascii="Arial" w:cs="Arial" w:eastAsia="Arial" w:hAnsi="Arial"/>
          <w:sz w:val="17"/>
          <w:szCs w:val="17"/>
          <w:color w:val="auto"/>
        </w:rPr>
      </w:pPr>
    </w:p>
    <w:p>
      <w:pPr>
        <w:ind w:right="100" w:firstLine="436"/>
        <w:spacing w:after="0" w:line="263" w:lineRule="auto"/>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Lending Relationship</w:t>
      </w:r>
      <w:r>
        <w:rPr>
          <w:rFonts w:ascii="Arial" w:cs="Arial" w:eastAsia="Arial" w:hAnsi="Arial"/>
          <w:sz w:val="18"/>
          <w:szCs w:val="18"/>
          <w:color w:val="auto"/>
        </w:rPr>
        <w:t>. Except as disclosed in the Registration Statement and the Prospectus, the Company (i) does not have any material lending or other material relationship with any banking or lending affiliate of the Agent and (ii) does not intend to use any of the proceeds from the sale of the Placement Shares to repay any outstanding debt owed to any affiliate of any Agent.</w:t>
      </w:r>
    </w:p>
    <w:p>
      <w:pPr>
        <w:spacing w:after="0" w:line="183" w:lineRule="exact"/>
        <w:rPr>
          <w:rFonts w:ascii="Arial" w:cs="Arial" w:eastAsia="Arial" w:hAnsi="Arial"/>
          <w:sz w:val="18"/>
          <w:szCs w:val="18"/>
          <w:color w:val="auto"/>
        </w:rPr>
      </w:pPr>
    </w:p>
    <w:p>
      <w:pPr>
        <w:ind w:right="380" w:firstLine="436"/>
        <w:spacing w:after="0" w:line="286" w:lineRule="auto"/>
        <w:tabs>
          <w:tab w:leader="none" w:pos="860"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Statistical and Market-Related Data</w:t>
      </w:r>
      <w:r>
        <w:rPr>
          <w:rFonts w:ascii="Arial" w:cs="Arial" w:eastAsia="Arial" w:hAnsi="Arial"/>
          <w:sz w:val="17"/>
          <w:szCs w:val="17"/>
          <w:color w:val="auto"/>
        </w:rPr>
        <w:t>. Any statistical and market-related data included in the Registration Statement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165" w:lineRule="exact"/>
        <w:rPr>
          <w:rFonts w:ascii="Arial" w:cs="Arial" w:eastAsia="Arial" w:hAnsi="Arial"/>
          <w:sz w:val="17"/>
          <w:szCs w:val="17"/>
          <w:color w:val="auto"/>
        </w:rPr>
      </w:pPr>
    </w:p>
    <w:p>
      <w:pPr>
        <w:ind w:right="400" w:firstLine="436"/>
        <w:spacing w:after="0" w:line="277"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 Rated Securities</w:t>
      </w:r>
      <w:r>
        <w:rPr>
          <w:rFonts w:ascii="Arial" w:cs="Arial" w:eastAsia="Arial" w:hAnsi="Arial"/>
          <w:sz w:val="18"/>
          <w:szCs w:val="18"/>
          <w:color w:val="auto"/>
        </w:rPr>
        <w:t>. The Company has no debt securities or preferred stock that is rated by any “nationally recognized statistical rating organization” (as that term is defined by the Commission for purposes of Rule 436(g)(2) under the Securities Act).</w:t>
      </w:r>
    </w:p>
    <w:p>
      <w:pPr>
        <w:spacing w:after="0" w:line="170" w:lineRule="exact"/>
        <w:rPr>
          <w:rFonts w:ascii="Arial" w:cs="Arial" w:eastAsia="Arial" w:hAnsi="Arial"/>
          <w:sz w:val="18"/>
          <w:szCs w:val="18"/>
          <w:color w:val="auto"/>
        </w:rPr>
      </w:pPr>
    </w:p>
    <w:p>
      <w:pPr>
        <w:ind w:right="140" w:firstLine="436"/>
        <w:spacing w:after="0" w:line="263" w:lineRule="auto"/>
        <w:tabs>
          <w:tab w:leader="none" w:pos="84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 Broker Fees</w:t>
      </w:r>
      <w:r>
        <w:rPr>
          <w:rFonts w:ascii="Arial" w:cs="Arial" w:eastAsia="Arial" w:hAnsi="Arial"/>
          <w:sz w:val="18"/>
          <w:szCs w:val="18"/>
          <w:color w:val="auto"/>
        </w:rPr>
        <w:t>. Except as disclosed in the Prospectus, there are no contracts, agreements or understandings between the Company and any Person that would give rise to a valid claim against the Company or the Agent for a brokerage commission, finder’s fee or other like payment in connection with the offering of the Securities contemplated hereby.</w:t>
      </w:r>
    </w:p>
    <w:p>
      <w:pPr>
        <w:spacing w:after="0" w:line="183" w:lineRule="exact"/>
        <w:rPr>
          <w:rFonts w:ascii="Arial" w:cs="Arial" w:eastAsia="Arial" w:hAnsi="Arial"/>
          <w:sz w:val="18"/>
          <w:szCs w:val="18"/>
          <w:color w:val="auto"/>
        </w:rPr>
      </w:pPr>
    </w:p>
    <w:p>
      <w:pPr>
        <w:ind w:right="240" w:firstLine="436"/>
        <w:spacing w:after="0" w:line="257" w:lineRule="auto"/>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Valid Choice of Laws</w:t>
      </w:r>
      <w:r>
        <w:rPr>
          <w:rFonts w:ascii="Arial" w:cs="Arial" w:eastAsia="Arial" w:hAnsi="Arial"/>
          <w:sz w:val="18"/>
          <w:szCs w:val="18"/>
          <w:color w:val="auto"/>
        </w:rPr>
        <w:t>. The choice of the laws of the State of New York as the governing law of this Agreement is a valid choice of law under the laws of England and Wales and will be recognized by courts in England and Wales except as may be limited by general principles of equity and except where to do so would be inconsistent with or overridden by the Regulation (EC) No 593/2008 on the Law Applicable to Contractual Obligations (Rome I). The Company has the corporate power to submit, and pursuant to Section 16 of this Agreement, has legally, validly, effectively and irrevocably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113" w:name="page114"/>
    <w:bookmarkEnd w:id="113"/>
    <w:p>
      <w:pPr>
        <w:ind w:right="2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submitted, to the personal jurisdiction of each New York State and United States federal court sitting in The City of New York, New York (each, a “</w:t>
      </w:r>
      <w:r>
        <w:rPr>
          <w:rFonts w:ascii="Arial" w:cs="Arial" w:eastAsia="Arial" w:hAnsi="Arial"/>
          <w:sz w:val="17"/>
          <w:szCs w:val="17"/>
          <w:b w:val="1"/>
          <w:bCs w:val="1"/>
          <w:u w:val="single" w:color="auto"/>
          <w:color w:val="auto"/>
        </w:rPr>
        <w:t>New</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York Court</w:t>
      </w:r>
      <w:r>
        <w:rPr>
          <w:rFonts w:ascii="Arial" w:cs="Arial" w:eastAsia="Arial" w:hAnsi="Arial"/>
          <w:sz w:val="17"/>
          <w:szCs w:val="17"/>
          <w:color w:val="auto"/>
        </w:rPr>
        <w:t>”) and has validly and irrevocably waived any objection to the laying of venue of any suit, action or proceeding brought in any such court;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Company has the power to designate, appoint and empower an authorized agent for service of process in any action arising out of or relating to this Agreement, the Registration Statement, the Prospectus or the offering of the Placement Shares in any New York Court and service of process effected on such authorized agent will be effective to notify the Company of any action under this Agreement.</w:t>
      </w:r>
    </w:p>
    <w:p>
      <w:pPr>
        <w:spacing w:after="0" w:line="172" w:lineRule="exact"/>
        <w:rPr>
          <w:sz w:val="20"/>
          <w:szCs w:val="20"/>
          <w:color w:val="auto"/>
        </w:rPr>
      </w:pPr>
    </w:p>
    <w:p>
      <w:pPr>
        <w:ind w:right="60" w:firstLine="436"/>
        <w:spacing w:after="0" w:line="259" w:lineRule="auto"/>
        <w:tabs>
          <w:tab w:leader="none" w:pos="92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 Sovereign Immunity</w:t>
      </w:r>
      <w:r>
        <w:rPr>
          <w:rFonts w:ascii="Arial" w:cs="Arial" w:eastAsia="Arial" w:hAnsi="Arial"/>
          <w:sz w:val="18"/>
          <w:szCs w:val="18"/>
          <w:color w:val="auto"/>
        </w:rPr>
        <w:t>. Neither the Company nor any of its Subsidiaries nor any of their respective properties, assets or revenues enjoy any rights of immunity from legal proceedings or the execution of judgement or other attachment in England and Wales, pursuant to the State Immunity Act 1978, or the United States, pursuant to the Foreign Sovereign Immunities Act 1976, with respect to this Agreement, the Deposit Agreement or the Placement Shares.</w:t>
      </w:r>
    </w:p>
    <w:p>
      <w:pPr>
        <w:spacing w:after="0" w:line="186" w:lineRule="exact"/>
        <w:rPr>
          <w:rFonts w:ascii="Arial" w:cs="Arial" w:eastAsia="Arial" w:hAnsi="Arial"/>
          <w:sz w:val="18"/>
          <w:szCs w:val="18"/>
          <w:color w:val="auto"/>
        </w:rPr>
      </w:pPr>
    </w:p>
    <w:p>
      <w:pPr>
        <w:ind w:right="140" w:firstLine="436"/>
        <w:spacing w:after="0" w:line="259"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Proper Form</w:t>
      </w:r>
      <w:r>
        <w:rPr>
          <w:rFonts w:ascii="Arial" w:cs="Arial" w:eastAsia="Arial" w:hAnsi="Arial"/>
          <w:sz w:val="18"/>
          <w:szCs w:val="18"/>
          <w:color w:val="auto"/>
        </w:rPr>
        <w:t>. This Agreement and the Deposit Agreement are each in proper form to be enforceable in England and Wales in accordance with its terms; to ensure the legality, validity, enforceability or admissibility into evidence in England and Wales of this Agreement or the Deposit Agreement it is not necessary that this Agreement or the Deposit Agreement, respectively, be filed or recorded with any court or other authority in England and Wales (other than court filings in the ordinary course of proceedings).</w:t>
      </w:r>
    </w:p>
    <w:p>
      <w:pPr>
        <w:spacing w:after="0" w:line="186" w:lineRule="exact"/>
        <w:rPr>
          <w:rFonts w:ascii="Arial" w:cs="Arial" w:eastAsia="Arial" w:hAnsi="Arial"/>
          <w:sz w:val="18"/>
          <w:szCs w:val="18"/>
          <w:color w:val="auto"/>
        </w:rPr>
      </w:pPr>
    </w:p>
    <w:p>
      <w:pPr>
        <w:ind w:firstLine="436"/>
        <w:spacing w:after="0" w:line="285" w:lineRule="auto"/>
        <w:tabs>
          <w:tab w:leader="none" w:pos="92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Enforceability of Judgment</w:t>
      </w:r>
      <w:r>
        <w:rPr>
          <w:rFonts w:ascii="Arial" w:cs="Arial" w:eastAsia="Arial" w:hAnsi="Arial"/>
          <w:sz w:val="16"/>
          <w:szCs w:val="16"/>
          <w:color w:val="auto"/>
        </w:rPr>
        <w:t>. Any final judgment for a fixed or readily calculable sum of money rendered by a New York Court having jurisdiction under its own domestic laws and recognized by the English courts as having jurisdiction (according to English conflicts of laws principles and rules of English private international law at the time when proceedings were initiated) to give such final judgment in respect of any suit, action or proceeding against the Company based upon this Agreement or the Deposit Agreement and any instruments or agreements entered into for the consummation of the transactions contemplated herein and therein would be declared enforceable against the Company, without re-examination or review of the merits of the cause of action in respect of which the original judgment was given or re-litigation of the matters adjudicated upon, by the courts of England and Wales; provided, however, that the Company may have defenses open to it and enforcement may not be permitted if, among other things, (a) the judgment was obtained by fraud, or in proceedings contrary to natural or substantial justice, or contravenes public policy in England or the Human Rights Act 1998 (or any subordinate legislation made thereunder, to the extent applicable); (b) the judgment is for a sum payable in respect of taxes, or other charges of a like nature or is in respect of a fine or other penalty or otherwise based on a foreign law that an English court considers to relate to a penal, revenue or other public law; (c) the judgment amounts to judgment on a matter previously determined by an English court or conflicts with a judgment on the same matter given by a court other than a New York Court or was obtained in breach of a jurisdiction or arbitration clause except with the agreement of the defendant or the defendant’s subsequent submission to the jurisdiction of the court; (d) the judgment is given in proceedings brought in breach of an agreement for the settlement of disputes; (e) the judgment has been arrived at by doubling, trebling or otherwise multiplying a sum assessed as compensation for the loss or damage sustained, or is a judgment that is otherwise specified in section 5 of the Protection of Trading Interests Act 1980, or is a judgment based on measures designated by the Secretary of State under section 1 of that Act; and (f) enforcement proceedings are not commenced within six years of the date of such judgment. The Company is not aware of any reason why the enforcement in England and Wales of such a New York Court judgment would be, as of the date hereof, contrary to public policy of England and Wales or the Human Rights Act 1998 (or any subordinate legislation made thereunder, to the extent applicable).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114" w:name="page115"/>
    <w:bookmarkEnd w:id="114"/>
    <w:p>
      <w:pPr>
        <w:ind w:left="-20" w:right="20" w:firstLine="436"/>
        <w:spacing w:after="0" w:line="269"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Immunity from Suit</w:t>
      </w:r>
      <w:r>
        <w:rPr>
          <w:rFonts w:ascii="Arial" w:cs="Arial" w:eastAsia="Arial" w:hAnsi="Arial"/>
          <w:sz w:val="17"/>
          <w:szCs w:val="17"/>
          <w:color w:val="auto"/>
        </w:rPr>
        <w:t>. Except as provided by laws or statutes generally applicable to transactions of the type described in this Agreement, neither the Company nor any of its respective properties, assets or revenues has any right of immunity under United Kingdom, New York or United States law, from any legal action, suit or proceeding, from the giving of any relief in any such legal action, suit or proceeding, from set-off or counterclaim, from the jurisdiction of any law of the United Kingdom,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or the Deposit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 and has consented to such relief and enforcement as provided in Section 16 of this Agreement.</w:t>
      </w:r>
    </w:p>
    <w:p>
      <w:pPr>
        <w:spacing w:after="0" w:line="185" w:lineRule="exact"/>
        <w:rPr>
          <w:rFonts w:ascii="Arial" w:cs="Arial" w:eastAsia="Arial" w:hAnsi="Arial"/>
          <w:sz w:val="17"/>
          <w:szCs w:val="17"/>
          <w:color w:val="auto"/>
        </w:rPr>
      </w:pPr>
    </w:p>
    <w:p>
      <w:pPr>
        <w:ind w:left="-20" w:right="80" w:firstLine="436"/>
        <w:spacing w:after="0" w:line="296" w:lineRule="auto"/>
        <w:tabs>
          <w:tab w:leader="none" w:pos="877"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Company acknowledges and agrees that the Agent has informed the Company that the Agent may, to the extent permitted under the Securities Act and the Exchange Act, purchase and sell Ordinary Shares for its own account while this Agreement is in effect; provided, that (i) 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 except as may be otherwise agreed by the Company and the Agent.</w:t>
      </w:r>
    </w:p>
    <w:p>
      <w:pPr>
        <w:spacing w:after="0" w:line="161" w:lineRule="exact"/>
        <w:rPr>
          <w:sz w:val="20"/>
          <w:szCs w:val="20"/>
          <w:color w:val="auto"/>
        </w:rPr>
      </w:pPr>
    </w:p>
    <w:p>
      <w:pPr>
        <w:ind w:left="960" w:hanging="544"/>
        <w:spacing w:after="0"/>
        <w:tabs>
          <w:tab w:leader="none" w:pos="9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Company is not a party to any agreement with an agent or underwriter for any other “at the market” or continuous equity transaction.</w:t>
      </w:r>
    </w:p>
    <w:p>
      <w:pPr>
        <w:spacing w:after="0" w:line="248" w:lineRule="exact"/>
        <w:rPr>
          <w:rFonts w:ascii="Arial" w:cs="Arial" w:eastAsia="Arial" w:hAnsi="Arial"/>
          <w:sz w:val="16"/>
          <w:szCs w:val="16"/>
          <w:color w:val="auto"/>
        </w:rPr>
      </w:pPr>
    </w:p>
    <w:p>
      <w:pPr>
        <w:ind w:left="-20" w:firstLine="436"/>
        <w:spacing w:after="0" w:line="290" w:lineRule="auto"/>
        <w:tabs>
          <w:tab w:leader="none" w:pos="987"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Company is not required to register as a “broker” or “dealer” in accordance with the provisions of the Exchange Act and does not, directly or indirectly through one or more intermediaries, control or have any other association with (within the meaning of Article I of the By-laws of FINRA) any member firm of FINRA. No relationship, direct or indirect, exists between or among the Company, on the one hand, and the directors, officers or shareholders of the Company, on the other hand, which is required by the rules of FINRA to be described in the Registration Statement and the Prospectus, which is not so described. All of the information (including, but not limited to, information regarding affiliations, security ownership and trading activity) provided to the Agent or its counsel by the Company, its officers and directors and the holders of any securities (debt or equity) or warrants, options or rights to acquire any securities of the Company in connection with the filing to be made and other supplemental information to be provided to FINRA pursuant to FINRA Rule 5110 in connection with the transactions contemplated by this Agreement is true, complete and correct.</w:t>
      </w:r>
    </w:p>
    <w:p>
      <w:pPr>
        <w:spacing w:after="0" w:line="165" w:lineRule="exact"/>
        <w:rPr>
          <w:rFonts w:ascii="Arial" w:cs="Arial" w:eastAsia="Arial" w:hAnsi="Arial"/>
          <w:sz w:val="16"/>
          <w:szCs w:val="16"/>
          <w:color w:val="auto"/>
        </w:rPr>
      </w:pPr>
    </w:p>
    <w:p>
      <w:pPr>
        <w:ind w:left="-20" w:firstLine="436"/>
        <w:spacing w:after="0" w:line="273" w:lineRule="auto"/>
        <w:tabs>
          <w:tab w:leader="none" w:pos="95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As of the close of trading on Nasdaq on October 1, 2020, the aggregate market value of the outstanding voting and non-voting common equity (as defined in Rule 405) of the Company held by Persons other than affiliates of the Company (pursuant to Rule 144 of the Securities Act, those that directly, or indirectly through one or more intermediaries, control, or are controlled by, or are under common control with, the Company) (the “</w:t>
      </w:r>
      <w:r>
        <w:rPr>
          <w:rFonts w:ascii="Arial" w:cs="Arial" w:eastAsia="Arial" w:hAnsi="Arial"/>
          <w:sz w:val="17"/>
          <w:szCs w:val="17"/>
          <w:b w:val="1"/>
          <w:bCs w:val="1"/>
          <w:u w:val="single" w:color="auto"/>
          <w:color w:val="auto"/>
        </w:rPr>
        <w:t>Non-Affiliate Shares</w:t>
      </w:r>
      <w:r>
        <w:rPr>
          <w:rFonts w:ascii="Arial" w:cs="Arial" w:eastAsia="Arial" w:hAnsi="Arial"/>
          <w:sz w:val="17"/>
          <w:szCs w:val="17"/>
          <w:color w:val="auto"/>
        </w:rPr>
        <w:t>”), was approximately $165,652,152.93 (calculated by multiplying (x) the price at which the common equity of the Company was last sold on Nasdaq on October 1, 2020 by (y) the number of Non-Affiliate Shares outstanding on October 1, 2020). The Company is not a shell company (as defined in Rule 405) and has not been a shell company for at least 12 calendar months previously.</w:t>
      </w:r>
    </w:p>
    <w:p>
      <w:pPr>
        <w:spacing w:after="0" w:line="177" w:lineRule="exact"/>
        <w:rPr>
          <w:rFonts w:ascii="Arial" w:cs="Arial" w:eastAsia="Arial" w:hAnsi="Arial"/>
          <w:sz w:val="17"/>
          <w:szCs w:val="17"/>
          <w:color w:val="auto"/>
        </w:rPr>
      </w:pPr>
    </w:p>
    <w:p>
      <w:pPr>
        <w:ind w:left="-20" w:firstLine="436"/>
        <w:spacing w:after="0" w:line="263" w:lineRule="auto"/>
        <w:tabs>
          <w:tab w:leader="none" w:pos="99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60" w:top="274" w:right="459" w:bottom="1440" w:gutter="0" w:footer="0" w:header="0"/>
        </w:sectPr>
      </w:pPr>
    </w:p>
    <w:bookmarkStart w:id="115" w:name="page116"/>
    <w:bookmarkEnd w:id="115"/>
    <w:p>
      <w:pPr>
        <w:ind w:left="4" w:right="20" w:firstLine="436"/>
        <w:spacing w:after="0" w:line="263" w:lineRule="auto"/>
        <w:tabs>
          <w:tab w:leader="none" w:pos="984" w:val="left"/>
        </w:tabs>
        <w:numPr>
          <w:ilvl w:val="1"/>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Neither the Company nor, to the Company’s knowledge, any of its affiliates (within the meaning of Rule 144 under the Securities Act) has, prior to the date hereof, made any offer or sale of any securities which could be “integrated” (within the meaning of the Securities Act) with the offer and sale of the Placement Shares hereunder.</w:t>
      </w:r>
    </w:p>
    <w:p>
      <w:pPr>
        <w:spacing w:after="0" w:line="183" w:lineRule="exact"/>
        <w:rPr>
          <w:rFonts w:ascii="Arial" w:cs="Arial" w:eastAsia="Arial" w:hAnsi="Arial"/>
          <w:sz w:val="18"/>
          <w:szCs w:val="18"/>
          <w:color w:val="auto"/>
        </w:rPr>
      </w:pPr>
    </w:p>
    <w:p>
      <w:pPr>
        <w:ind w:left="904" w:hanging="464"/>
        <w:spacing w:after="0"/>
        <w:tabs>
          <w:tab w:leader="none" w:pos="904" w:val="left"/>
        </w:tabs>
        <w:numPr>
          <w:ilvl w:val="1"/>
          <w:numId w:val="93"/>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(i) failed to pay any dividend or sinking fund installment on preferred stock or</w:t>
      </w:r>
    </w:p>
    <w:p>
      <w:pPr>
        <w:spacing w:after="0" w:line="34" w:lineRule="exact"/>
        <w:rPr>
          <w:rFonts w:ascii="Arial" w:cs="Arial" w:eastAsia="Arial" w:hAnsi="Arial"/>
          <w:sz w:val="17"/>
          <w:szCs w:val="17"/>
          <w:color w:val="auto"/>
        </w:rPr>
      </w:pPr>
    </w:p>
    <w:p>
      <w:pPr>
        <w:ind w:left="4" w:right="80" w:hanging="4"/>
        <w:spacing w:after="0" w:line="260" w:lineRule="auto"/>
        <w:tabs>
          <w:tab w:leader="none" w:pos="269"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defaulted on any installment or payment due on indebtedness for borrowed money or on any rental on one or more long-term leases, which defaults, individually or in the aggregate, could reasonably be expected to result in a Material Adverse Effect.</w:t>
      </w:r>
    </w:p>
    <w:p>
      <w:pPr>
        <w:spacing w:after="0" w:line="185" w:lineRule="exact"/>
        <w:rPr>
          <w:rFonts w:ascii="Arial" w:cs="Arial" w:eastAsia="Arial" w:hAnsi="Arial"/>
          <w:sz w:val="18"/>
          <w:szCs w:val="18"/>
          <w:color w:val="auto"/>
        </w:rPr>
      </w:pPr>
    </w:p>
    <w:p>
      <w:pPr>
        <w:ind w:left="1004" w:hanging="564"/>
        <w:spacing w:after="0"/>
        <w:tabs>
          <w:tab w:leader="none" w:pos="1004" w:val="left"/>
        </w:tabs>
        <w:numPr>
          <w:ilvl w:val="1"/>
          <w:numId w:val="94"/>
        </w:numPr>
        <w:rPr>
          <w:rFonts w:ascii="Arial" w:cs="Arial" w:eastAsia="Arial" w:hAnsi="Arial"/>
          <w:sz w:val="17"/>
          <w:szCs w:val="17"/>
          <w:color w:val="auto"/>
        </w:rPr>
      </w:pPr>
      <w:r>
        <w:rPr>
          <w:rFonts w:ascii="Arial" w:cs="Arial" w:eastAsia="Arial" w:hAnsi="Arial"/>
          <w:sz w:val="17"/>
          <w:szCs w:val="17"/>
          <w:color w:val="auto"/>
        </w:rPr>
        <w:t>Each financial or operational projection or other “forward-looking statement” (as defined by Section 27A of the Securities Act or</w:t>
      </w:r>
    </w:p>
    <w:p>
      <w:pPr>
        <w:spacing w:after="0" w:line="35" w:lineRule="exact"/>
        <w:rPr>
          <w:sz w:val="20"/>
          <w:szCs w:val="20"/>
          <w:color w:val="auto"/>
        </w:rPr>
      </w:pPr>
    </w:p>
    <w:p>
      <w:pPr>
        <w:ind w:left="4" w:right="100"/>
        <w:spacing w:after="0" w:line="281" w:lineRule="auto"/>
        <w:rPr>
          <w:sz w:val="20"/>
          <w:szCs w:val="20"/>
          <w:color w:val="auto"/>
        </w:rPr>
      </w:pPr>
      <w:r>
        <w:rPr>
          <w:rFonts w:ascii="Arial" w:cs="Arial" w:eastAsia="Arial" w:hAnsi="Arial"/>
          <w:sz w:val="16"/>
          <w:szCs w:val="16"/>
          <w:color w:val="auto"/>
        </w:rPr>
        <w:t>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w:t>
      </w:r>
    </w:p>
    <w:p>
      <w:pPr>
        <w:spacing w:after="0" w:line="1" w:lineRule="exact"/>
        <w:rPr>
          <w:sz w:val="20"/>
          <w:szCs w:val="20"/>
          <w:color w:val="auto"/>
        </w:rPr>
      </w:pPr>
    </w:p>
    <w:p>
      <w:pPr>
        <w:ind w:left="4" w:right="260" w:hanging="4"/>
        <w:spacing w:after="0" w:line="255" w:lineRule="auto"/>
        <w:tabs>
          <w:tab w:leader="none" w:pos="269"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185" w:lineRule="exact"/>
        <w:rPr>
          <w:rFonts w:ascii="Arial" w:cs="Arial" w:eastAsia="Arial" w:hAnsi="Arial"/>
          <w:sz w:val="18"/>
          <w:szCs w:val="18"/>
          <w:color w:val="auto"/>
        </w:rPr>
      </w:pPr>
    </w:p>
    <w:p>
      <w:pPr>
        <w:ind w:left="4" w:firstLine="436"/>
        <w:spacing w:after="0" w:line="285" w:lineRule="auto"/>
        <w:tabs>
          <w:tab w:leader="none" w:pos="1011"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Company has duly and properly filed or caused to be filed with the U.S. Patent and Trademark Office (the “</w:t>
      </w:r>
      <w:r>
        <w:rPr>
          <w:rFonts w:ascii="Arial" w:cs="Arial" w:eastAsia="Arial" w:hAnsi="Arial"/>
          <w:sz w:val="16"/>
          <w:szCs w:val="16"/>
          <w:b w:val="1"/>
          <w:bCs w:val="1"/>
          <w:u w:val="single" w:color="auto"/>
          <w:color w:val="auto"/>
        </w:rPr>
        <w:t>PTO</w:t>
      </w:r>
      <w:r>
        <w:rPr>
          <w:rFonts w:ascii="Arial" w:cs="Arial" w:eastAsia="Arial" w:hAnsi="Arial"/>
          <w:sz w:val="16"/>
          <w:szCs w:val="16"/>
          <w:color w:val="auto"/>
        </w:rPr>
        <w:t>”) and applicable foreign and international patent authorities all patents and applications relating to the same owned by the Company and its Subsidiaries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Patent Applications</w:t>
      </w:r>
      <w:r>
        <w:rPr>
          <w:rFonts w:ascii="Arial" w:cs="Arial" w:eastAsia="Arial" w:hAnsi="Arial"/>
          <w:sz w:val="16"/>
          <w:szCs w:val="16"/>
          <w:color w:val="auto"/>
        </w:rPr>
        <w:t>”). To the Company’s knowledge, the Company has complied with the PTO’s duty of candor and disclosure for the Company Patent</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Applications and has made no material misrepresentation in the Company Patent Applications. To the Company’s knowledge, the Company Patent Applications disclose patentable subject matter. The Company has not been notified of any inventorship challenges nor has any interference been declared or provoked nor is any material fact known by the Company that would preclude the issuance of patents with respect to the Company Patent Applications or would render such patents, if issued, invalid or unenforceable. Except as would not have a Material Adverse Effect, neither the Company nor any of its Subsidiaries has breached or is currently in breach of any provision of any license, contract or other agreement governing the use by the Company or any of its Subsidiaries of Intellectual Property owned by third parties (collectively, the “</w:t>
      </w:r>
      <w:r>
        <w:rPr>
          <w:rFonts w:ascii="Arial" w:cs="Arial" w:eastAsia="Arial" w:hAnsi="Arial"/>
          <w:sz w:val="16"/>
          <w:szCs w:val="16"/>
          <w:b w:val="1"/>
          <w:bCs w:val="1"/>
          <w:u w:val="single" w:color="auto"/>
          <w:color w:val="auto"/>
        </w:rPr>
        <w:t>Licenses</w:t>
      </w:r>
      <w:r>
        <w:rPr>
          <w:rFonts w:ascii="Arial" w:cs="Arial" w:eastAsia="Arial" w:hAnsi="Arial"/>
          <w:sz w:val="16"/>
          <w:szCs w:val="16"/>
          <w:color w:val="auto"/>
        </w:rPr>
        <w:t>”) and no third party has alleged any such breach and the Company is unaware of any facts that would form a reasonable basis for such a claim. To the Company’s knowledge, no other party to any of the Licenses has breached or is currently in breach of any provision of the Licenses. Each of the Licenses is in full force and effect and constitutes a valid and binding agreement between the parties thereto, enforceable in accordance with its terms, and there has not occurred any default under or any other breach of any provision of such Licenses or any event that, with the giving of notice or lapse of time, would constitute a breach or default thereunder. Except as would not have a Material Adverse Effect, neither the Company nor any of its Subsidiaries has been or is currently involved in any disputes regarding any of the Licenses. To the Company’s knowledge, all pending and issued patents licensed to the Company pursuant to the Licenses are subsisting, in full force and effect and are being duly maintained and, to the Company’s knowledge, if issued, are valid and enforceable. To the Company’s knowledge, all patent applications licensed to the Company pursuant to the Licenses are being duly prosecuted.</w:t>
      </w:r>
    </w:p>
    <w:p>
      <w:pPr>
        <w:spacing w:after="0" w:line="178"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Any certificate signed by any officer of the Company and delivered to the Agent or its counsel in connection with the offering of the Placement Shares shall be deemed a representation and warranty by the Company, as to matters covered thereby, to the Agent.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116" w:name="page117"/>
    <w:bookmarkEnd w:id="116"/>
    <w:p>
      <w:pPr>
        <w:ind w:left="440"/>
        <w:spacing w:after="0"/>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w:t>
      </w:r>
      <w:r>
        <w:rPr>
          <w:sz w:val="20"/>
          <w:szCs w:val="20"/>
          <w:color w:val="auto"/>
        </w:rPr>
        <w:tab/>
      </w:r>
      <w:r>
        <w:rPr>
          <w:rFonts w:ascii="Arial" w:cs="Arial" w:eastAsia="Arial" w:hAnsi="Arial"/>
          <w:sz w:val="16"/>
          <w:szCs w:val="16"/>
          <w:u w:val="single" w:color="auto"/>
          <w:color w:val="auto"/>
        </w:rPr>
        <w:t>Covenants of the Company</w:t>
      </w:r>
      <w:r>
        <w:rPr>
          <w:rFonts w:ascii="Arial" w:cs="Arial" w:eastAsia="Arial" w:hAnsi="Arial"/>
          <w:sz w:val="16"/>
          <w:szCs w:val="16"/>
          <w:color w:val="auto"/>
        </w:rPr>
        <w:t>. The Company covenants and agrees with the Agent that:</w:t>
      </w:r>
    </w:p>
    <w:p>
      <w:pPr>
        <w:spacing w:after="0" w:line="225" w:lineRule="exact"/>
        <w:rPr>
          <w:sz w:val="20"/>
          <w:szCs w:val="20"/>
          <w:color w:val="auto"/>
        </w:rPr>
      </w:pPr>
    </w:p>
    <w:p>
      <w:pPr>
        <w:ind w:right="20" w:firstLine="436"/>
        <w:spacing w:after="0" w:line="284" w:lineRule="auto"/>
        <w:tabs>
          <w:tab w:leader="none" w:pos="82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Registration Statement Amendments</w:t>
      </w:r>
      <w:r>
        <w:rPr>
          <w:rFonts w:ascii="Arial" w:cs="Arial" w:eastAsia="Arial" w:hAnsi="Arial"/>
          <w:sz w:val="16"/>
          <w:szCs w:val="16"/>
          <w:color w:val="auto"/>
        </w:rPr>
        <w:t>. After the date of this Agreement and during any period in which the Prospectus relating to any Placement Shares is required to be delivered by the Agent under the Securities Act (including in circumstances where such requirement may be satisfied pursuant to Rule 172 under the Securities Act or a similar rule); (i) the Company will notify the Agent promptly of the time when any subsequent amendment to the Registration Statement, other than Incorporated Documents, has been filed with the Commission and/or has become effective or any subsequent supplement to the Prospectus, other than Incorporated Documents,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by the Company to make such filing (but without limiting the Agent’s rights under Section 9 hereof) will be to cease making sales under this Agreement until such amendment or supplement is filed); (iii) the Company will not file any amendment or supplement to the Registration Statement or Prospectus, other than Incorporated Documents, relating to the Placement Shares or a security convertible into or exchangeable or exercisable for the Placement Shares unless a copy thereof has been submitted to the Agent within a reasonable period of time before the filing and the Agent has not reasonably objected thereto (provided, however, that the failure of the Agent to make such objection shall not relieve the Company of any obligation or liability hereunder, or affect the Agent’s right to rely on the representations and warranties made by the Company in this Agreement and provided, further, that the only remedy the Agent shall have with respect to the Company’s making such filing notwithstanding the Agent’s objection (but without limiting the Agent’s rights under Section 9 hereof) will be to cease making sales under this Agreement) and the Company will furnish to the Agent at the time of filing thereof a copy of any Incorporated Document, except for those documents available via EDGAR; and (iv) the Company will cause each amendment or supplement to the Prospectus, other than Incorporated Documents, to be filed with the Commission as required pursuant to the applicable paragraph of Rule 424(b) of the Securities Act and, in the case of any Incorporated Document, to be filed with the Commission as required pursuant to the Exchange Act, within the time period prescribed.</w:t>
      </w:r>
    </w:p>
    <w:p>
      <w:pPr>
        <w:spacing w:after="0" w:line="395" w:lineRule="exact"/>
        <w:rPr>
          <w:rFonts w:ascii="Arial" w:cs="Arial" w:eastAsia="Arial" w:hAnsi="Arial"/>
          <w:sz w:val="16"/>
          <w:szCs w:val="16"/>
          <w:color w:val="auto"/>
        </w:rPr>
      </w:pPr>
    </w:p>
    <w:p>
      <w:pPr>
        <w:ind w:firstLine="436"/>
        <w:spacing w:after="0" w:line="272" w:lineRule="auto"/>
        <w:tabs>
          <w:tab w:leader="none" w:pos="83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Notice of Commission Stop Orders</w:t>
      </w:r>
      <w:r>
        <w:rPr>
          <w:rFonts w:ascii="Arial" w:cs="Arial" w:eastAsia="Arial" w:hAnsi="Arial"/>
          <w:sz w:val="17"/>
          <w:szCs w:val="17"/>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for additional information related to the offering of the Placement Shares or for additional information related to the Registration Statement or the Prospectus.</w:t>
      </w:r>
    </w:p>
    <w:p>
      <w:pPr>
        <w:spacing w:after="0" w:line="177" w:lineRule="exact"/>
        <w:rPr>
          <w:rFonts w:ascii="Arial" w:cs="Arial" w:eastAsia="Arial" w:hAnsi="Arial"/>
          <w:sz w:val="17"/>
          <w:szCs w:val="17"/>
          <w:color w:val="auto"/>
        </w:rPr>
      </w:pPr>
    </w:p>
    <w:p>
      <w:pPr>
        <w:ind w:right="180" w:firstLine="436"/>
        <w:spacing w:after="0" w:line="259" w:lineRule="auto"/>
        <w:tabs>
          <w:tab w:leader="none" w:pos="8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Delivery of Prospectus; Subsequent Changes</w:t>
      </w:r>
      <w:r>
        <w:rPr>
          <w:rFonts w:ascii="Arial" w:cs="Arial" w:eastAsia="Arial" w:hAnsi="Arial"/>
          <w:sz w:val="18"/>
          <w:szCs w:val="18"/>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comply with all requirements imposed upon it by the Securities Act, as from time to time in force,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117" w:name="page118"/>
    <w:bookmarkEnd w:id="117"/>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will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If the Company has omitted any information from the Registration Statement pursuant to Rule 430B under the Securities Act, it will use its best efforts to comply with the provisions thereof and make all requisite filings with the Commission pursuant to said Rule 430B and to notify the Agent promptly of all such filings if not available on EDGAR.</w:t>
      </w:r>
    </w:p>
    <w:p>
      <w:pPr>
        <w:spacing w:after="0" w:line="185" w:lineRule="exact"/>
        <w:rPr>
          <w:sz w:val="20"/>
          <w:szCs w:val="20"/>
          <w:color w:val="auto"/>
        </w:rPr>
      </w:pPr>
    </w:p>
    <w:p>
      <w:pPr>
        <w:ind w:firstLine="436"/>
        <w:spacing w:after="0" w:line="270" w:lineRule="auto"/>
        <w:tabs>
          <w:tab w:leader="none" w:pos="83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Listing of Ordinary Shares and ADSs</w:t>
      </w:r>
      <w:r>
        <w:rPr>
          <w:rFonts w:ascii="Arial" w:cs="Arial" w:eastAsia="Arial" w:hAnsi="Arial"/>
          <w:sz w:val="17"/>
          <w:szCs w:val="17"/>
          <w:color w:val="auto"/>
        </w:rPr>
        <w:t>. For such time as the Ordinary Shares are admitted to trading on AIM, the Company (i) shall supply all such information, execute such documents, give all such undertakings and pay all such fees as may be required by the London Stock Exchange in connection with such admission to trading, including in connection with any Ordinary Shares to be issued pursuant to this Agreement, and (ii) shall comply with the requirements of the London Stock Exchange, the AIM Rules for Companies or any other applicable law or regulation in connection with the admission to AIM of the Ordinary Shares to be issued pursuant to this Agreement.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its commercially reasonable efforts to cause the ADSs to be listed on Nasdaq. The Company will timely file with Nasdaq all material documents and notices required by Nasdaq of companies that have or will issue securities that are traded on Nasdaq.</w:t>
      </w:r>
    </w:p>
    <w:p>
      <w:pPr>
        <w:spacing w:after="0" w:line="180" w:lineRule="exact"/>
        <w:rPr>
          <w:rFonts w:ascii="Arial" w:cs="Arial" w:eastAsia="Arial" w:hAnsi="Arial"/>
          <w:sz w:val="17"/>
          <w:szCs w:val="17"/>
          <w:color w:val="auto"/>
        </w:rPr>
      </w:pPr>
    </w:p>
    <w:p>
      <w:pPr>
        <w:ind w:right="60" w:firstLine="436"/>
        <w:spacing w:after="0" w:line="291" w:lineRule="auto"/>
        <w:tabs>
          <w:tab w:leader="none" w:pos="820"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Delivery of Registration Statement and Prospectus</w:t>
      </w:r>
      <w:r>
        <w:rPr>
          <w:rFonts w:ascii="Arial" w:cs="Arial" w:eastAsia="Arial" w:hAnsi="Arial"/>
          <w:sz w:val="16"/>
          <w:szCs w:val="16"/>
          <w:color w:val="auto"/>
        </w:rPr>
        <w:t xml:space="preserve">. The Company will furnish to the Agent and its counsel (at the expense of the Company) copies of the Registration Statement, the Prospectus (including all Incorporated Documents) and all amendments and supplements to the Registration Statement or Prospectus that are filed with the Commission during any period in which the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required to furnish any document (other than the Prospectus) to the Agent to the extent such document is available on EDGAR.</w:t>
      </w:r>
    </w:p>
    <w:p>
      <w:pPr>
        <w:spacing w:after="0" w:line="166" w:lineRule="exact"/>
        <w:rPr>
          <w:rFonts w:ascii="Arial" w:cs="Arial" w:eastAsia="Arial" w:hAnsi="Arial"/>
          <w:sz w:val="16"/>
          <w:szCs w:val="16"/>
          <w:color w:val="auto"/>
        </w:rPr>
      </w:pPr>
    </w:p>
    <w:p>
      <w:pPr>
        <w:ind w:right="120" w:firstLine="436"/>
        <w:spacing w:after="0" w:line="263" w:lineRule="auto"/>
        <w:tabs>
          <w:tab w:leader="none" w:pos="80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will make generally available to its securityholders and to the Agent as soon as practicable, but in any event not later than 15 months after the end of the Company’s current fiscal quarter, an earnings statement covering a 12-month period that satisfies the provisions of Section 11(a) of and Rule 158 under the Securities Act.</w:t>
      </w:r>
    </w:p>
    <w:p>
      <w:pPr>
        <w:spacing w:after="0" w:line="183" w:lineRule="exact"/>
        <w:rPr>
          <w:rFonts w:ascii="Arial" w:cs="Arial" w:eastAsia="Arial" w:hAnsi="Arial"/>
          <w:sz w:val="18"/>
          <w:szCs w:val="18"/>
          <w:color w:val="auto"/>
        </w:rPr>
      </w:pPr>
    </w:p>
    <w:p>
      <w:pPr>
        <w:ind w:right="60" w:firstLine="436"/>
        <w:spacing w:after="0" w:line="259" w:lineRule="auto"/>
        <w:tabs>
          <w:tab w:leader="none" w:pos="83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whether or not the transactions contemplated hereunder are consummated or this Agreement is terminated in accordance with the provisions of Section 11 hereunder, will pay all expenses incident to the performance of its obligations hereunder, including expenses relating to (i) the preparation, printing and filing of the Registration Statement and each amendment and supplement thereto, of the Prospectus and of each amendment and supplement thereto and of this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118" w:name="page119"/>
    <w:bookmarkEnd w:id="118"/>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and such other documents as may be required in connection with the offering, purchase, sale, issuance or delivery of the Placement Shares,</w:t>
      </w:r>
    </w:p>
    <w:p>
      <w:pPr>
        <w:spacing w:after="0" w:line="46" w:lineRule="exact"/>
        <w:rPr>
          <w:sz w:val="20"/>
          <w:szCs w:val="20"/>
          <w:color w:val="auto"/>
        </w:rPr>
      </w:pPr>
    </w:p>
    <w:p>
      <w:pPr>
        <w:ind w:left="4" w:hanging="4"/>
        <w:spacing w:after="0" w:line="285" w:lineRule="auto"/>
        <w:tabs>
          <w:tab w:leader="none" w:pos="269"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preparation, issuance, sale and delivery of the Placement Shares and (to the extent permitted under English law) any taxes due or payable in connection therewith, (iii) the qualification of the Placement Shares under securities laws in accordance with the provisions of Section 7(w) of this Agreement, including filing fees (provided, however, that any fees or disbursements of counsel for the Agent in connection therewith shall be paid by the Agent except as set forth in clauses (vii) and (viii) below), (iv) the printing and delivery to the Agent and its counsel of copies of the Prospectus and any amendments or supplements thereto, and of this Agreement, (v) the fees and expenses incurred in connection with the listing or qualification of the Placement Shares for trading on Nasdaq, (vi) the filing fees and expenses, if any, owed to the Commission or FINRA and the fees and expenses of any transfer agent or registrar for the Shares, (vii) the fees and associated expenses of the Agent’s outside legal counsel for filings with the FINRA Corporate Financing Department in an amount not to exceed $15,000 (excluding FINRA filing fees referred to in clause (vi) above and in addition to the fees and disbursements referred to in clause (viii) below), and (viii) the reasonable fees and disbursements of the Agent’s outside legal counsel (A) in an amount not to exceed $50,000 arising out of executing this Agreement and the Company’s delivery of the initial certificate pursuant to Section 7(m) and (B) in an amount not to exceed $15,000 in connection with each Representation Date (as defined below) on which the Company is required to provide a certificate pursuant to Section 7(m) (in addition to the fees and associated expenses referred to in clause (vii) above).</w:t>
      </w:r>
    </w:p>
    <w:p>
      <w:pPr>
        <w:spacing w:after="0" w:line="171" w:lineRule="exact"/>
        <w:rPr>
          <w:rFonts w:ascii="Arial" w:cs="Arial" w:eastAsia="Arial" w:hAnsi="Arial"/>
          <w:sz w:val="16"/>
          <w:szCs w:val="16"/>
          <w:color w:val="auto"/>
        </w:rPr>
      </w:pPr>
    </w:p>
    <w:p>
      <w:pPr>
        <w:ind w:left="824" w:hanging="384"/>
        <w:spacing w:after="0"/>
        <w:tabs>
          <w:tab w:leader="none" w:pos="824"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Use of Proceeds</w:t>
      </w:r>
      <w:r>
        <w:rPr>
          <w:rFonts w:ascii="Arial" w:cs="Arial" w:eastAsia="Arial" w:hAnsi="Arial"/>
          <w:sz w:val="17"/>
          <w:szCs w:val="17"/>
          <w:color w:val="auto"/>
        </w:rPr>
        <w:t>. The Company will use the Net Proceeds as described in the Prospectus in the section entitled “Use of Proceeds.”</w:t>
      </w:r>
    </w:p>
    <w:p>
      <w:pPr>
        <w:spacing w:after="0" w:line="236" w:lineRule="exact"/>
        <w:rPr>
          <w:rFonts w:ascii="Arial" w:cs="Arial" w:eastAsia="Arial" w:hAnsi="Arial"/>
          <w:sz w:val="17"/>
          <w:szCs w:val="17"/>
          <w:color w:val="auto"/>
        </w:rPr>
      </w:pPr>
    </w:p>
    <w:p>
      <w:pPr>
        <w:ind w:left="4" w:firstLine="436"/>
        <w:spacing w:after="0" w:line="285" w:lineRule="auto"/>
        <w:tabs>
          <w:tab w:leader="none" w:pos="794"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Notice of Other Sales</w:t>
      </w:r>
      <w:r>
        <w:rPr>
          <w:rFonts w:ascii="Arial" w:cs="Arial" w:eastAsia="Arial" w:hAnsi="Arial"/>
          <w:sz w:val="16"/>
          <w:szCs w:val="16"/>
          <w:color w:val="auto"/>
        </w:rPr>
        <w:t xml:space="preserve">. Without the prior written consent of the Agent, the Company will not, directly or indirectly, offer to sell, sell, contract to sell, grant any option to sell or otherwise dispose of any Ordinary Shares (other than the Placement Shares offered pursuant to this Agreement) or securities convertible into or exchangeable or exercisable for Ordinary Shares, warrants or any rights to purchase or acquire Ordinary Shares during the period beginning on the fifth Trading Day immediately prior to the date on which any Placement Notice is delivered to Agent hereunder and ending on the second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offering” or continuous equity transaction offer to sell, sell, contract to sell, grant any option to sell or otherwise dispose of any Ordinary Shares (other than the Placement Shares offered pursuant to this Agreement) or securities convertible into or exchangeable or exercisable for Ordinary Shares, warrants or any rights to purchase or acquire, Ordinary Shares prior to the later of the termination of this Agreement and the sixtieth day immediately following the final Settlement Date with respect to Placement Shares sold pursuant to such Placement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restrictions will not be required in connection with the Company’s issuance or sale of (i) Ordinary Shares, options to purchase Ordinary Shares, other securities under the Company’s existing equity incentive plans, or Ordinary Shares issuable upon the exercise of options or vesting of other securities, pursuant to any employee or director stock option or benefits plan, stock ownership plan or dividend reinvestment plan (but not s Ordinary Shares subject to a waiver to exceed plan limits in its dividend reinvestment plan) of the Company whether now in effect or hereafter implemented, (ii) Ordinary Shares issuable upon conversion of securities or the exercise of warrants, options, loan notes or other rights in effect or outstanding, and disclosed in filings by the Company available on EDGAR or otherwise in writing to the Agent and (iii) Ordinary Shares or securities convertible into or exchangeable for Ordinary Shares as consideration for mergers, acquisitions, other business combinations or strategic alliances occurring after the date of this Agreement which are not issued for capital raising purposes;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notice shall be required for issuance of Ordinary Shares underlying warrants issued by the Company to warrant holders prior to the date of this Agreement or upon</w:t>
      </w:r>
    </w:p>
    <w:p>
      <w:pPr>
        <w:spacing w:after="0" w:line="183" w:lineRule="exact"/>
        <w:rPr>
          <w:rFonts w:ascii="Arial" w:cs="Arial" w:eastAsia="Arial" w:hAnsi="Arial"/>
          <w:sz w:val="16"/>
          <w:szCs w:val="16"/>
          <w:color w:val="auto"/>
        </w:rPr>
      </w:pPr>
    </w:p>
    <w:p>
      <w:pPr>
        <w:ind w:left="4" w:right="20"/>
        <w:spacing w:after="0" w:line="260" w:lineRule="auto"/>
        <w:rPr>
          <w:rFonts w:ascii="Arial" w:cs="Arial" w:eastAsia="Arial" w:hAnsi="Arial"/>
          <w:sz w:val="16"/>
          <w:szCs w:val="16"/>
          <w:color w:val="auto"/>
        </w:rPr>
      </w:pPr>
      <w:r>
        <w:rPr>
          <w:rFonts w:ascii="Arial" w:cs="Arial" w:eastAsia="Arial" w:hAnsi="Arial"/>
          <w:sz w:val="18"/>
          <w:szCs w:val="18"/>
          <w:color w:val="auto"/>
        </w:rPr>
        <w:t>conversion of outstanding convertible notes outstanding as of the date of this Agreement, in each case to the extent such warrants have been disclosed in the Prospectus.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119" w:name="page120"/>
    <w:bookmarkEnd w:id="119"/>
    <w:p>
      <w:pPr>
        <w:jc w:val="both"/>
        <w:ind w:right="20" w:firstLine="436"/>
        <w:spacing w:after="0" w:line="259" w:lineRule="auto"/>
        <w:tabs>
          <w:tab w:leader="none" w:pos="79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Change of Circumstances</w:t>
      </w:r>
      <w:r>
        <w:rPr>
          <w:rFonts w:ascii="Arial" w:cs="Arial" w:eastAsia="Arial" w:hAnsi="Arial"/>
          <w:sz w:val="18"/>
          <w:szCs w:val="18"/>
          <w:color w:val="auto"/>
        </w:rPr>
        <w:t>. The Company will, at any time during a fiscal quarter in which the Company intends to tender a Placement Notice or sell Placement Shares, advise the Agent promptly after it shall have received notice or obtained knowledge of any information or fact that would alter or affect in any material respect any opinion, certificate, letter or other document provided or required to be provided to the Agent pursuant to this Agreement.</w:t>
      </w:r>
    </w:p>
    <w:p>
      <w:pPr>
        <w:spacing w:after="0" w:line="186" w:lineRule="exact"/>
        <w:rPr>
          <w:rFonts w:ascii="Arial" w:cs="Arial" w:eastAsia="Arial" w:hAnsi="Arial"/>
          <w:sz w:val="18"/>
          <w:szCs w:val="18"/>
          <w:color w:val="auto"/>
        </w:rPr>
      </w:pPr>
    </w:p>
    <w:p>
      <w:pPr>
        <w:ind w:right="20" w:firstLine="436"/>
        <w:spacing w:after="0" w:line="259" w:lineRule="auto"/>
        <w:tabs>
          <w:tab w:leader="none" w:pos="83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Due Diligence Cooperation</w:t>
      </w:r>
      <w:r>
        <w:rPr>
          <w:rFonts w:ascii="Arial" w:cs="Arial" w:eastAsia="Arial" w:hAnsi="Arial"/>
          <w:sz w:val="18"/>
          <w:szCs w:val="18"/>
          <w:color w:val="auto"/>
        </w:rPr>
        <w:t>. During the term of this Agreement, the Company will cooperate with any reasonable due diligence review conducted by the Agent, its affiliates agents and counsel from time to time in connection with the transactions contemplated hereby, including providing information and making available documents and senior corporate officers, during regular business hours and at the Company’s principal offices, as the Agent may reasonably request.</w:t>
      </w:r>
    </w:p>
    <w:p>
      <w:pPr>
        <w:spacing w:after="0" w:line="186" w:lineRule="exact"/>
        <w:rPr>
          <w:rFonts w:ascii="Arial" w:cs="Arial" w:eastAsia="Arial" w:hAnsi="Arial"/>
          <w:sz w:val="18"/>
          <w:szCs w:val="18"/>
          <w:color w:val="auto"/>
        </w:rPr>
      </w:pPr>
    </w:p>
    <w:p>
      <w:pPr>
        <w:ind w:firstLine="436"/>
        <w:spacing w:after="0" w:line="270" w:lineRule="auto"/>
        <w:tabs>
          <w:tab w:leader="none" w:pos="79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Required Filings Relating to Placement of Placement Shares</w:t>
      </w:r>
      <w:r>
        <w:rPr>
          <w:rFonts w:ascii="Arial" w:cs="Arial" w:eastAsia="Arial" w:hAnsi="Arial"/>
          <w:sz w:val="17"/>
          <w:szCs w:val="17"/>
          <w:color w:val="auto"/>
        </w:rPr>
        <w:t xml:space="preserve">. The Company agrees that on or prior to such dates as the Securities Act shall require, the Company will (i) file a prospectus supplement with the Commission under the applicable paragraph of Rule 424(b) under the Securities Act, which prospectus supplement will set forth, within the relevant period, the number or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w:t>
      </w:r>
      <w:r>
        <w:rPr>
          <w:rFonts w:ascii="Arial" w:cs="Arial" w:eastAsia="Arial" w:hAnsi="Arial"/>
          <w:sz w:val="17"/>
          <w:szCs w:val="17"/>
          <w:i w:val="1"/>
          <w:iCs w:val="1"/>
          <w:color w:val="auto"/>
        </w:rPr>
        <w:t>provided</w:t>
      </w:r>
      <w:r>
        <w:rPr>
          <w:rFonts w:ascii="Arial" w:cs="Arial" w:eastAsia="Arial" w:hAnsi="Arial"/>
          <w:sz w:val="17"/>
          <w:szCs w:val="17"/>
          <w:color w:val="auto"/>
        </w:rPr>
        <w:t>, that, unless a prospectus supplement containing such information is required to be filed under the Securities Act, the requirement of this Section 7(l) may be satisfied by Company’s inclusion in the Company’s Form 20-F or Form 6-K, as applicable, of the number or amount of Placement Shares sold through the Agent, the Net Proceeds to the Company and the compensation payable by the Company to the Agent with respect to such Placement Shares during the relevant period.</w:t>
      </w:r>
    </w:p>
    <w:p>
      <w:pPr>
        <w:spacing w:after="0" w:line="180" w:lineRule="exact"/>
        <w:rPr>
          <w:rFonts w:ascii="Arial" w:cs="Arial" w:eastAsia="Arial" w:hAnsi="Arial"/>
          <w:sz w:val="17"/>
          <w:szCs w:val="17"/>
          <w:color w:val="auto"/>
        </w:rPr>
      </w:pPr>
    </w:p>
    <w:p>
      <w:pPr>
        <w:ind w:right="760" w:firstLine="436"/>
        <w:spacing w:after="0" w:line="277" w:lineRule="auto"/>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Representation Dates; Certificate</w:t>
      </w:r>
      <w:r>
        <w:rPr>
          <w:rFonts w:ascii="Arial" w:cs="Arial" w:eastAsia="Arial" w:hAnsi="Arial"/>
          <w:sz w:val="18"/>
          <w:szCs w:val="18"/>
          <w:color w:val="auto"/>
        </w:rPr>
        <w:t>. On or prior to the date on which the Company first delivers a Placement Notice pursuant to this agreement (the “</w:t>
      </w:r>
      <w:r>
        <w:rPr>
          <w:rFonts w:ascii="Arial" w:cs="Arial" w:eastAsia="Arial" w:hAnsi="Arial"/>
          <w:sz w:val="18"/>
          <w:szCs w:val="18"/>
          <w:b w:val="1"/>
          <w:bCs w:val="1"/>
          <w:u w:val="single" w:color="auto"/>
          <w:color w:val="auto"/>
        </w:rPr>
        <w:t>First Placement Notice Date</w:t>
      </w:r>
      <w:r>
        <w:rPr>
          <w:rFonts w:ascii="Arial" w:cs="Arial" w:eastAsia="Arial" w:hAnsi="Arial"/>
          <w:sz w:val="18"/>
          <w:szCs w:val="18"/>
          <w:color w:val="auto"/>
        </w:rPr>
        <w:t>”) and each time the Company:</w:t>
      </w:r>
    </w:p>
    <w:p>
      <w:pPr>
        <w:spacing w:after="0" w:line="170" w:lineRule="exact"/>
        <w:rPr>
          <w:rFonts w:ascii="Arial" w:cs="Arial" w:eastAsia="Arial" w:hAnsi="Arial"/>
          <w:sz w:val="18"/>
          <w:szCs w:val="18"/>
          <w:color w:val="auto"/>
        </w:rPr>
      </w:pPr>
    </w:p>
    <w:p>
      <w:pPr>
        <w:ind w:firstLine="987"/>
        <w:spacing w:after="0" w:line="311" w:lineRule="auto"/>
        <w:tabs>
          <w:tab w:leader="none" w:pos="1341" w:val="left"/>
        </w:tabs>
        <w:numPr>
          <w:ilvl w:val="1"/>
          <w:numId w:val="99"/>
        </w:numPr>
        <w:rPr>
          <w:rFonts w:ascii="Arial" w:cs="Arial" w:eastAsia="Arial" w:hAnsi="Arial"/>
          <w:sz w:val="16"/>
          <w:szCs w:val="16"/>
          <w:color w:val="auto"/>
        </w:rPr>
      </w:pPr>
      <w:r>
        <w:rPr>
          <w:rFonts w:ascii="Arial" w:cs="Arial" w:eastAsia="Arial" w:hAnsi="Arial"/>
          <w:sz w:val="16"/>
          <w:szCs w:val="16"/>
          <w:color w:val="auto"/>
        </w:rPr>
        <w:t>amends or supplements the Registration Statement or the Prospectus relating to the Placement Shares (other than a prospectus supplement filed in accordance with Section 7(l) of this Agreement) by means of a post-effective amendment, sticker or supplement but not by means of incorporation of document(s) by reference into the Registration Statement or the Prospectus relating to the Placement Shares;</w:t>
      </w:r>
    </w:p>
    <w:p>
      <w:pPr>
        <w:spacing w:after="0" w:line="148" w:lineRule="exact"/>
        <w:rPr>
          <w:rFonts w:ascii="Arial" w:cs="Arial" w:eastAsia="Arial" w:hAnsi="Arial"/>
          <w:sz w:val="16"/>
          <w:szCs w:val="16"/>
          <w:color w:val="auto"/>
        </w:rPr>
      </w:pPr>
    </w:p>
    <w:p>
      <w:pPr>
        <w:ind w:right="80" w:firstLine="987"/>
        <w:spacing w:after="0" w:line="277" w:lineRule="auto"/>
        <w:tabs>
          <w:tab w:leader="none" w:pos="1391" w:val="left"/>
        </w:tabs>
        <w:numPr>
          <w:ilvl w:val="1"/>
          <w:numId w:val="99"/>
        </w:numPr>
        <w:rPr>
          <w:rFonts w:ascii="Arial" w:cs="Arial" w:eastAsia="Arial" w:hAnsi="Arial"/>
          <w:sz w:val="18"/>
          <w:szCs w:val="18"/>
          <w:color w:val="auto"/>
        </w:rPr>
      </w:pPr>
      <w:r>
        <w:rPr>
          <w:rFonts w:ascii="Arial" w:cs="Arial" w:eastAsia="Arial" w:hAnsi="Arial"/>
          <w:sz w:val="18"/>
          <w:szCs w:val="18"/>
          <w:color w:val="auto"/>
        </w:rPr>
        <w:t>files an annual report on Form 20-F under the Exchange Act (including any Form 20-F/A containing amended financial information or a material amendment to the previously filed Form 20-F);</w:t>
      </w:r>
    </w:p>
    <w:p>
      <w:pPr>
        <w:spacing w:after="0" w:line="170" w:lineRule="exact"/>
        <w:rPr>
          <w:rFonts w:ascii="Arial" w:cs="Arial" w:eastAsia="Arial" w:hAnsi="Arial"/>
          <w:sz w:val="18"/>
          <w:szCs w:val="18"/>
          <w:color w:val="auto"/>
        </w:rPr>
      </w:pPr>
    </w:p>
    <w:p>
      <w:pPr>
        <w:ind w:left="1440" w:hanging="453"/>
        <w:spacing w:after="0"/>
        <w:tabs>
          <w:tab w:leader="none" w:pos="14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files a report on Form 6-K under the Exchange Act containing quarterly financial</w:t>
      </w:r>
    </w:p>
    <w:p>
      <w:pPr>
        <w:spacing w:after="0" w:line="23" w:lineRule="exact"/>
        <w:rPr>
          <w:sz w:val="20"/>
          <w:szCs w:val="20"/>
          <w:color w:val="auto"/>
        </w:rPr>
      </w:pPr>
    </w:p>
    <w:p>
      <w:pPr>
        <w:ind w:right="580" w:firstLine="991"/>
        <w:spacing w:after="0" w:line="260" w:lineRule="auto"/>
        <w:rPr>
          <w:sz w:val="20"/>
          <w:szCs w:val="20"/>
          <w:color w:val="auto"/>
        </w:rPr>
      </w:pPr>
      <w:r>
        <w:rPr>
          <w:rFonts w:ascii="Arial" w:cs="Arial" w:eastAsia="Arial" w:hAnsi="Arial"/>
          <w:sz w:val="18"/>
          <w:szCs w:val="18"/>
          <w:color w:val="auto"/>
        </w:rPr>
        <w:t>information (other than an earnings release that is “furnished”) that is deemed to be incorporated by reference into the Registration Statement and Prospectus; or</w:t>
      </w:r>
    </w:p>
    <w:p>
      <w:pPr>
        <w:spacing w:after="0" w:line="185" w:lineRule="exact"/>
        <w:rPr>
          <w:sz w:val="20"/>
          <w:szCs w:val="20"/>
          <w:color w:val="auto"/>
        </w:rPr>
      </w:pPr>
    </w:p>
    <w:p>
      <w:pPr>
        <w:ind w:right="80" w:firstLine="987"/>
        <w:spacing w:after="0" w:line="263" w:lineRule="auto"/>
        <w:tabs>
          <w:tab w:leader="none" w:pos="143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files a report on Form 6-K under the Exchange Act containing amended financial information (other than an earnings release that is “furnished”) that is deemed to be incorporated by reference into the Registration Statement and Prospectus (each date of filing of one or more of the documents referred to in clauses (i) through (iv) shall be a “</w:t>
      </w:r>
      <w:r>
        <w:rPr>
          <w:rFonts w:ascii="Arial" w:cs="Arial" w:eastAsia="Arial" w:hAnsi="Arial"/>
          <w:sz w:val="18"/>
          <w:szCs w:val="18"/>
          <w:b w:val="1"/>
          <w:bCs w:val="1"/>
          <w:u w:val="single" w:color="auto"/>
          <w:color w:val="auto"/>
        </w:rPr>
        <w:t>Representation Date</w:t>
      </w:r>
      <w:r>
        <w:rPr>
          <w:rFonts w:ascii="Arial" w:cs="Arial" w:eastAsia="Arial" w:hAnsi="Arial"/>
          <w:sz w:val="18"/>
          <w:szCs w:val="18"/>
          <w:color w:val="auto"/>
        </w:rPr>
        <w:t>”), the Company shall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120" w:name="page121"/>
    <w:bookmarkEnd w:id="12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furnish the Agent (but in the case of clause (iv) above only if (1) a Placement Notice is pending or in effect and (2) the Agent requests such certificate within three Business Days after the filing of such Form 6-K with the Commission) with a certificate, in the form attached hereto as </w:t>
      </w:r>
      <w:r>
        <w:rPr>
          <w:rFonts w:ascii="Arial" w:cs="Arial" w:eastAsia="Arial" w:hAnsi="Arial"/>
          <w:sz w:val="16"/>
          <w:szCs w:val="16"/>
          <w:b w:val="1"/>
          <w:bCs w:val="1"/>
          <w:u w:val="single" w:color="auto"/>
          <w:color w:val="auto"/>
        </w:rPr>
        <w:t>Exhibit 7(m)</w:t>
      </w:r>
      <w:r>
        <w:rPr>
          <w:rFonts w:ascii="Arial" w:cs="Arial" w:eastAsia="Arial" w:hAnsi="Arial"/>
          <w:sz w:val="16"/>
          <w:szCs w:val="16"/>
          <w:color w:val="auto"/>
        </w:rPr>
        <w:t xml:space="preserve"> (modified, as necessary, to relate to the Registration Statement and the Prospectus as then amended or supplemented), within two Trading Days of any Representation Date. The requirement to provide a certificate under this Section 7(m) shall be waived for any Representation Date occurring at a time at which no Placement Notice is pending or in effect, which waiver shall continue until the earlier to occur of (1) the date the Company delivers a Placement Notice hereunder (which for such calendar quarter shall be considered a Representation Date) and (2) the next occurring Representation Date. Notwithstanding the foregoing, if the Company subsequently decides to sell Placement Shares following a Representation Date on which the Company relied on the waiver referred to in the previous sentence and did not provide the Agent with a certificate under this Section 7(m), then before the Company delivers a Placement Notice or the Agent sells any Placement Shares pursuant thereto, the Company shall provide the Agent with a certificate, in the form attached hereto as </w:t>
      </w:r>
      <w:r>
        <w:rPr>
          <w:rFonts w:ascii="Arial" w:cs="Arial" w:eastAsia="Arial" w:hAnsi="Arial"/>
          <w:sz w:val="16"/>
          <w:szCs w:val="16"/>
          <w:b w:val="1"/>
          <w:bCs w:val="1"/>
          <w:u w:val="single" w:color="auto"/>
          <w:color w:val="auto"/>
        </w:rPr>
        <w:t>Exhibit 7(m)</w:t>
      </w:r>
      <w:r>
        <w:rPr>
          <w:rFonts w:ascii="Arial" w:cs="Arial" w:eastAsia="Arial" w:hAnsi="Arial"/>
          <w:sz w:val="16"/>
          <w:szCs w:val="16"/>
          <w:color w:val="auto"/>
        </w:rPr>
        <w:t>, dated the date of such Placement Notice. Within two Trading Days of each Representation Date, the Company shall have furnished to the Agent such further information, certificates and documents as the Agent may reasonably request.</w:t>
      </w:r>
    </w:p>
    <w:p>
      <w:pPr>
        <w:spacing w:after="0" w:line="172" w:lineRule="exact"/>
        <w:rPr>
          <w:sz w:val="20"/>
          <w:szCs w:val="20"/>
          <w:color w:val="auto"/>
        </w:rPr>
      </w:pPr>
    </w:p>
    <w:p>
      <w:pPr>
        <w:ind w:right="60" w:firstLine="436"/>
        <w:spacing w:after="0" w:line="288" w:lineRule="auto"/>
        <w:tabs>
          <w:tab w:leader="none" w:pos="83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On or prior to the First Placement Notice Date and on any date which the Company is obligated to deliver a certificate pursuant to Section 7(m) for which no waiver is applicable, the Company shall cause to be furnished to the Agent (i) the written opinion and negative assurance letter of Mayer Brown LLP, U.S. counsel to the Company, or such other counsel satisfactory to the Agent, and (ii) the written opinion of Mayer Brown International LLP, English counsel for the company, or such other counsel satisfactory to the Agent (collectively, “</w:t>
      </w:r>
      <w:r>
        <w:rPr>
          <w:rFonts w:ascii="Arial" w:cs="Arial" w:eastAsia="Arial" w:hAnsi="Arial"/>
          <w:sz w:val="16"/>
          <w:szCs w:val="16"/>
          <w:b w:val="1"/>
          <w:bCs w:val="1"/>
          <w:u w:val="single" w:color="auto"/>
          <w:color w:val="auto"/>
        </w:rPr>
        <w:t>Company Counsel</w:t>
      </w:r>
      <w:r>
        <w:rPr>
          <w:rFonts w:ascii="Arial" w:cs="Arial" w:eastAsia="Arial" w:hAnsi="Arial"/>
          <w:sz w:val="16"/>
          <w:szCs w:val="16"/>
          <w:color w:val="auto"/>
        </w:rPr>
        <w:t xml:space="preserve">”), each in form and substance reasonably satisfactory to the Agent and its counsel, dated the date that the opinions and negative assurance letter are required to be delivered, modified, as necessary, to relate to the Registration Statement and the Prospectus as then amended or supplemented;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lieu of such opinions and negative assurance letter for subsequent Representation Dates, Company Counsel may furnish the Agent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a letter to the effect that the Agent may rely on a prior opinion or negative assurance letter delivered by such counsel under this Section 7(n) to the same extent as if it were dated the date of such letter (except that statements in such prior opinion or negative assurance letter shall be deemed to relate to the Registration Statement and the Prospectus as amended or supplemented at such Representation Date).</w:t>
      </w:r>
    </w:p>
    <w:p>
      <w:pPr>
        <w:spacing w:after="0" w:line="168" w:lineRule="exact"/>
        <w:rPr>
          <w:rFonts w:ascii="Arial" w:cs="Arial" w:eastAsia="Arial" w:hAnsi="Arial"/>
          <w:sz w:val="16"/>
          <w:szCs w:val="16"/>
          <w:color w:val="auto"/>
        </w:rPr>
      </w:pPr>
    </w:p>
    <w:p>
      <w:pPr>
        <w:ind w:right="60" w:firstLine="436"/>
        <w:spacing w:after="0" w:line="253" w:lineRule="auto"/>
        <w:tabs>
          <w:tab w:leader="none" w:pos="83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Intellectual Property Opinion</w:t>
      </w:r>
      <w:r>
        <w:rPr>
          <w:rFonts w:ascii="Arial" w:cs="Arial" w:eastAsia="Arial" w:hAnsi="Arial"/>
          <w:sz w:val="18"/>
          <w:szCs w:val="18"/>
          <w:color w:val="auto"/>
        </w:rPr>
        <w:t>. On or prior to the First Placement Notice Date and on any date which the Company is obligated to deliver a certificate pursuant to Section 7(m) for which no waiver is applicable, the Company shall cause to be furnished to the Agent the written opinion of external counsel for the Company with respect to intellectual property matters satisfactory to the Agent (“</w:t>
      </w:r>
      <w:r>
        <w:rPr>
          <w:rFonts w:ascii="Arial" w:cs="Arial" w:eastAsia="Arial" w:hAnsi="Arial"/>
          <w:sz w:val="18"/>
          <w:szCs w:val="18"/>
          <w:b w:val="1"/>
          <w:bCs w:val="1"/>
          <w:u w:val="single" w:color="auto"/>
          <w:color w:val="auto"/>
        </w:rPr>
        <w:t>Intellectual Property Counsel</w:t>
      </w:r>
      <w:r>
        <w:rPr>
          <w:rFonts w:ascii="Arial" w:cs="Arial" w:eastAsia="Arial" w:hAnsi="Arial"/>
          <w:sz w:val="18"/>
          <w:szCs w:val="18"/>
          <w:color w:val="auto"/>
        </w:rPr>
        <w:t xml:space="preserve">”), in form and substance satisfactory to the Agent and its counsel, dated the date that the opinion letter is required to be delivered, modified, as necessary, to relate to the Registration Statement and the Prospectus as then amended or supplemented;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lieu of such written opinion for subsequent Representation Dates, Intellectual Property Counsel may furnish the Agent with a letter to the effect that the Agent may rely on a prior opinion letter delivered by such counsel under this Section 7(o) to the same extent as if it were dated the date of such opinion letter (except that statements in such prior opinion letter shall be deemed to relate to the Registration Statement and the Prospectus as amended or supplemented at such Representation Date).</w:t>
      </w:r>
    </w:p>
    <w:p>
      <w:pPr>
        <w:spacing w:after="0" w:line="196" w:lineRule="exact"/>
        <w:rPr>
          <w:rFonts w:ascii="Arial" w:cs="Arial" w:eastAsia="Arial" w:hAnsi="Arial"/>
          <w:sz w:val="18"/>
          <w:szCs w:val="18"/>
          <w:color w:val="auto"/>
        </w:rPr>
      </w:pPr>
    </w:p>
    <w:p>
      <w:pPr>
        <w:ind w:right="80" w:firstLine="436"/>
        <w:spacing w:after="0" w:line="259" w:lineRule="auto"/>
        <w:tabs>
          <w:tab w:leader="none" w:pos="83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 On or prior to the First Placement Notice Date and on any date which the Company is obligated to deliver a certificate pursuant to Section 7(m) for which no waiver is applicable, the Company shall cause its independent registered public accounting firm (and any other independent accountants whose report is included in the Registration Statement or the Prospectus) to furnish the Agent letters (the “</w:t>
      </w:r>
      <w:r>
        <w:rPr>
          <w:rFonts w:ascii="Arial" w:cs="Arial" w:eastAsia="Arial" w:hAnsi="Arial"/>
          <w:sz w:val="18"/>
          <w:szCs w:val="18"/>
          <w:b w:val="1"/>
          <w:bCs w:val="1"/>
          <w:u w:val="single" w:color="auto"/>
          <w:color w:val="auto"/>
        </w:rPr>
        <w:t>Comfort Letters</w:t>
      </w:r>
      <w:r>
        <w:rPr>
          <w:rFonts w:ascii="Arial" w:cs="Arial" w:eastAsia="Arial" w:hAnsi="Arial"/>
          <w:sz w:val="18"/>
          <w:szCs w:val="18"/>
          <w:color w:val="auto"/>
        </w:rPr>
        <w:t>”), dated the date each Comfort Letter is delivered, which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21" w:name="page122"/>
    <w:bookmarkEnd w:id="121"/>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shall meet the requirements set forth in this Section 7(p); </w:t>
      </w:r>
      <w:r>
        <w:rPr>
          <w:rFonts w:ascii="Arial" w:cs="Arial" w:eastAsia="Arial" w:hAnsi="Arial"/>
          <w:sz w:val="16"/>
          <w:szCs w:val="16"/>
          <w:i w:val="1"/>
          <w:iCs w:val="1"/>
          <w:color w:val="auto"/>
        </w:rPr>
        <w:t>provided</w:t>
      </w:r>
      <w:r>
        <w:rPr>
          <w:rFonts w:ascii="Arial" w:cs="Arial" w:eastAsia="Arial" w:hAnsi="Arial"/>
          <w:sz w:val="16"/>
          <w:szCs w:val="16"/>
          <w:color w:val="auto"/>
        </w:rPr>
        <w:t>, that if requested by the Agent, the Company shall cause a Comfort Letter to be furnished to the Agent within 10 Trading Days of the occurrence of any material transaction or event that necessitates the filing of additional, pro forma, amended or revised financial statements (including any restatement of previously issued financial statements). Each Comfort Letter shall be in form and substance satisfactory to the Agent and each Comfort Letter from the Company’s independent registered public accounting firm shall (i) confirm that they are an independent registered public accounting firm within the meaning of the Securities Act and the PCAOB, (ii) state,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6"/>
          <w:szCs w:val="16"/>
          <w:b w:val="1"/>
          <w:bCs w:val="1"/>
          <w:u w:val="single" w:color="auto"/>
          <w:color w:val="auto"/>
        </w:rPr>
        <w:t>Initial Comfort Letter</w:t>
      </w:r>
      <w:r>
        <w:rPr>
          <w:rFonts w:ascii="Arial" w:cs="Arial" w:eastAsia="Arial" w:hAnsi="Arial"/>
          <w:sz w:val="16"/>
          <w:szCs w:val="16"/>
          <w:color w:val="auto"/>
        </w:rPr>
        <w:t>”) and (iii) update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66" w:lineRule="exact"/>
        <w:rPr>
          <w:sz w:val="20"/>
          <w:szCs w:val="20"/>
          <w:color w:val="auto"/>
        </w:rPr>
      </w:pPr>
    </w:p>
    <w:p>
      <w:pPr>
        <w:ind w:right="180" w:firstLine="436"/>
        <w:spacing w:after="0" w:line="296" w:lineRule="auto"/>
        <w:tabs>
          <w:tab w:leader="none" w:pos="830"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Market Activities</w:t>
      </w:r>
      <w:r>
        <w:rPr>
          <w:rFonts w:ascii="Arial" w:cs="Arial" w:eastAsia="Arial" w:hAnsi="Arial"/>
          <w:sz w:val="16"/>
          <w:szCs w:val="16"/>
          <w:color w:val="auto"/>
        </w:rPr>
        <w:t xml:space="preserve">. The Company will not, directly or indirectly, and will cause its officers, directors and Subsidiaries not to (i) take any action designed to cause or result in, or that constitutes or might reasonably be expected to constitute, the stabilization or manipulation of the price of any security of the Company to facilitate the sale or resale of Ordinary Shares or ADSs or (ii) sell, bid for, or purchase Ordinary Shares or ADSs in violation of Regulation M, or pay anyone any compensation for soliciting purchases of the Placement Shares other than the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bid for and purchase Ordinary Shares or ADSs in accordance with Rule 10b-18 under the Exchange Act.</w:t>
      </w:r>
    </w:p>
    <w:p>
      <w:pPr>
        <w:spacing w:after="0" w:line="161" w:lineRule="exact"/>
        <w:rPr>
          <w:rFonts w:ascii="Arial" w:cs="Arial" w:eastAsia="Arial" w:hAnsi="Arial"/>
          <w:sz w:val="16"/>
          <w:szCs w:val="16"/>
          <w:color w:val="auto"/>
        </w:rPr>
      </w:pPr>
    </w:p>
    <w:p>
      <w:pPr>
        <w:ind w:right="40" w:firstLine="436"/>
        <w:spacing w:after="0" w:line="277" w:lineRule="auto"/>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its Subsidiaries shall maintain, or cause to be maintained, insurance in such amounts and covering such risks as is reasonable and customary for the business for which it is engaged.</w:t>
      </w:r>
    </w:p>
    <w:p>
      <w:pPr>
        <w:spacing w:after="0" w:line="170" w:lineRule="exact"/>
        <w:rPr>
          <w:rFonts w:ascii="Arial" w:cs="Arial" w:eastAsia="Arial" w:hAnsi="Arial"/>
          <w:sz w:val="18"/>
          <w:szCs w:val="18"/>
          <w:color w:val="auto"/>
        </w:rPr>
      </w:pPr>
    </w:p>
    <w:p>
      <w:pPr>
        <w:ind w:firstLine="436"/>
        <w:spacing w:after="0" w:line="289" w:lineRule="auto"/>
        <w:tabs>
          <w:tab w:leader="none" w:pos="810"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Company and each of its Subsidiaries shall maintain, or cause to be maintained, all material environmental and any other certificates, authorizations or permits required by any applicable foreign, federal, state and local laws, rules, regulations, treaties, statutes or codes promulgated by any governmental authorities in order to conduct their businesses as described in the Prospectus (collectively, “</w:t>
      </w:r>
      <w:r>
        <w:rPr>
          <w:rFonts w:ascii="Arial" w:cs="Arial" w:eastAsia="Arial" w:hAnsi="Arial"/>
          <w:sz w:val="16"/>
          <w:szCs w:val="16"/>
          <w:b w:val="1"/>
          <w:bCs w:val="1"/>
          <w:u w:val="single" w:color="auto"/>
          <w:color w:val="auto"/>
        </w:rPr>
        <w:t>Permits</w:t>
      </w:r>
      <w:r>
        <w:rPr>
          <w:rFonts w:ascii="Arial" w:cs="Arial" w:eastAsia="Arial" w:hAnsi="Arial"/>
          <w:sz w:val="16"/>
          <w:szCs w:val="16"/>
          <w:color w:val="auto"/>
        </w:rPr>
        <w:t>”), and the Company and each of its Subsidiaries shall conduct their respective businesses, or cause their respective businesses to be conducted, in substantial compliance with such Permits and with all applicable foreign, federal, state and local laws, rules, regulations, treaties, statutes and codes promulgated by any and all governmental authorities (including Environmental Laws, Money Laundering Laws and Occupational Laws, and any relating to privacy, data protection, or the collection and use of Personal Information collected, used, or held for use by the Company or any of its Subsidiaries in connection with the conduct of their respective businesses), except where the failure to maintain or be in compliance with such Permits, or be in compliance with such applicable laws, rules, regulations, treaties, statutes or codes, could not reasonably be expected to result in a Material Adverse Effect.</w:t>
      </w:r>
    </w:p>
    <w:p>
      <w:pPr>
        <w:spacing w:after="0" w:line="166" w:lineRule="exact"/>
        <w:rPr>
          <w:rFonts w:ascii="Arial" w:cs="Arial" w:eastAsia="Arial" w:hAnsi="Arial"/>
          <w:sz w:val="16"/>
          <w:szCs w:val="16"/>
          <w:color w:val="auto"/>
        </w:rPr>
      </w:pPr>
    </w:p>
    <w:p>
      <w:pPr>
        <w:ind w:right="400" w:firstLine="436"/>
        <w:spacing w:after="0" w:line="263" w:lineRule="auto"/>
        <w:tabs>
          <w:tab w:leader="none" w:pos="79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spacing w:after="0" w:line="183" w:lineRule="exact"/>
        <w:rPr>
          <w:rFonts w:ascii="Arial" w:cs="Arial" w:eastAsia="Arial" w:hAnsi="Arial"/>
          <w:sz w:val="18"/>
          <w:szCs w:val="18"/>
          <w:color w:val="auto"/>
        </w:rPr>
      </w:pPr>
    </w:p>
    <w:p>
      <w:pPr>
        <w:ind w:right="120" w:firstLine="436"/>
        <w:spacing w:after="0" w:line="263" w:lineRule="auto"/>
        <w:tabs>
          <w:tab w:leader="none" w:pos="83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Securities Act and Exchange Act</w:t>
      </w:r>
      <w:r>
        <w:rPr>
          <w:rFonts w:ascii="Arial" w:cs="Arial" w:eastAsia="Arial" w:hAnsi="Arial"/>
          <w:sz w:val="18"/>
          <w:szCs w:val="18"/>
          <w:color w:val="auto"/>
        </w:rPr>
        <w:t>. The Company will use its best efforts to comply with all requirements imposed upon it by the Securities Act and the Exchange Act as from time to time in force, so far as necessary to permit the sales of, or dealings in, the Placement Shares as contemplated by the provisions hereof and the Prospectus.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122" w:name="page123"/>
    <w:bookmarkEnd w:id="122"/>
    <w:p>
      <w:pPr>
        <w:jc w:val="both"/>
        <w:ind w:firstLine="436"/>
        <w:spacing w:after="0" w:line="279" w:lineRule="auto"/>
        <w:tabs>
          <w:tab w:leader="none" w:pos="830"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Offer to Sell</w:t>
      </w:r>
      <w:r>
        <w:rPr>
          <w:rFonts w:ascii="Arial" w:cs="Arial" w:eastAsia="Arial" w:hAnsi="Arial"/>
          <w:sz w:val="17"/>
          <w:szCs w:val="17"/>
          <w:color w:val="auto"/>
        </w:rPr>
        <w:t>. Other than a free writing prospectus (as defined in Rule 405 under the Securities Act) approved in advance by the Company and the Agent, neither the Agent nor the Company (including its agents and representatives, other than the Agent in its capacity as agent)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71" w:lineRule="exact"/>
        <w:rPr>
          <w:rFonts w:ascii="Arial" w:cs="Arial" w:eastAsia="Arial" w:hAnsi="Arial"/>
          <w:sz w:val="17"/>
          <w:szCs w:val="17"/>
          <w:color w:val="auto"/>
        </w:rPr>
      </w:pPr>
    </w:p>
    <w:p>
      <w:pPr>
        <w:ind w:firstLine="436"/>
        <w:spacing w:after="0" w:line="289" w:lineRule="auto"/>
        <w:tabs>
          <w:tab w:leader="none" w:pos="87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Blue Sky and Other Qualifications</w:t>
      </w:r>
      <w:r>
        <w:rPr>
          <w:rFonts w:ascii="Arial" w:cs="Arial" w:eastAsia="Arial" w:hAnsi="Arial"/>
          <w:sz w:val="16"/>
          <w:szCs w:val="16"/>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66" w:lineRule="exact"/>
        <w:rPr>
          <w:rFonts w:ascii="Arial" w:cs="Arial" w:eastAsia="Arial" w:hAnsi="Arial"/>
          <w:sz w:val="16"/>
          <w:szCs w:val="16"/>
          <w:color w:val="auto"/>
        </w:rPr>
      </w:pPr>
    </w:p>
    <w:p>
      <w:pPr>
        <w:ind w:right="300" w:firstLine="436"/>
        <w:spacing w:after="0" w:line="277" w:lineRule="auto"/>
        <w:tabs>
          <w:tab w:leader="none" w:pos="83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Sarbanes-Oxley Act</w:t>
      </w:r>
      <w:r>
        <w:rPr>
          <w:rFonts w:ascii="Arial" w:cs="Arial" w:eastAsia="Arial" w:hAnsi="Arial"/>
          <w:sz w:val="18"/>
          <w:szCs w:val="18"/>
          <w:color w:val="auto"/>
        </w:rPr>
        <w:t>. The Company and its subsidiaries will use their best efforts to comply with all effective applicable provisions of the Sarbanes-Oxley Act.</w:t>
      </w:r>
    </w:p>
    <w:p>
      <w:pPr>
        <w:spacing w:after="0" w:line="170" w:lineRule="exact"/>
        <w:rPr>
          <w:rFonts w:ascii="Arial" w:cs="Arial" w:eastAsia="Arial" w:hAnsi="Arial"/>
          <w:sz w:val="18"/>
          <w:szCs w:val="18"/>
          <w:color w:val="auto"/>
        </w:rPr>
      </w:pPr>
    </w:p>
    <w:p>
      <w:pPr>
        <w:ind w:right="260" w:firstLine="436"/>
        <w:spacing w:after="0" w:line="277" w:lineRule="auto"/>
        <w:tabs>
          <w:tab w:leader="none" w:pos="83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Emerging Growth Company</w:t>
      </w:r>
      <w:r>
        <w:rPr>
          <w:rFonts w:ascii="Arial" w:cs="Arial" w:eastAsia="Arial" w:hAnsi="Arial"/>
          <w:sz w:val="18"/>
          <w:szCs w:val="18"/>
          <w:color w:val="auto"/>
        </w:rPr>
        <w:t>. The Company will promptly notify the Agent if the company ceases to be an Emerging Growth Company at any time prior to the completion of the Agent’s distribution of the Placement Shares pursuant to this Agreement.</w:t>
      </w:r>
    </w:p>
    <w:p>
      <w:pPr>
        <w:spacing w:after="0" w:line="170" w:lineRule="exact"/>
        <w:rPr>
          <w:rFonts w:ascii="Arial" w:cs="Arial" w:eastAsia="Arial" w:hAnsi="Arial"/>
          <w:sz w:val="18"/>
          <w:szCs w:val="18"/>
          <w:color w:val="auto"/>
        </w:rPr>
      </w:pPr>
    </w:p>
    <w:p>
      <w:pPr>
        <w:ind w:right="40" w:firstLine="436"/>
        <w:spacing w:after="0" w:line="289" w:lineRule="auto"/>
        <w:tabs>
          <w:tab w:leader="none" w:pos="82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Renewal of Registration Statement.</w:t>
      </w:r>
      <w:r>
        <w:rPr>
          <w:rFonts w:ascii="Arial" w:cs="Arial" w:eastAsia="Arial" w:hAnsi="Arial"/>
          <w:sz w:val="16"/>
          <w:szCs w:val="16"/>
          <w:color w:val="auto"/>
        </w:rPr>
        <w:t xml:space="preserve"> If, immediately prior to the third anniversary of the initial effective date of the Registration Statement (the “</w:t>
      </w:r>
      <w:r>
        <w:rPr>
          <w:rFonts w:ascii="Arial" w:cs="Arial" w:eastAsia="Arial" w:hAnsi="Arial"/>
          <w:sz w:val="16"/>
          <w:szCs w:val="16"/>
          <w:b w:val="1"/>
          <w:bCs w:val="1"/>
          <w:u w:val="single" w:color="auto"/>
          <w:color w:val="auto"/>
        </w:rPr>
        <w:t>Renewal Date</w:t>
      </w:r>
      <w:r>
        <w:rPr>
          <w:rFonts w:ascii="Arial" w:cs="Arial" w:eastAsia="Arial" w:hAnsi="Arial"/>
          <w:sz w:val="16"/>
          <w:szCs w:val="16"/>
          <w:color w:val="auto"/>
        </w:rPr>
        <w:t>”), any of the Placement Shares remain unsold and this Agreement has not been terminated, the Company will, prior to the Renewal Date, file a new shelf registration statement or, if applicable, an automatic shelf registration statement relating to the Ordinary Shares that may be offered and sold pursuant to this Agreement (which shall include a prospectus reflecting the number or amount of Placement Shares that may be offered and sold pursuant to this Agreement), in a form satisfactory to the Agent and its counsel, and, if such registration statement is not an automatic shelf registration statement, will use its best efforts to cause such registration statement to be declared effective within 180 days after the Renewal Date. The Company will take all other reasonable actions necessary or appropriate to permit the public offer and sale of the Placement Shares to continue as contemplated in the expired registration statement and this Agreement. From and after the effective date thereof, references herein to the “Registration Statement” shall include such new shelf registration statement or such new automatic shelf registration statement, as the case may be.</w:t>
      </w:r>
    </w:p>
    <w:p>
      <w:pPr>
        <w:spacing w:after="0" w:line="166" w:lineRule="exact"/>
        <w:rPr>
          <w:sz w:val="20"/>
          <w:szCs w:val="20"/>
          <w:color w:val="auto"/>
        </w:rPr>
      </w:pPr>
    </w:p>
    <w:p>
      <w:pPr>
        <w:ind w:right="120" w:firstLine="436"/>
        <w:spacing w:after="0" w:line="255"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General Instruction I.B.5. of Form F-3</w:t>
      </w:r>
      <w:r>
        <w:rPr>
          <w:rFonts w:ascii="Arial" w:cs="Arial" w:eastAsia="Arial" w:hAnsi="Arial"/>
          <w:sz w:val="18"/>
          <w:szCs w:val="18"/>
          <w:color w:val="auto"/>
        </w:rPr>
        <w:t xml:space="preserve">. If, from and after the date of this Agreement, the Company is no longer eligible to use Form F-3 (including pursuant to General Instruction I.B.5.) at the time it files with the Commission an annual report on Form 20-F or any post-effective amendment to the Registration Statement, then it shall promptly notify the Agent and, within two Business Days after the date of filing of such annual report on Form 20-F or amendment to the Registration Statement, the Company shall file a new prospectus supplement with the Commission reflecting the number of Ordinary Shares available to be offered and sold by the Company under this Agreement pursuant to General Instruction I.B.5. of Form F-3;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may delay the filing of any such</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123" w:name="page124"/>
    <w:bookmarkEnd w:id="123"/>
    <w:p>
      <w:pPr>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prospectus supplement for up to 30 days if, in the reasonable judgment of the Company, it is in the best interest of the Company to do so, provided that no Placement Notice is in effect or pending during such time. Until such time as the Company shall have corrected such misstatement or omission or effected such compliance, the Company shall not notify the Agent to resume the offering of Placement Shares.</w:t>
      </w:r>
    </w:p>
    <w:p>
      <w:pPr>
        <w:spacing w:after="0" w:line="165" w:lineRule="exact"/>
        <w:rPr>
          <w:sz w:val="20"/>
          <w:szCs w:val="20"/>
          <w:color w:val="auto"/>
        </w:rPr>
      </w:pPr>
    </w:p>
    <w:p>
      <w:pPr>
        <w:ind w:right="320" w:firstLine="436"/>
        <w:spacing w:after="0" w:line="291" w:lineRule="auto"/>
        <w:tabs>
          <w:tab w:leader="none" w:pos="92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Tax Indemnity</w:t>
      </w:r>
      <w:r>
        <w:rPr>
          <w:rFonts w:ascii="Arial" w:cs="Arial" w:eastAsia="Arial" w:hAnsi="Arial"/>
          <w:sz w:val="16"/>
          <w:szCs w:val="16"/>
          <w:color w:val="auto"/>
        </w:rPr>
        <w:t>. The Company will (to the extent permitted under English law) indemnify and hold harmless the Agent against any documentary, stamp or similar issue tax, including any interest and penalties, on the issue and sale of the Placement Shares and on the execution and delivery of this Agreement. All payments to be made by the Company to the Agent under this Agreement shall be made without withholding or deduction for or on account of any present or future taxes, duties or governmental charges whatsoever unless the Company is compelled by law to deduct or withhold such taxes, duties or charges. In that event, the Company shall (to the extent permitted under English law) pay to the Agent such additional amounts (after taking into account any taxes payable as a result) as may be necessary in order that the net amounts received after such withholding or deduction shall equal the amounts that would have been received if no withholding or deduction had been made.</w:t>
      </w:r>
    </w:p>
    <w:p>
      <w:pPr>
        <w:spacing w:after="0" w:line="166" w:lineRule="exact"/>
        <w:rPr>
          <w:rFonts w:ascii="Arial" w:cs="Arial" w:eastAsia="Arial" w:hAnsi="Arial"/>
          <w:sz w:val="16"/>
          <w:szCs w:val="16"/>
          <w:color w:val="auto"/>
        </w:rPr>
      </w:pPr>
    </w:p>
    <w:p>
      <w:pPr>
        <w:ind w:right="40" w:firstLine="43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has engaged and will maintain, at its sole expense, a transfer agent and, if necessary under the jurisdiction of organization of the Company, a registrar for the Ordinary Shares.</w:t>
      </w:r>
    </w:p>
    <w:p>
      <w:pPr>
        <w:spacing w:after="0" w:line="170" w:lineRule="exact"/>
        <w:rPr>
          <w:rFonts w:ascii="Arial" w:cs="Arial" w:eastAsia="Arial" w:hAnsi="Arial"/>
          <w:sz w:val="18"/>
          <w:szCs w:val="18"/>
          <w:color w:val="auto"/>
        </w:rPr>
      </w:pPr>
    </w:p>
    <w:p>
      <w:pPr>
        <w:ind w:left="920" w:hanging="484"/>
        <w:spacing w:after="0"/>
        <w:tabs>
          <w:tab w:leader="none" w:pos="9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Depositary</w:t>
      </w:r>
      <w:r>
        <w:rPr>
          <w:rFonts w:ascii="Arial" w:cs="Arial" w:eastAsia="Arial" w:hAnsi="Arial"/>
          <w:sz w:val="18"/>
          <w:szCs w:val="18"/>
          <w:color w:val="auto"/>
        </w:rPr>
        <w:t>. The Company has engaged and will maintain, at its sole expense, a depositary for its ADSs.</w:t>
      </w:r>
    </w:p>
    <w:p>
      <w:pPr>
        <w:spacing w:after="0" w:line="225" w:lineRule="exact"/>
        <w:rPr>
          <w:rFonts w:ascii="Arial" w:cs="Arial" w:eastAsia="Arial" w:hAnsi="Arial"/>
          <w:sz w:val="18"/>
          <w:szCs w:val="18"/>
          <w:color w:val="auto"/>
        </w:rPr>
      </w:pPr>
    </w:p>
    <w:p>
      <w:pPr>
        <w:jc w:val="both"/>
        <w:ind w:right="240" w:firstLine="436"/>
        <w:spacing w:after="0" w:line="263"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CA 2006 Compliance</w:t>
      </w:r>
      <w:r>
        <w:rPr>
          <w:rFonts w:ascii="Arial" w:cs="Arial" w:eastAsia="Arial" w:hAnsi="Arial"/>
          <w:sz w:val="18"/>
          <w:szCs w:val="18"/>
          <w:color w:val="auto"/>
        </w:rPr>
        <w:t>. The Company will not issue a Placement Notice unless the relevant Ordinary Shares to be issued pursuant to such Placement Notice can be issued in compliance with section 551 of the CA 2006 and within an existing disapplication under section 561(1) of the CA 2006.</w:t>
      </w:r>
    </w:p>
    <w:p>
      <w:pPr>
        <w:spacing w:after="0" w:line="184" w:lineRule="exact"/>
        <w:rPr>
          <w:sz w:val="20"/>
          <w:szCs w:val="20"/>
          <w:color w:val="auto"/>
        </w:rPr>
      </w:pPr>
    </w:p>
    <w:p>
      <w:pPr>
        <w:ind w:right="220" w:firstLine="436"/>
        <w:spacing w:after="0" w:line="279" w:lineRule="auto"/>
        <w:tabs>
          <w:tab w:leader="none" w:pos="755"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Conditions to the Agent’s Obligations</w:t>
      </w:r>
      <w:r>
        <w:rPr>
          <w:rFonts w:ascii="Arial" w:cs="Arial" w:eastAsia="Arial" w:hAnsi="Arial"/>
          <w:sz w:val="17"/>
          <w:szCs w:val="17"/>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the Agent in its reasonable judgment, and to the continuing satisfaction (or waiver by the Agent in its sole discretion) of the following additional conditions:</w:t>
      </w:r>
    </w:p>
    <w:p>
      <w:pPr>
        <w:spacing w:after="0" w:line="171" w:lineRule="exact"/>
        <w:rPr>
          <w:sz w:val="20"/>
          <w:szCs w:val="20"/>
          <w:color w:val="auto"/>
        </w:rPr>
      </w:pPr>
    </w:p>
    <w:p>
      <w:pPr>
        <w:ind w:right="280" w:firstLine="436"/>
        <w:spacing w:after="0" w:line="342" w:lineRule="auto"/>
        <w:tabs>
          <w:tab w:leader="none" w:pos="820"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Registration Statement Effective</w:t>
      </w:r>
      <w:r>
        <w:rPr>
          <w:rFonts w:ascii="Arial" w:cs="Arial" w:eastAsia="Arial" w:hAnsi="Arial"/>
          <w:sz w:val="16"/>
          <w:szCs w:val="16"/>
          <w:color w:val="auto"/>
        </w:rPr>
        <w:t>. The Registration Statement shall be effective and shall be available for all offers and sales of Placement Shares (i) that have been issued pursuant to all prior Placement Notices and (ii) that will be issued pursuant to any Placement Notice.</w:t>
      </w:r>
    </w:p>
    <w:p>
      <w:pPr>
        <w:spacing w:after="0" w:line="123" w:lineRule="exact"/>
        <w:rPr>
          <w:rFonts w:ascii="Arial" w:cs="Arial" w:eastAsia="Arial" w:hAnsi="Arial"/>
          <w:sz w:val="16"/>
          <w:szCs w:val="16"/>
          <w:color w:val="auto"/>
        </w:rPr>
      </w:pPr>
    </w:p>
    <w:p>
      <w:pPr>
        <w:ind w:right="180" w:firstLine="436"/>
        <w:spacing w:after="0" w:line="308" w:lineRule="auto"/>
        <w:tabs>
          <w:tab w:leader="none" w:pos="830"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Prospectus Supplement</w:t>
      </w:r>
      <w:r>
        <w:rPr>
          <w:rFonts w:ascii="Arial" w:cs="Arial" w:eastAsia="Arial" w:hAnsi="Arial"/>
          <w:sz w:val="17"/>
          <w:szCs w:val="17"/>
          <w:color w:val="auto"/>
        </w:rPr>
        <w:t>. The Company shall have filed with the Commission the Prospectus Supplement pursuant to Rule 424(b) under the Securities Act not later than the Commission’s close of business on the second Business Day following the date of this Agreement.</w:t>
      </w:r>
    </w:p>
    <w:p>
      <w:pPr>
        <w:spacing w:after="0" w:line="146" w:lineRule="exact"/>
        <w:rPr>
          <w:rFonts w:ascii="Arial" w:cs="Arial" w:eastAsia="Arial" w:hAnsi="Arial"/>
          <w:sz w:val="17"/>
          <w:szCs w:val="17"/>
          <w:color w:val="auto"/>
        </w:rPr>
      </w:pPr>
    </w:p>
    <w:p>
      <w:pPr>
        <w:ind w:firstLine="436"/>
        <w:spacing w:after="0" w:line="255" w:lineRule="auto"/>
        <w:tabs>
          <w:tab w:leader="none" w:pos="8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No Material Notices</w:t>
      </w:r>
      <w:r>
        <w:rPr>
          <w:rFonts w:ascii="Arial" w:cs="Arial" w:eastAsia="Arial" w:hAnsi="Arial"/>
          <w:sz w:val="18"/>
          <w:szCs w:val="18"/>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or any of its Subsidiaries of any notification with respect to the suspension of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24" w:name="page125"/>
    <w:bookmarkEnd w:id="12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Incorporated Documents so that, in the case of the Registration Statement, it will not contain any untrue statement of a material fact or omit to state any material fact required to be stated therein or necessary to make the statements therein not misleading and, in the case of the Prospectus, so that it will not contain any untrue statement of a material fact or omit to state any material fact required to be stated therein or necessary to make the statements therein, in light of the circumstances under which they were made, not misleading.</w:t>
      </w:r>
    </w:p>
    <w:p>
      <w:pPr>
        <w:spacing w:after="0" w:line="177" w:lineRule="exact"/>
        <w:rPr>
          <w:sz w:val="20"/>
          <w:szCs w:val="20"/>
          <w:color w:val="auto"/>
        </w:rPr>
      </w:pPr>
    </w:p>
    <w:p>
      <w:pPr>
        <w:jc w:val="both"/>
        <w:ind w:firstLine="436"/>
        <w:spacing w:after="0" w:line="286" w:lineRule="auto"/>
        <w:tabs>
          <w:tab w:leader="none" w:pos="830"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No Misstatement or Material Omission</w:t>
      </w:r>
      <w:r>
        <w:rPr>
          <w:rFonts w:ascii="Arial" w:cs="Arial" w:eastAsia="Arial" w:hAnsi="Arial"/>
          <w:sz w:val="17"/>
          <w:szCs w:val="17"/>
          <w:color w:val="auto"/>
        </w:rPr>
        <w:t>. The Agent shall not have advised the Company that the Registration Statement or Prospectus, or any amendment or supplement thereto, contains an untrue statement of fact that in the Agent’s opinion is material, or omits to state a fact that in the Agent’s opinion is material and is required to be stated therein or is necessary to make the statements therein not misleading.</w:t>
      </w:r>
    </w:p>
    <w:p>
      <w:pPr>
        <w:spacing w:after="0" w:line="165" w:lineRule="exact"/>
        <w:rPr>
          <w:rFonts w:ascii="Arial" w:cs="Arial" w:eastAsia="Arial" w:hAnsi="Arial"/>
          <w:sz w:val="17"/>
          <w:szCs w:val="17"/>
          <w:color w:val="auto"/>
        </w:rPr>
      </w:pPr>
    </w:p>
    <w:p>
      <w:pPr>
        <w:ind w:firstLine="436"/>
        <w:spacing w:after="0" w:line="291" w:lineRule="auto"/>
        <w:tabs>
          <w:tab w:leader="none" w:pos="820"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Material Changes</w:t>
      </w:r>
      <w:r>
        <w:rPr>
          <w:rFonts w:ascii="Arial" w:cs="Arial" w:eastAsia="Arial" w:hAnsi="Arial"/>
          <w:sz w:val="16"/>
          <w:szCs w:val="16"/>
          <w:color w:val="auto"/>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could reasonably be expected to result in a Material Adverse Effect, or any downgrading in or withdrawal of the rating assigned to any of the Company’s securities (other than asset 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66" w:lineRule="exact"/>
        <w:rPr>
          <w:rFonts w:ascii="Arial" w:cs="Arial" w:eastAsia="Arial" w:hAnsi="Arial"/>
          <w:sz w:val="16"/>
          <w:szCs w:val="16"/>
          <w:color w:val="auto"/>
        </w:rPr>
      </w:pPr>
    </w:p>
    <w:p>
      <w:pPr>
        <w:jc w:val="both"/>
        <w:ind w:right="280" w:firstLine="436"/>
        <w:spacing w:after="0" w:line="311" w:lineRule="auto"/>
        <w:tabs>
          <w:tab w:leader="none" w:pos="800"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Company Counsel Legal Opinions</w:t>
      </w:r>
      <w:r>
        <w:rPr>
          <w:rFonts w:ascii="Arial" w:cs="Arial" w:eastAsia="Arial" w:hAnsi="Arial"/>
          <w:sz w:val="16"/>
          <w:szCs w:val="16"/>
          <w:color w:val="auto"/>
        </w:rPr>
        <w:t>. The Agent shall have received the opinions and negative assurance letters, as applicable, of Company Counsel and Intellectual Property Counsel required to be delivered pursuant to Section 7(n) and Section 7(o), as applicable, on or before the date on which such delivery of such opinions and negative assurance letters are required pursuant to Section 7(n) and Section 7(o), as applicable.</w:t>
      </w:r>
    </w:p>
    <w:p>
      <w:pPr>
        <w:spacing w:after="0" w:line="148" w:lineRule="exact"/>
        <w:rPr>
          <w:rFonts w:ascii="Arial" w:cs="Arial" w:eastAsia="Arial" w:hAnsi="Arial"/>
          <w:sz w:val="16"/>
          <w:szCs w:val="16"/>
          <w:color w:val="auto"/>
        </w:rPr>
      </w:pPr>
    </w:p>
    <w:p>
      <w:pPr>
        <w:ind w:firstLine="436"/>
        <w:spacing w:after="0" w:line="257" w:lineRule="auto"/>
        <w:tabs>
          <w:tab w:leader="none" w:pos="83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Agent’s Counsel Legal Opinion</w:t>
      </w:r>
      <w:r>
        <w:rPr>
          <w:rFonts w:ascii="Arial" w:cs="Arial" w:eastAsia="Arial" w:hAnsi="Arial"/>
          <w:sz w:val="18"/>
          <w:szCs w:val="18"/>
          <w:color w:val="auto"/>
        </w:rPr>
        <w:t>. The Agent shall have received from Kirkland &amp; Ellis LLP, U.S. counsel for the Agent, and Kirkland &amp; Ellis (International) LLP, English counsel for the Agent, such opinions and negative assurance letter, on or before the date on which the delivery of the Company Counsel legal opinion and negative assurance letter are required pursuant to Section 7(n), with respect to such matters as the Agent may reasonably require, and the Company shall have furnished to such counsel such documents as they may request to enable them to pass upon such matters.</w:t>
      </w:r>
    </w:p>
    <w:p>
      <w:pPr>
        <w:spacing w:after="0" w:line="187" w:lineRule="exact"/>
        <w:rPr>
          <w:rFonts w:ascii="Arial" w:cs="Arial" w:eastAsia="Arial" w:hAnsi="Arial"/>
          <w:sz w:val="18"/>
          <w:szCs w:val="18"/>
          <w:color w:val="auto"/>
        </w:rPr>
      </w:pPr>
    </w:p>
    <w:p>
      <w:pPr>
        <w:ind w:right="180" w:firstLine="436"/>
        <w:spacing w:after="0" w:line="308" w:lineRule="auto"/>
        <w:tabs>
          <w:tab w:leader="none" w:pos="830"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Opinion of Counsel for Depositary</w:t>
      </w:r>
      <w:r>
        <w:rPr>
          <w:rFonts w:ascii="Arial" w:cs="Arial" w:eastAsia="Arial" w:hAnsi="Arial"/>
          <w:sz w:val="17"/>
          <w:szCs w:val="17"/>
          <w:color w:val="auto"/>
        </w:rPr>
        <w:t>. The Agent shall have received from Patterson Belknap Webb &amp; Tyler LLP, counsel for the Depositary, an opinion, on or before the date of the first Placement Notice, satisfactory in form and substance to the Agent and its counsel.</w:t>
      </w:r>
    </w:p>
    <w:p>
      <w:pPr>
        <w:spacing w:after="0" w:line="146" w:lineRule="exact"/>
        <w:rPr>
          <w:rFonts w:ascii="Arial" w:cs="Arial" w:eastAsia="Arial" w:hAnsi="Arial"/>
          <w:sz w:val="17"/>
          <w:szCs w:val="17"/>
          <w:color w:val="auto"/>
        </w:rPr>
      </w:pPr>
    </w:p>
    <w:p>
      <w:pPr>
        <w:ind w:right="80" w:firstLine="436"/>
        <w:spacing w:after="0" w:line="308" w:lineRule="auto"/>
        <w:tabs>
          <w:tab w:leader="none" w:pos="790"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Deposit Agreement</w:t>
      </w:r>
      <w:r>
        <w:rPr>
          <w:rFonts w:ascii="Arial" w:cs="Arial" w:eastAsia="Arial" w:hAnsi="Arial"/>
          <w:sz w:val="17"/>
          <w:szCs w:val="17"/>
          <w:color w:val="auto"/>
        </w:rPr>
        <w:t>. The Deposit Agreement shall be in full force and effect and the Company and the Depositary shall have taken all action to permit the deposit of underlying Ordinary Shares and the issuance of the Placement ADSs in accordance with the Deposit Agreement.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125" w:name="page126"/>
    <w:bookmarkEnd w:id="125"/>
    <w:p>
      <w:pPr>
        <w:ind w:left="4" w:firstLine="436"/>
        <w:spacing w:after="0" w:line="259" w:lineRule="auto"/>
        <w:tabs>
          <w:tab w:leader="none" w:pos="794"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Depositary’s Certificate</w:t>
      </w:r>
      <w:r>
        <w:rPr>
          <w:rFonts w:ascii="Arial" w:cs="Arial" w:eastAsia="Arial" w:hAnsi="Arial"/>
          <w:sz w:val="18"/>
          <w:szCs w:val="18"/>
          <w:color w:val="auto"/>
        </w:rPr>
        <w:t>. On or prior to the date of the first Placement Notice, the Depositary shall have furnished or caused to be furnished to the Agent a certificate satisfactory to the Agent of one of its authorized officers with respect to the deposit with it of the Placement Shares, the issuance of the ADSs evidencing the Placement Shares pursuant to the Deposit Agreement and such other customary matters related thereto as the Representatives may reasonably request.</w:t>
      </w:r>
    </w:p>
    <w:p>
      <w:pPr>
        <w:spacing w:after="0" w:line="187" w:lineRule="exact"/>
        <w:rPr>
          <w:sz w:val="20"/>
          <w:szCs w:val="20"/>
          <w:color w:val="auto"/>
        </w:rPr>
      </w:pPr>
    </w:p>
    <w:p>
      <w:pPr>
        <w:ind w:left="4" w:right="80" w:firstLine="436"/>
        <w:spacing w:after="0" w:line="277" w:lineRule="auto"/>
        <w:tabs>
          <w:tab w:leader="none" w:pos="794"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 The Agent shall have received the Comfort Letters required to be delivered pursuant to Section 7(p) on or before the date on which such delivery of such Comfort Letters are required pursuant to Section 7(p).</w:t>
      </w:r>
    </w:p>
    <w:p>
      <w:pPr>
        <w:spacing w:after="0" w:line="170" w:lineRule="exact"/>
        <w:rPr>
          <w:rFonts w:ascii="Arial" w:cs="Arial" w:eastAsia="Arial" w:hAnsi="Arial"/>
          <w:sz w:val="18"/>
          <w:szCs w:val="18"/>
          <w:color w:val="auto"/>
        </w:rPr>
      </w:pPr>
    </w:p>
    <w:p>
      <w:pPr>
        <w:ind w:left="4" w:right="180" w:firstLine="436"/>
        <w:spacing w:after="0" w:line="277" w:lineRule="auto"/>
        <w:tabs>
          <w:tab w:leader="none" w:pos="834"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Representation Certificate</w:t>
      </w:r>
      <w:r>
        <w:rPr>
          <w:rFonts w:ascii="Arial" w:cs="Arial" w:eastAsia="Arial" w:hAnsi="Arial"/>
          <w:sz w:val="18"/>
          <w:szCs w:val="18"/>
          <w:color w:val="auto"/>
        </w:rPr>
        <w:t>. The Agent shall have received the certificate required to be delivered pursuant to Section 7(m) on or before the date on which delivery of such certificate is required pursuant to Section 7(m).</w:t>
      </w:r>
    </w:p>
    <w:p>
      <w:pPr>
        <w:spacing w:after="0" w:line="170" w:lineRule="exact"/>
        <w:rPr>
          <w:rFonts w:ascii="Arial" w:cs="Arial" w:eastAsia="Arial" w:hAnsi="Arial"/>
          <w:sz w:val="18"/>
          <w:szCs w:val="18"/>
          <w:color w:val="auto"/>
        </w:rPr>
      </w:pPr>
    </w:p>
    <w:p>
      <w:pPr>
        <w:ind w:left="4" w:firstLine="436"/>
        <w:spacing w:after="0" w:line="273" w:lineRule="auto"/>
        <w:tabs>
          <w:tab w:leader="none" w:pos="794" w:val="left"/>
        </w:tabs>
        <w:numPr>
          <w:ilvl w:val="1"/>
          <w:numId w:val="110"/>
        </w:numPr>
        <w:rPr>
          <w:rFonts w:ascii="Arial" w:cs="Arial" w:eastAsia="Arial" w:hAnsi="Arial"/>
          <w:sz w:val="17"/>
          <w:szCs w:val="17"/>
          <w:color w:val="auto"/>
        </w:rPr>
      </w:pPr>
      <w:r>
        <w:rPr>
          <w:rFonts w:ascii="Arial" w:cs="Arial" w:eastAsia="Arial" w:hAnsi="Arial"/>
          <w:sz w:val="17"/>
          <w:szCs w:val="17"/>
          <w:u w:val="single" w:color="auto"/>
          <w:color w:val="auto"/>
        </w:rPr>
        <w:t>Secretary’s Certificate</w:t>
      </w:r>
      <w:r>
        <w:rPr>
          <w:rFonts w:ascii="Arial" w:cs="Arial" w:eastAsia="Arial" w:hAnsi="Arial"/>
          <w:sz w:val="17"/>
          <w:szCs w:val="17"/>
          <w:color w:val="auto"/>
        </w:rPr>
        <w:t xml:space="preserve">. On or prior to the First Placement Notice Date, the Agent shall have received a certificate, signed on behalf of the Company by the Secretary of the Company and attested to by an executive officer of the Company, dated as of such date and in form and substance satisfactory to the Agent and its counsel, certifying as to (i) the articles of association of the Company, (ii) the resolutions of the board of directors of the Company or duly authorized committee thereof authorizing the execution, delivery and performance of this Agreement and the issuance and sale of the Placement Shares and (iii) the incumbency of the officers of the Company duly authorized to execute this Agreement and the other documents contemplated by this Agreement (including each of the officers set forth on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4" w:right="260" w:firstLine="436"/>
        <w:spacing w:after="0" w:line="308" w:lineRule="auto"/>
        <w:tabs>
          <w:tab w:leader="none" w:pos="884" w:val="left"/>
        </w:tabs>
        <w:numPr>
          <w:ilvl w:val="1"/>
          <w:numId w:val="110"/>
        </w:numPr>
        <w:rPr>
          <w:rFonts w:ascii="Arial" w:cs="Arial" w:eastAsia="Arial" w:hAnsi="Arial"/>
          <w:sz w:val="17"/>
          <w:szCs w:val="17"/>
          <w:color w:val="auto"/>
        </w:rPr>
      </w:pPr>
      <w:r>
        <w:rPr>
          <w:rFonts w:ascii="Arial" w:cs="Arial" w:eastAsia="Arial" w:hAnsi="Arial"/>
          <w:sz w:val="17"/>
          <w:szCs w:val="17"/>
          <w:u w:val="single" w:color="auto"/>
          <w:color w:val="auto"/>
        </w:rPr>
        <w:t>No Suspension</w:t>
      </w:r>
      <w:r>
        <w:rPr>
          <w:rFonts w:ascii="Arial" w:cs="Arial" w:eastAsia="Arial" w:hAnsi="Arial"/>
          <w:sz w:val="17"/>
          <w:szCs w:val="17"/>
          <w:color w:val="auto"/>
        </w:rPr>
        <w:t>. The ADSs shall be duly listed, and admitted and authorized for trading, subject to official notice of issuance, on Nasdaq. Trading in the ADSs shall not have been suspended on, and the ADSs shall not have been delisted from, Nasdaq.</w:t>
      </w:r>
    </w:p>
    <w:p>
      <w:pPr>
        <w:spacing w:after="0" w:line="146" w:lineRule="exact"/>
        <w:rPr>
          <w:rFonts w:ascii="Arial" w:cs="Arial" w:eastAsia="Arial" w:hAnsi="Arial"/>
          <w:sz w:val="17"/>
          <w:szCs w:val="17"/>
          <w:color w:val="auto"/>
        </w:rPr>
      </w:pPr>
    </w:p>
    <w:p>
      <w:pPr>
        <w:ind w:left="4" w:right="200" w:firstLine="436"/>
        <w:spacing w:after="0" w:line="257" w:lineRule="auto"/>
        <w:tabs>
          <w:tab w:leader="none" w:pos="834"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Other Materials</w:t>
      </w:r>
      <w:r>
        <w:rPr>
          <w:rFonts w:ascii="Arial" w:cs="Arial" w:eastAsia="Arial" w:hAnsi="Arial"/>
          <w:sz w:val="18"/>
          <w:szCs w:val="18"/>
          <w:color w:val="auto"/>
        </w:rPr>
        <w:t>. On each date on which the Company is required to deliver a certificate pursuant to Section 7(m), the Company shall have furnished to the Agent such appropriate further information, opinions, certificates, letters and other documents as the Agent may have reasonably requested. All such information, opinions, certificates, letters and other documents shall have been in compliance with the provisions hereof. The Company shall have furnished the Agent with conformed copies of such opinions, certificates, letters and other documents as the Agent may have reasonably requested.</w:t>
      </w:r>
    </w:p>
    <w:p>
      <w:pPr>
        <w:spacing w:after="0" w:line="187" w:lineRule="exact"/>
        <w:rPr>
          <w:rFonts w:ascii="Arial" w:cs="Arial" w:eastAsia="Arial" w:hAnsi="Arial"/>
          <w:sz w:val="18"/>
          <w:szCs w:val="18"/>
          <w:color w:val="auto"/>
        </w:rPr>
      </w:pPr>
    </w:p>
    <w:p>
      <w:pPr>
        <w:ind w:left="4" w:right="100" w:firstLine="436"/>
        <w:spacing w:after="0" w:line="263" w:lineRule="auto"/>
        <w:tabs>
          <w:tab w:leader="none" w:pos="834" w:val="left"/>
        </w:tabs>
        <w:numPr>
          <w:ilvl w:val="1"/>
          <w:numId w:val="110"/>
        </w:numPr>
        <w:rPr>
          <w:rFonts w:ascii="Arial" w:cs="Arial" w:eastAsia="Arial" w:hAnsi="Arial"/>
          <w:sz w:val="18"/>
          <w:szCs w:val="18"/>
          <w:color w:val="auto"/>
        </w:rPr>
      </w:pPr>
      <w:r>
        <w:rPr>
          <w:rFonts w:ascii="Arial" w:cs="Arial" w:eastAsia="Arial" w:hAnsi="Arial"/>
          <w:sz w:val="18"/>
          <w:szCs w:val="18"/>
          <w:u w:val="single" w:color="auto"/>
          <w:color w:val="auto"/>
        </w:rPr>
        <w:t>Securities Act Filings Made</w:t>
      </w:r>
      <w:r>
        <w:rPr>
          <w:rFonts w:ascii="Arial" w:cs="Arial" w:eastAsia="Arial" w:hAnsi="Arial"/>
          <w:sz w:val="18"/>
          <w:szCs w:val="18"/>
          <w:color w:val="auto"/>
        </w:rPr>
        <w:t>. All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as applicable.</w:t>
      </w:r>
    </w:p>
    <w:p>
      <w:pPr>
        <w:spacing w:after="0" w:line="183" w:lineRule="exact"/>
        <w:rPr>
          <w:rFonts w:ascii="Arial" w:cs="Arial" w:eastAsia="Arial" w:hAnsi="Arial"/>
          <w:sz w:val="18"/>
          <w:szCs w:val="18"/>
          <w:color w:val="auto"/>
        </w:rPr>
      </w:pPr>
    </w:p>
    <w:p>
      <w:pPr>
        <w:ind w:left="824" w:hanging="384"/>
        <w:spacing w:after="0"/>
        <w:tabs>
          <w:tab w:leader="none" w:pos="824"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Approval for Listing</w:t>
      </w:r>
      <w:r>
        <w:rPr>
          <w:rFonts w:ascii="Arial" w:cs="Arial" w:eastAsia="Arial" w:hAnsi="Arial"/>
          <w:sz w:val="16"/>
          <w:szCs w:val="16"/>
          <w:color w:val="auto"/>
        </w:rPr>
        <w:t>. Either (i) the Placement Shares shall have been approved for listing on Nasdaq, subject only to notice of issuance, or</w:t>
      </w:r>
    </w:p>
    <w:p>
      <w:pPr>
        <w:spacing w:after="0" w:line="46" w:lineRule="exact"/>
        <w:rPr>
          <w:rFonts w:ascii="Arial" w:cs="Arial" w:eastAsia="Arial" w:hAnsi="Arial"/>
          <w:sz w:val="16"/>
          <w:szCs w:val="16"/>
          <w:color w:val="auto"/>
        </w:rPr>
      </w:pPr>
    </w:p>
    <w:p>
      <w:pPr>
        <w:ind w:left="4" w:right="520" w:hanging="4"/>
        <w:spacing w:after="0" w:line="260" w:lineRule="auto"/>
        <w:tabs>
          <w:tab w:leader="none" w:pos="26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 shall have filed an application for listing of the Placement Shares on Nasdaq at, or prior to, the First Placement Notice Date and Nasdaq shall have reviewed such application and not provided any objections thereto.</w:t>
      </w:r>
    </w:p>
    <w:p>
      <w:pPr>
        <w:spacing w:after="0" w:line="185" w:lineRule="exact"/>
        <w:rPr>
          <w:rFonts w:ascii="Arial" w:cs="Arial" w:eastAsia="Arial" w:hAnsi="Arial"/>
          <w:sz w:val="18"/>
          <w:szCs w:val="18"/>
          <w:color w:val="auto"/>
        </w:rPr>
      </w:pPr>
    </w:p>
    <w:p>
      <w:pPr>
        <w:jc w:val="both"/>
        <w:ind w:left="4" w:right="40" w:firstLine="436"/>
        <w:spacing w:after="0" w:line="259" w:lineRule="auto"/>
        <w:tabs>
          <w:tab w:leader="none" w:pos="879"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Deposit of Ordinary Shares</w:t>
      </w:r>
      <w:r>
        <w:rPr>
          <w:rFonts w:ascii="Arial" w:cs="Arial" w:eastAsia="Arial" w:hAnsi="Arial"/>
          <w:sz w:val="18"/>
          <w:szCs w:val="18"/>
          <w:color w:val="auto"/>
        </w:rPr>
        <w:t>. The Ordinary Shares underlying the Placement Shares to be issued on the relevant Settlement Date will, at the relevant Settlement Date, be issued to, and deposited with, the Depositary’s custodian (or its nominee) in accordance with the provisions of the Deposit Agreement and otherwise comply with the Deposit Agreement so that ADSs representing such Ordinary Shares will be issued by the Depositary against receipt of such Ordinary Shares.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4"/>
          </w:cols>
          <w:pgMar w:left="436" w:top="274" w:right="479" w:bottom="1440" w:gutter="0" w:footer="0" w:header="0"/>
        </w:sectPr>
      </w:pPr>
    </w:p>
    <w:bookmarkStart w:id="126" w:name="page127"/>
    <w:bookmarkEnd w:id="126"/>
    <w:p>
      <w:pPr>
        <w:ind w:firstLine="436"/>
        <w:spacing w:after="0" w:line="277" w:lineRule="auto"/>
        <w:tabs>
          <w:tab w:leader="none" w:pos="80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FINRA</w:t>
      </w:r>
      <w:r>
        <w:rPr>
          <w:rFonts w:ascii="Arial" w:cs="Arial" w:eastAsia="Arial" w:hAnsi="Arial"/>
          <w:sz w:val="18"/>
          <w:szCs w:val="18"/>
          <w:color w:val="auto"/>
        </w:rPr>
        <w:t>. FINRA shall have raised no objection to the terms of the offering contemplated hereby and the amount of compensation allowable or payable to the Agent as described in the Prospectus.</w:t>
      </w:r>
    </w:p>
    <w:p>
      <w:pPr>
        <w:spacing w:after="0" w:line="170" w:lineRule="exact"/>
        <w:rPr>
          <w:rFonts w:ascii="Arial" w:cs="Arial" w:eastAsia="Arial" w:hAnsi="Arial"/>
          <w:sz w:val="18"/>
          <w:szCs w:val="18"/>
          <w:color w:val="auto"/>
        </w:rPr>
      </w:pPr>
    </w:p>
    <w:p>
      <w:pPr>
        <w:ind w:left="800" w:hanging="364"/>
        <w:spacing w:after="0"/>
        <w:tabs>
          <w:tab w:leader="none" w:pos="80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No Termination Event</w:t>
      </w:r>
      <w:r>
        <w:rPr>
          <w:rFonts w:ascii="Arial" w:cs="Arial" w:eastAsia="Arial" w:hAnsi="Arial"/>
          <w:sz w:val="17"/>
          <w:szCs w:val="17"/>
          <w:color w:val="auto"/>
        </w:rPr>
        <w:t>. There shall not have occurred any event that would permit the Agent to terminate this Agreement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11(a).</w:t>
      </w:r>
    </w:p>
    <w:p>
      <w:pPr>
        <w:spacing w:after="0" w:line="211" w:lineRule="exact"/>
        <w:rPr>
          <w:sz w:val="20"/>
          <w:szCs w:val="20"/>
          <w:color w:val="auto"/>
        </w:rPr>
      </w:pPr>
    </w:p>
    <w:p>
      <w:pPr>
        <w:ind w:left="760" w:hanging="324"/>
        <w:spacing w:after="0"/>
        <w:tabs>
          <w:tab w:leader="none" w:pos="76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67" w:lineRule="auto"/>
        <w:tabs>
          <w:tab w:leader="none" w:pos="820"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Company Indemnification</w:t>
      </w:r>
      <w:r>
        <w:rPr>
          <w:rFonts w:ascii="Arial" w:cs="Arial" w:eastAsia="Arial" w:hAnsi="Arial"/>
          <w:sz w:val="17"/>
          <w:szCs w:val="17"/>
          <w:color w:val="auto"/>
        </w:rPr>
        <w:t xml:space="preserve">. The Company agrees to indemnify and hold harmless the Agent, its affiliates and their respective partners, members, directors, officers, employees and agents, and each person, if any, who (i) controls the Agent within the meaning of Section 15 of the Securities Act or Section 20 of the Exchange Act or (ii) is controlled by or is under common control with the Agent, in each case from and against any and all losses, claims, liabilities, expenses and damages (including any and all investigative, legal and other expenses reasonably incurred in connection with, and any and all amounts paid in settlement (in accordance with this Section 9), any action, suit, investigation or proceeding between any of the indemnified parties and any indemnifying parties or between any indemnified party and any third party (including any governmental or self-regulatory authority, or otherwise, or any claim asserted or threatened), as and when incurred, to which the Agent, or any such other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ADSs and Ordinary Shares under the securities laws thereof or filed with the Commission, (y) the omission or alleged omission to state in any such document a material fact required to be stated therein or necessary to make the statements therein (solely with respect to the Prospectus, in light of the circumstances under which they were made) not misleading or (z) any breach by any of the indemnifying parties of any of their respective representations, warranties or agreements contained in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indemnity agreement shall not apply to the extent that such loss, claim, liability, expense or damage arises from the sale of the Placement Shares pursuant to this Agreement and is caused, directly or indirectly, by an untrue statement or omission, or alleged untrue statement or omission, made in reliance upon and in conformity with the Agent’s Information. This indemnity agreement will be in addition to any liability that the Company might otherwise have.</w:t>
      </w:r>
    </w:p>
    <w:p>
      <w:pPr>
        <w:spacing w:after="0" w:line="188" w:lineRule="exact"/>
        <w:rPr>
          <w:rFonts w:ascii="Arial" w:cs="Arial" w:eastAsia="Arial" w:hAnsi="Arial"/>
          <w:sz w:val="17"/>
          <w:szCs w:val="17"/>
          <w:color w:val="auto"/>
        </w:rPr>
      </w:pPr>
    </w:p>
    <w:p>
      <w:pPr>
        <w:ind w:right="60" w:firstLine="436"/>
        <w:spacing w:after="0" w:line="273" w:lineRule="auto"/>
        <w:tabs>
          <w:tab w:leader="none" w:pos="830"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Agent Indemnification</w:t>
      </w:r>
      <w:r>
        <w:rPr>
          <w:rFonts w:ascii="Arial" w:cs="Arial" w:eastAsia="Arial" w:hAnsi="Arial"/>
          <w:sz w:val="17"/>
          <w:szCs w:val="17"/>
          <w:color w:val="auto"/>
        </w:rPr>
        <w:t>. The Agent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9(a),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77" w:lineRule="exact"/>
        <w:rPr>
          <w:rFonts w:ascii="Arial" w:cs="Arial" w:eastAsia="Arial" w:hAnsi="Arial"/>
          <w:sz w:val="17"/>
          <w:szCs w:val="17"/>
          <w:color w:val="auto"/>
        </w:rPr>
      </w:pPr>
    </w:p>
    <w:p>
      <w:pPr>
        <w:ind w:right="100" w:firstLine="436"/>
        <w:spacing w:after="0" w:line="263" w:lineRule="auto"/>
        <w:tabs>
          <w:tab w:leader="none" w:pos="82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Any party that proposes to assert the right to be indemnified under this Section 9 will, promptly after receipt of notice of commencement of any action against such party in respect of which a claim is to be made against an indemnifying party or parties under this Section 9, notify each such indemnifying party of the commencement of such action, enclosing a copy of all papers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127" w:name="page128"/>
    <w:bookmarkEnd w:id="12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served, but the omission so to notify such indemnifying party will not relieve the indemnifying party from (i) any liability that it might have to any indemnified party otherwise than under this Section 9 and (ii) any liability that it may have to any indemnified party under the foregoing provision of this Section 9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after the indemnifying party receives a written invoice relating to such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9 (whether or not any indemnified party is a party thereto), unless such settlement, compromise or consent (1) includes an unconditional release of each indemnified party, in form and substance reasonably satisfactory to such indemnified party, from all liability arising out of such claim, action or proceeding and (2) does not include a statement as to or an admission of fault, culpability or a failure to act by or on behalf of any indemnified party.</w:t>
      </w:r>
    </w:p>
    <w:p>
      <w:pPr>
        <w:spacing w:after="0" w:line="387" w:lineRule="exact"/>
        <w:rPr>
          <w:sz w:val="20"/>
          <w:szCs w:val="20"/>
          <w:color w:val="auto"/>
        </w:rPr>
      </w:pPr>
    </w:p>
    <w:p>
      <w:pPr>
        <w:ind w:right="100" w:firstLine="436"/>
        <w:spacing w:after="0" w:line="273" w:lineRule="auto"/>
        <w:tabs>
          <w:tab w:leader="none" w:pos="830"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Settlement Without Consent if Failure to Reimburse</w:t>
      </w:r>
      <w:r>
        <w:rPr>
          <w:rFonts w:ascii="Arial" w:cs="Arial" w:eastAsia="Arial" w:hAnsi="Arial"/>
          <w:sz w:val="17"/>
          <w:szCs w:val="17"/>
          <w:i w:val="1"/>
          <w:iCs w:val="1"/>
          <w:color w:val="auto"/>
        </w:rPr>
        <w:t>.</w:t>
      </w:r>
      <w:r>
        <w:rPr>
          <w:rFonts w:ascii="Arial" w:cs="Arial" w:eastAsia="Arial" w:hAnsi="Arial"/>
          <w:sz w:val="17"/>
          <w:szCs w:val="17"/>
          <w:color w:val="auto"/>
        </w:rPr>
        <w:t xml:space="preserve"> If an indemnified party shall have requested an indemnifying party to reimburse the indemnified party for reasonable fees and expenses of counsel for which it is entitled to be reimbursed under this Section 9, such indemnifying party agrees that it shall be liable for any settlement of the nature contemplated by Section 9(a)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28" w:name="page129"/>
    <w:bookmarkEnd w:id="128"/>
    <w:p>
      <w:pPr>
        <w:ind w:firstLine="436"/>
        <w:spacing w:after="0" w:line="283" w:lineRule="auto"/>
        <w:tabs>
          <w:tab w:leader="none" w:pos="82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Contribution</w:t>
      </w:r>
      <w:r>
        <w:rPr>
          <w:rFonts w:ascii="Arial" w:cs="Arial" w:eastAsia="Arial" w:hAnsi="Arial"/>
          <w:sz w:val="16"/>
          <w:szCs w:val="16"/>
          <w:color w:val="auto"/>
        </w:rPr>
        <w:t xml:space="preserve">. In order to provide for just and equitable contribution in circumstances in which the indemnification provided for in the foregoing paragraphs of this Section 9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investigation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suit, investigation or proceeding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Section 9(e) were to be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or by any other method of allocation that does not take into account the equitable considerations referred to herein. The amount paid or payable by an indemnified party as a result of the loss, claim, liability, expense or damage, or action, suit, investigation or proceeding in respect thereof, referred to above in this Section 9(e) shall be deemed to include, for the purpose of this Section 9(e), any legal or other expenses reasonably incurred by such indemnified party in connection with investigating or defending any such action, suit, investigation, proceeding or claim to the extent consistent with this Section 9. Notwithstanding the foregoing provisions of this Section 9(e),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9(e), any person who controls a party to this Agreement within the meaning of Section 15 of the Securities Act or Section 20 of the Exchange Act, any affiliates of the Agent, any partners, members, directors, officers, employees and agents of the Agent and each person that is controlled by or under common control with the Agent will have the same rights to contribution as that party,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9(e), will notify any such party or parties from whom contribution may be sought, but the omission to so notify will not relieve that party or parties from whom contribution may be sought from any other obligation it or they may have under this Section 9(e) except to the extent that the failure to so notify such other party materially prejudiced the substantive rights or defenses of the party from whom contribution is sought. Except for a settlement entered into pursuant to the last sentence of Section 9(c) hereof or pursuant to Section 9(d) hereof, no party will be liable for contribution with respect to any action or claim settled without its written consent if such consent is required pursuant to Section 9(c) hereof.</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129" w:name="page130"/>
    <w:bookmarkEnd w:id="129"/>
    <w:p>
      <w:pPr>
        <w:ind w:right="100" w:firstLine="436"/>
        <w:spacing w:after="0" w:line="257" w:lineRule="auto"/>
        <w:tabs>
          <w:tab w:leader="none" w:pos="84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Representations and Agreements to Survive Delivery</w:t>
      </w:r>
      <w:r>
        <w:rPr>
          <w:rFonts w:ascii="Arial" w:cs="Arial" w:eastAsia="Arial" w:hAnsi="Arial"/>
          <w:sz w:val="18"/>
          <w:szCs w:val="18"/>
          <w:color w:val="auto"/>
        </w:rPr>
        <w:t>. The indemnity and contribution agreements contained in Section 9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spacing w:after="0" w:line="187" w:lineRule="exact"/>
        <w:rPr>
          <w:rFonts w:ascii="Arial" w:cs="Arial" w:eastAsia="Arial" w:hAnsi="Arial"/>
          <w:sz w:val="18"/>
          <w:szCs w:val="18"/>
          <w:color w:val="auto"/>
        </w:rPr>
      </w:pPr>
    </w:p>
    <w:p>
      <w:pPr>
        <w:ind w:left="840" w:hanging="404"/>
        <w:spacing w:after="0"/>
        <w:tabs>
          <w:tab w:leader="none" w:pos="84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68" w:lineRule="auto"/>
        <w:tabs>
          <w:tab w:leader="none" w:pos="81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The Agent shall have the right, by giving notice as hereinafter specified, at any time to terminate this Agreement if (i) any Material Adverse Effect, or any development that could reasonably be expected to result in a Material Adverse Effect, has occurred that, in the judgment of the Agent, may materially impair the ability of the Agent to sell the Placement Shares hereunder, (ii) the Company shall have failed, refused or been unable to perform any agreement on its part to be performed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in the case of any failure of the Company to deliver (or cause another person to deliver) any certification, opinion or letter required under Section 7(m), Section 7(n), Section 7(o) or Section 7(p), the Agent’s right to terminate shall not arise unless such failure to deliver (or cause to be delivered) continues for more than 15 calendar days from the date such delivery was required, (iii) any other condition of the Agent’s obligations hereunder is not fulfilled, (iv) any suspension or limitation of trading in the Placement Shares or in securities generally on Nasdaq shall have occurred, (v) a general banking moratorium shall have been declared by any of United States federal or New York authorities, or (vi)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that, in the judgment of the Agent, may materially impair the ability of the Agent to sell the Placement Shares hereunder or to enforce contracts for the sale of securities. Any such termination shall be without liability of any party to any other party except that the provisions of Section 7(g), Section 9, Section 10, Section 16 and Section 17 hereof shall remain in full force and effect notwithstanding such termination. If the Agent elects to terminate this Agreement as provided in this Section 11(a), the Agent shall provide the required notice as specified in Section 12.</w:t>
      </w:r>
    </w:p>
    <w:p>
      <w:pPr>
        <w:spacing w:after="0" w:line="181" w:lineRule="exact"/>
        <w:rPr>
          <w:rFonts w:ascii="Arial" w:cs="Arial" w:eastAsia="Arial" w:hAnsi="Arial"/>
          <w:sz w:val="17"/>
          <w:szCs w:val="17"/>
          <w:color w:val="auto"/>
        </w:rPr>
      </w:pPr>
    </w:p>
    <w:p>
      <w:pPr>
        <w:jc w:val="both"/>
        <w:ind w:right="120" w:firstLine="436"/>
        <w:spacing w:after="0" w:line="259" w:lineRule="auto"/>
        <w:tabs>
          <w:tab w:leader="none" w:pos="82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186" w:lineRule="exact"/>
        <w:rPr>
          <w:rFonts w:ascii="Arial" w:cs="Arial" w:eastAsia="Arial" w:hAnsi="Arial"/>
          <w:sz w:val="18"/>
          <w:szCs w:val="18"/>
          <w:color w:val="auto"/>
        </w:rPr>
      </w:pPr>
    </w:p>
    <w:p>
      <w:pPr>
        <w:ind w:right="220" w:firstLine="436"/>
        <w:spacing w:after="0" w:line="259" w:lineRule="auto"/>
        <w:tabs>
          <w:tab w:leader="none" w:pos="81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Agent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186" w:lineRule="exact"/>
        <w:rPr>
          <w:rFonts w:ascii="Arial" w:cs="Arial" w:eastAsia="Arial" w:hAnsi="Arial"/>
          <w:sz w:val="18"/>
          <w:szCs w:val="18"/>
          <w:color w:val="auto"/>
        </w:rPr>
      </w:pPr>
    </w:p>
    <w:p>
      <w:pPr>
        <w:ind w:right="160" w:firstLine="436"/>
        <w:spacing w:after="0" w:line="311" w:lineRule="auto"/>
        <w:tabs>
          <w:tab w:leader="none" w:pos="83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Unless earlier terminated pursuant to this Section 11, this Agreement shall automatically terminate upon the issuance and sale of all of the Placement Shares through the Agent on the terms and subject to the conditions set forth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provisions of Section 7(g), Section 9, Section 10, Section 11(f), Section 16 and Section 17 hereof shall remain in full force and effect notwithstanding such termination.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130" w:name="page131"/>
    <w:bookmarkEnd w:id="130"/>
    <w:p>
      <w:pPr>
        <w:ind w:right="340" w:firstLine="436"/>
        <w:spacing w:after="0" w:line="286" w:lineRule="auto"/>
        <w:tabs>
          <w:tab w:leader="none" w:pos="817" w:val="left"/>
        </w:tabs>
        <w:numPr>
          <w:ilvl w:val="0"/>
          <w:numId w:val="1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This Agreement shall remain in full force and effect unless terminated pursuant to Sections 11(a), (b), (c), or (d) above or otherwise by mutual agreement of the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termination by mutual agreement shall in all cases be deemed to provide that Section 7(g), Section 9, Section 10, Section 11(f), Section 16 and Section 17 shall remain in full force and effect.</w:t>
      </w:r>
    </w:p>
    <w:p>
      <w:pPr>
        <w:spacing w:after="0" w:line="165" w:lineRule="exact"/>
        <w:rPr>
          <w:rFonts w:ascii="Arial" w:cs="Arial" w:eastAsia="Arial" w:hAnsi="Arial"/>
          <w:sz w:val="17"/>
          <w:szCs w:val="17"/>
          <w:color w:val="auto"/>
        </w:rPr>
      </w:pPr>
    </w:p>
    <w:p>
      <w:pPr>
        <w:ind w:firstLine="436"/>
        <w:spacing w:after="0" w:line="273" w:lineRule="auto"/>
        <w:tabs>
          <w:tab w:leader="none" w:pos="79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Any termination of this Agreement shall be effective on the date specified in such notice of termination;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the Agent any discount or commission with respect to any Placement Shares not otherwise sold by the Agent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remain obligated to reimburse the Agent’s expenses pursuant to Section 7(g).</w:t>
      </w:r>
    </w:p>
    <w:p>
      <w:pPr>
        <w:spacing w:after="0" w:line="178" w:lineRule="exact"/>
        <w:rPr>
          <w:sz w:val="20"/>
          <w:szCs w:val="20"/>
          <w:color w:val="auto"/>
        </w:rPr>
      </w:pPr>
    </w:p>
    <w:p>
      <w:pPr>
        <w:ind w:right="20" w:firstLine="436"/>
        <w:spacing w:after="0" w:line="277" w:lineRule="auto"/>
        <w:tabs>
          <w:tab w:leader="none" w:pos="845"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SVB Leerink LLC</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1301 Avenue of the Americas, 12</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York10019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Peter M. Fry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peter.fry@svbleerink.com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SVB Leerink LLC</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1301 Avenue of the Americas, 12</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Stuart R. Nayman, Esq.</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stuart.nayman@svbleerink.com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 if to the Company, shall be delivered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Cavendish Place, 4th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London W1G 0QF United Kingdom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legal@mereobiopharma.com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Sophia Hudson, P.C.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sophia.hudson@kirkland.com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Mayer Brown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10020</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60"/>
          </w:cols>
          <w:pgMar w:left="440" w:top="274" w:right="599" w:bottom="1440" w:gutter="0" w:footer="0" w:header="0"/>
        </w:sectPr>
      </w:pPr>
    </w:p>
    <w:bookmarkStart w:id="131" w:name="page132"/>
    <w:bookmarkEnd w:id="13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Attention: David S. Bakst</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dbakst@mayerbrown.com</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Mayer Brown International LLP</w:t>
      </w:r>
    </w:p>
    <w:p>
      <w:pPr>
        <w:spacing w:after="0" w:line="23" w:lineRule="exact"/>
        <w:rPr>
          <w:sz w:val="20"/>
          <w:szCs w:val="20"/>
          <w:color w:val="auto"/>
        </w:rPr>
      </w:pPr>
    </w:p>
    <w:p>
      <w:pPr>
        <w:ind w:left="444" w:right="8740" w:hanging="4"/>
        <w:spacing w:after="0" w:line="281" w:lineRule="auto"/>
        <w:tabs>
          <w:tab w:leader="none" w:pos="759" w:val="left"/>
        </w:tabs>
        <w:numPr>
          <w:ilvl w:val="0"/>
          <w:numId w:val="121"/>
        </w:numPr>
        <w:rPr>
          <w:rFonts w:ascii="Arial" w:cs="Arial" w:eastAsia="Arial" w:hAnsi="Arial"/>
          <w:sz w:val="16"/>
          <w:szCs w:val="16"/>
          <w:color w:val="auto"/>
        </w:rPr>
      </w:pPr>
      <w:r>
        <w:rPr>
          <w:rFonts w:ascii="Arial" w:cs="Arial" w:eastAsia="Arial" w:hAnsi="Arial"/>
          <w:sz w:val="16"/>
          <w:szCs w:val="16"/>
          <w:color w:val="auto"/>
        </w:rPr>
        <w:t>Bishopsgate London EC2M 3AF United Kingdom Attention: Richard Smith</w:t>
      </w:r>
    </w:p>
    <w:p>
      <w:pPr>
        <w:spacing w:after="0" w:line="2"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E-mail: rsmith@mayerbrown.com</w:t>
      </w:r>
    </w:p>
    <w:p>
      <w:pPr>
        <w:spacing w:after="0" w:line="211" w:lineRule="exact"/>
        <w:rPr>
          <w:sz w:val="20"/>
          <w:szCs w:val="20"/>
          <w:color w:val="auto"/>
        </w:rPr>
      </w:pPr>
    </w:p>
    <w:p>
      <w:pPr>
        <w:ind w:left="4" w:right="60"/>
        <w:spacing w:after="0" w:line="287" w:lineRule="auto"/>
        <w:rPr>
          <w:sz w:val="20"/>
          <w:szCs w:val="20"/>
          <w:color w:val="auto"/>
        </w:rPr>
      </w:pPr>
      <w:r>
        <w:rPr>
          <w:rFonts w:ascii="Arial" w:cs="Arial" w:eastAsia="Arial" w:hAnsi="Arial"/>
          <w:sz w:val="16"/>
          <w:szCs w:val="16"/>
          <w:color w:val="auto"/>
        </w:rPr>
        <w:t>Each party to this Agreement may change such address for notices by sending to the parties to this Agreement written notice of a new address for such purpose. Each such notice or other communication shall be deemed given (i) when delivered personally on or before 4:30 P.M., New York City time, on a Business Day, or, if such day is not a Business Day, on the next succeeding Business Day, (ii) by Electronic Notice as set forth in the next paragraph,</w:t>
      </w:r>
    </w:p>
    <w:p>
      <w:pPr>
        <w:spacing w:after="0" w:line="2" w:lineRule="exact"/>
        <w:rPr>
          <w:sz w:val="20"/>
          <w:szCs w:val="20"/>
          <w:color w:val="auto"/>
        </w:rPr>
      </w:pPr>
    </w:p>
    <w:p>
      <w:pPr>
        <w:ind w:left="4" w:right="20" w:hanging="4"/>
        <w:spacing w:after="0" w:line="255" w:lineRule="auto"/>
        <w:tabs>
          <w:tab w:leader="none" w:pos="31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shall mean any day on which Nasdaq and commercial banks in the City of New York are open for business.</w:t>
      </w:r>
    </w:p>
    <w:p>
      <w:pPr>
        <w:spacing w:after="0" w:line="186" w:lineRule="exact"/>
        <w:rPr>
          <w:sz w:val="20"/>
          <w:szCs w:val="20"/>
          <w:color w:val="auto"/>
        </w:rPr>
      </w:pPr>
    </w:p>
    <w:p>
      <w:pPr>
        <w:ind w:left="4" w:right="20"/>
        <w:spacing w:after="0" w:line="258" w:lineRule="auto"/>
        <w:rPr>
          <w:sz w:val="20"/>
          <w:szCs w:val="20"/>
          <w:color w:val="auto"/>
        </w:rPr>
      </w:pPr>
      <w:r>
        <w:rPr>
          <w:rFonts w:ascii="Arial" w:cs="Arial" w:eastAsia="Arial" w:hAnsi="Arial"/>
          <w:sz w:val="18"/>
          <w:szCs w:val="18"/>
          <w:color w:val="auto"/>
        </w:rPr>
        <w:t>An electronic communication (“</w:t>
      </w:r>
      <w:r>
        <w:rPr>
          <w:rFonts w:ascii="Arial" w:cs="Arial" w:eastAsia="Arial" w:hAnsi="Arial"/>
          <w:sz w:val="18"/>
          <w:szCs w:val="18"/>
          <w:b w:val="1"/>
          <w:bCs w:val="1"/>
          <w:u w:val="single" w:color="auto"/>
          <w:color w:val="auto"/>
        </w:rPr>
        <w:t>Electronic Notice</w:t>
      </w:r>
      <w:r>
        <w:rPr>
          <w:rFonts w:ascii="Arial" w:cs="Arial" w:eastAsia="Arial" w:hAnsi="Arial"/>
          <w:sz w:val="18"/>
          <w:szCs w:val="18"/>
          <w:color w:val="auto"/>
        </w:rPr>
        <w:t>”) shall be deemed written notice for purposes of this Section 12 if sent to the electronic mail address specified by the receiving party in Section 12. Electronic Notice shall be deemed received at the time the party sending Electronic Notice receives actual acknowledgment of receipt from the person whom the notice is sent, other than via auto-reply. Any party receiving Electronic Notice may request and shall be entitled to receive the notice on paper, in a non-electronic form (“</w:t>
      </w:r>
      <w:r>
        <w:rPr>
          <w:rFonts w:ascii="Arial" w:cs="Arial" w:eastAsia="Arial" w:hAnsi="Arial"/>
          <w:sz w:val="18"/>
          <w:szCs w:val="18"/>
          <w:b w:val="1"/>
          <w:bCs w:val="1"/>
          <w:u w:val="single" w:color="auto"/>
          <w:color w:val="auto"/>
        </w:rPr>
        <w:t>Non-electronic Notice</w:t>
      </w:r>
      <w:r>
        <w:rPr>
          <w:rFonts w:ascii="Arial" w:cs="Arial" w:eastAsia="Arial" w:hAnsi="Arial"/>
          <w:sz w:val="18"/>
          <w:szCs w:val="18"/>
          <w:color w:val="auto"/>
        </w:rPr>
        <w:t>”), which shall be sent to the requesting party within 10 days of receipt of the written request for Non-electronic Notice.</w:t>
      </w:r>
    </w:p>
    <w:p>
      <w:pPr>
        <w:spacing w:after="0" w:line="187" w:lineRule="exact"/>
        <w:rPr>
          <w:sz w:val="20"/>
          <w:szCs w:val="20"/>
          <w:color w:val="auto"/>
        </w:rPr>
      </w:pPr>
    </w:p>
    <w:p>
      <w:pPr>
        <w:ind w:left="4" w:right="60" w:firstLine="436"/>
        <w:spacing w:after="0" w:line="271" w:lineRule="auto"/>
        <w:tabs>
          <w:tab w:leader="none" w:pos="849"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This Agreement shall inure to the benefit of and be binding upon the Company and the Agent and their respective successors and the affiliates, controlling persons, officers, directors and other persons referred to in Section 9 hereof. References to any of the parties contained in this Agreement shall be deemed to include the successors and permitted assigns of each such 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Agent may assign its rights and obligations hereunder to an affiliate of the Agent without obtaining the Company’s consent, so long as</w:t>
      </w:r>
      <w:r>
        <w:rPr>
          <w:rFonts w:ascii="Arial" w:cs="Arial" w:eastAsia="Arial" w:hAnsi="Arial"/>
          <w:sz w:val="17"/>
          <w:szCs w:val="17"/>
          <w:i w:val="1"/>
          <w:iCs w:val="1"/>
          <w:color w:val="auto"/>
        </w:rPr>
        <w:t xml:space="preserve"> </w:t>
      </w:r>
      <w:r>
        <w:rPr>
          <w:rFonts w:ascii="Arial" w:cs="Arial" w:eastAsia="Arial" w:hAnsi="Arial"/>
          <w:sz w:val="17"/>
          <w:szCs w:val="17"/>
          <w:color w:val="auto"/>
        </w:rPr>
        <w:t>such affiliate is a registered broker-dealer.</w:t>
      </w:r>
    </w:p>
    <w:p>
      <w:pPr>
        <w:spacing w:after="0" w:line="178" w:lineRule="exact"/>
        <w:rPr>
          <w:rFonts w:ascii="Arial" w:cs="Arial" w:eastAsia="Arial" w:hAnsi="Arial"/>
          <w:sz w:val="17"/>
          <w:szCs w:val="17"/>
          <w:color w:val="auto"/>
        </w:rPr>
      </w:pPr>
    </w:p>
    <w:p>
      <w:pPr>
        <w:ind w:left="4" w:right="600" w:firstLine="436"/>
        <w:spacing w:after="0" w:line="308" w:lineRule="auto"/>
        <w:tabs>
          <w:tab w:leader="none" w:pos="849"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Adjustments for Share Splits</w:t>
      </w:r>
      <w:r>
        <w:rPr>
          <w:rFonts w:ascii="Arial" w:cs="Arial" w:eastAsia="Arial" w:hAnsi="Arial"/>
          <w:sz w:val="17"/>
          <w:szCs w:val="17"/>
          <w:color w:val="auto"/>
        </w:rPr>
        <w:t>. The parties acknowledge and agree that all share-related numbers contained in this Agreement shall be adjusted to take into account any share split, share dividend or similar event effected with respect to the Ordinary Shares.</w:t>
      </w:r>
    </w:p>
    <w:p>
      <w:pPr>
        <w:spacing w:after="0" w:line="146" w:lineRule="exact"/>
        <w:rPr>
          <w:rFonts w:ascii="Arial" w:cs="Arial" w:eastAsia="Arial" w:hAnsi="Arial"/>
          <w:sz w:val="17"/>
          <w:szCs w:val="17"/>
          <w:color w:val="auto"/>
        </w:rPr>
      </w:pPr>
    </w:p>
    <w:p>
      <w:pPr>
        <w:ind w:left="4" w:firstLine="436"/>
        <w:spacing w:after="0" w:line="257" w:lineRule="auto"/>
        <w:tabs>
          <w:tab w:leader="none" w:pos="849"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 Severability; Waiver</w:t>
      </w:r>
      <w:r>
        <w:rPr>
          <w:rFonts w:ascii="Arial" w:cs="Arial" w:eastAsia="Arial" w:hAnsi="Arial"/>
          <w:sz w:val="18"/>
          <w:szCs w:val="18"/>
          <w:color w:val="auto"/>
        </w:rPr>
        <w:t xml:space="preserve">.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132" w:name="page133"/>
    <w:bookmarkEnd w:id="132"/>
    <w:p>
      <w:pPr>
        <w:spacing w:after="0" w:line="253"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2</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may be amended by either party from time to time by sending a notice containing a revised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Schedule 2</w:t>
      </w:r>
      <w:r>
        <w:rPr>
          <w:rFonts w:ascii="Arial" w:cs="Arial" w:eastAsia="Arial" w:hAnsi="Arial"/>
          <w:sz w:val="18"/>
          <w:szCs w:val="18"/>
          <w:b w:val="1"/>
          <w:bCs w:val="1"/>
          <w:color w:val="auto"/>
        </w:rPr>
        <w:t xml:space="preserve"> </w:t>
      </w:r>
      <w:r>
        <w:rPr>
          <w:rFonts w:ascii="Arial" w:cs="Arial" w:eastAsia="Arial" w:hAnsi="Arial"/>
          <w:sz w:val="18"/>
          <w:szCs w:val="18"/>
          <w:color w:val="auto"/>
        </w:rPr>
        <w:t>to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the manner provided in Section 12 and, upon such amendment, all references herein to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shall automatically be deemed to refer to such amended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94" w:lineRule="exact"/>
        <w:rPr>
          <w:sz w:val="20"/>
          <w:szCs w:val="20"/>
          <w:color w:val="auto"/>
        </w:rPr>
      </w:pPr>
    </w:p>
    <w:p>
      <w:pPr>
        <w:ind w:right="100" w:firstLine="436"/>
        <w:spacing w:after="0" w:line="256" w:lineRule="auto"/>
        <w:tabs>
          <w:tab w:leader="none" w:pos="845" w:val="left"/>
        </w:tabs>
        <w:numPr>
          <w:ilvl w:val="0"/>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AND TIME; WAIVER OF JURY TRIAL</w:t>
      </w:r>
      <w:r>
        <w:rPr>
          <w:rFonts w:ascii="Arial" w:cs="Arial" w:eastAsia="Arial" w:hAnsi="Arial"/>
          <w:sz w:val="18"/>
          <w:szCs w:val="18"/>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91" w:lineRule="exact"/>
        <w:rPr>
          <w:rFonts w:ascii="Arial" w:cs="Arial" w:eastAsia="Arial" w:hAnsi="Arial"/>
          <w:sz w:val="18"/>
          <w:szCs w:val="18"/>
          <w:color w:val="auto"/>
        </w:rPr>
      </w:pPr>
    </w:p>
    <w:p>
      <w:pPr>
        <w:ind w:firstLine="436"/>
        <w:spacing w:after="0" w:line="271" w:lineRule="auto"/>
        <w:tabs>
          <w:tab w:leader="none" w:pos="845"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Consent to Jurisdiction</w:t>
      </w:r>
      <w:r>
        <w:rPr>
          <w:rFonts w:ascii="Arial" w:cs="Arial" w:eastAsia="Arial" w:hAnsi="Arial"/>
          <w:sz w:val="17"/>
          <w:szCs w:val="17"/>
          <w:color w:val="auto"/>
        </w:rPr>
        <w:t>. Each party hereby irrevocably submits to the exclusive jurisdiction of the state and federal courts sitting in the City of New York, Borough of Manhattan, for the adjudication of any dispute hereunder or in connection with any of the transactions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(certified or registered mail, return receipt requested) to such party at the address in effect for notices under Section 12 of this Agreement and agrees that such service shall constitute good and sufficient notice of process and notice thereof. Nothing contained herein shall be deemed to limit in any way any right to serve process in any manner permitted by law.</w:t>
      </w:r>
    </w:p>
    <w:p>
      <w:pPr>
        <w:spacing w:after="0" w:line="178" w:lineRule="exact"/>
        <w:rPr>
          <w:rFonts w:ascii="Arial" w:cs="Arial" w:eastAsia="Arial" w:hAnsi="Arial"/>
          <w:sz w:val="17"/>
          <w:szCs w:val="17"/>
          <w:color w:val="auto"/>
        </w:rPr>
      </w:pPr>
    </w:p>
    <w:p>
      <w:pPr>
        <w:ind w:left="840" w:hanging="404"/>
        <w:spacing w:after="0"/>
        <w:tabs>
          <w:tab w:leader="none" w:pos="84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w:t>
      </w:r>
    </w:p>
    <w:p>
      <w:pPr>
        <w:spacing w:after="0" w:line="225" w:lineRule="exact"/>
        <w:rPr>
          <w:sz w:val="20"/>
          <w:szCs w:val="20"/>
          <w:color w:val="auto"/>
        </w:rPr>
      </w:pPr>
    </w:p>
    <w:p>
      <w:pPr>
        <w:ind w:left="820" w:hanging="384"/>
        <w:spacing w:after="0"/>
        <w:tabs>
          <w:tab w:leader="none" w:pos="8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section and exhibit headings herein are for convenience only and shall not affect the construction hereof.</w:t>
      </w:r>
    </w:p>
    <w:p>
      <w:pPr>
        <w:spacing w:after="0" w:line="225" w:lineRule="exact"/>
        <w:rPr>
          <w:rFonts w:ascii="Arial" w:cs="Arial" w:eastAsia="Arial" w:hAnsi="Arial"/>
          <w:sz w:val="18"/>
          <w:szCs w:val="18"/>
          <w:color w:val="auto"/>
        </w:rPr>
      </w:pPr>
    </w:p>
    <w:p>
      <w:pPr>
        <w:ind w:left="820" w:hanging="384"/>
        <w:spacing w:after="0"/>
        <w:tabs>
          <w:tab w:leader="none" w:pos="8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Words defined in the singular shall have a comparable meaning when used in the plural, and vice versa.</w:t>
      </w:r>
    </w:p>
    <w:p>
      <w:pPr>
        <w:spacing w:after="0" w:line="225" w:lineRule="exact"/>
        <w:rPr>
          <w:rFonts w:ascii="Arial" w:cs="Arial" w:eastAsia="Arial" w:hAnsi="Arial"/>
          <w:sz w:val="18"/>
          <w:szCs w:val="18"/>
          <w:color w:val="auto"/>
        </w:rPr>
      </w:pPr>
    </w:p>
    <w:p>
      <w:pPr>
        <w:ind w:right="540" w:firstLine="436"/>
        <w:spacing w:after="0" w:line="277" w:lineRule="auto"/>
        <w:tabs>
          <w:tab w:leader="none" w:pos="81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words “hereof,” “hereto,” “herein” and “hereunder” and words of similar import, when used in this Agreement, shall refer to this Agreement as a whole and not to any particular provision of this Agreement.</w:t>
      </w:r>
    </w:p>
    <w:p>
      <w:pPr>
        <w:spacing w:after="0" w:line="170" w:lineRule="exact"/>
        <w:rPr>
          <w:rFonts w:ascii="Arial" w:cs="Arial" w:eastAsia="Arial" w:hAnsi="Arial"/>
          <w:sz w:val="18"/>
          <w:szCs w:val="18"/>
          <w:color w:val="auto"/>
        </w:rPr>
      </w:pPr>
    </w:p>
    <w:p>
      <w:pPr>
        <w:ind w:left="820" w:hanging="384"/>
        <w:spacing w:after="0"/>
        <w:tabs>
          <w:tab w:leader="none" w:pos="8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Wherever the word “include,” “includes” or “including” is used in this Agreement, it shall be deemed to be followed by the words “without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limitation.”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40" w:top="270" w:right="499" w:bottom="1440" w:gutter="0" w:footer="0" w:header="0"/>
        </w:sectPr>
      </w:pPr>
    </w:p>
    <w:bookmarkStart w:id="133" w:name="page134"/>
    <w:bookmarkEnd w:id="133"/>
    <w:p>
      <w:pPr>
        <w:ind w:left="820" w:hanging="384"/>
        <w:spacing w:after="0"/>
        <w:tabs>
          <w:tab w:leader="none" w:pos="8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References herein to any gender shall include each other gender.</w:t>
      </w:r>
    </w:p>
    <w:p>
      <w:pPr>
        <w:spacing w:after="0" w:line="225" w:lineRule="exact"/>
        <w:rPr>
          <w:rFonts w:ascii="Arial" w:cs="Arial" w:eastAsia="Arial" w:hAnsi="Arial"/>
          <w:sz w:val="18"/>
          <w:szCs w:val="18"/>
          <w:color w:val="auto"/>
        </w:rPr>
      </w:pPr>
    </w:p>
    <w:p>
      <w:pPr>
        <w:ind w:right="20" w:firstLine="436"/>
        <w:spacing w:after="0" w:line="286" w:lineRule="auto"/>
        <w:tabs>
          <w:tab w:leader="none" w:pos="8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65" w:lineRule="exact"/>
        <w:rPr>
          <w:sz w:val="20"/>
          <w:szCs w:val="20"/>
          <w:color w:val="auto"/>
        </w:rPr>
      </w:pPr>
    </w:p>
    <w:p>
      <w:pPr>
        <w:ind w:firstLine="436"/>
        <w:spacing w:after="0" w:line="254" w:lineRule="auto"/>
        <w:tabs>
          <w:tab w:leader="none" w:pos="845"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Permitted Free Writing Prospectuses</w:t>
      </w:r>
      <w:r>
        <w:rPr>
          <w:rFonts w:ascii="Arial" w:cs="Arial" w:eastAsia="Arial" w:hAnsi="Arial"/>
          <w:sz w:val="18"/>
          <w:szCs w:val="18"/>
          <w:color w:val="auto"/>
        </w:rPr>
        <w:t>. Each of the Company and the Agent represents, warrants and agrees that, unless it obtains the prior written consent of the other party,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w:t>
      </w:r>
      <w:r>
        <w:rPr>
          <w:rFonts w:ascii="Arial" w:cs="Arial" w:eastAsia="Arial" w:hAnsi="Arial"/>
          <w:sz w:val="18"/>
          <w:szCs w:val="18"/>
          <w:b w:val="1"/>
          <w:bCs w:val="1"/>
          <w:u w:val="single" w:color="auto"/>
          <w:color w:val="auto"/>
        </w:rPr>
        <w:t>Permitted Free Writing Prospectus</w:t>
      </w:r>
      <w:r>
        <w:rPr>
          <w:rFonts w:ascii="Arial" w:cs="Arial" w:eastAsia="Arial" w:hAnsi="Arial"/>
          <w:sz w:val="18"/>
          <w:szCs w:val="18"/>
          <w:color w:val="auto"/>
        </w:rPr>
        <w:t>.” The Company represents and warrants that it has treated and agrees that it will treat each Permitted Free Writing Prospectus as an issuer free writing prospectus, and that it has complied and will comply with the requirements of Rule 433 applicable to any Permitted Free Writing Prospectus, including timely filing with the Commission where required, legending and record keeping.</w:t>
      </w:r>
    </w:p>
    <w:p>
      <w:pPr>
        <w:spacing w:after="0" w:line="191" w:lineRule="exact"/>
        <w:rPr>
          <w:rFonts w:ascii="Arial" w:cs="Arial" w:eastAsia="Arial" w:hAnsi="Arial"/>
          <w:sz w:val="18"/>
          <w:szCs w:val="18"/>
          <w:color w:val="auto"/>
        </w:rPr>
      </w:pPr>
    </w:p>
    <w:p>
      <w:pPr>
        <w:ind w:left="840" w:hanging="404"/>
        <w:spacing w:after="0"/>
        <w:tabs>
          <w:tab w:leader="none" w:pos="8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Absence of Fiduciary Relationship</w:t>
      </w:r>
      <w:r>
        <w:rPr>
          <w:rFonts w:ascii="Arial" w:cs="Arial" w:eastAsia="Arial" w:hAnsi="Arial"/>
          <w:sz w:val="18"/>
          <w:szCs w:val="18"/>
          <w:color w:val="auto"/>
        </w:rPr>
        <w:t>. The Company acknowledges and agrees that:</w:t>
      </w:r>
    </w:p>
    <w:p>
      <w:pPr>
        <w:spacing w:after="0" w:line="225" w:lineRule="exact"/>
        <w:rPr>
          <w:sz w:val="20"/>
          <w:szCs w:val="20"/>
          <w:color w:val="auto"/>
        </w:rPr>
      </w:pPr>
    </w:p>
    <w:p>
      <w:pPr>
        <w:ind w:right="20" w:firstLine="436"/>
        <w:spacing w:after="0" w:line="296" w:lineRule="auto"/>
        <w:tabs>
          <w:tab w:leader="none" w:pos="8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Agent has been retained to act as sales agent in connection with the sale of the Placement Shares, the Agent has acted at arms’ length and no fiduciary or advisory relationship between the Company or any of its respective affiliates, shareholders (or other equity holders), creditors or employees or any other party, on the one hand, and the Agent, on the other hand, has been or will be created in respect of any of the transactions contemplated by this Agreement, irrespective of whether the Agent has advised or is advising the Company on other matters and the Agent has no duties or obligations to the Company with respect to the transactions contemplated by this Agreement except the obligations expressly set forth herein;</w:t>
      </w:r>
    </w:p>
    <w:p>
      <w:pPr>
        <w:spacing w:after="0" w:line="161" w:lineRule="exact"/>
        <w:rPr>
          <w:rFonts w:ascii="Arial" w:cs="Arial" w:eastAsia="Arial" w:hAnsi="Arial"/>
          <w:sz w:val="16"/>
          <w:szCs w:val="16"/>
          <w:color w:val="auto"/>
        </w:rPr>
      </w:pPr>
    </w:p>
    <w:p>
      <w:pPr>
        <w:ind w:right="340" w:firstLine="436"/>
        <w:spacing w:after="0" w:line="277" w:lineRule="auto"/>
        <w:tabs>
          <w:tab w:leader="none" w:pos="83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is capable of evaluating, and understanding and understands and accepts, the terms, risks and conditions of the transactions contemplated by this Agreement;</w:t>
      </w:r>
    </w:p>
    <w:p>
      <w:pPr>
        <w:spacing w:after="0" w:line="170" w:lineRule="exact"/>
        <w:rPr>
          <w:rFonts w:ascii="Arial" w:cs="Arial" w:eastAsia="Arial" w:hAnsi="Arial"/>
          <w:sz w:val="18"/>
          <w:szCs w:val="18"/>
          <w:color w:val="auto"/>
        </w:rPr>
      </w:pPr>
    </w:p>
    <w:p>
      <w:pPr>
        <w:ind w:right="40" w:firstLine="436"/>
        <w:spacing w:after="0" w:line="342" w:lineRule="auto"/>
        <w:tabs>
          <w:tab w:leader="none" w:pos="8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23" w:lineRule="exact"/>
        <w:rPr>
          <w:rFonts w:ascii="Arial" w:cs="Arial" w:eastAsia="Arial" w:hAnsi="Arial"/>
          <w:sz w:val="16"/>
          <w:szCs w:val="16"/>
          <w:color w:val="auto"/>
        </w:rPr>
      </w:pPr>
    </w:p>
    <w:p>
      <w:pPr>
        <w:ind w:right="120" w:firstLine="436"/>
        <w:spacing w:after="0" w:line="263" w:lineRule="auto"/>
        <w:tabs>
          <w:tab w:leader="none" w:pos="83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has been advised and is aware that the Agent and its affiliates are engaged in a broad range of transactions which may involve interests that differ from those of the Company and that the Agent and its affiliates have no obligation to disclose such interests and transactions to the Company by virtue of any fiduciary, advisory or agency relationship or otherwise; and</w:t>
      </w:r>
    </w:p>
    <w:p>
      <w:pPr>
        <w:spacing w:after="0" w:line="183" w:lineRule="exact"/>
        <w:rPr>
          <w:rFonts w:ascii="Arial" w:cs="Arial" w:eastAsia="Arial" w:hAnsi="Arial"/>
          <w:sz w:val="18"/>
          <w:szCs w:val="18"/>
          <w:color w:val="auto"/>
        </w:rPr>
      </w:pPr>
    </w:p>
    <w:p>
      <w:pPr>
        <w:jc w:val="both"/>
        <w:ind w:right="160" w:firstLine="436"/>
        <w:spacing w:after="0" w:line="301" w:lineRule="auto"/>
        <w:tabs>
          <w:tab w:leader="none" w:pos="8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Company waives, to the fullest extent permitted by law, any claims it may have against the Agent or its affiliates for breach of fiduciary duty or alleged breach of fiduciary duty in connection with the transactions contemplated by this Agreement and agrees that the Agent and its affiliates shall have no liability (whether direct or indirect) to the Company in respect of such a fiduciary claim or to any person asserting a fiduciary duty claim on behalf of or in right of the Company, including shareholders (or other equity holders), creditors or employees of the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134" w:name="page135"/>
    <w:bookmarkEnd w:id="134"/>
    <w:p>
      <w:pPr>
        <w:ind w:left="4" w:right="40" w:firstLine="436"/>
        <w:spacing w:after="0" w:line="259" w:lineRule="auto"/>
        <w:tabs>
          <w:tab w:leader="none" w:pos="849"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Recognition of the U.S. Special Resolution Regimes</w:t>
      </w:r>
      <w:r>
        <w:rPr>
          <w:rFonts w:ascii="Arial" w:cs="Arial" w:eastAsia="Arial" w:hAnsi="Arial"/>
          <w:sz w:val="18"/>
          <w:szCs w:val="18"/>
          <w:color w:val="auto"/>
        </w:rPr>
        <w:t>.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w:t>
      </w:r>
    </w:p>
    <w:p>
      <w:pPr>
        <w:spacing w:after="0" w:line="2" w:lineRule="exact"/>
        <w:rPr>
          <w:sz w:val="20"/>
          <w:szCs w:val="20"/>
          <w:color w:val="auto"/>
        </w:rPr>
      </w:pPr>
    </w:p>
    <w:p>
      <w:pPr>
        <w:ind w:left="4" w:right="20" w:hanging="4"/>
        <w:spacing w:after="0" w:line="253" w:lineRule="auto"/>
        <w:tabs>
          <w:tab w:leader="none" w:pos="31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92" w:lineRule="exact"/>
        <w:rPr>
          <w:rFonts w:ascii="Arial" w:cs="Arial" w:eastAsia="Arial" w:hAnsi="Arial"/>
          <w:sz w:val="18"/>
          <w:szCs w:val="18"/>
          <w:color w:val="auto"/>
        </w:rPr>
      </w:pPr>
    </w:p>
    <w:p>
      <w:pPr>
        <w:ind w:left="4" w:right="340" w:firstLine="436"/>
        <w:spacing w:after="0" w:line="263" w:lineRule="auto"/>
        <w:tabs>
          <w:tab w:leader="none" w:pos="849"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w:t>
      </w:r>
    </w:p>
    <w:p>
      <w:pPr>
        <w:spacing w:after="0" w:line="183" w:lineRule="exact"/>
        <w:rPr>
          <w:rFonts w:ascii="Arial" w:cs="Arial" w:eastAsia="Arial" w:hAnsi="Arial"/>
          <w:sz w:val="18"/>
          <w:szCs w:val="18"/>
          <w:color w:val="auto"/>
        </w:rPr>
      </w:pPr>
    </w:p>
    <w:p>
      <w:pPr>
        <w:ind w:left="4" w:right="840" w:firstLine="436"/>
        <w:spacing w:after="0" w:line="263" w:lineRule="auto"/>
        <w:tabs>
          <w:tab w:leader="none" w:pos="849"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Use of Information</w:t>
      </w:r>
      <w:r>
        <w:rPr>
          <w:rFonts w:ascii="Arial" w:cs="Arial" w:eastAsia="Arial" w:hAnsi="Arial"/>
          <w:sz w:val="18"/>
          <w:szCs w:val="18"/>
          <w:color w:val="auto"/>
        </w:rPr>
        <w:t>. The Agent may not provide any information gained in connection with this Agreement and the transactions contemplated by this Agreement, including due diligence, to any third party other than its legal counsel advising it on this Agreement and the transactions contemplated by this Agreement unless expressly approved by the Company in writing.</w:t>
      </w:r>
    </w:p>
    <w:p>
      <w:pPr>
        <w:spacing w:after="0" w:line="179" w:lineRule="exact"/>
        <w:rPr>
          <w:rFonts w:ascii="Arial" w:cs="Arial" w:eastAsia="Arial" w:hAnsi="Arial"/>
          <w:sz w:val="18"/>
          <w:szCs w:val="18"/>
          <w:color w:val="auto"/>
        </w:rPr>
      </w:pPr>
    </w:p>
    <w:p>
      <w:pPr>
        <w:ind w:left="4" w:right="620" w:firstLine="436"/>
        <w:spacing w:after="0" w:line="347" w:lineRule="auto"/>
        <w:tabs>
          <w:tab w:leader="none" w:pos="849" w:val="left"/>
        </w:tabs>
        <w:numPr>
          <w:ilvl w:val="1"/>
          <w:numId w:val="130"/>
        </w:numPr>
        <w:rPr>
          <w:rFonts w:ascii="Arial" w:cs="Arial" w:eastAsia="Arial" w:hAnsi="Arial"/>
          <w:sz w:val="16"/>
          <w:szCs w:val="16"/>
          <w:color w:val="auto"/>
        </w:rPr>
      </w:pPr>
      <w:r>
        <w:rPr>
          <w:rFonts w:ascii="Arial" w:cs="Arial" w:eastAsia="Arial" w:hAnsi="Arial"/>
          <w:sz w:val="16"/>
          <w:szCs w:val="16"/>
          <w:u w:val="single" w:color="auto"/>
          <w:color w:val="auto"/>
        </w:rPr>
        <w:t>Agent’s Information</w:t>
      </w:r>
      <w:r>
        <w:rPr>
          <w:rFonts w:ascii="Arial" w:cs="Arial" w:eastAsia="Arial" w:hAnsi="Arial"/>
          <w:sz w:val="16"/>
          <w:szCs w:val="16"/>
          <w:color w:val="auto"/>
        </w:rPr>
        <w:t>. As used in this Agreement, “</w:t>
      </w:r>
      <w:r>
        <w:rPr>
          <w:rFonts w:ascii="Arial" w:cs="Arial" w:eastAsia="Arial" w:hAnsi="Arial"/>
          <w:sz w:val="16"/>
          <w:szCs w:val="16"/>
          <w:b w:val="1"/>
          <w:bCs w:val="1"/>
          <w:u w:val="single" w:color="auto"/>
          <w:color w:val="auto"/>
        </w:rPr>
        <w:t>Agent’s Information</w:t>
      </w:r>
      <w:r>
        <w:rPr>
          <w:rFonts w:ascii="Arial" w:cs="Arial" w:eastAsia="Arial" w:hAnsi="Arial"/>
          <w:sz w:val="16"/>
          <w:szCs w:val="16"/>
          <w:color w:val="auto"/>
        </w:rPr>
        <w:t>” means solely the following information in the Registration Statement and the Prospectus: the 12</w:t>
      </w:r>
      <w:r>
        <w:rPr>
          <w:rFonts w:ascii="Arial" w:cs="Arial" w:eastAsia="Arial" w:hAnsi="Arial"/>
          <w:sz w:val="13"/>
          <w:szCs w:val="13"/>
          <w:color w:val="auto"/>
        </w:rPr>
        <w:t>th</w:t>
      </w:r>
      <w:r>
        <w:rPr>
          <w:rFonts w:ascii="Arial" w:cs="Arial" w:eastAsia="Arial" w:hAnsi="Arial"/>
          <w:sz w:val="16"/>
          <w:szCs w:val="16"/>
          <w:color w:val="auto"/>
        </w:rPr>
        <w:t xml:space="preserve"> and 13</w:t>
      </w:r>
      <w:r>
        <w:rPr>
          <w:rFonts w:ascii="Arial" w:cs="Arial" w:eastAsia="Arial" w:hAnsi="Arial"/>
          <w:sz w:val="13"/>
          <w:szCs w:val="13"/>
          <w:color w:val="auto"/>
        </w:rPr>
        <w:t>th</w:t>
      </w:r>
      <w:r>
        <w:rPr>
          <w:rFonts w:ascii="Arial" w:cs="Arial" w:eastAsia="Arial" w:hAnsi="Arial"/>
          <w:sz w:val="16"/>
          <w:szCs w:val="16"/>
          <w:color w:val="auto"/>
        </w:rPr>
        <w:t xml:space="preserve"> paragraph under the heading “Plan of Distribution” in the Prospectus Supplement.</w:t>
      </w:r>
    </w:p>
    <w:p>
      <w:pPr>
        <w:spacing w:after="0" w:line="120" w:lineRule="exact"/>
        <w:rPr>
          <w:sz w:val="20"/>
          <w:szCs w:val="20"/>
          <w:color w:val="auto"/>
        </w:rPr>
      </w:pPr>
    </w:p>
    <w:p>
      <w:pPr>
        <w:ind w:left="4" w:right="100" w:firstLine="440"/>
        <w:spacing w:after="0" w:line="257"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88" w:lineRule="exact"/>
        <w:rPr>
          <w:sz w:val="20"/>
          <w:szCs w:val="20"/>
          <w:color w:val="auto"/>
        </w:rPr>
      </w:pPr>
    </w:p>
    <w:p>
      <w:pPr>
        <w:ind w:left="4" w:right="240" w:firstLine="440"/>
        <w:spacing w:after="0" w:line="308" w:lineRule="auto"/>
        <w:rPr>
          <w:sz w:val="20"/>
          <w:szCs w:val="20"/>
          <w:color w:val="auto"/>
        </w:rPr>
      </w:pPr>
      <w:r>
        <w:rPr>
          <w:rFonts w:ascii="Arial" w:cs="Arial" w:eastAsia="Arial" w:hAnsi="Arial"/>
          <w:sz w:val="17"/>
          <w:szCs w:val="17"/>
          <w:color w:val="auto"/>
        </w:rPr>
        <w:t>All references in this Agreement to “supplements” to the Prospectus shall include any supplements, “wrappers” or similar materials prepared in connection with any offering, sale or private placement of any Placement Shares by the Agent outside of the United States.</w:t>
      </w:r>
    </w:p>
    <w:p>
      <w:pPr>
        <w:spacing w:after="0" w:line="35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4" w:right="459" w:bottom="1440" w:gutter="0" w:footer="0" w:header="0"/>
        </w:sectPr>
      </w:pPr>
    </w:p>
    <w:bookmarkStart w:id="135" w:name="page136"/>
    <w:bookmarkEnd w:id="13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For and on behalf of</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Denise Scots-Knight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 &amp;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ACCEPTED as of the date</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first-above written:</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SVB LEERINK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Peter M. Fry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Peter M. Fry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Head of Alternative Equities</w:t>
      </w:r>
    </w:p>
    <w:p>
      <w:pPr>
        <w:sectPr>
          <w:pgSz w:w="11900" w:h="16838" w:orient="portrait"/>
          <w:cols w:equalWidth="0" w:num="1">
            <w:col w:w="10980"/>
          </w:cols>
          <w:pgMar w:left="440" w:top="274" w:right="47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SCHEDULE 1</w:t>
            </w:r>
          </w:p>
        </w:tc>
      </w:tr>
      <w:tr>
        <w:trPr>
          <w:trHeight w:val="412"/>
        </w:trPr>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FORM OF PLACEMENT NOTICE</w:t>
            </w:r>
          </w:p>
        </w:tc>
      </w:tr>
      <w:tr>
        <w:trPr>
          <w:trHeight w:val="465"/>
        </w:trPr>
        <w:tc>
          <w:tcPr>
            <w:tcW w:w="960" w:type="dxa"/>
            <w:vAlign w:val="bottom"/>
          </w:tcPr>
          <w:p>
            <w:pPr>
              <w:spacing w:after="0"/>
              <w:rPr>
                <w:sz w:val="20"/>
                <w:szCs w:val="20"/>
                <w:color w:val="auto"/>
              </w:rPr>
            </w:pPr>
            <w:r>
              <w:rPr>
                <w:rFonts w:ascii="Arial" w:cs="Arial" w:eastAsia="Arial" w:hAnsi="Arial"/>
                <w:sz w:val="18"/>
                <w:szCs w:val="18"/>
                <w:color w:val="auto"/>
              </w:rPr>
              <w:t>From:</w:t>
            </w:r>
          </w:p>
        </w:tc>
        <w:tc>
          <w:tcPr>
            <w:tcW w:w="1060" w:type="dxa"/>
            <w:vAlign w:val="bottom"/>
          </w:tcPr>
          <w:p>
            <w:pPr>
              <w:ind w:left="36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850"/>
              <w:spacing w:after="0"/>
              <w:rPr>
                <w:sz w:val="20"/>
                <w:szCs w:val="20"/>
                <w:color w:val="auto"/>
              </w:rPr>
            </w:pPr>
            <w:r>
              <w:rPr>
                <w:rFonts w:ascii="Arial" w:cs="Arial" w:eastAsia="Arial" w:hAnsi="Arial"/>
                <w:sz w:val="18"/>
                <w:szCs w:val="18"/>
                <w:color w:val="auto"/>
              </w:rPr>
              <w:t>]</w:t>
            </w:r>
          </w:p>
        </w:tc>
        <w:tc>
          <w:tcPr>
            <w:tcW w:w="280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1060" w:type="dxa"/>
            <w:vAlign w:val="bottom"/>
          </w:tcPr>
          <w:p>
            <w:pPr>
              <w:ind w:left="360"/>
              <w:spacing w:after="0"/>
              <w:rPr>
                <w:sz w:val="20"/>
                <w:szCs w:val="20"/>
                <w:color w:val="auto"/>
              </w:rPr>
            </w:pPr>
            <w:r>
              <w:rPr>
                <w:rFonts w:ascii="Arial" w:cs="Arial" w:eastAsia="Arial" w:hAnsi="Arial"/>
                <w:sz w:val="18"/>
                <w:szCs w:val="18"/>
                <w:color w:val="auto"/>
              </w:rPr>
              <w:t>[TITLE]</w:t>
            </w:r>
          </w:p>
        </w:tc>
        <w:tc>
          <w:tcPr>
            <w:tcW w:w="20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0060" w:type="dxa"/>
            <w:vAlign w:val="bottom"/>
            <w:gridSpan w:val="5"/>
          </w:tcPr>
          <w:p>
            <w:pPr>
              <w:ind w:left="360"/>
              <w:spacing w:after="0"/>
              <w:rPr>
                <w:sz w:val="20"/>
                <w:szCs w:val="20"/>
                <w:color w:val="auto"/>
              </w:rPr>
            </w:pPr>
            <w:r>
              <w:rPr>
                <w:rFonts w:ascii="Arial" w:cs="Arial" w:eastAsia="Arial" w:hAnsi="Arial"/>
                <w:sz w:val="18"/>
                <w:szCs w:val="18"/>
                <w:color w:val="auto"/>
              </w:rPr>
              <w:t>Mereo BioPharma Group plc</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Cc:</w:t>
            </w:r>
          </w:p>
        </w:tc>
        <w:tc>
          <w:tcPr>
            <w:tcW w:w="1060" w:type="dxa"/>
            <w:vAlign w:val="bottom"/>
          </w:tcPr>
          <w:p>
            <w:pPr>
              <w:ind w:left="36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850"/>
              <w:spacing w:after="0"/>
              <w:rPr>
                <w:sz w:val="20"/>
                <w:szCs w:val="20"/>
                <w:color w:val="auto"/>
              </w:rPr>
            </w:pPr>
            <w:r>
              <w:rPr>
                <w:rFonts w:ascii="Arial" w:cs="Arial" w:eastAsia="Arial" w:hAnsi="Arial"/>
                <w:sz w:val="18"/>
                <w:szCs w:val="18"/>
                <w:color w:val="auto"/>
              </w:rPr>
              <w:t>]</w:t>
            </w:r>
          </w:p>
        </w:tc>
        <w:tc>
          <w:tcPr>
            <w:tcW w:w="2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To:</w:t>
            </w:r>
          </w:p>
        </w:tc>
        <w:tc>
          <w:tcPr>
            <w:tcW w:w="10060" w:type="dxa"/>
            <w:vAlign w:val="bottom"/>
            <w:gridSpan w:val="5"/>
          </w:tcPr>
          <w:p>
            <w:pPr>
              <w:ind w:left="360"/>
              <w:spacing w:after="0"/>
              <w:rPr>
                <w:sz w:val="20"/>
                <w:szCs w:val="20"/>
                <w:color w:val="auto"/>
              </w:rPr>
            </w:pPr>
            <w:r>
              <w:rPr>
                <w:rFonts w:ascii="Arial" w:cs="Arial" w:eastAsia="Arial" w:hAnsi="Arial"/>
                <w:sz w:val="18"/>
                <w:szCs w:val="18"/>
                <w:color w:val="auto"/>
              </w:rPr>
              <w:t>SVB Leerink LLC</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Subject:</w:t>
            </w:r>
          </w:p>
        </w:tc>
        <w:tc>
          <w:tcPr>
            <w:tcW w:w="10060" w:type="dxa"/>
            <w:vAlign w:val="bottom"/>
            <w:gridSpan w:val="5"/>
          </w:tcPr>
          <w:p>
            <w:pPr>
              <w:ind w:left="360"/>
              <w:spacing w:after="0"/>
              <w:rPr>
                <w:sz w:val="20"/>
                <w:szCs w:val="20"/>
                <w:color w:val="auto"/>
              </w:rPr>
            </w:pPr>
            <w:r>
              <w:rPr>
                <w:rFonts w:ascii="Arial" w:cs="Arial" w:eastAsia="Arial" w:hAnsi="Arial"/>
                <w:sz w:val="18"/>
                <w:szCs w:val="18"/>
                <w:color w:val="auto"/>
              </w:rPr>
              <w:t>SVB Leerink—At the Market Offering—Placement Notice</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Pursuant to the terms and subject to the conditions contained in the Sales Agreement, dated October 6, 2020 (the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by and between Mereo BioPharma Group plc, a public limited company incorporated under the laws of England and Wales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SVB Leerink LLC (“</w:t>
      </w:r>
      <w:r>
        <w:rPr>
          <w:rFonts w:ascii="Arial" w:cs="Arial" w:eastAsia="Arial" w:hAnsi="Arial"/>
          <w:sz w:val="18"/>
          <w:szCs w:val="18"/>
          <w:b w:val="1"/>
          <w:bCs w:val="1"/>
          <w:u w:val="single" w:color="auto"/>
          <w:color w:val="auto"/>
        </w:rPr>
        <w:t>SVB</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Leerink</w:t>
      </w:r>
      <w:r>
        <w:rPr>
          <w:rFonts w:ascii="Arial" w:cs="Arial" w:eastAsia="Arial" w:hAnsi="Arial"/>
          <w:sz w:val="18"/>
          <w:szCs w:val="18"/>
          <w:color w:val="auto"/>
        </w:rPr>
        <w:t>”), I hereby request on behalf of the Company that SVB Leerink sell up to [ ] ADSs of the Company, at a minimum market price of $ per</w:t>
      </w:r>
      <w:r>
        <w:rPr>
          <w:rFonts w:ascii="Arial" w:cs="Arial" w:eastAsia="Arial" w:hAnsi="Arial"/>
          <w:sz w:val="18"/>
          <w:szCs w:val="18"/>
          <w:b w:val="1"/>
          <w:bCs w:val="1"/>
          <w:color w:val="auto"/>
        </w:rPr>
        <w:t xml:space="preserve"> </w:t>
      </w:r>
      <w:r>
        <w:rPr>
          <w:rFonts w:ascii="Arial" w:cs="Arial" w:eastAsia="Arial" w:hAnsi="Arial"/>
          <w:sz w:val="18"/>
          <w:szCs w:val="18"/>
          <w:color w:val="auto"/>
        </w:rPr>
        <w:t>ADS. Sales should begin [on the date of this Placement Notice] and end on [DATE] [until all ADSs that are the subject of this Placement Notice are sold] [the aggregate sales price of the ADSs reaches $ ].</w:t>
      </w:r>
    </w:p>
    <w:p>
      <w:pPr>
        <w:sectPr>
          <w:pgSz w:w="11900" w:h="16838" w:orient="portrait"/>
          <w:cols w:equalWidth="0" w:num="1">
            <w:col w:w="11020"/>
          </w:cols>
          <w:pgMar w:left="440" w:top="256" w:right="4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Denise Scots-Knight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dsk@mereobiopharma.com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Sermon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cs@mereobiopharma.com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SVB Leerink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Gabriel Cavazos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Brian Swanson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atm@svbleerink.com</w:t>
      </w:r>
    </w:p>
    <w:p>
      <w:pPr>
        <w:sectPr>
          <w:pgSz w:w="11900" w:h="16838" w:orient="portrait"/>
          <w:cols w:equalWidth="0" w:num="1">
            <w:col w:w="11020"/>
          </w:cols>
          <w:pgMar w:left="440" w:top="270" w:right="4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The Company shall pay SVB Leerink commission in cash equal to 3.0% of the gross proceeds from the sales of Placement Shares pursuant to the terms of the Sales Agreement of which this </w:t>
      </w:r>
      <w:r>
        <w:rPr>
          <w:rFonts w:ascii="Arial" w:cs="Arial" w:eastAsia="Arial" w:hAnsi="Arial"/>
          <w:sz w:val="18"/>
          <w:szCs w:val="18"/>
          <w:b w:val="1"/>
          <w:bCs w:val="1"/>
          <w:u w:val="single" w:color="auto"/>
          <w:color w:val="auto"/>
        </w:rPr>
        <w:t>Schedule 3</w:t>
      </w:r>
      <w:r>
        <w:rPr>
          <w:rFonts w:ascii="Arial" w:cs="Arial" w:eastAsia="Arial" w:hAnsi="Arial"/>
          <w:sz w:val="18"/>
          <w:szCs w:val="18"/>
          <w:color w:val="auto"/>
        </w:rPr>
        <w:t xml:space="preserve"> forms a part.</w:t>
      </w:r>
    </w:p>
    <w:p>
      <w:pPr>
        <w:sectPr>
          <w:pgSz w:w="11900" w:h="16838" w:orient="portrait"/>
          <w:cols w:equalWidth="0" w:num="1">
            <w:col w:w="11020"/>
          </w:cols>
          <w:pgMar w:left="440" w:top="270" w:right="4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7(m)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Each of Dr. Denise Scots-Knight, the Chief Executive Officer of Mereo BioPharma Group plc, a public limited company incorporated under the laws of England and Wales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Charles Sermon, the General Counsel of the Company, does hereby certify in their respective capacity and on behalf of the Company, pursuant to Section 7(m) of the Sales Agreement, dated October 6, 2020 (the “</w:t>
      </w:r>
      <w:r>
        <w:rPr>
          <w:rFonts w:ascii="Arial" w:cs="Arial" w:eastAsia="Arial" w:hAnsi="Arial"/>
          <w:sz w:val="17"/>
          <w:szCs w:val="17"/>
          <w:b w:val="1"/>
          <w:bCs w:val="1"/>
          <w:u w:val="single" w:color="auto"/>
          <w:color w:val="auto"/>
        </w:rPr>
        <w:t>Sales Agreement</w:t>
      </w:r>
      <w:r>
        <w:rPr>
          <w:rFonts w:ascii="Arial" w:cs="Arial" w:eastAsia="Arial" w:hAnsi="Arial"/>
          <w:sz w:val="17"/>
          <w:szCs w:val="17"/>
          <w:color w:val="auto"/>
        </w:rPr>
        <w:t>”), by and between the Company and SVB Leerink LLC, that, after due inquiry, to the best of the knowledge of the undersigned:</w:t>
      </w:r>
    </w:p>
    <w:p>
      <w:pPr>
        <w:spacing w:after="0" w:line="171" w:lineRule="exact"/>
        <w:rPr>
          <w:sz w:val="20"/>
          <w:szCs w:val="20"/>
          <w:color w:val="auto"/>
        </w:rPr>
      </w:pPr>
    </w:p>
    <w:p>
      <w:pPr>
        <w:ind w:right="20" w:firstLine="436"/>
        <w:spacing w:after="0" w:line="272" w:lineRule="auto"/>
        <w:tabs>
          <w:tab w:leader="none" w:pos="787"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in Section 6 of the Sales Agreement (A) to the extent such representations and warranties are subject to qualifications and exceptions contained therein relating to materiality or Material Adverse Effect, are true and correct on and as of the date hereof, except for those representations and warranties that speak solely as of a specific date and which were true and correct as of such date, with the same force and effect as if expressly made on and as of the date hereof, and (B) to the extent such representations and warranties are not subject to any qualifications or exceptions relating to materiality or Material Adverse Effect,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w:t>
      </w:r>
    </w:p>
    <w:p>
      <w:pPr>
        <w:spacing w:after="0" w:line="177" w:lineRule="exact"/>
        <w:rPr>
          <w:rFonts w:ascii="Arial" w:cs="Arial" w:eastAsia="Arial" w:hAnsi="Arial"/>
          <w:sz w:val="17"/>
          <w:szCs w:val="17"/>
          <w:color w:val="auto"/>
        </w:rPr>
      </w:pPr>
    </w:p>
    <w:p>
      <w:pPr>
        <w:ind w:right="400" w:firstLine="436"/>
        <w:spacing w:after="0" w:line="277" w:lineRule="auto"/>
        <w:tabs>
          <w:tab w:leader="none" w:pos="83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Company has complied with all agreements and satisfied all conditions on its part to be performed or satisfied pursuant to the Sales Agreement at or prior to the date hereof.</w:t>
      </w:r>
    </w:p>
    <w:p>
      <w:pPr>
        <w:spacing w:after="0" w:line="170" w:lineRule="exact"/>
        <w:rPr>
          <w:rFonts w:ascii="Arial" w:cs="Arial" w:eastAsia="Arial" w:hAnsi="Arial"/>
          <w:sz w:val="18"/>
          <w:szCs w:val="18"/>
          <w:color w:val="auto"/>
        </w:rPr>
      </w:pPr>
    </w:p>
    <w:p>
      <w:pPr>
        <w:ind w:right="100" w:firstLine="436"/>
        <w:spacing w:after="0" w:line="254" w:lineRule="auto"/>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As of the date hereof, (A) the Registration Statement complies in all material respects with the requirements of the Securities Act and does not contain any untrue statement of a material fact or omit to state a material fact required to be stated therein or necessary in order to make the statements therein not misleading, (B) the Prospectus complies in all material respects with the requirements of the Securities Act and does not contain any untrue statement of a material fact or omit to state a material fact required to be stated therein or necessary in order to make the statements therein, in light of the circumstances under which they were made, not misleading and (C) no event has occurred as a result of which it is necessary to amend or supplement the Registration Statement or the Prospectus in order to make the statements therein not untrue or misleading or for clauses (A) and (B) above, to be true and correct.</w:t>
      </w:r>
    </w:p>
    <w:p>
      <w:pPr>
        <w:spacing w:after="0" w:line="194" w:lineRule="exact"/>
        <w:rPr>
          <w:rFonts w:ascii="Arial" w:cs="Arial" w:eastAsia="Arial" w:hAnsi="Arial"/>
          <w:sz w:val="18"/>
          <w:szCs w:val="18"/>
          <w:color w:val="auto"/>
        </w:rPr>
      </w:pPr>
    </w:p>
    <w:p>
      <w:pPr>
        <w:jc w:val="both"/>
        <w:ind w:right="60" w:firstLine="436"/>
        <w:spacing w:after="0" w:line="259" w:lineRule="auto"/>
        <w:tabs>
          <w:tab w:leader="none" w:pos="87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since the date as of which information is given in the Prospectus, as amended or supplemented to the date hereof.</w:t>
      </w:r>
    </w:p>
    <w:p>
      <w:pPr>
        <w:spacing w:after="0" w:line="186" w:lineRule="exact"/>
        <w:rPr>
          <w:rFonts w:ascii="Arial" w:cs="Arial" w:eastAsia="Arial" w:hAnsi="Arial"/>
          <w:sz w:val="18"/>
          <w:szCs w:val="18"/>
          <w:color w:val="auto"/>
        </w:rPr>
      </w:pPr>
    </w:p>
    <w:p>
      <w:pPr>
        <w:ind w:right="200" w:firstLine="436"/>
        <w:spacing w:after="0" w:line="277" w:lineRule="auto"/>
        <w:tabs>
          <w:tab w:leader="none" w:pos="82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Company does not possess any material non-public information (other than material non-public information that Placement Shares are intended to be sold pursuant to the terms of the Sales Agreement).</w:t>
      </w:r>
    </w:p>
    <w:p>
      <w:pPr>
        <w:sectPr>
          <w:pgSz w:w="11900" w:h="16838" w:orient="portrait"/>
          <w:cols w:equalWidth="0" w:num="1">
            <w:col w:w="11020"/>
          </w:cols>
          <w:pgMar w:left="440" w:top="270" w:right="439" w:bottom="1440" w:gutter="0" w:footer="0" w:header="0"/>
        </w:sectPr>
      </w:pPr>
    </w:p>
    <w:bookmarkStart w:id="140" w:name="page141"/>
    <w:bookmarkEnd w:id="140"/>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connection with the Placement Notice dated [●] requesting the Agent to sell up to [●] ADSs, the Board has existing and sufficient authority under section 551 of the Companies Act 2006 and existing and sufficient disapplication of pre-emption rights under section 561(1) of the Companies Act 2006 to allot and issue [●] Ordinary Shares underlying such ADSs, and has not taken any action or entered into any agreement which would result in such authorities being insufficient to allow the allotment and/or issue of such Ordinary Shares.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but not defined herein shall have the meanings ascribed to them in the Sales Agreement.</w:t>
      </w:r>
    </w:p>
    <w:p>
      <w:pPr>
        <w:sectPr>
          <w:pgSz w:w="11900" w:h="16838" w:orient="portrait"/>
          <w:cols w:equalWidth="0" w:num="1">
            <w:col w:w="10840"/>
          </w:cols>
          <w:pgMar w:left="440" w:top="274" w:right="619" w:bottom="1440" w:gutter="0" w:footer="0" w:header="0"/>
        </w:sectPr>
      </w:pPr>
    </w:p>
    <w:bookmarkStart w:id="141" w:name="page142"/>
    <w:bookmarkEnd w:id="14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each of the undersigned, in such individual’s respective capacity as Chief Executive Officer or General Counsel of the Company, has executed this Officers’ Certificate on behalf of the Company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-19050</wp:posOffset>
            </wp:positionV>
            <wp:extent cx="25628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Denise Scots-Knight</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-19050</wp:posOffset>
            </wp:positionV>
            <wp:extent cx="25628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Signature Page to Officers’ Certificate</w:t>
      </w:r>
      <w:r>
        <w:rPr>
          <w:rFonts w:ascii="Arial" w:cs="Arial" w:eastAsia="Arial" w:hAnsi="Arial"/>
          <w:sz w:val="18"/>
          <w:szCs w:val="18"/>
          <w:color w:val="auto"/>
        </w:rPr>
        <w:t>]</w:t>
      </w:r>
    </w:p>
    <w:p>
      <w:pPr>
        <w:sectPr>
          <w:pgSz w:w="11900" w:h="16838" w:orient="portrait"/>
          <w:cols w:equalWidth="0" w:num="1">
            <w:col w:w="10940"/>
          </w:cols>
          <w:pgMar w:left="440" w:top="274" w:right="51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Mayer Brown International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 Bishopsgate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London EC2M 3AF</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Telephone: +44 20 3130 3000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+44 20 3130 3001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www.mayerbrown.com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DX 556 London and City</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Fourth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One Cavendish Place</w:t>
      </w:r>
    </w:p>
    <w:p>
      <w:pPr>
        <w:sectPr>
          <w:pgSz w:w="11900" w:h="16838" w:orient="portrait"/>
          <w:cols w:equalWidth="0" w:num="1">
            <w:col w:w="11024"/>
          </w:cols>
          <w:pgMar w:left="436" w:top="121" w:right="439" w:bottom="1440" w:gutter="0" w:footer="0" w:header="0"/>
        </w:sectPr>
      </w:pP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W1G 0QF</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6 October 2020</w:t>
      </w:r>
    </w:p>
    <w:p>
      <w:pPr>
        <w:spacing w:after="0" w:line="214" w:lineRule="exact"/>
        <w:rPr>
          <w:sz w:val="20"/>
          <w:szCs w:val="20"/>
          <w:color w:val="auto"/>
        </w:rPr>
      </w:pPr>
    </w:p>
    <w:p>
      <w:pPr>
        <w:sectPr>
          <w:pgSz w:w="11900" w:h="16838" w:orient="portrait"/>
          <w:cols w:equalWidth="0" w:num="2">
            <w:col w:w="9184" w:space="720"/>
            <w:col w:w="1120"/>
          </w:cols>
          <w:pgMar w:left="436" w:top="121" w:right="439" w:bottom="1440" w:gutter="0" w:footer="0" w:header="0"/>
          <w:type w:val="continuous"/>
        </w:sectPr>
      </w:pPr>
    </w:p>
    <w:p>
      <w:pPr>
        <w:spacing w:after="0" w:line="155" w:lineRule="exact"/>
        <w:rPr>
          <w:sz w:val="20"/>
          <w:szCs w:val="20"/>
          <w:color w:val="auto"/>
        </w:rPr>
      </w:pPr>
    </w:p>
    <w:p>
      <w:pPr>
        <w:ind w:left="4"/>
        <w:spacing w:after="0"/>
        <w:rPr>
          <w:sz w:val="20"/>
          <w:szCs w:val="20"/>
          <w:color w:val="auto"/>
        </w:rPr>
      </w:pPr>
      <w:r>
        <w:rPr>
          <w:rFonts w:ascii="Arial" w:cs="Arial" w:eastAsia="Arial" w:hAnsi="Arial"/>
          <w:sz w:val="17"/>
          <w:szCs w:val="17"/>
          <w:color w:val="auto"/>
        </w:rPr>
        <w:t>Our ref:</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19623354/20456</w:t>
      </w:r>
    </w:p>
    <w:p>
      <w:pPr>
        <w:spacing w:after="0" w:line="222" w:lineRule="exact"/>
        <w:rPr>
          <w:sz w:val="20"/>
          <w:szCs w:val="20"/>
          <w:color w:val="auto"/>
        </w:rPr>
      </w:pPr>
    </w:p>
    <w:p>
      <w:pPr>
        <w:sectPr>
          <w:pgSz w:w="11900" w:h="16838" w:orient="portrait"/>
          <w:cols w:equalWidth="0" w:num="2">
            <w:col w:w="584" w:space="540"/>
            <w:col w:w="9900"/>
          </w:cols>
          <w:pgMar w:left="436" w:top="121" w:right="439" w:bottom="1440" w:gutter="0" w:footer="0" w:header="0"/>
          <w:type w:val="continuous"/>
        </w:sectPr>
      </w:pPr>
    </w:p>
    <w:p>
      <w:pPr>
        <w:spacing w:after="0" w:line="14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Registration Statement on Form F-3</w:t>
      </w:r>
    </w:p>
    <w:p>
      <w:pPr>
        <w:spacing w:after="0" w:line="131" w:lineRule="exact"/>
        <w:rPr>
          <w:sz w:val="20"/>
          <w:szCs w:val="20"/>
          <w:color w:val="auto"/>
        </w:rPr>
      </w:pPr>
    </w:p>
    <w:p>
      <w:pPr>
        <w:ind w:left="424" w:hanging="424"/>
        <w:spacing w:after="0"/>
        <w:tabs>
          <w:tab w:leader="none" w:pos="424"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Background</w:t>
      </w:r>
    </w:p>
    <w:p>
      <w:pPr>
        <w:spacing w:after="0" w:line="117" w:lineRule="exact"/>
        <w:rPr>
          <w:rFonts w:ascii="Arial" w:cs="Arial" w:eastAsia="Arial" w:hAnsi="Arial"/>
          <w:sz w:val="18"/>
          <w:szCs w:val="18"/>
          <w:color w:val="auto"/>
        </w:rPr>
      </w:pPr>
    </w:p>
    <w:p>
      <w:pPr>
        <w:ind w:left="444" w:right="60"/>
        <w:spacing w:after="0" w:line="271" w:lineRule="auto"/>
        <w:rPr>
          <w:rFonts w:ascii="Arial" w:cs="Arial" w:eastAsia="Arial" w:hAnsi="Arial"/>
          <w:sz w:val="18"/>
          <w:szCs w:val="18"/>
          <w:color w:val="auto"/>
        </w:rPr>
      </w:pPr>
      <w:r>
        <w:rPr>
          <w:rFonts w:ascii="Arial" w:cs="Arial" w:eastAsia="Arial" w:hAnsi="Arial"/>
          <w:sz w:val="17"/>
          <w:szCs w:val="17"/>
          <w:color w:val="auto"/>
        </w:rPr>
        <w:t xml:space="preserve">We have acted for Mereo BioPharma Group plc, a public limited company incorporated under the laws of England and Wales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as its legal advisers in England in connection with the registration statement on Form F-3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xml:space="preserve">) to be filed on or about 6 October 2020 by the Company with the U.S. Securities and Exchange Commission under the U.S.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the rules and regulations promulgated thereunder (the</w:t>
      </w:r>
      <w:r>
        <w:rPr>
          <w:rFonts w:ascii="Arial" w:cs="Arial" w:eastAsia="Arial" w:hAnsi="Arial"/>
          <w:sz w:val="17"/>
          <w:szCs w:val="17"/>
          <w:b w:val="1"/>
          <w:bCs w:val="1"/>
          <w:color w:val="auto"/>
        </w:rPr>
        <w:t xml:space="preserve"> “Rules”</w:t>
      </w:r>
      <w:r>
        <w:rPr>
          <w:rFonts w:ascii="Arial" w:cs="Arial" w:eastAsia="Arial" w:hAnsi="Arial"/>
          <w:sz w:val="17"/>
          <w:szCs w:val="17"/>
          <w:color w:val="auto"/>
        </w:rPr>
        <w:t>). The Registration Statement relates to the offering,</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and sale by the Company from time to time of up to $200,000,000 of indeterminate numbers of ordinary shares of £0.003 each in the Company (</w:t>
      </w:r>
      <w:r>
        <w:rPr>
          <w:rFonts w:ascii="Arial" w:cs="Arial" w:eastAsia="Arial" w:hAnsi="Arial"/>
          <w:sz w:val="17"/>
          <w:szCs w:val="17"/>
          <w:b w:val="1"/>
          <w:bCs w:val="1"/>
          <w:color w:val="auto"/>
        </w:rPr>
        <w:t>“Ordinary Shares”</w:t>
      </w:r>
      <w:r>
        <w:rPr>
          <w:rFonts w:ascii="Arial" w:cs="Arial" w:eastAsia="Arial" w:hAnsi="Arial"/>
          <w:sz w:val="17"/>
          <w:szCs w:val="17"/>
          <w:color w:val="auto"/>
        </w:rPr>
        <w:t>), as may from time to time be offered and sold at indeterminate prices pursuant to the Registration Statement. The Ordinary Shares are to be offered or sold in the form of American Depositary Shares (</w:t>
      </w:r>
      <w:r>
        <w:rPr>
          <w:rFonts w:ascii="Arial" w:cs="Arial" w:eastAsia="Arial" w:hAnsi="Arial"/>
          <w:sz w:val="17"/>
          <w:szCs w:val="17"/>
          <w:b w:val="1"/>
          <w:bCs w:val="1"/>
          <w:color w:val="auto"/>
        </w:rPr>
        <w:t>“ADSs”</w:t>
      </w:r>
      <w:r>
        <w:rPr>
          <w:rFonts w:ascii="Arial" w:cs="Arial" w:eastAsia="Arial" w:hAnsi="Arial"/>
          <w:sz w:val="17"/>
          <w:szCs w:val="17"/>
          <w:color w:val="auto"/>
        </w:rPr>
        <w:t xml:space="preserve">). Each ADS represents 5 Ordinary Shares. Up to $50,000,000 of ADSs may be offered, issued and sold by the Company, inter alia, under a sales agreement dated 6 October 2020 by and between the Company and SVB Leerink LLC (the </w:t>
      </w:r>
      <w:r>
        <w:rPr>
          <w:rFonts w:ascii="Arial" w:cs="Arial" w:eastAsia="Arial" w:hAnsi="Arial"/>
          <w:sz w:val="17"/>
          <w:szCs w:val="17"/>
          <w:b w:val="1"/>
          <w:bCs w:val="1"/>
          <w:color w:val="auto"/>
        </w:rPr>
        <w:t>“Sales Agreement”</w:t>
      </w:r>
      <w:r>
        <w:rPr>
          <w:rFonts w:ascii="Arial" w:cs="Arial" w:eastAsia="Arial" w:hAnsi="Arial"/>
          <w:sz w:val="17"/>
          <w:szCs w:val="17"/>
          <w:color w:val="auto"/>
        </w:rPr>
        <w:t>).</w:t>
      </w:r>
    </w:p>
    <w:p>
      <w:pPr>
        <w:spacing w:after="0" w:line="69" w:lineRule="exact"/>
        <w:rPr>
          <w:rFonts w:ascii="Arial" w:cs="Arial" w:eastAsia="Arial" w:hAnsi="Arial"/>
          <w:sz w:val="18"/>
          <w:szCs w:val="18"/>
          <w:color w:val="auto"/>
        </w:rPr>
      </w:pPr>
    </w:p>
    <w:p>
      <w:pPr>
        <w:ind w:left="444" w:right="20"/>
        <w:spacing w:after="0" w:line="277" w:lineRule="auto"/>
        <w:rPr>
          <w:rFonts w:ascii="Arial" w:cs="Arial" w:eastAsia="Arial" w:hAnsi="Arial"/>
          <w:sz w:val="18"/>
          <w:szCs w:val="18"/>
          <w:color w:val="auto"/>
        </w:rPr>
      </w:pPr>
      <w:r>
        <w:rPr>
          <w:rFonts w:ascii="Arial" w:cs="Arial" w:eastAsia="Arial" w:hAnsi="Arial"/>
          <w:sz w:val="18"/>
          <w:szCs w:val="18"/>
          <w:color w:val="auto"/>
        </w:rPr>
        <w:t>The existing issued ordinary shares of the Company are admitted to trading, and application will be required to be made for the Ordinary Shares to be admitted to trading, on the AIM market operated by London Stock Exchange plc (</w:t>
      </w:r>
      <w:r>
        <w:rPr>
          <w:rFonts w:ascii="Arial" w:cs="Arial" w:eastAsia="Arial" w:hAnsi="Arial"/>
          <w:sz w:val="18"/>
          <w:szCs w:val="18"/>
          <w:b w:val="1"/>
          <w:bCs w:val="1"/>
          <w:color w:val="auto"/>
        </w:rPr>
        <w:t>“AIM”</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In connection with the Registration Statement, we have been asked to provide an opinion on certain matters, as set out below.</w:t>
      </w:r>
    </w:p>
    <w:p>
      <w:pPr>
        <w:spacing w:after="0" w:line="225" w:lineRule="exact"/>
        <w:rPr>
          <w:sz w:val="20"/>
          <w:szCs w:val="20"/>
          <w:color w:val="auto"/>
        </w:rPr>
      </w:pPr>
    </w:p>
    <w:p>
      <w:pPr>
        <w:jc w:val="center"/>
        <w:ind w:left="460" w:right="80"/>
        <w:spacing w:after="0" w:line="277" w:lineRule="auto"/>
        <w:rPr>
          <w:sz w:val="20"/>
          <w:szCs w:val="20"/>
          <w:color w:val="auto"/>
        </w:rPr>
      </w:pPr>
      <w:r>
        <w:rPr>
          <w:rFonts w:ascii="Arial" w:cs="Arial" w:eastAsia="Arial" w:hAnsi="Arial"/>
          <w:sz w:val="18"/>
          <w:szCs w:val="18"/>
          <w:color w:val="auto"/>
        </w:rPr>
        <w:t>This is a legal communication, not a financial communication. Neither this nor any other communication from this firm is intended to be, or should be construed as, an invitation or inducement (direct or indirect) to any person to engage in investment activity.</w:t>
      </w:r>
    </w:p>
    <w:p>
      <w:pPr>
        <w:spacing w:after="0" w:line="170" w:lineRule="exact"/>
        <w:rPr>
          <w:sz w:val="20"/>
          <w:szCs w:val="20"/>
          <w:color w:val="auto"/>
        </w:rPr>
      </w:pPr>
    </w:p>
    <w:p>
      <w:pPr>
        <w:jc w:val="center"/>
        <w:ind w:left="440" w:right="160"/>
        <w:spacing w:after="0" w:line="259" w:lineRule="auto"/>
        <w:rPr>
          <w:sz w:val="20"/>
          <w:szCs w:val="20"/>
          <w:color w:val="auto"/>
        </w:rPr>
      </w:pPr>
      <w:r>
        <w:rPr>
          <w:rFonts w:ascii="Arial" w:cs="Arial" w:eastAsia="Arial" w:hAnsi="Arial"/>
          <w:sz w:val="18"/>
          <w:szCs w:val="18"/>
          <w:color w:val="auto"/>
        </w:rPr>
        <w:t>Mayer Brown International LLP is a limited liability partnership (registered in England and Wales number OC303359), which is authorised and regulated by the Solicitors Regulation Authority with SRA number 369822. Mayer Brown is a global services provider comprising an association of legal practices that are separate entities including Mayer Brown LLP (Illinois, USA), Mayer Brown International LLP (England), Mayer Brown (a Hong Kong partnership) and Tauil &amp; Chequer Advogados (a Brazilian partnership).</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We use the term “partner” to refer to a member of Mayer Brown International LLP, or an employee or consultant who is a lawyer with equivalent</w:t>
      </w:r>
    </w:p>
    <w:p>
      <w:pPr>
        <w:spacing w:after="0" w:line="35" w:lineRule="exact"/>
        <w:rPr>
          <w:sz w:val="20"/>
          <w:szCs w:val="20"/>
          <w:color w:val="auto"/>
        </w:rPr>
      </w:pPr>
    </w:p>
    <w:p>
      <w:pPr>
        <w:jc w:val="center"/>
        <w:ind w:left="440" w:right="20"/>
        <w:spacing w:after="0" w:line="255" w:lineRule="auto"/>
        <w:rPr>
          <w:sz w:val="20"/>
          <w:szCs w:val="20"/>
          <w:color w:val="auto"/>
        </w:rPr>
      </w:pPr>
      <w:r>
        <w:rPr>
          <w:rFonts w:ascii="Arial" w:cs="Arial" w:eastAsia="Arial" w:hAnsi="Arial"/>
          <w:sz w:val="18"/>
          <w:szCs w:val="18"/>
          <w:color w:val="auto"/>
        </w:rPr>
        <w:t>standing and qualifications and to a partner of or lawyer with equivalent status in another Mayer Brown entity. A list of the names of members of Mayer Brown International LLP and their respective professional qualifications may be inspected at our registered office, 201 Bishopsgate, London EC2M 3AF, England or on www.mayerbrown.com.</w:t>
      </w:r>
    </w:p>
    <w:p>
      <w:pPr>
        <w:sectPr>
          <w:pgSz w:w="11900" w:h="16838" w:orient="portrait"/>
          <w:cols w:equalWidth="0" w:num="1">
            <w:col w:w="11024"/>
          </w:cols>
          <w:pgMar w:left="436" w:top="121" w:right="439" w:bottom="1440" w:gutter="0" w:footer="0" w:header="0"/>
          <w:type w:val="continuous"/>
        </w:sectPr>
      </w:pPr>
    </w:p>
    <w:bookmarkStart w:id="143" w:name="page144"/>
    <w:bookmarkEnd w:id="143"/>
    <w:p>
      <w:pPr>
        <w:ind w:left="424" w:hanging="424"/>
        <w:spacing w:after="0"/>
        <w:tabs>
          <w:tab w:leader="none" w:pos="424"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Examination and enquiries</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For the purpose of giving this opinion, we have examined:</w:t>
      </w:r>
    </w:p>
    <w:p>
      <w:pPr>
        <w:spacing w:after="0" w:line="130" w:lineRule="exact"/>
        <w:rPr>
          <w:rFonts w:ascii="Arial" w:cs="Arial" w:eastAsia="Arial" w:hAnsi="Arial"/>
          <w:sz w:val="18"/>
          <w:szCs w:val="18"/>
          <w:color w:val="auto"/>
        </w:rPr>
      </w:pPr>
    </w:p>
    <w:p>
      <w:pPr>
        <w:ind w:left="1424" w:right="480" w:hanging="439"/>
        <w:spacing w:after="0" w:line="277" w:lineRule="auto"/>
        <w:tabs>
          <w:tab w:leader="none" w:pos="1424" w:val="left"/>
        </w:tabs>
        <w:numPr>
          <w:ilvl w:val="2"/>
          <w:numId w:val="133"/>
        </w:numPr>
        <w:rPr>
          <w:rFonts w:ascii="Arial" w:cs="Arial" w:eastAsia="Arial" w:hAnsi="Arial"/>
          <w:sz w:val="18"/>
          <w:szCs w:val="18"/>
          <w:color w:val="auto"/>
        </w:rPr>
      </w:pPr>
      <w:r>
        <w:rPr>
          <w:rFonts w:ascii="Arial" w:cs="Arial" w:eastAsia="Arial" w:hAnsi="Arial"/>
          <w:sz w:val="18"/>
          <w:szCs w:val="18"/>
          <w:color w:val="auto"/>
        </w:rPr>
        <w:t>a copy of the Registration Statement (excluding its exhibits and any documents incorporated by reference into the Registration Statement);</w:t>
      </w:r>
    </w:p>
    <w:p>
      <w:pPr>
        <w:spacing w:after="0" w:line="75" w:lineRule="exact"/>
        <w:rPr>
          <w:rFonts w:ascii="Arial" w:cs="Arial" w:eastAsia="Arial" w:hAnsi="Arial"/>
          <w:sz w:val="18"/>
          <w:szCs w:val="18"/>
          <w:color w:val="auto"/>
        </w:rPr>
      </w:pPr>
    </w:p>
    <w:p>
      <w:pPr>
        <w:ind w:left="1424" w:right="280" w:hanging="439"/>
        <w:spacing w:after="0" w:line="263" w:lineRule="auto"/>
        <w:tabs>
          <w:tab w:leader="none" w:pos="1424" w:val="left"/>
        </w:tabs>
        <w:numPr>
          <w:ilvl w:val="2"/>
          <w:numId w:val="133"/>
        </w:numPr>
        <w:rPr>
          <w:rFonts w:ascii="Arial" w:cs="Arial" w:eastAsia="Arial" w:hAnsi="Arial"/>
          <w:sz w:val="18"/>
          <w:szCs w:val="18"/>
          <w:color w:val="auto"/>
        </w:rPr>
      </w:pPr>
      <w:r>
        <w:rPr>
          <w:rFonts w:ascii="Arial" w:cs="Arial" w:eastAsia="Arial" w:hAnsi="Arial"/>
          <w:sz w:val="18"/>
          <w:szCs w:val="18"/>
          <w:color w:val="auto"/>
        </w:rPr>
        <w:t>a certificate dated 6 October 2020 signed by the company secretary of the Company relating to certain factual matters and having annexed thereto copies (certified by the company secretary as being true, complete, accurate and up-to-date in each case) of the following documents:</w:t>
      </w:r>
    </w:p>
    <w:p>
      <w:pPr>
        <w:spacing w:after="0" w:line="89" w:lineRule="exact"/>
        <w:rPr>
          <w:rFonts w:ascii="Arial" w:cs="Arial" w:eastAsia="Arial" w:hAnsi="Arial"/>
          <w:sz w:val="18"/>
          <w:szCs w:val="18"/>
          <w:color w:val="auto"/>
        </w:rPr>
      </w:pPr>
    </w:p>
    <w:p>
      <w:pPr>
        <w:ind w:left="1964" w:right="240" w:hanging="533"/>
        <w:spacing w:after="0" w:line="277" w:lineRule="auto"/>
        <w:tabs>
          <w:tab w:leader="none" w:pos="1964" w:val="left"/>
        </w:tabs>
        <w:numPr>
          <w:ilvl w:val="3"/>
          <w:numId w:val="133"/>
        </w:numPr>
        <w:rPr>
          <w:rFonts w:ascii="Arial" w:cs="Arial" w:eastAsia="Arial" w:hAnsi="Arial"/>
          <w:sz w:val="18"/>
          <w:szCs w:val="18"/>
          <w:color w:val="auto"/>
        </w:rPr>
      </w:pPr>
      <w:r>
        <w:rPr>
          <w:rFonts w:ascii="Arial" w:cs="Arial" w:eastAsia="Arial" w:hAnsi="Arial"/>
          <w:sz w:val="18"/>
          <w:szCs w:val="18"/>
          <w:color w:val="auto"/>
        </w:rPr>
        <w:t>the Company’s certificate of incorporation, certificate of incorporation on re-registration, memorandum of association and articles of association; and</w:t>
      </w:r>
    </w:p>
    <w:p>
      <w:pPr>
        <w:spacing w:after="0" w:line="75" w:lineRule="exact"/>
        <w:rPr>
          <w:rFonts w:ascii="Arial" w:cs="Arial" w:eastAsia="Arial" w:hAnsi="Arial"/>
          <w:sz w:val="18"/>
          <w:szCs w:val="18"/>
          <w:color w:val="auto"/>
        </w:rPr>
      </w:pPr>
    </w:p>
    <w:p>
      <w:pPr>
        <w:ind w:left="1964" w:right="20" w:hanging="533"/>
        <w:spacing w:after="0" w:line="308" w:lineRule="auto"/>
        <w:tabs>
          <w:tab w:leader="none" w:pos="1964" w:val="left"/>
        </w:tabs>
        <w:numPr>
          <w:ilvl w:val="3"/>
          <w:numId w:val="133"/>
        </w:numPr>
        <w:rPr>
          <w:rFonts w:ascii="Arial" w:cs="Arial" w:eastAsia="Arial" w:hAnsi="Arial"/>
          <w:sz w:val="17"/>
          <w:szCs w:val="17"/>
          <w:color w:val="auto"/>
        </w:rPr>
      </w:pPr>
      <w:r>
        <w:rPr>
          <w:rFonts w:ascii="Arial" w:cs="Arial" w:eastAsia="Arial" w:hAnsi="Arial"/>
          <w:sz w:val="17"/>
          <w:szCs w:val="17"/>
          <w:color w:val="auto"/>
        </w:rPr>
        <w:t>written resolutions of the directors of the Company passed on 5 October 2020 pursuant to which it was resolved, inter alia, to approve the filing of the Registration Statement with the U.S. Securities and Exchange Commission; and</w:t>
      </w:r>
    </w:p>
    <w:p>
      <w:pPr>
        <w:spacing w:after="0" w:line="51" w:lineRule="exact"/>
        <w:rPr>
          <w:rFonts w:ascii="Arial" w:cs="Arial" w:eastAsia="Arial" w:hAnsi="Arial"/>
          <w:sz w:val="17"/>
          <w:szCs w:val="17"/>
          <w:color w:val="auto"/>
        </w:rPr>
      </w:pPr>
    </w:p>
    <w:p>
      <w:pPr>
        <w:ind w:left="1424" w:hanging="439"/>
        <w:spacing w:after="0"/>
        <w:tabs>
          <w:tab w:leader="none" w:pos="1424" w:val="left"/>
        </w:tabs>
        <w:numPr>
          <w:ilvl w:val="2"/>
          <w:numId w:val="133"/>
        </w:numPr>
        <w:rPr>
          <w:rFonts w:ascii="Arial" w:cs="Arial" w:eastAsia="Arial" w:hAnsi="Arial"/>
          <w:sz w:val="18"/>
          <w:szCs w:val="18"/>
          <w:color w:val="auto"/>
        </w:rPr>
      </w:pPr>
      <w:r>
        <w:rPr>
          <w:rFonts w:ascii="Arial" w:cs="Arial" w:eastAsia="Arial" w:hAnsi="Arial"/>
          <w:sz w:val="18"/>
          <w:szCs w:val="18"/>
          <w:color w:val="auto"/>
        </w:rPr>
        <w:t>a copy of the Sales Agreement.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For the purpose of giving this opinion, we have:</w:t>
      </w:r>
    </w:p>
    <w:p>
      <w:pPr>
        <w:spacing w:after="0" w:line="130" w:lineRule="exact"/>
        <w:rPr>
          <w:rFonts w:ascii="Arial" w:cs="Arial" w:eastAsia="Arial" w:hAnsi="Arial"/>
          <w:sz w:val="18"/>
          <w:szCs w:val="18"/>
          <w:color w:val="auto"/>
        </w:rPr>
      </w:pPr>
    </w:p>
    <w:p>
      <w:pPr>
        <w:ind w:left="1424" w:right="120" w:hanging="439"/>
        <w:spacing w:after="0" w:line="277" w:lineRule="auto"/>
        <w:tabs>
          <w:tab w:leader="none" w:pos="1424" w:val="left"/>
        </w:tabs>
        <w:numPr>
          <w:ilvl w:val="2"/>
          <w:numId w:val="133"/>
        </w:numPr>
        <w:rPr>
          <w:rFonts w:ascii="Arial" w:cs="Arial" w:eastAsia="Arial" w:hAnsi="Arial"/>
          <w:sz w:val="18"/>
          <w:szCs w:val="18"/>
          <w:color w:val="auto"/>
        </w:rPr>
      </w:pPr>
      <w:r>
        <w:rPr>
          <w:rFonts w:ascii="Arial" w:cs="Arial" w:eastAsia="Arial" w:hAnsi="Arial"/>
          <w:sz w:val="18"/>
          <w:szCs w:val="18"/>
          <w:color w:val="auto"/>
        </w:rPr>
        <w:t xml:space="preserve">arranged for our agents to make on 6 October 2020 an online search of the register kept by the Registrar of Companies in respect of the Company (the </w:t>
      </w:r>
      <w:r>
        <w:rPr>
          <w:rFonts w:ascii="Arial" w:cs="Arial" w:eastAsia="Arial" w:hAnsi="Arial"/>
          <w:sz w:val="18"/>
          <w:szCs w:val="18"/>
          <w:b w:val="1"/>
          <w:bCs w:val="1"/>
          <w:color w:val="auto"/>
        </w:rPr>
        <w:t>“Company Search”</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424" w:hanging="439"/>
        <w:spacing w:after="0" w:line="263" w:lineRule="auto"/>
        <w:tabs>
          <w:tab w:leader="none" w:pos="1424" w:val="left"/>
        </w:tabs>
        <w:numPr>
          <w:ilvl w:val="2"/>
          <w:numId w:val="133"/>
        </w:numPr>
        <w:rPr>
          <w:rFonts w:ascii="Arial" w:cs="Arial" w:eastAsia="Arial" w:hAnsi="Arial"/>
          <w:sz w:val="18"/>
          <w:szCs w:val="18"/>
          <w:color w:val="auto"/>
        </w:rPr>
      </w:pPr>
      <w:r>
        <w:rPr>
          <w:rFonts w:ascii="Arial" w:cs="Arial" w:eastAsia="Arial" w:hAnsi="Arial"/>
          <w:sz w:val="18"/>
          <w:szCs w:val="18"/>
          <w:color w:val="auto"/>
        </w:rPr>
        <w:t xml:space="preserve">arranged for our agents to make on 6 October 2020 at approximately 10.00 a.m. (BST) an online search in respect of the Company of the Central Registry of Winding Up Petitions (the </w:t>
      </w:r>
      <w:r>
        <w:rPr>
          <w:rFonts w:ascii="Arial" w:cs="Arial" w:eastAsia="Arial" w:hAnsi="Arial"/>
          <w:sz w:val="18"/>
          <w:szCs w:val="18"/>
          <w:b w:val="1"/>
          <w:bCs w:val="1"/>
          <w:color w:val="auto"/>
        </w:rPr>
        <w:t>“Central Registry Enquiry”</w:t>
      </w:r>
      <w:r>
        <w:rPr>
          <w:rFonts w:ascii="Arial" w:cs="Arial" w:eastAsia="Arial" w:hAnsi="Arial"/>
          <w:sz w:val="18"/>
          <w:szCs w:val="18"/>
          <w:color w:val="auto"/>
        </w:rPr>
        <w:t xml:space="preserve"> and, together with the Company Search,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7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and reviewed the information we received from our agents from the Searches (the </w:t>
      </w:r>
      <w:r>
        <w:rPr>
          <w:rFonts w:ascii="Arial" w:cs="Arial" w:eastAsia="Arial" w:hAnsi="Arial"/>
          <w:sz w:val="18"/>
          <w:szCs w:val="18"/>
          <w:b w:val="1"/>
          <w:bCs w:val="1"/>
          <w:color w:val="auto"/>
        </w:rPr>
        <w:t>“Search Results”</w:t>
      </w:r>
      <w:r>
        <w:rPr>
          <w:rFonts w:ascii="Arial" w:cs="Arial" w:eastAsia="Arial" w:hAnsi="Arial"/>
          <w:sz w:val="18"/>
          <w:szCs w:val="18"/>
          <w:color w:val="auto"/>
        </w:rPr>
        <w:t>).</w:t>
      </w:r>
    </w:p>
    <w:p>
      <w:pPr>
        <w:spacing w:after="0" w:line="135" w:lineRule="exact"/>
        <w:rPr>
          <w:sz w:val="20"/>
          <w:szCs w:val="20"/>
          <w:color w:val="auto"/>
        </w:rPr>
      </w:pPr>
    </w:p>
    <w:p>
      <w:pPr>
        <w:ind w:left="964" w:hanging="532"/>
        <w:spacing w:after="0" w:line="263" w:lineRule="auto"/>
        <w:tabs>
          <w:tab w:leader="none" w:pos="96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For the purposes of giving this opinion, we have only examined and relied on those documents referred to in paragraphs 2(a) and arranged or obtained the Searches and reviewed the Search Results. We have made no further enquiries concerning the Company or any other matter in connection with the giving of this opinion.</w:t>
      </w:r>
    </w:p>
    <w:p>
      <w:pPr>
        <w:spacing w:after="0" w:line="89" w:lineRule="exact"/>
        <w:rPr>
          <w:rFonts w:ascii="Arial" w:cs="Arial" w:eastAsia="Arial" w:hAnsi="Arial"/>
          <w:sz w:val="18"/>
          <w:szCs w:val="18"/>
          <w:color w:val="auto"/>
        </w:rPr>
      </w:pPr>
    </w:p>
    <w:p>
      <w:pPr>
        <w:ind w:left="964" w:right="340" w:hanging="532"/>
        <w:spacing w:after="0" w:line="308" w:lineRule="auto"/>
        <w:tabs>
          <w:tab w:leader="none" w:pos="964" w:val="left"/>
        </w:tabs>
        <w:numPr>
          <w:ilvl w:val="1"/>
          <w:numId w:val="134"/>
        </w:numPr>
        <w:rPr>
          <w:rFonts w:ascii="Arial" w:cs="Arial" w:eastAsia="Arial" w:hAnsi="Arial"/>
          <w:sz w:val="17"/>
          <w:szCs w:val="17"/>
          <w:color w:val="auto"/>
        </w:rPr>
      </w:pPr>
      <w:r>
        <w:rPr>
          <w:rFonts w:ascii="Arial" w:cs="Arial" w:eastAsia="Arial" w:hAnsi="Arial"/>
          <w:sz w:val="17"/>
          <w:szCs w:val="17"/>
          <w:color w:val="auto"/>
        </w:rPr>
        <w:t>We have made no enquiry, and express no opinion, as to any matter of fact. As to matters of fact which are material to this opinion, we have relied entirely and without further enquiry on statements made in the documents listed in paragraph 2(a).</w:t>
      </w:r>
    </w:p>
    <w:p>
      <w:pPr>
        <w:spacing w:after="0" w:line="290" w:lineRule="exact"/>
        <w:rPr>
          <w:rFonts w:ascii="Arial" w:cs="Arial" w:eastAsia="Arial" w:hAnsi="Arial"/>
          <w:sz w:val="17"/>
          <w:szCs w:val="17"/>
          <w:color w:val="auto"/>
        </w:rPr>
      </w:pPr>
    </w:p>
    <w:p>
      <w:pPr>
        <w:ind w:left="544" w:hanging="544"/>
        <w:spacing w:after="0"/>
        <w:tabs>
          <w:tab w:leader="none" w:pos="544"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In giving this opinion we have assumed: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the genuineness of all signatures, seals and stamps;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144" w:name="page145"/>
    <w:bookmarkEnd w:id="144"/>
    <w:p>
      <w:pPr>
        <w:ind w:left="439" w:right="400" w:hanging="439"/>
        <w:spacing w:after="0" w:line="277" w:lineRule="auto"/>
        <w:tabs>
          <w:tab w:leader="none" w:pos="439"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each of the individuals who signs as, or otherwise claims to be, an officer of the Company is the individual whom he or she claims to be and holds the office he or she claims to hold;</w:t>
      </w:r>
    </w:p>
    <w:p>
      <w:pPr>
        <w:spacing w:after="0" w:line="75" w:lineRule="exact"/>
        <w:rPr>
          <w:rFonts w:ascii="Arial" w:cs="Arial" w:eastAsia="Arial" w:hAnsi="Arial"/>
          <w:sz w:val="18"/>
          <w:szCs w:val="18"/>
          <w:color w:val="auto"/>
        </w:rPr>
      </w:pPr>
    </w:p>
    <w:p>
      <w:pPr>
        <w:ind w:left="439" w:hanging="439"/>
        <w:spacing w:after="0"/>
        <w:tabs>
          <w:tab w:leader="none" w:pos="43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130" w:lineRule="exact"/>
        <w:rPr>
          <w:rFonts w:ascii="Arial" w:cs="Arial" w:eastAsia="Arial" w:hAnsi="Arial"/>
          <w:sz w:val="18"/>
          <w:szCs w:val="18"/>
          <w:color w:val="auto"/>
        </w:rPr>
      </w:pPr>
    </w:p>
    <w:p>
      <w:pPr>
        <w:ind w:left="439" w:right="460" w:hanging="439"/>
        <w:spacing w:after="0" w:line="277" w:lineRule="auto"/>
        <w:tabs>
          <w:tab w:leader="none" w:pos="43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conformity with the original documents of all documents reviewed by us as drafts, specimens, pro formas or copies and the authenticity and completeness of all such original documents;</w:t>
      </w:r>
    </w:p>
    <w:p>
      <w:pPr>
        <w:spacing w:after="0" w:line="75" w:lineRule="exact"/>
        <w:rPr>
          <w:rFonts w:ascii="Arial" w:cs="Arial" w:eastAsia="Arial" w:hAnsi="Arial"/>
          <w:sz w:val="18"/>
          <w:szCs w:val="18"/>
          <w:color w:val="auto"/>
        </w:rPr>
      </w:pPr>
    </w:p>
    <w:p>
      <w:pPr>
        <w:ind w:left="439" w:right="40" w:hanging="439"/>
        <w:spacing w:after="0" w:line="257" w:lineRule="auto"/>
        <w:tabs>
          <w:tab w:leader="none" w:pos="43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that in relation to each written resolution referred to in paragraph 2(a)(ii)(B) (</w:t>
      </w:r>
      <w:r>
        <w:rPr>
          <w:rFonts w:ascii="Arial" w:cs="Arial" w:eastAsia="Arial" w:hAnsi="Arial"/>
          <w:sz w:val="18"/>
          <w:szCs w:val="18"/>
          <w:i w:val="1"/>
          <w:iCs w:val="1"/>
          <w:color w:val="auto"/>
        </w:rPr>
        <w:t>Examination and enquiries</w:t>
      </w:r>
      <w:r>
        <w:rPr>
          <w:rFonts w:ascii="Arial" w:cs="Arial" w:eastAsia="Arial" w:hAnsi="Arial"/>
          <w:sz w:val="18"/>
          <w:szCs w:val="18"/>
          <w:color w:val="auto"/>
        </w:rPr>
        <w:t>) such resolution was duly passed in accordance with all applicable laws and regulations, including compliance with the articles of association of the Company; and that in particular, but without limitation, in relation to each written resolution of the directors each provision contained in the Companies Act 2006 or the articles of association of the Company relating to the declaration of directors’ interests or the power of interested directors to vote was duly observed;</w:t>
      </w:r>
    </w:p>
    <w:p>
      <w:pPr>
        <w:spacing w:after="0" w:line="93" w:lineRule="exact"/>
        <w:rPr>
          <w:rFonts w:ascii="Arial" w:cs="Arial" w:eastAsia="Arial" w:hAnsi="Arial"/>
          <w:sz w:val="18"/>
          <w:szCs w:val="18"/>
          <w:color w:val="auto"/>
        </w:rPr>
      </w:pPr>
    </w:p>
    <w:p>
      <w:pPr>
        <w:ind w:left="439" w:right="300" w:hanging="439"/>
        <w:spacing w:after="0" w:line="277" w:lineRule="auto"/>
        <w:tabs>
          <w:tab w:leader="none" w:pos="43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that in relation to each written resolution referred to in paragraph 2(a)(ii)(B) (</w:t>
      </w:r>
      <w:r>
        <w:rPr>
          <w:rFonts w:ascii="Arial" w:cs="Arial" w:eastAsia="Arial" w:hAnsi="Arial"/>
          <w:sz w:val="18"/>
          <w:szCs w:val="18"/>
          <w:i w:val="1"/>
          <w:iCs w:val="1"/>
          <w:color w:val="auto"/>
        </w:rPr>
        <w:t>Examination and enquiries</w:t>
      </w:r>
      <w:r>
        <w:rPr>
          <w:rFonts w:ascii="Arial" w:cs="Arial" w:eastAsia="Arial" w:hAnsi="Arial"/>
          <w:sz w:val="18"/>
          <w:szCs w:val="18"/>
          <w:color w:val="auto"/>
        </w:rPr>
        <w:t>) such resolution has not been amended or rescinded and remains in full force and effect;</w:t>
      </w:r>
    </w:p>
    <w:p>
      <w:pPr>
        <w:spacing w:after="0" w:line="75" w:lineRule="exact"/>
        <w:rPr>
          <w:rFonts w:ascii="Arial" w:cs="Arial" w:eastAsia="Arial" w:hAnsi="Arial"/>
          <w:sz w:val="18"/>
          <w:szCs w:val="18"/>
          <w:color w:val="auto"/>
        </w:rPr>
      </w:pPr>
    </w:p>
    <w:p>
      <w:pPr>
        <w:jc w:val="both"/>
        <w:ind w:left="439" w:right="220" w:hanging="439"/>
        <w:spacing w:after="0" w:line="263" w:lineRule="auto"/>
        <w:tabs>
          <w:tab w:leader="none" w:pos="43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that the directors of the Company acted in accordance with ss171 to 174 Companies Act 2006 in approving the written resolutions referred to in paragraph 2(a)(ii)(B) (</w:t>
      </w:r>
      <w:r>
        <w:rPr>
          <w:rFonts w:ascii="Arial" w:cs="Arial" w:eastAsia="Arial" w:hAnsi="Arial"/>
          <w:sz w:val="18"/>
          <w:szCs w:val="18"/>
          <w:i w:val="1"/>
          <w:iCs w:val="1"/>
          <w:color w:val="auto"/>
        </w:rPr>
        <w:t>Examination and enquiries</w:t>
      </w:r>
      <w:r>
        <w:rPr>
          <w:rFonts w:ascii="Arial" w:cs="Arial" w:eastAsia="Arial" w:hAnsi="Arial"/>
          <w:sz w:val="18"/>
          <w:szCs w:val="18"/>
          <w:color w:val="auto"/>
        </w:rPr>
        <w:t>); and that all actions to be carried out by the Company pursuant to those resolutions are in its commercial interests;</w:t>
      </w:r>
    </w:p>
    <w:p>
      <w:pPr>
        <w:spacing w:after="0" w:line="89" w:lineRule="exact"/>
        <w:rPr>
          <w:rFonts w:ascii="Arial" w:cs="Arial" w:eastAsia="Arial" w:hAnsi="Arial"/>
          <w:sz w:val="18"/>
          <w:szCs w:val="18"/>
          <w:color w:val="auto"/>
        </w:rPr>
      </w:pPr>
    </w:p>
    <w:p>
      <w:pPr>
        <w:jc w:val="both"/>
        <w:ind w:left="439" w:right="120" w:hanging="439"/>
        <w:spacing w:after="0" w:line="263" w:lineRule="auto"/>
        <w:tabs>
          <w:tab w:leader="none" w:pos="43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that, in relation to any document examined by us which is governed by the laws of any jurisdiction outside England and Wales, that document and the obligations created by it constitute the legal, valid, binding and enforceable obligations of each of the parties to it under the laws by which it is expressed to be governed;</w:t>
      </w:r>
    </w:p>
    <w:p>
      <w:pPr>
        <w:spacing w:after="0" w:line="89" w:lineRule="exact"/>
        <w:rPr>
          <w:rFonts w:ascii="Arial" w:cs="Arial" w:eastAsia="Arial" w:hAnsi="Arial"/>
          <w:sz w:val="18"/>
          <w:szCs w:val="18"/>
          <w:color w:val="auto"/>
        </w:rPr>
      </w:pPr>
    </w:p>
    <w:p>
      <w:pPr>
        <w:ind w:left="439" w:hanging="439"/>
        <w:spacing w:after="0" w:line="263" w:lineRule="auto"/>
        <w:tabs>
          <w:tab w:leader="none" w:pos="43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that there are no provisions of the laws of any jurisdiction outside England and Wales that would have any implication for the opinions we express and that, insofar as the laws of any jurisdiction outside England and Wales may be relevant to this opinion letter, such laws have been and will be complied with;</w:t>
      </w:r>
    </w:p>
    <w:p>
      <w:pPr>
        <w:spacing w:after="0" w:line="89" w:lineRule="exact"/>
        <w:rPr>
          <w:rFonts w:ascii="Arial" w:cs="Arial" w:eastAsia="Arial" w:hAnsi="Arial"/>
          <w:sz w:val="18"/>
          <w:szCs w:val="18"/>
          <w:color w:val="auto"/>
        </w:rPr>
      </w:pPr>
    </w:p>
    <w:p>
      <w:pPr>
        <w:jc w:val="both"/>
        <w:ind w:left="439" w:right="260" w:hanging="439"/>
        <w:spacing w:after="0" w:line="263" w:lineRule="auto"/>
        <w:tabs>
          <w:tab w:leader="none" w:pos="43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that each consent, licence, approval, authorisation or order of any governmental authority or other person which is required under any applicable law in connection with the transactions contemplated by the Sales Agreement and the Registration Statement, has been or will have been obtained and is or will be in full force and effect;</w:t>
      </w:r>
    </w:p>
    <w:p>
      <w:pPr>
        <w:spacing w:after="0" w:line="89" w:lineRule="exact"/>
        <w:rPr>
          <w:rFonts w:ascii="Arial" w:cs="Arial" w:eastAsia="Arial" w:hAnsi="Arial"/>
          <w:sz w:val="18"/>
          <w:szCs w:val="18"/>
          <w:color w:val="auto"/>
        </w:rPr>
      </w:pPr>
    </w:p>
    <w:p>
      <w:pPr>
        <w:ind w:left="439" w:right="180" w:hanging="439"/>
        <w:spacing w:after="0" w:line="308" w:lineRule="auto"/>
        <w:tabs>
          <w:tab w:leader="none" w:pos="439"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that the Company is and will at all relevant times remain in compliance with all applicable anti-corruption, anti-money laundering, anti-terrorism, sanctions, exchange control and human rights laws and regulations of any applicable jurisdiction;</w:t>
      </w:r>
    </w:p>
    <w:p>
      <w:pPr>
        <w:spacing w:after="0" w:line="79" w:lineRule="exact"/>
        <w:rPr>
          <w:sz w:val="20"/>
          <w:szCs w:val="20"/>
          <w:color w:val="auto"/>
        </w:rPr>
      </w:pPr>
    </w:p>
    <w:p>
      <w:pPr>
        <w:ind w:left="44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19"/>
          </w:cols>
          <w:pgMar w:left="1421" w:top="274" w:right="459" w:bottom="1440" w:gutter="0" w:footer="0" w:header="0"/>
        </w:sectPr>
      </w:pPr>
    </w:p>
    <w:bookmarkStart w:id="145" w:name="page146"/>
    <w:bookmarkEnd w:id="145"/>
    <w:p>
      <w:pPr>
        <w:ind w:left="639" w:hanging="639"/>
        <w:spacing w:after="0" w:line="311" w:lineRule="auto"/>
        <w:tabs>
          <w:tab w:leader="none" w:pos="639" w:val="left"/>
        </w:tabs>
        <w:numPr>
          <w:ilvl w:val="0"/>
          <w:numId w:val="1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no agreement, document or obligation to or by which the Company (or its assets) is a party or bound and no injunction or other court order against or affecting the Company would be breached or infringed by the performance of actions to be carried out pursuant to, or any other aspect of the transactions contemplated, by the Sales Agreement and the Registration Statement;</w:t>
      </w:r>
    </w:p>
    <w:p>
      <w:pPr>
        <w:spacing w:after="0" w:line="54" w:lineRule="exact"/>
        <w:rPr>
          <w:rFonts w:ascii="Arial" w:cs="Arial" w:eastAsia="Arial" w:hAnsi="Arial"/>
          <w:sz w:val="16"/>
          <w:szCs w:val="16"/>
          <w:color w:val="auto"/>
        </w:rPr>
      </w:pPr>
    </w:p>
    <w:p>
      <w:pPr>
        <w:ind w:left="639" w:right="400" w:hanging="639"/>
        <w:spacing w:after="0" w:line="277" w:lineRule="auto"/>
        <w:tabs>
          <w:tab w:leader="none" w:pos="63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that the information included in the Search Results is true, accurate, complete and up-to-date and that there is no information which, for any reason, should have been disclosed by those Searches and was not;</w:t>
      </w:r>
    </w:p>
    <w:p>
      <w:pPr>
        <w:spacing w:after="0" w:line="75" w:lineRule="exact"/>
        <w:rPr>
          <w:rFonts w:ascii="Arial" w:cs="Arial" w:eastAsia="Arial" w:hAnsi="Arial"/>
          <w:sz w:val="18"/>
          <w:szCs w:val="18"/>
          <w:color w:val="auto"/>
        </w:rPr>
      </w:pPr>
    </w:p>
    <w:p>
      <w:pPr>
        <w:ind w:left="639" w:right="140" w:hanging="639"/>
        <w:spacing w:after="0" w:line="259" w:lineRule="auto"/>
        <w:tabs>
          <w:tab w:leader="none" w:pos="63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that all applicable laws (for the avoidance of doubt, as in force at all relevant times) will be complied with respect to anything done in relation to the offering, sale, issue and (where applicable) allotment of the Ordinary Shares, including without limitation the Financial Services and Markets Act 2000, Regulation (EU) No. 596/2014 of the European Parliament and Regulation (EU) No. 2017/1129 of the European Parliament;</w:t>
      </w:r>
    </w:p>
    <w:p>
      <w:pPr>
        <w:spacing w:after="0" w:line="92" w:lineRule="exact"/>
        <w:rPr>
          <w:rFonts w:ascii="Arial" w:cs="Arial" w:eastAsia="Arial" w:hAnsi="Arial"/>
          <w:sz w:val="18"/>
          <w:szCs w:val="18"/>
          <w:color w:val="auto"/>
        </w:rPr>
      </w:pPr>
    </w:p>
    <w:p>
      <w:pPr>
        <w:ind w:left="639" w:right="380" w:hanging="639"/>
        <w:spacing w:after="0" w:line="287" w:lineRule="auto"/>
        <w:tabs>
          <w:tab w:leader="none" w:pos="639"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that the Ordinary Shares will be duly allotted by a valid resolution of the board of directors of the Company duly passed, in accordance with the Company’s articles of association (for the avoidance of doubt, as in force at all relevant times) and the Companies Act 2006, and pursuant to (A) a valid authorisation under s551 Companies Act 2006 and (B) a valid power under</w:t>
      </w:r>
    </w:p>
    <w:p>
      <w:pPr>
        <w:spacing w:after="0" w:line="2" w:lineRule="exact"/>
        <w:rPr>
          <w:rFonts w:ascii="Arial" w:cs="Arial" w:eastAsia="Arial" w:hAnsi="Arial"/>
          <w:sz w:val="16"/>
          <w:szCs w:val="16"/>
          <w:color w:val="auto"/>
        </w:rPr>
      </w:pPr>
    </w:p>
    <w:p>
      <w:pPr>
        <w:ind w:left="639"/>
        <w:spacing w:after="0" w:line="260" w:lineRule="auto"/>
        <w:rPr>
          <w:rFonts w:ascii="Arial" w:cs="Arial" w:eastAsia="Arial" w:hAnsi="Arial"/>
          <w:sz w:val="16"/>
          <w:szCs w:val="16"/>
          <w:color w:val="auto"/>
        </w:rPr>
      </w:pPr>
      <w:r>
        <w:rPr>
          <w:rFonts w:ascii="Arial" w:cs="Arial" w:eastAsia="Arial" w:hAnsi="Arial"/>
          <w:sz w:val="18"/>
          <w:szCs w:val="18"/>
          <w:color w:val="auto"/>
        </w:rPr>
        <w:t>s570 Companies Act 2006 to allot the Ordinary Shares as if s561 of that Act did not apply to the allotment; and that those sections of the Companies Act 2006 will continue in force unamended at all relevant times;</w:t>
      </w:r>
    </w:p>
    <w:p>
      <w:pPr>
        <w:spacing w:after="0" w:line="90" w:lineRule="exact"/>
        <w:rPr>
          <w:rFonts w:ascii="Arial" w:cs="Arial" w:eastAsia="Arial" w:hAnsi="Arial"/>
          <w:sz w:val="16"/>
          <w:szCs w:val="16"/>
          <w:color w:val="auto"/>
        </w:rPr>
      </w:pPr>
    </w:p>
    <w:p>
      <w:pPr>
        <w:ind w:left="639" w:hanging="639"/>
        <w:spacing w:after="0" w:line="263" w:lineRule="auto"/>
        <w:tabs>
          <w:tab w:leader="none" w:pos="63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that no pre-emptive rights or similar rights exist or have been created over or in respect of any Ordinary Shares other than pre-emption rights arising under s561 Companies Act 2006, or any such rights that exist or have been created have been or will be validly disapplied or waived;</w:t>
      </w:r>
    </w:p>
    <w:p>
      <w:pPr>
        <w:spacing w:after="0" w:line="89" w:lineRule="exact"/>
        <w:rPr>
          <w:rFonts w:ascii="Arial" w:cs="Arial" w:eastAsia="Arial" w:hAnsi="Arial"/>
          <w:sz w:val="18"/>
          <w:szCs w:val="18"/>
          <w:color w:val="auto"/>
        </w:rPr>
      </w:pPr>
    </w:p>
    <w:p>
      <w:pPr>
        <w:ind w:left="639" w:right="140" w:hanging="639"/>
        <w:spacing w:after="0" w:line="311" w:lineRule="auto"/>
        <w:tabs>
          <w:tab w:leader="none" w:pos="639"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that as at each date on which the Company allots and issues any Ordinary Shares the documents examined, and the results of the searches and enquiries made, as set out in paragraph 2 (</w:t>
      </w:r>
      <w:r>
        <w:rPr>
          <w:rFonts w:ascii="Arial" w:cs="Arial" w:eastAsia="Arial" w:hAnsi="Arial"/>
          <w:sz w:val="16"/>
          <w:szCs w:val="16"/>
          <w:i w:val="1"/>
          <w:iCs w:val="1"/>
          <w:color w:val="auto"/>
        </w:rPr>
        <w:t>Examination and enquiries</w:t>
      </w:r>
      <w:r>
        <w:rPr>
          <w:rFonts w:ascii="Arial" w:cs="Arial" w:eastAsia="Arial" w:hAnsi="Arial"/>
          <w:sz w:val="16"/>
          <w:szCs w:val="16"/>
          <w:color w:val="auto"/>
        </w:rPr>
        <w:t>), would not be rendered untrue, inaccurate, incomplete or out-of-date in any relevant respect by reference to subsequent facts, matters, circumstances or events;</w:t>
      </w:r>
    </w:p>
    <w:p>
      <w:pPr>
        <w:spacing w:after="0" w:line="54" w:lineRule="exact"/>
        <w:rPr>
          <w:rFonts w:ascii="Arial" w:cs="Arial" w:eastAsia="Arial" w:hAnsi="Arial"/>
          <w:sz w:val="16"/>
          <w:szCs w:val="16"/>
          <w:color w:val="auto"/>
        </w:rPr>
      </w:pPr>
    </w:p>
    <w:p>
      <w:pPr>
        <w:ind w:left="639" w:right="120" w:hanging="639"/>
        <w:spacing w:after="0" w:line="259" w:lineRule="auto"/>
        <w:tabs>
          <w:tab w:leader="none" w:pos="63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that as at each date on which the Company allots and issues any Ordinary Shares, the Company will have received the aggregate consideration payable for those Ordinary Shares as “cash consideration” (as defined in s583(3) Companies Act 2006), such aggregate consideration being not less than the nominal value of those Ordinary Shares; and that s583 Companies Act 2006 will continue in force unamended at all relevant times;</w:t>
      </w:r>
    </w:p>
    <w:p>
      <w:pPr>
        <w:spacing w:after="0" w:line="92" w:lineRule="exact"/>
        <w:rPr>
          <w:rFonts w:ascii="Arial" w:cs="Arial" w:eastAsia="Arial" w:hAnsi="Arial"/>
          <w:sz w:val="18"/>
          <w:szCs w:val="18"/>
          <w:color w:val="auto"/>
        </w:rPr>
      </w:pPr>
    </w:p>
    <w:p>
      <w:pPr>
        <w:ind w:left="639" w:right="80" w:hanging="639"/>
        <w:spacing w:after="0" w:line="301" w:lineRule="auto"/>
        <w:tabs>
          <w:tab w:leader="none" w:pos="639"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that there is and will be no fact or matter (such as bad faith, coercion, duress, undue influence or a mistake or misrepresentation before or at the time any agreement or instrument is entered into, a subsequent breach, release, waiver or variation of any right or provision, an entitlement to rectification or circumstances giving rise to an estoppel) and no additional document between any relevant parties which in either case would or might affect this opinion and which was not revealed to us by the documents</w:t>
      </w:r>
    </w:p>
    <w:p>
      <w:pPr>
        <w:spacing w:after="0" w:line="90" w:lineRule="exact"/>
        <w:rPr>
          <w:sz w:val="20"/>
          <w:szCs w:val="20"/>
          <w:color w:val="auto"/>
        </w:rPr>
      </w:pPr>
    </w:p>
    <w:p>
      <w:pPr>
        <w:ind w:left="44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19"/>
          </w:cols>
          <w:pgMar w:left="1421" w:top="274" w:right="459" w:bottom="1440" w:gutter="0" w:footer="0" w:header="0"/>
        </w:sectPr>
      </w:pPr>
    </w:p>
    <w:bookmarkStart w:id="146" w:name="page147"/>
    <w:bookmarkEnd w:id="146"/>
    <w:p>
      <w:pPr>
        <w:ind w:left="1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examined or the searches and enquiries made by us in connection with the giving of this opinion;</w:t>
      </w:r>
    </w:p>
    <w:p>
      <w:pPr>
        <w:spacing w:after="0" w:line="131" w:lineRule="exact"/>
        <w:rPr>
          <w:sz w:val="20"/>
          <w:szCs w:val="20"/>
          <w:color w:val="auto"/>
        </w:rPr>
      </w:pPr>
    </w:p>
    <w:p>
      <w:pPr>
        <w:ind w:left="1424" w:right="620" w:hanging="439"/>
        <w:spacing w:after="0" w:line="277" w:lineRule="auto"/>
        <w:tabs>
          <w:tab w:leader="none" w:pos="1424"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that no allotment of Ordinary Shares will result in a requirement to make a mandatory offer under rule 9 of the City Code on Takeovers and Mergers; and</w:t>
      </w:r>
    </w:p>
    <w:p>
      <w:pPr>
        <w:spacing w:after="0" w:line="75" w:lineRule="exact"/>
        <w:rPr>
          <w:rFonts w:ascii="Arial" w:cs="Arial" w:eastAsia="Arial" w:hAnsi="Arial"/>
          <w:sz w:val="18"/>
          <w:szCs w:val="18"/>
          <w:color w:val="auto"/>
        </w:rPr>
      </w:pPr>
    </w:p>
    <w:p>
      <w:pPr>
        <w:ind w:left="1424" w:hanging="439"/>
        <w:spacing w:after="0" w:line="254" w:lineRule="auto"/>
        <w:tabs>
          <w:tab w:leader="none" w:pos="1424"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that resolutions of the board of directors of the Company referred to paragraph 3(a)(xv) will be passed in each case at a meeting duly convened, constituted and held in accordance with all applicable laws and regulations; that in particular, but without limitation, a duly qualified quorum of directors will be present throughout the meeting and vote in favour of the resolutions; that each provision contained in the Companies Act 2006 or the articles of association of the Company relating to the declaration of directors’ interests or the power of interested directors to vote and count in the quorum will be duly observed; that in approving those resolutions the directors will act in accordance with ss171 to 174 Companies Act 2006; and actions to be carried out by the Company pursuant to those resolutions will be in its commercial interests.</w:t>
      </w:r>
    </w:p>
    <w:p>
      <w:pPr>
        <w:spacing w:after="0" w:line="100" w:lineRule="exact"/>
        <w:rPr>
          <w:rFonts w:ascii="Arial" w:cs="Arial" w:eastAsia="Arial" w:hAnsi="Arial"/>
          <w:sz w:val="18"/>
          <w:szCs w:val="18"/>
          <w:color w:val="auto"/>
        </w:rPr>
      </w:pPr>
    </w:p>
    <w:p>
      <w:pPr>
        <w:ind w:left="964" w:right="600" w:hanging="532"/>
        <w:spacing w:after="0" w:line="277" w:lineRule="auto"/>
        <w:tabs>
          <w:tab w:leader="none" w:pos="9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relation to paragraph 3(a)(xiii), it should be noted that this information included in the Search Results may not be true, accurate, complete or up-to-date. In particular, but without limitation:</w:t>
      </w:r>
    </w:p>
    <w:p>
      <w:pPr>
        <w:spacing w:after="0" w:line="75" w:lineRule="exact"/>
        <w:rPr>
          <w:rFonts w:ascii="Arial" w:cs="Arial" w:eastAsia="Arial" w:hAnsi="Arial"/>
          <w:sz w:val="18"/>
          <w:szCs w:val="18"/>
          <w:color w:val="auto"/>
        </w:rPr>
      </w:pPr>
    </w:p>
    <w:p>
      <w:pPr>
        <w:ind w:left="1424" w:right="340" w:hanging="439"/>
        <w:spacing w:after="0" w:line="308" w:lineRule="auto"/>
        <w:tabs>
          <w:tab w:leader="none" w:pos="1424" w:val="left"/>
        </w:tabs>
        <w:numPr>
          <w:ilvl w:val="2"/>
          <w:numId w:val="139"/>
        </w:numPr>
        <w:rPr>
          <w:rFonts w:ascii="Arial" w:cs="Arial" w:eastAsia="Arial" w:hAnsi="Arial"/>
          <w:sz w:val="17"/>
          <w:szCs w:val="17"/>
          <w:color w:val="auto"/>
        </w:rPr>
      </w:pPr>
      <w:r>
        <w:rPr>
          <w:rFonts w:ascii="Arial" w:cs="Arial" w:eastAsia="Arial" w:hAnsi="Arial"/>
          <w:sz w:val="17"/>
          <w:szCs w:val="17"/>
          <w:color w:val="auto"/>
        </w:rPr>
        <w:t>there may be matters which should have been registered but which have not been registered or there may be a delay between the registration of those matters and the relevant entries appearing on the register of the relevant party;</w:t>
      </w:r>
    </w:p>
    <w:p>
      <w:pPr>
        <w:spacing w:after="0" w:line="51" w:lineRule="exact"/>
        <w:rPr>
          <w:rFonts w:ascii="Arial" w:cs="Arial" w:eastAsia="Arial" w:hAnsi="Arial"/>
          <w:sz w:val="17"/>
          <w:szCs w:val="17"/>
          <w:color w:val="auto"/>
        </w:rPr>
      </w:pPr>
    </w:p>
    <w:p>
      <w:pPr>
        <w:ind w:left="1424" w:right="140" w:hanging="439"/>
        <w:spacing w:after="0" w:line="275" w:lineRule="auto"/>
        <w:tabs>
          <w:tab w:leader="none" w:pos="1424" w:val="left"/>
        </w:tabs>
        <w:numPr>
          <w:ilvl w:val="2"/>
          <w:numId w:val="139"/>
        </w:numPr>
        <w:rPr>
          <w:rFonts w:ascii="Arial" w:cs="Arial" w:eastAsia="Arial" w:hAnsi="Arial"/>
          <w:sz w:val="17"/>
          <w:szCs w:val="17"/>
          <w:color w:val="auto"/>
        </w:rPr>
      </w:pPr>
      <w:r>
        <w:rPr>
          <w:rFonts w:ascii="Arial" w:cs="Arial" w:eastAsia="Arial" w:hAnsi="Arial"/>
          <w:sz w:val="17"/>
          <w:szCs w:val="17"/>
          <w:color w:val="auto"/>
        </w:rPr>
        <w:t>there is no requirement to register with the Registrar of Companies notice of a petition for the winding-up of, or application for an administration order in respect of, a company. Such a notice or notice of a winding-up or administration order having been made, a resolution having been passed for the winding-up of a company or a receiver, manager, administrative receiver, administrator or liquidator having been appointed may not be filed with the Registrar of Companies immediately and there may be a delay in any notice appearing on the register of the relevant party;</w:t>
      </w:r>
    </w:p>
    <w:p>
      <w:pPr>
        <w:spacing w:after="0" w:line="81" w:lineRule="exact"/>
        <w:rPr>
          <w:rFonts w:ascii="Arial" w:cs="Arial" w:eastAsia="Arial" w:hAnsi="Arial"/>
          <w:sz w:val="17"/>
          <w:szCs w:val="17"/>
          <w:color w:val="auto"/>
        </w:rPr>
      </w:pPr>
    </w:p>
    <w:p>
      <w:pPr>
        <w:ind w:left="1424" w:right="120" w:hanging="439"/>
        <w:spacing w:after="0" w:line="301" w:lineRule="auto"/>
        <w:tabs>
          <w:tab w:leader="none" w:pos="1424" w:val="left"/>
        </w:tabs>
        <w:numPr>
          <w:ilvl w:val="2"/>
          <w:numId w:val="139"/>
        </w:numPr>
        <w:rPr>
          <w:rFonts w:ascii="Arial" w:cs="Arial" w:eastAsia="Arial" w:hAnsi="Arial"/>
          <w:sz w:val="16"/>
          <w:szCs w:val="16"/>
          <w:color w:val="auto"/>
        </w:rPr>
      </w:pPr>
      <w:r>
        <w:rPr>
          <w:rFonts w:ascii="Arial" w:cs="Arial" w:eastAsia="Arial" w:hAnsi="Arial"/>
          <w:sz w:val="16"/>
          <w:szCs w:val="16"/>
          <w:color w:val="auto"/>
        </w:rPr>
        <w:t>the results of the Central Registry Enquiry relate only to petitions for the compulsory winding up of, or applications for an administration order in respect of, the Company presented prior to the enquiry and entered on the records of the Central Registry of Winding Up Petitions. The presentation of such a petition, or the making of such an application, may not have been notified to the Central Registry or entered on its records immediately or, if presented to a County Court or Chancery District Registry, at all; and</w:t>
      </w:r>
    </w:p>
    <w:p>
      <w:pPr>
        <w:spacing w:after="0" w:line="62" w:lineRule="exact"/>
        <w:rPr>
          <w:rFonts w:ascii="Arial" w:cs="Arial" w:eastAsia="Arial" w:hAnsi="Arial"/>
          <w:sz w:val="16"/>
          <w:szCs w:val="16"/>
          <w:color w:val="auto"/>
        </w:rPr>
      </w:pPr>
    </w:p>
    <w:p>
      <w:pPr>
        <w:ind w:left="1424" w:hanging="439"/>
        <w:spacing w:after="0"/>
        <w:tabs>
          <w:tab w:leader="none" w:pos="1424" w:val="left"/>
        </w:tabs>
        <w:numPr>
          <w:ilvl w:val="2"/>
          <w:numId w:val="139"/>
        </w:numPr>
        <w:rPr>
          <w:rFonts w:ascii="Arial" w:cs="Arial" w:eastAsia="Arial" w:hAnsi="Arial"/>
          <w:sz w:val="18"/>
          <w:szCs w:val="18"/>
          <w:color w:val="auto"/>
        </w:rPr>
      </w:pPr>
      <w:r>
        <w:rPr>
          <w:rFonts w:ascii="Arial" w:cs="Arial" w:eastAsia="Arial" w:hAnsi="Arial"/>
          <w:sz w:val="18"/>
          <w:szCs w:val="18"/>
          <w:color w:val="auto"/>
        </w:rPr>
        <w:t>in each case, further information might have become available on the relevant register after the Searches were made.</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Opinions</w:t>
      </w:r>
    </w:p>
    <w:p>
      <w:pPr>
        <w:spacing w:after="0" w:line="134" w:lineRule="exact"/>
        <w:rPr>
          <w:rFonts w:ascii="Arial" w:cs="Arial" w:eastAsia="Arial" w:hAnsi="Arial"/>
          <w:sz w:val="18"/>
          <w:szCs w:val="18"/>
          <w:color w:val="auto"/>
        </w:rPr>
      </w:pPr>
    </w:p>
    <w:p>
      <w:pPr>
        <w:ind w:left="964" w:right="600" w:hanging="532"/>
        <w:spacing w:after="0" w:line="277" w:lineRule="auto"/>
        <w:tabs>
          <w:tab w:leader="none" w:pos="96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On the basis of the examination and enquiries referred to in paragraph 2 (</w:t>
      </w:r>
      <w:r>
        <w:rPr>
          <w:rFonts w:ascii="Arial" w:cs="Arial" w:eastAsia="Arial" w:hAnsi="Arial"/>
          <w:sz w:val="18"/>
          <w:szCs w:val="18"/>
          <w:i w:val="1"/>
          <w:iCs w:val="1"/>
          <w:color w:val="auto"/>
        </w:rPr>
        <w:t>Examination and enquiries</w:t>
      </w:r>
      <w:r>
        <w:rPr>
          <w:rFonts w:ascii="Arial" w:cs="Arial" w:eastAsia="Arial" w:hAnsi="Arial"/>
          <w:sz w:val="18"/>
          <w:szCs w:val="18"/>
          <w:color w:val="auto"/>
        </w:rPr>
        <w:t>) and the assumptions made in paragraph 3</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147" w:name="page148"/>
    <w:bookmarkEnd w:id="147"/>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i w:val="1"/>
          <w:iCs w:val="1"/>
          <w:color w:val="auto"/>
        </w:rPr>
        <w:t>Assumptions</w:t>
      </w:r>
      <w:r>
        <w:rPr>
          <w:rFonts w:ascii="Arial" w:cs="Arial" w:eastAsia="Arial" w:hAnsi="Arial"/>
          <w:sz w:val="18"/>
          <w:szCs w:val="18"/>
          <w:color w:val="auto"/>
        </w:rPr>
        <w:t>) and subject to the qualifications set out in paragraph 5 (</w:t>
      </w:r>
      <w:r>
        <w:rPr>
          <w:rFonts w:ascii="Arial" w:cs="Arial" w:eastAsia="Arial" w:hAnsi="Arial"/>
          <w:sz w:val="18"/>
          <w:szCs w:val="18"/>
          <w:i w:val="1"/>
          <w:iCs w:val="1"/>
          <w:color w:val="auto"/>
        </w:rPr>
        <w:t>Qualifications</w:t>
      </w:r>
      <w:r>
        <w:rPr>
          <w:rFonts w:ascii="Arial" w:cs="Arial" w:eastAsia="Arial" w:hAnsi="Arial"/>
          <w:sz w:val="18"/>
          <w:szCs w:val="18"/>
          <w:color w:val="auto"/>
        </w:rPr>
        <w:t>), we are of the opinion that:</w:t>
      </w:r>
    </w:p>
    <w:p>
      <w:pPr>
        <w:spacing w:after="0" w:line="131" w:lineRule="exact"/>
        <w:rPr>
          <w:sz w:val="20"/>
          <w:szCs w:val="20"/>
          <w:color w:val="auto"/>
        </w:rPr>
      </w:pPr>
    </w:p>
    <w:p>
      <w:pPr>
        <w:ind w:left="1424" w:hanging="439"/>
        <w:spacing w:after="0"/>
        <w:tabs>
          <w:tab w:leader="none" w:pos="1424"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the Company is a public limited company duly incorporated under English law;</w:t>
      </w:r>
    </w:p>
    <w:p>
      <w:pPr>
        <w:spacing w:after="0" w:line="130" w:lineRule="exact"/>
        <w:rPr>
          <w:rFonts w:ascii="Arial" w:cs="Arial" w:eastAsia="Arial" w:hAnsi="Arial"/>
          <w:sz w:val="18"/>
          <w:szCs w:val="18"/>
          <w:color w:val="auto"/>
        </w:rPr>
      </w:pPr>
    </w:p>
    <w:p>
      <w:pPr>
        <w:ind w:left="1424" w:right="80" w:hanging="439"/>
        <w:spacing w:after="0" w:line="257" w:lineRule="auto"/>
        <w:tabs>
          <w:tab w:leader="none" w:pos="1424"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the Company Search indicates that the Company is validly existing and does not reveal any order or resolution for its winding up or any notice of the appointment of a receiver, administrative receiver or administrator in respect of it or any of its assets. The Central Registry Enquiry does not reveal that any petition for the winding-up of the Company has been presented, that any application for administration of the Company has been made or that any notice of appointment, or of intention to appoint an administrator, has been filed in respect of the Company; and</w:t>
      </w:r>
    </w:p>
    <w:p>
      <w:pPr>
        <w:spacing w:after="0" w:line="93" w:lineRule="exact"/>
        <w:rPr>
          <w:rFonts w:ascii="Arial" w:cs="Arial" w:eastAsia="Arial" w:hAnsi="Arial"/>
          <w:sz w:val="18"/>
          <w:szCs w:val="18"/>
          <w:color w:val="auto"/>
        </w:rPr>
      </w:pPr>
    </w:p>
    <w:p>
      <w:pPr>
        <w:ind w:left="1424" w:hanging="439"/>
        <w:spacing w:after="0" w:line="263" w:lineRule="auto"/>
        <w:tabs>
          <w:tab w:leader="none" w:pos="1424" w:val="left"/>
        </w:tabs>
        <w:numPr>
          <w:ilvl w:val="2"/>
          <w:numId w:val="141"/>
        </w:numPr>
        <w:rPr>
          <w:rFonts w:ascii="Arial" w:cs="Arial" w:eastAsia="Arial" w:hAnsi="Arial"/>
          <w:sz w:val="18"/>
          <w:szCs w:val="18"/>
          <w:color w:val="auto"/>
        </w:rPr>
      </w:pPr>
      <w:r>
        <w:rPr>
          <w:rFonts w:ascii="Arial" w:cs="Arial" w:eastAsia="Arial" w:hAnsi="Arial"/>
          <w:sz w:val="18"/>
          <w:szCs w:val="18"/>
          <w:color w:val="auto"/>
        </w:rPr>
        <w:t>in connection with a relevant issuance, upon receipt of the aggregate consideration for Ordinary Shares and entry of the names of the appropriate persons in the Company’s register of members, the relevant Ordinary Shares will be validly issued, fully paid and no further amount may be called thereon.</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For the purpose of paragraphs 4(a)(i) and (ii):</w:t>
      </w:r>
    </w:p>
    <w:p>
      <w:pPr>
        <w:spacing w:after="0" w:line="126" w:lineRule="exact"/>
        <w:rPr>
          <w:rFonts w:ascii="Arial" w:cs="Arial" w:eastAsia="Arial" w:hAnsi="Arial"/>
          <w:sz w:val="18"/>
          <w:szCs w:val="18"/>
          <w:color w:val="auto"/>
        </w:rPr>
      </w:pPr>
    </w:p>
    <w:p>
      <w:pPr>
        <w:ind w:left="1424" w:right="40" w:hanging="439"/>
        <w:spacing w:after="0" w:line="266" w:lineRule="auto"/>
        <w:tabs>
          <w:tab w:leader="none" w:pos="1424" w:val="left"/>
        </w:tabs>
        <w:numPr>
          <w:ilvl w:val="2"/>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“duly incorporated” </w:t>
      </w:r>
      <w:r>
        <w:rPr>
          <w:rFonts w:ascii="Arial" w:cs="Arial" w:eastAsia="Arial" w:hAnsi="Arial"/>
          <w:sz w:val="18"/>
          <w:szCs w:val="18"/>
          <w:color w:val="auto"/>
        </w:rPr>
        <w:t>means that the requirements of the Companies Act in force at the date of incorporation of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registration and all matters precedent and incidental to it have been complied with by the Company and that the Company is authorised to be registered and is duly registered under that Act; and</w:t>
      </w:r>
    </w:p>
    <w:p>
      <w:pPr>
        <w:spacing w:after="0" w:line="81" w:lineRule="exact"/>
        <w:rPr>
          <w:rFonts w:ascii="Arial" w:cs="Arial" w:eastAsia="Arial" w:hAnsi="Arial"/>
          <w:sz w:val="18"/>
          <w:szCs w:val="18"/>
          <w:color w:val="auto"/>
        </w:rPr>
      </w:pPr>
    </w:p>
    <w:p>
      <w:pPr>
        <w:jc w:val="both"/>
        <w:ind w:left="1424" w:right="180" w:hanging="439"/>
        <w:spacing w:after="0" w:line="266" w:lineRule="auto"/>
        <w:tabs>
          <w:tab w:leader="none" w:pos="1424" w:val="left"/>
        </w:tabs>
        <w:numPr>
          <w:ilvl w:val="2"/>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“validly existing” </w:t>
      </w:r>
      <w:r>
        <w:rPr>
          <w:rFonts w:ascii="Arial" w:cs="Arial" w:eastAsia="Arial" w:hAnsi="Arial"/>
          <w:sz w:val="18"/>
          <w:szCs w:val="18"/>
          <w:color w:val="auto"/>
        </w:rPr>
        <w:t>means that the Company is subsisting at the date of this opinion and has not been struck off the register kept by</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Registrar of Companies, dissolved or ceased to exist by reason of any merger, consolidation or limitation on the duration of its existence.</w:t>
      </w:r>
    </w:p>
    <w:p>
      <w:pPr>
        <w:spacing w:after="0" w:line="81" w:lineRule="exact"/>
        <w:rPr>
          <w:rFonts w:ascii="Arial" w:cs="Arial" w:eastAsia="Arial" w:hAnsi="Arial"/>
          <w:sz w:val="18"/>
          <w:szCs w:val="18"/>
          <w:color w:val="auto"/>
        </w:rPr>
      </w:pPr>
    </w:p>
    <w:p>
      <w:pPr>
        <w:ind w:left="964" w:right="180" w:hanging="532"/>
        <w:spacing w:after="0" w:line="266" w:lineRule="auto"/>
        <w:tabs>
          <w:tab w:leader="none" w:pos="96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 xml:space="preserve">For the purpose of paragraphs 4(a)(iii), a </w:t>
      </w:r>
      <w:r>
        <w:rPr>
          <w:rFonts w:ascii="Arial" w:cs="Arial" w:eastAsia="Arial" w:hAnsi="Arial"/>
          <w:sz w:val="18"/>
          <w:szCs w:val="18"/>
          <w:b w:val="1"/>
          <w:bCs w:val="1"/>
          <w:color w:val="auto"/>
        </w:rPr>
        <w:t>“relevant issuance”</w:t>
      </w:r>
      <w:r>
        <w:rPr>
          <w:rFonts w:ascii="Arial" w:cs="Arial" w:eastAsia="Arial" w:hAnsi="Arial"/>
          <w:sz w:val="18"/>
          <w:szCs w:val="18"/>
          <w:color w:val="auto"/>
        </w:rPr>
        <w:t xml:space="preserve"> means an allotment and issue of Ordinary Shares in accordance with the assumptions made in paragraph 3 (</w:t>
      </w:r>
      <w:r>
        <w:rPr>
          <w:rFonts w:ascii="Arial" w:cs="Arial" w:eastAsia="Arial" w:hAnsi="Arial"/>
          <w:sz w:val="18"/>
          <w:szCs w:val="18"/>
          <w:i w:val="1"/>
          <w:iCs w:val="1"/>
          <w:color w:val="auto"/>
        </w:rPr>
        <w:t>Assumptions</w:t>
      </w:r>
      <w:r>
        <w:rPr>
          <w:rFonts w:ascii="Arial" w:cs="Arial" w:eastAsia="Arial" w:hAnsi="Arial"/>
          <w:sz w:val="18"/>
          <w:szCs w:val="18"/>
          <w:color w:val="auto"/>
        </w:rPr>
        <w:t>) and in particular but without limitation those assumptions in paragraphs 3(a)(xv), (xvii) and (xviii).</w:t>
      </w:r>
    </w:p>
    <w:p>
      <w:pPr>
        <w:spacing w:after="0" w:line="85" w:lineRule="exact"/>
        <w:rPr>
          <w:rFonts w:ascii="Arial" w:cs="Arial" w:eastAsia="Arial" w:hAnsi="Arial"/>
          <w:sz w:val="18"/>
          <w:szCs w:val="18"/>
          <w:color w:val="auto"/>
        </w:rPr>
      </w:pPr>
    </w:p>
    <w:p>
      <w:pPr>
        <w:ind w:left="964" w:right="120" w:hanging="532"/>
        <w:spacing w:after="0" w:line="277" w:lineRule="auto"/>
        <w:tabs>
          <w:tab w:leader="none" w:pos="96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This opinion is strictly limited to the matters expressly stated in this paragraph 4 and is not to be construed as extending by implication to any other matter.</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Qualifications</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opinions set out in paragraph 4 (</w:t>
      </w:r>
      <w:r>
        <w:rPr>
          <w:rFonts w:ascii="Arial" w:cs="Arial" w:eastAsia="Arial" w:hAnsi="Arial"/>
          <w:sz w:val="18"/>
          <w:szCs w:val="18"/>
          <w:i w:val="1"/>
          <w:iCs w:val="1"/>
          <w:color w:val="auto"/>
        </w:rPr>
        <w:t>Opinions</w:t>
      </w:r>
      <w:r>
        <w:rPr>
          <w:rFonts w:ascii="Arial" w:cs="Arial" w:eastAsia="Arial" w:hAnsi="Arial"/>
          <w:sz w:val="18"/>
          <w:szCs w:val="18"/>
          <w:color w:val="auto"/>
        </w:rPr>
        <w:t>) are subject to the qualifications set out in the remainder of this paragraph 5.</w:t>
      </w:r>
    </w:p>
    <w:p>
      <w:pPr>
        <w:spacing w:after="0" w:line="130" w:lineRule="exact"/>
        <w:rPr>
          <w:rFonts w:ascii="Arial" w:cs="Arial" w:eastAsia="Arial" w:hAnsi="Arial"/>
          <w:sz w:val="18"/>
          <w:szCs w:val="18"/>
          <w:color w:val="auto"/>
        </w:rPr>
      </w:pPr>
    </w:p>
    <w:p>
      <w:pPr>
        <w:ind w:left="964" w:right="420" w:hanging="532"/>
        <w:spacing w:after="0" w:line="286" w:lineRule="auto"/>
        <w:tabs>
          <w:tab w:leader="none" w:pos="964" w:val="left"/>
        </w:tabs>
        <w:numPr>
          <w:ilvl w:val="1"/>
          <w:numId w:val="143"/>
        </w:numPr>
        <w:rPr>
          <w:rFonts w:ascii="Arial" w:cs="Arial" w:eastAsia="Arial" w:hAnsi="Arial"/>
          <w:sz w:val="17"/>
          <w:szCs w:val="17"/>
          <w:color w:val="auto"/>
        </w:rPr>
      </w:pPr>
      <w:r>
        <w:rPr>
          <w:rFonts w:ascii="Arial" w:cs="Arial" w:eastAsia="Arial" w:hAnsi="Arial"/>
          <w:sz w:val="17"/>
          <w:szCs w:val="17"/>
          <w:color w:val="auto"/>
        </w:rPr>
        <w:t>We express no opinion as to matters of United Kingdom taxation or any liability to tax (including, without limitation, stamp duty and stamp duty reserve tax) which may arise or be incurred as a result of or in connection with the Ordinary Shares or the transactions contemplated by the Sales Agreement and the Registration Statement, or as to tax matters generally.</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148" w:name="page149"/>
    <w:bookmarkEnd w:id="148"/>
    <w:p>
      <w:pPr>
        <w:ind w:left="964" w:right="100" w:hanging="532"/>
        <w:spacing w:after="0" w:line="259" w:lineRule="auto"/>
        <w:tabs>
          <w:tab w:leader="none" w:pos="964" w:val="left"/>
        </w:tabs>
        <w:numPr>
          <w:ilvl w:val="1"/>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opinion set out in paragraph 4(a)(iii) (</w:t>
      </w:r>
      <w:r>
        <w:rPr>
          <w:rFonts w:ascii="Arial" w:cs="Arial" w:eastAsia="Arial" w:hAnsi="Arial"/>
          <w:sz w:val="18"/>
          <w:szCs w:val="18"/>
          <w:i w:val="1"/>
          <w:iCs w:val="1"/>
          <w:color w:val="auto"/>
        </w:rPr>
        <w:t>Opinions</w:t>
      </w:r>
      <w:r>
        <w:rPr>
          <w:rFonts w:ascii="Arial" w:cs="Arial" w:eastAsia="Arial" w:hAnsi="Arial"/>
          <w:sz w:val="18"/>
          <w:szCs w:val="18"/>
          <w:color w:val="auto"/>
        </w:rPr>
        <w:t>) relates only to Ordinary Shares offered or sold from time to time pursuant to the Registration Statement that are new Ordinary Shares issued by the Company from time to time following the date of the Registration Statement. We express no opinion in respect of any securities of the Company existing at the date of this opinion which may be offered or sold from time to time pursuant to the Registration Statement.</w:t>
      </w:r>
    </w:p>
    <w:p>
      <w:pPr>
        <w:spacing w:after="0" w:line="331" w:lineRule="exact"/>
        <w:rPr>
          <w:rFonts w:ascii="Arial" w:cs="Arial" w:eastAsia="Arial" w:hAnsi="Arial"/>
          <w:sz w:val="18"/>
          <w:szCs w:val="18"/>
          <w:color w:val="auto"/>
        </w:rPr>
      </w:pPr>
    </w:p>
    <w:p>
      <w:pPr>
        <w:ind w:left="424" w:hanging="424"/>
        <w:spacing w:after="0"/>
        <w:tabs>
          <w:tab w:leader="none" w:pos="424"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Law</w:t>
      </w:r>
    </w:p>
    <w:p>
      <w:pPr>
        <w:spacing w:after="0" w:line="134" w:lineRule="exact"/>
        <w:rPr>
          <w:rFonts w:ascii="Arial" w:cs="Arial" w:eastAsia="Arial" w:hAnsi="Arial"/>
          <w:sz w:val="18"/>
          <w:szCs w:val="18"/>
          <w:color w:val="auto"/>
        </w:rPr>
      </w:pPr>
    </w:p>
    <w:p>
      <w:pPr>
        <w:ind w:left="964" w:right="180" w:hanging="532"/>
        <w:spacing w:after="0" w:line="277" w:lineRule="auto"/>
        <w:tabs>
          <w:tab w:leader="none" w:pos="964"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This opinion and any non-contractual obligations arising out of or in connection with this opinion shall be governed by, and construed in accordance with, English law.</w:t>
      </w:r>
    </w:p>
    <w:p>
      <w:pPr>
        <w:spacing w:after="0" w:line="75" w:lineRule="exact"/>
        <w:rPr>
          <w:rFonts w:ascii="Arial" w:cs="Arial" w:eastAsia="Arial" w:hAnsi="Arial"/>
          <w:sz w:val="18"/>
          <w:szCs w:val="18"/>
          <w:color w:val="auto"/>
        </w:rPr>
      </w:pPr>
    </w:p>
    <w:p>
      <w:pPr>
        <w:ind w:left="964" w:right="40" w:hanging="532"/>
        <w:spacing w:after="0" w:line="275" w:lineRule="auto"/>
        <w:tabs>
          <w:tab w:leader="none" w:pos="964"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This opinion relates only to English law (being for these purposes, except to the extent we make specific reference to an English law “conflict of law” (private international law) rule or principle, English domestic law on the assumption that English domestic law applies to all relevant issues) as applied by the English courts as at today’s date, including the laws of the European Union to the extent having the force of law in England by virtue of s1A European Union (Withdrawal) Act 2018 (as introduced by s1 European Union (Withdrawal Agreement) Act 2020). In construing any European Union directive or regulation, we have read only the English version.</w:t>
      </w:r>
    </w:p>
    <w:p>
      <w:pPr>
        <w:spacing w:after="0" w:line="81" w:lineRule="exact"/>
        <w:rPr>
          <w:rFonts w:ascii="Arial" w:cs="Arial" w:eastAsia="Arial" w:hAnsi="Arial"/>
          <w:sz w:val="17"/>
          <w:szCs w:val="17"/>
          <w:color w:val="auto"/>
        </w:rPr>
      </w:pPr>
    </w:p>
    <w:p>
      <w:pPr>
        <w:ind w:left="964" w:hanging="532"/>
        <w:spacing w:after="0"/>
        <w:tabs>
          <w:tab w:leader="none" w:pos="964" w:val="left"/>
        </w:tabs>
        <w:numPr>
          <w:ilvl w:val="1"/>
          <w:numId w:val="145"/>
        </w:numPr>
        <w:rPr>
          <w:rFonts w:ascii="Arial" w:cs="Arial" w:eastAsia="Arial" w:hAnsi="Arial"/>
          <w:sz w:val="17"/>
          <w:szCs w:val="17"/>
          <w:color w:val="auto"/>
        </w:rPr>
      </w:pPr>
      <w:r>
        <w:rPr>
          <w:rFonts w:ascii="Arial" w:cs="Arial" w:eastAsia="Arial" w:hAnsi="Arial"/>
          <w:sz w:val="17"/>
          <w:szCs w:val="17"/>
          <w:color w:val="auto"/>
        </w:rPr>
        <w:t>We do not undertake or accept any obligation to update this opinion to reflect subsequent changes in English law or factual matters.</w:t>
      </w:r>
    </w:p>
    <w:p>
      <w:pPr>
        <w:spacing w:after="0" w:line="142" w:lineRule="exact"/>
        <w:rPr>
          <w:rFonts w:ascii="Arial" w:cs="Arial" w:eastAsia="Arial" w:hAnsi="Arial"/>
          <w:sz w:val="17"/>
          <w:szCs w:val="17"/>
          <w:color w:val="auto"/>
        </w:rPr>
      </w:pPr>
    </w:p>
    <w:p>
      <w:pPr>
        <w:jc w:val="both"/>
        <w:ind w:left="964" w:hanging="532"/>
        <w:spacing w:after="0" w:line="311" w:lineRule="auto"/>
        <w:tabs>
          <w:tab w:leader="none" w:pos="964" w:val="left"/>
        </w:tabs>
        <w:numPr>
          <w:ilvl w:val="1"/>
          <w:numId w:val="145"/>
        </w:numPr>
        <w:rPr>
          <w:rFonts w:ascii="Arial" w:cs="Arial" w:eastAsia="Arial" w:hAnsi="Arial"/>
          <w:sz w:val="16"/>
          <w:szCs w:val="16"/>
          <w:color w:val="auto"/>
        </w:rPr>
      </w:pPr>
      <w:r>
        <w:rPr>
          <w:rFonts w:ascii="Arial" w:cs="Arial" w:eastAsia="Arial" w:hAnsi="Arial"/>
          <w:sz w:val="16"/>
          <w:szCs w:val="16"/>
          <w:color w:val="auto"/>
        </w:rPr>
        <w:t>We express no opinion as to, and we have not investigated for the purposes of this opinion, the laws of any jurisdiction other than England. It is assumed that no foreign law which may apply to the matters contemplated by the Registration Statement, or any document relating to, or any party to, any transaction contemplated by the Sales Agreement or the Registration Statement, would or might affect this opinion.</w:t>
      </w:r>
    </w:p>
    <w:p>
      <w:pPr>
        <w:spacing w:after="0" w:line="149"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admit that we are in the category of persons whose consent is required under section 7 of the Securities Act or the Rules.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Mayer Brown International LLP</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Mayer Brown International LLP</w:t>
      </w:r>
    </w:p>
    <w:p>
      <w:pPr>
        <w:spacing w:after="0" w:line="16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consent to the reference to our firm under the caption “Experts” in the Registration Statement (Form F-3) and related Prospectus of Mereo BioPharma Group plc for the offering, issuance and sale of up to $200,000,000 of Mereo BioPharma Group plc’s ADSs and to the incorporation by reference therein of our report dated June 15, 2020, with respect to the consolidated financial statements of Mereo BioPharma Group plc included in its Annual Report (Form 20-F) for the year ended December 31, 2019, filed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6, 2020</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1)"/>
      <w:numFmt w:val="decimal"/>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1)"/>
      <w:numFmt w:val="lowerRoman"/>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
      <w:numFmt w:val="bullet"/>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
      <w:numFmt w:val="bullet"/>
      <w:start w:val="1"/>
    </w:lvl>
  </w:abstractNum>
  <w:abstractNum w:abstractNumId="13">
    <w:nsid w:val="3B0FD379"/>
    <w:multiLevelType w:val="hybridMultilevel"/>
    <w:lvl w:ilvl="0">
      <w:lvlJc w:val="left"/>
      <w:lvlText w:val="∎"/>
      <w:numFmt w:val="bullet"/>
      <w:start w:val="1"/>
    </w:lvl>
  </w:abstractNum>
  <w:abstractNum w:abstractNumId="14">
    <w:nsid w:val="68EB2F63"/>
    <w:multiLevelType w:val="hybridMultilevel"/>
    <w:lvl w:ilvl="0">
      <w:lvlJc w:val="left"/>
      <w:lvlText w:val="∎"/>
      <w:numFmt w:val="bullet"/>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
      <w:numFmt w:val="bullet"/>
      <w:start w:val="1"/>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1)"/>
      <w:numFmt w:val="lowerLetter"/>
      <w:start w:val="2"/>
    </w:lvl>
  </w:abstractNum>
  <w:abstractNum w:abstractNumId="19">
    <w:nsid w:val="7FFFCA11"/>
    <w:multiLevelType w:val="hybridMultilevel"/>
    <w:lvl w:ilvl="0">
      <w:lvlJc w:val="left"/>
      <w:lvlText w:val="(%1)"/>
      <w:numFmt w:val="lowerLetter"/>
      <w:start w:val="1"/>
    </w:lvl>
  </w:abstractNum>
  <w:abstractNum w:abstractNumId="20">
    <w:nsid w:val="1A27709E"/>
    <w:multiLevelType w:val="hybridMultilevel"/>
    <w:lvl w:ilvl="0">
      <w:lvlJc w:val="left"/>
      <w:lvlText w:val="∎"/>
      <w:numFmt w:val="bullet"/>
      <w:start w:val="1"/>
    </w:lvl>
  </w:abstractNum>
  <w:abstractNum w:abstractNumId="21">
    <w:nsid w:val="71EA1109"/>
    <w:multiLevelType w:val="hybridMultilevel"/>
    <w:lvl w:ilvl="0">
      <w:lvlJc w:val="left"/>
      <w:lvlText w:val="∎"/>
      <w:numFmt w:val="bullet"/>
      <w:start w:val="1"/>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
      <w:numFmt w:val="bullet"/>
      <w:start w:val="1"/>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
      <w:numFmt w:val="bullet"/>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
      <w:numFmt w:val="bullet"/>
      <w:start w:val="1"/>
    </w:lvl>
  </w:abstractNum>
  <w:abstractNum w:abstractNumId="28">
    <w:nsid w:val="76272110"/>
    <w:multiLevelType w:val="hybridMultilevel"/>
    <w:lvl w:ilvl="0">
      <w:lvlJc w:val="left"/>
      <w:lvlText w:val="∎"/>
      <w:numFmt w:val="bullet"/>
      <w:start w:val="1"/>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
      <w:numFmt w:val="bullet"/>
      <w:start w:val="1"/>
    </w:lvl>
  </w:abstractNum>
  <w:abstractNum w:abstractNumId="31">
    <w:nsid w:val="14E17E33"/>
    <w:multiLevelType w:val="hybridMultilevel"/>
    <w:lvl w:ilvl="0">
      <w:lvlJc w:val="left"/>
      <w:lvlText w:val="∎"/>
      <w:numFmt w:val="bullet"/>
      <w:start w:val="1"/>
    </w:lvl>
  </w:abstractNum>
  <w:abstractNum w:abstractNumId="32">
    <w:nsid w:val="3222E7CD"/>
    <w:multiLevelType w:val="hybridMultilevel"/>
    <w:lvl w:ilvl="0">
      <w:lvlJc w:val="left"/>
      <w:lvlText w:val="∎"/>
      <w:numFmt w:val="bullet"/>
      <w:start w:val="1"/>
    </w:lvl>
  </w:abstractNum>
  <w:abstractNum w:abstractNumId="33">
    <w:nsid w:val="74DE0EE3"/>
    <w:multiLevelType w:val="hybridMultilevel"/>
    <w:lvl w:ilvl="0">
      <w:lvlJc w:val="left"/>
      <w:lvlText w:val="∎"/>
      <w:numFmt w:val="bullet"/>
      <w:start w:val="1"/>
    </w:lvl>
  </w:abstractNum>
  <w:abstractNum w:abstractNumId="34">
    <w:nsid w:val="68EBC550"/>
    <w:multiLevelType w:val="hybridMultilevel"/>
    <w:lvl w:ilvl="0">
      <w:lvlJc w:val="left"/>
      <w:lvlText w:val="∎"/>
      <w:numFmt w:val="bullet"/>
      <w:start w:val="1"/>
    </w:lvl>
  </w:abstractNum>
  <w:abstractNum w:abstractNumId="35">
    <w:nsid w:val="2DF6D648"/>
    <w:multiLevelType w:val="hybridMultilevel"/>
    <w:lvl w:ilvl="0">
      <w:lvlJc w:val="left"/>
      <w:lvlText w:val="∎"/>
      <w:numFmt w:val="bullet"/>
      <w:start w:val="1"/>
    </w:lvl>
  </w:abstractNum>
  <w:abstractNum w:abstractNumId="36">
    <w:nsid w:val="46B7D447"/>
    <w:multiLevelType w:val="hybridMultilevel"/>
    <w:lvl w:ilvl="0">
      <w:lvlJc w:val="left"/>
      <w:lvlText w:val="∎"/>
      <w:numFmt w:val="bullet"/>
      <w:start w:val="1"/>
    </w:lvl>
  </w:abstractNum>
  <w:abstractNum w:abstractNumId="37">
    <w:nsid w:val="4A2AC315"/>
    <w:multiLevelType w:val="hybridMultilevel"/>
    <w:lvl w:ilvl="0">
      <w:lvlJc w:val="left"/>
      <w:lvlText w:val="∎"/>
      <w:numFmt w:val="bullet"/>
      <w:start w:val="1"/>
    </w:lvl>
  </w:abstractNum>
  <w:abstractNum w:abstractNumId="38">
    <w:nsid w:val="39EE015C"/>
    <w:multiLevelType w:val="hybridMultilevel"/>
    <w:lvl w:ilvl="0">
      <w:lvlJc w:val="left"/>
      <w:lvlText w:val="∎"/>
      <w:numFmt w:val="bullet"/>
      <w:start w:val="1"/>
    </w:lvl>
  </w:abstractNum>
  <w:abstractNum w:abstractNumId="39">
    <w:nsid w:val="57FC4FBB"/>
    <w:multiLevelType w:val="hybridMultilevel"/>
    <w:lvl w:ilvl="0">
      <w:lvlJc w:val="left"/>
      <w:lvlText w:val="∎"/>
      <w:numFmt w:val="bullet"/>
      <w:start w:val="1"/>
    </w:lvl>
  </w:abstractNum>
  <w:abstractNum w:abstractNumId="40">
    <w:nsid w:val="CC1016F"/>
    <w:multiLevelType w:val="hybridMultilevel"/>
    <w:lvl w:ilvl="0">
      <w:lvlJc w:val="left"/>
      <w:lvlText w:val="∎"/>
      <w:numFmt w:val="bullet"/>
      <w:start w:val="1"/>
    </w:lvl>
  </w:abstractNum>
  <w:abstractNum w:abstractNumId="41">
    <w:nsid w:val="43F18422"/>
    <w:multiLevelType w:val="hybridMultilevel"/>
    <w:lvl w:ilvl="0">
      <w:lvlJc w:val="left"/>
      <w:lvlText w:val="∎"/>
      <w:numFmt w:val="bullet"/>
      <w:start w:val="1"/>
    </w:lvl>
  </w:abstractNum>
  <w:abstractNum w:abstractNumId="42">
    <w:nsid w:val="60EF0119"/>
    <w:multiLevelType w:val="hybridMultilevel"/>
    <w:lvl w:ilvl="0">
      <w:lvlJc w:val="left"/>
      <w:lvlText w:val="∎"/>
      <w:numFmt w:val="bullet"/>
      <w:start w:val="1"/>
    </w:lvl>
  </w:abstractNum>
  <w:abstractNum w:abstractNumId="43">
    <w:nsid w:val="26F324BA"/>
    <w:multiLevelType w:val="hybridMultilevel"/>
    <w:lvl w:ilvl="0">
      <w:lvlJc w:val="left"/>
      <w:lvlText w:val="∎"/>
      <w:numFmt w:val="bullet"/>
      <w:start w:val="1"/>
    </w:lvl>
  </w:abstractNum>
  <w:abstractNum w:abstractNumId="44">
    <w:nsid w:val="7F01579B"/>
    <w:multiLevelType w:val="hybridMultilevel"/>
    <w:lvl w:ilvl="0">
      <w:lvlJc w:val="left"/>
      <w:lvlText w:val="∎"/>
      <w:numFmt w:val="bullet"/>
      <w:start w:val="1"/>
    </w:lvl>
  </w:abstractNum>
  <w:abstractNum w:abstractNumId="45">
    <w:nsid w:val="49DA307D"/>
    <w:multiLevelType w:val="hybridMultilevel"/>
    <w:lvl w:ilvl="0">
      <w:lvlJc w:val="left"/>
      <w:lvlText w:val="∎"/>
      <w:numFmt w:val="bullet"/>
      <w:start w:val="1"/>
    </w:lvl>
  </w:abstractNum>
  <w:abstractNum w:abstractNumId="46">
    <w:nsid w:val="7055A5F5"/>
    <w:multiLevelType w:val="hybridMultilevel"/>
    <w:lvl w:ilvl="0">
      <w:lvlJc w:val="left"/>
      <w:lvlText w:val="∎"/>
      <w:numFmt w:val="bullet"/>
      <w:start w:val="1"/>
    </w:lvl>
  </w:abstractNum>
  <w:abstractNum w:abstractNumId="47">
    <w:nsid w:val="5FB8370B"/>
    <w:multiLevelType w:val="hybridMultilevel"/>
    <w:lvl w:ilvl="0">
      <w:lvlJc w:val="left"/>
      <w:lvlText w:val="∎"/>
      <w:numFmt w:val="bullet"/>
      <w:start w:val="1"/>
    </w:lvl>
  </w:abstractNum>
  <w:abstractNum w:abstractNumId="48">
    <w:nsid w:val="50801EE1"/>
    <w:multiLevelType w:val="hybridMultilevel"/>
    <w:lvl w:ilvl="0">
      <w:lvlJc w:val="left"/>
      <w:lvlText w:val="∎"/>
      <w:numFmt w:val="bullet"/>
      <w:start w:val="1"/>
    </w:lvl>
  </w:abstractNum>
  <w:abstractNum w:abstractNumId="49">
    <w:nsid w:val="488AC1A"/>
    <w:multiLevelType w:val="hybridMultilevel"/>
    <w:lvl w:ilvl="0">
      <w:lvlJc w:val="left"/>
      <w:lvlText w:val="∎"/>
      <w:numFmt w:val="bullet"/>
      <w:start w:val="1"/>
    </w:lvl>
  </w:abstractNum>
  <w:abstractNum w:abstractNumId="50">
    <w:nsid w:val="5FB8011C"/>
    <w:multiLevelType w:val="hybridMultilevel"/>
    <w:lvl w:ilvl="0">
      <w:lvlJc w:val="left"/>
      <w:lvlText w:val="∎"/>
      <w:numFmt w:val="bullet"/>
      <w:start w:val="1"/>
    </w:lvl>
  </w:abstractNum>
  <w:abstractNum w:abstractNumId="51">
    <w:nsid w:val="6AA78F7F"/>
    <w:multiLevelType w:val="hybridMultilevel"/>
    <w:lvl w:ilvl="0">
      <w:lvlJc w:val="left"/>
      <w:lvlText w:val="∎"/>
      <w:numFmt w:val="bullet"/>
      <w:start w:val="1"/>
    </w:lvl>
  </w:abstractNum>
  <w:abstractNum w:abstractNumId="52">
    <w:nsid w:val="7672BD23"/>
    <w:multiLevelType w:val="hybridMultilevel"/>
    <w:lvl w:ilvl="0">
      <w:lvlJc w:val="left"/>
      <w:lvlText w:val="(%1)"/>
      <w:numFmt w:val="lowerLetter"/>
      <w:start w:val="1"/>
    </w:lvl>
  </w:abstractNum>
  <w:abstractNum w:abstractNumId="53">
    <w:nsid w:val="6FC75AF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4">
    <w:nsid w:val="6A5F7029"/>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55">
    <w:nsid w:val="7D5E18F8"/>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56">
    <w:nsid w:val="5F3534A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57">
    <w:nsid w:val="73A1821B"/>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58">
    <w:nsid w:val="7DE6771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59">
    <w:nsid w:val="555C55B5"/>
    <w:multiLevelType w:val="hybridMultilevel"/>
    <w:lvl w:ilvl="0">
      <w:lvlJc w:val="left"/>
      <w:lvlText w:val="(%1)"/>
      <w:numFmt w:val="lowerLetter"/>
      <w:start w:val="8"/>
    </w:lvl>
  </w:abstractNum>
  <w:abstractNum w:abstractNumId="60">
    <w:nsid w:val="3FA62ACA"/>
    <w:multiLevelType w:val="hybridMultilevel"/>
    <w:lvl w:ilvl="0">
      <w:lvlJc w:val="left"/>
      <w:lvlText w:val="*"/>
      <w:numFmt w:val="bullet"/>
      <w:start w:val="1"/>
    </w:lvl>
  </w:abstractNum>
  <w:abstractNum w:abstractNumId="61">
    <w:nsid w:val="14FCE74E"/>
    <w:multiLevelType w:val="hybridMultilevel"/>
    <w:lvl w:ilvl="0">
      <w:lvlJc w:val="left"/>
      <w:lvlText w:val="%1"/>
      <w:numFmt w:val="decimal"/>
      <w:start w:val="1"/>
    </w:lvl>
    <w:lvl w:ilvl="1">
      <w:lvlJc w:val="left"/>
      <w:lvlText w:val="(%2)"/>
      <w:numFmt w:val="lowerRoman"/>
      <w:start w:val="1"/>
    </w:lvl>
  </w:abstractNum>
  <w:abstractNum w:abstractNumId="62">
    <w:nsid w:val="6A3DD3E8"/>
    <w:multiLevelType w:val="hybridMultilevel"/>
    <w:lvl w:ilvl="0">
      <w:lvlJc w:val="left"/>
      <w:lvlText w:val="(%1)"/>
      <w:numFmt w:val="decimal"/>
      <w:start w:val="5"/>
    </w:lvl>
    <w:lvl w:ilvl="1">
      <w:lvlJc w:val="left"/>
      <w:lvlText w:val="%2"/>
      <w:numFmt w:val="lowerRoman"/>
      <w:start w:val="1"/>
    </w:lvl>
  </w:abstractNum>
  <w:abstractNum w:abstractNumId="63">
    <w:nsid w:val="71C91298"/>
    <w:multiLevelType w:val="hybridMultilevel"/>
    <w:lvl w:ilvl="0">
      <w:lvlJc w:val="left"/>
      <w:lvlText w:val="(%1)"/>
      <w:numFmt w:val="lowerRoman"/>
      <w:start w:val="2"/>
    </w:lvl>
  </w:abstractNum>
  <w:abstractNum w:abstractNumId="64">
    <w:nsid w:val="9DAF632"/>
    <w:multiLevelType w:val="hybridMultilevel"/>
    <w:lvl w:ilvl="0">
      <w:lvlJc w:val="left"/>
      <w:lvlText w:val="(%1)"/>
      <w:numFmt w:val="lowerRoman"/>
      <w:start w:val="3"/>
    </w:lvl>
  </w:abstractNum>
  <w:abstractNum w:abstractNumId="65">
    <w:nsid w:val="53299938"/>
    <w:multiLevelType w:val="hybridMultilevel"/>
    <w:lvl w:ilvl="0">
      <w:lvlJc w:val="left"/>
      <w:lvlText w:val="(%1)"/>
      <w:numFmt w:val="lowerRoman"/>
      <w:start w:val="4"/>
    </w:lvl>
  </w:abstractNum>
  <w:abstractNum w:abstractNumId="66">
    <w:nsid w:val="1FBFE8E0"/>
    <w:multiLevelType w:val="hybridMultilevel"/>
    <w:lvl w:ilvl="0">
      <w:lvlJc w:val="left"/>
      <w:lvlText w:val="(%1)"/>
      <w:numFmt w:val="lowerLetter"/>
      <w:start w:val="1"/>
    </w:lvl>
  </w:abstractNum>
  <w:abstractNum w:abstractNumId="67">
    <w:nsid w:val="5092CA79"/>
    <w:multiLevelType w:val="hybridMultilevel"/>
    <w:lvl w:ilvl="0">
      <w:lvlJc w:val="left"/>
      <w:lvlText w:val="(%1)"/>
      <w:numFmt w:val="lowerLetter"/>
      <w:start w:val="2"/>
    </w:lvl>
  </w:abstractNum>
  <w:abstractNum w:abstractNumId="68">
    <w:nsid w:val="1D545C4D"/>
    <w:multiLevelType w:val="hybridMultilevel"/>
    <w:lvl w:ilvl="0">
      <w:lvlJc w:val="left"/>
      <w:lvlText w:val="(%1)"/>
      <w:numFmt w:val="lowerRoman"/>
      <w:start w:val="5"/>
    </w:lvl>
  </w:abstractNum>
  <w:abstractNum w:abstractNumId="69">
    <w:nsid w:val="59ADEA3D"/>
    <w:multiLevelType w:val="hybridMultilevel"/>
    <w:lvl w:ilvl="0">
      <w:lvlJc w:val="left"/>
      <w:lvlText w:val="(%1)"/>
      <w:numFmt w:val="lowerLetter"/>
      <w:start w:val="1"/>
    </w:lvl>
  </w:abstractNum>
  <w:abstractNum w:abstractNumId="70">
    <w:nsid w:val="288F1A34"/>
    <w:multiLevelType w:val="hybridMultilevel"/>
    <w:lvl w:ilvl="0">
      <w:lvlJc w:val="left"/>
      <w:lvlText w:val="(%1)"/>
      <w:numFmt w:val="lowerLetter"/>
      <w:start w:val="3"/>
    </w:lvl>
  </w:abstractNum>
  <w:abstractNum w:abstractNumId="71">
    <w:nsid w:val="2A155DBC"/>
    <w:multiLevelType w:val="hybridMultilevel"/>
    <w:lvl w:ilvl="0">
      <w:lvlJc w:val="left"/>
      <w:lvlText w:val="%1"/>
      <w:numFmt w:val="lowerRoman"/>
      <w:start w:val="1"/>
    </w:lvl>
    <w:lvl w:ilvl="1">
      <w:lvlJc w:val="left"/>
      <w:lvlText w:val="%2."/>
      <w:numFmt w:val="decimal"/>
      <w:start w:val="6"/>
    </w:lvl>
  </w:abstractNum>
  <w:abstractNum w:abstractNumId="72">
    <w:nsid w:val="1D9F6E5F"/>
    <w:multiLevelType w:val="hybridMultilevel"/>
    <w:lvl w:ilvl="0">
      <w:lvlJc w:val="left"/>
      <w:lvlText w:val="(%1)"/>
      <w:numFmt w:val="lowerRoman"/>
      <w:start w:val="1"/>
    </w:lvl>
    <w:lvl w:ilvl="1">
      <w:lvlJc w:val="left"/>
      <w:lvlText w:val="%2"/>
      <w:numFmt w:val="decimal"/>
      <w:start w:val="1"/>
    </w:lvl>
  </w:abstractNum>
  <w:abstractNum w:abstractNumId="73">
    <w:nsid w:val="97E1B4E"/>
    <w:multiLevelType w:val="hybridMultilevel"/>
    <w:lvl w:ilvl="0">
      <w:lvlJc w:val="left"/>
      <w:lvlText w:val="(%1)"/>
      <w:numFmt w:val="lowerLetter"/>
      <w:start w:val="1"/>
    </w:lvl>
  </w:abstractNum>
  <w:abstractNum w:abstractNumId="74">
    <w:nsid w:val="51088277"/>
    <w:multiLevelType w:val="hybridMultilevel"/>
    <w:lvl w:ilvl="0">
      <w:lvlJc w:val="left"/>
      <w:lvlText w:val="(%1)"/>
      <w:numFmt w:val="lowerLetter"/>
      <w:start w:val="2"/>
    </w:lvl>
  </w:abstractNum>
  <w:abstractNum w:abstractNumId="75">
    <w:nsid w:val="1CA0C5FA"/>
    <w:multiLevelType w:val="hybridMultilevel"/>
    <w:lvl w:ilvl="0">
      <w:lvlJc w:val="left"/>
      <w:lvlText w:val="(%1)"/>
      <w:numFmt w:val="lowerLetter"/>
      <w:start w:val="4"/>
    </w:lvl>
  </w:abstractNum>
  <w:abstractNum w:abstractNumId="76">
    <w:nsid w:val="53584BCB"/>
    <w:multiLevelType w:val="hybridMultilevel"/>
    <w:lvl w:ilvl="0">
      <w:lvlJc w:val="left"/>
      <w:lvlText w:val="%1"/>
      <w:numFmt w:val="lowerLetter"/>
      <w:start w:val="1"/>
    </w:lvl>
    <w:lvl w:ilvl="1">
      <w:lvlJc w:val="left"/>
      <w:lvlText w:val="(%2)"/>
      <w:numFmt w:val="lowerLetter"/>
      <w:start w:val="7"/>
    </w:lvl>
  </w:abstractNum>
  <w:abstractNum w:abstractNumId="77">
    <w:nsid w:val="415E286C"/>
    <w:multiLevelType w:val="hybridMultilevel"/>
    <w:lvl w:ilvl="0">
      <w:lvlJc w:val="left"/>
      <w:lvlText w:val="(%1)"/>
      <w:numFmt w:val="lowerLetter"/>
      <w:start w:val="61"/>
    </w:lvl>
    <w:lvl w:ilvl="1">
      <w:lvlJc w:val="left"/>
      <w:lvlText w:val="(%2)"/>
      <w:numFmt w:val="lowerLetter"/>
      <w:start w:val="8"/>
    </w:lvl>
  </w:abstractNum>
  <w:abstractNum w:abstractNumId="78">
    <w:nsid w:val="7C58FD05"/>
    <w:multiLevelType w:val="hybridMultilevel"/>
    <w:lvl w:ilvl="0">
      <w:lvlJc w:val="left"/>
      <w:lvlText w:val="(%1)"/>
      <w:numFmt w:val="lowerLetter"/>
      <w:start w:val="14"/>
    </w:lvl>
  </w:abstractNum>
  <w:abstractNum w:abstractNumId="79">
    <w:nsid w:val="23D86AAC"/>
    <w:multiLevelType w:val="hybridMultilevel"/>
    <w:lvl w:ilvl="0">
      <w:lvlJc w:val="left"/>
      <w:lvlText w:val="%1."/>
      <w:numFmt w:val="lowerRoman"/>
      <w:start w:val="1"/>
    </w:lvl>
  </w:abstractNum>
  <w:abstractNum w:abstractNumId="80">
    <w:nsid w:val="45E6D486"/>
    <w:multiLevelType w:val="hybridMultilevel"/>
    <w:lvl w:ilvl="0">
      <w:lvlJc w:val="left"/>
      <w:lvlText w:val="(%1)"/>
      <w:numFmt w:val="lowerLetter"/>
      <w:start w:val="17"/>
    </w:lvl>
  </w:abstractNum>
  <w:abstractNum w:abstractNumId="81">
    <w:nsid w:val="5C10FE21"/>
    <w:multiLevelType w:val="hybridMultilevel"/>
    <w:lvl w:ilvl="0">
      <w:lvlJc w:val="left"/>
      <w:lvlText w:val="(%1)"/>
      <w:numFmt w:val="lowerLetter"/>
      <w:start w:val="21"/>
    </w:lvl>
  </w:abstractNum>
  <w:abstractNum w:abstractNumId="82">
    <w:nsid w:val="E7FFA2B"/>
    <w:multiLevelType w:val="hybridMultilevel"/>
    <w:lvl w:ilvl="0">
      <w:lvlJc w:val="left"/>
      <w:lvlText w:val="(%1)"/>
      <w:numFmt w:val="lowerLetter"/>
      <w:start w:val="25"/>
    </w:lvl>
  </w:abstractNum>
  <w:abstractNum w:abstractNumId="83">
    <w:nsid w:val="3C5991AA"/>
    <w:multiLevelType w:val="hybridMultilevel"/>
    <w:lvl w:ilvl="0">
      <w:lvlJc w:val="left"/>
      <w:lvlText w:val="(%1)"/>
      <w:numFmt w:val="lowerLetter"/>
      <w:start w:val="27"/>
    </w:lvl>
  </w:abstractNum>
  <w:abstractNum w:abstractNumId="84">
    <w:nsid w:val="4BD8591A"/>
    <w:multiLevelType w:val="hybridMultilevel"/>
    <w:lvl w:ilvl="0">
      <w:lvlJc w:val="left"/>
      <w:lvlText w:val="(%1)"/>
      <w:numFmt w:val="lowerLetter"/>
      <w:start w:val="28"/>
    </w:lvl>
  </w:abstractNum>
  <w:abstractNum w:abstractNumId="85">
    <w:nsid w:val="78DF6A55"/>
    <w:multiLevelType w:val="hybridMultilevel"/>
    <w:lvl w:ilvl="0">
      <w:lvlJc w:val="left"/>
      <w:lvlText w:val="(%1)"/>
      <w:numFmt w:val="lowerLetter"/>
      <w:start w:val="33"/>
    </w:lvl>
  </w:abstractNum>
  <w:abstractNum w:abstractNumId="86">
    <w:nsid w:val="39B7AAA2"/>
    <w:multiLevelType w:val="hybridMultilevel"/>
    <w:lvl w:ilvl="0">
      <w:lvlJc w:val="left"/>
      <w:lvlText w:val="(%1)"/>
      <w:numFmt w:val="lowerLetter"/>
      <w:start w:val="34"/>
    </w:lvl>
  </w:abstractNum>
  <w:abstractNum w:abstractNumId="87">
    <w:nsid w:val="2B0D8DBE"/>
    <w:multiLevelType w:val="hybridMultilevel"/>
    <w:lvl w:ilvl="0">
      <w:lvlJc w:val="left"/>
      <w:lvlText w:val="(%1)"/>
      <w:numFmt w:val="lowerLetter"/>
      <w:start w:val="36"/>
    </w:lvl>
  </w:abstractNum>
  <w:abstractNum w:abstractNumId="88">
    <w:nsid w:val="6C80EC70"/>
    <w:multiLevelType w:val="hybridMultilevel"/>
    <w:lvl w:ilvl="0">
      <w:lvlJc w:val="left"/>
      <w:lvlText w:val="(%1)"/>
      <w:numFmt w:val="lowerLetter"/>
      <w:start w:val="41"/>
    </w:lvl>
  </w:abstractNum>
  <w:abstractNum w:abstractNumId="89">
    <w:nsid w:val="379E21B5"/>
    <w:multiLevelType w:val="hybridMultilevel"/>
    <w:lvl w:ilvl="0">
      <w:lvlJc w:val="left"/>
      <w:lvlText w:val="(%1)"/>
      <w:numFmt w:val="lowerLetter"/>
      <w:start w:val="48"/>
    </w:lvl>
  </w:abstractNum>
  <w:abstractNum w:abstractNumId="90">
    <w:nsid w:val="69E373"/>
    <w:multiLevelType w:val="hybridMultilevel"/>
    <w:lvl w:ilvl="0">
      <w:lvlJc w:val="left"/>
      <w:lvlText w:val="(%1)"/>
      <w:numFmt w:val="lowerLetter"/>
      <w:start w:val="51"/>
    </w:lvl>
  </w:abstractNum>
  <w:abstractNum w:abstractNumId="91">
    <w:nsid w:val="2C27173B"/>
    <w:multiLevelType w:val="hybridMultilevel"/>
    <w:lvl w:ilvl="0">
      <w:lvlJc w:val="left"/>
      <w:lvlText w:val="(%1)"/>
      <w:numFmt w:val="lowerLetter"/>
      <w:start w:val="53"/>
    </w:lvl>
  </w:abstractNum>
  <w:abstractNum w:abstractNumId="92">
    <w:nsid w:val="4C9B0904"/>
    <w:multiLevelType w:val="hybridMultilevel"/>
    <w:lvl w:ilvl="0">
      <w:lvlJc w:val="left"/>
      <w:lvlText w:val="%1"/>
      <w:numFmt w:val="lowerLetter"/>
      <w:start w:val="1"/>
    </w:lvl>
    <w:lvl w:ilvl="1">
      <w:lvlJc w:val="left"/>
      <w:lvlText w:val="(%2)"/>
      <w:numFmt w:val="lowerLetter"/>
      <w:start w:val="57"/>
    </w:lvl>
  </w:abstractNum>
  <w:abstractNum w:abstractNumId="93">
    <w:nsid w:val="6AA7B75C"/>
    <w:multiLevelType w:val="hybridMultilevel"/>
    <w:lvl w:ilvl="0">
      <w:lvlJc w:val="left"/>
      <w:lvlText w:val="(%1)"/>
      <w:numFmt w:val="lowerLetter"/>
      <w:start w:val="35"/>
    </w:lvl>
    <w:lvl w:ilvl="1">
      <w:lvlJc w:val="left"/>
      <w:lvlText w:val="(%2)"/>
      <w:numFmt w:val="lowerLetter"/>
      <w:start w:val="59"/>
    </w:lvl>
  </w:abstractNum>
  <w:abstractNum w:abstractNumId="94">
    <w:nsid w:val="1DF029D3"/>
    <w:multiLevelType w:val="hybridMultilevel"/>
    <w:lvl w:ilvl="0">
      <w:lvlJc w:val="left"/>
      <w:lvlText w:val="(%1)"/>
      <w:numFmt w:val="lowerLetter"/>
      <w:start w:val="35"/>
    </w:lvl>
    <w:lvl w:ilvl="1">
      <w:lvlJc w:val="left"/>
      <w:lvlText w:val="(%2)"/>
      <w:numFmt w:val="lowerLetter"/>
      <w:start w:val="60"/>
    </w:lvl>
  </w:abstractNum>
  <w:abstractNum w:abstractNumId="95">
    <w:nsid w:val="5675FF36"/>
    <w:multiLevelType w:val="hybridMultilevel"/>
    <w:lvl w:ilvl="0">
      <w:lvlJc w:val="left"/>
      <w:lvlText w:val="(%1)"/>
      <w:numFmt w:val="lowerLetter"/>
      <w:start w:val="1"/>
    </w:lvl>
  </w:abstractNum>
  <w:abstractNum w:abstractNumId="96">
    <w:nsid w:val="3DD15094"/>
    <w:multiLevelType w:val="hybridMultilevel"/>
    <w:lvl w:ilvl="0">
      <w:lvlJc w:val="left"/>
      <w:lvlText w:val="(%1)"/>
      <w:numFmt w:val="lowerLetter"/>
      <w:start w:val="4"/>
    </w:lvl>
  </w:abstractNum>
  <w:abstractNum w:abstractNumId="97">
    <w:nsid w:val="3DB012B3"/>
    <w:multiLevelType w:val="hybridMultilevel"/>
    <w:lvl w:ilvl="0">
      <w:lvlJc w:val="left"/>
      <w:lvlText w:val="(%1)"/>
      <w:numFmt w:val="lowerLetter"/>
      <w:start w:val="35"/>
    </w:lvl>
    <w:lvl w:ilvl="1">
      <w:lvlJc w:val="left"/>
      <w:lvlText w:val="(%2)"/>
      <w:numFmt w:val="lowerLetter"/>
      <w:start w:val="8"/>
    </w:lvl>
  </w:abstractNum>
  <w:abstractNum w:abstractNumId="98">
    <w:nsid w:val="2708C9AF"/>
    <w:multiLevelType w:val="hybridMultilevel"/>
    <w:lvl w:ilvl="0">
      <w:lvlJc w:val="left"/>
      <w:lvlText w:val="(%1)"/>
      <w:numFmt w:val="lowerLetter"/>
      <w:start w:val="10"/>
    </w:lvl>
    <w:lvl w:ilvl="1">
      <w:lvlJc w:val="left"/>
      <w:lvlText w:val="(%2)"/>
      <w:numFmt w:val="lowerRoman"/>
      <w:start w:val="1"/>
    </w:lvl>
  </w:abstractNum>
  <w:abstractNum w:abstractNumId="99">
    <w:nsid w:val="5B25ACE2"/>
    <w:multiLevelType w:val="hybridMultilevel"/>
    <w:lvl w:ilvl="0">
      <w:lvlJc w:val="left"/>
      <w:lvlText w:val="(%1)"/>
      <w:numFmt w:val="lowerRoman"/>
      <w:start w:val="4"/>
    </w:lvl>
  </w:abstractNum>
  <w:abstractNum w:abstractNumId="100">
    <w:nsid w:val="175DFCF0"/>
    <w:multiLevelType w:val="hybridMultilevel"/>
    <w:lvl w:ilvl="0">
      <w:lvlJc w:val="left"/>
      <w:lvlText w:val="(%1)"/>
      <w:numFmt w:val="lowerLetter"/>
      <w:start w:val="14"/>
    </w:lvl>
  </w:abstractNum>
  <w:abstractNum w:abstractNumId="101">
    <w:nsid w:val="4F97E3E4"/>
    <w:multiLevelType w:val="hybridMultilevel"/>
    <w:lvl w:ilvl="0">
      <w:lvlJc w:val="left"/>
      <w:lvlText w:val="(%1)"/>
      <w:numFmt w:val="lowerLetter"/>
      <w:start w:val="17"/>
    </w:lvl>
  </w:abstractNum>
  <w:abstractNum w:abstractNumId="102">
    <w:nsid w:val="53B0A9E"/>
    <w:multiLevelType w:val="hybridMultilevel"/>
    <w:lvl w:ilvl="0">
      <w:lvlJc w:val="left"/>
      <w:lvlText w:val="(%1)"/>
      <w:numFmt w:val="lowerLetter"/>
      <w:start w:val="22"/>
    </w:lvl>
  </w:abstractNum>
  <w:abstractNum w:abstractNumId="103">
    <w:nsid w:val="34FD6B4F"/>
    <w:multiLevelType w:val="hybridMultilevel"/>
    <w:lvl w:ilvl="0">
      <w:lvlJc w:val="left"/>
      <w:lvlText w:val="(%1)"/>
      <w:numFmt w:val="lowerLetter"/>
      <w:start w:val="27"/>
    </w:lvl>
  </w:abstractNum>
  <w:abstractNum w:abstractNumId="104">
    <w:nsid w:val="5915FF32"/>
    <w:multiLevelType w:val="hybridMultilevel"/>
    <w:lvl w:ilvl="0">
      <w:lvlJc w:val="left"/>
      <w:lvlText w:val="(%1)"/>
      <w:numFmt w:val="lowerLetter"/>
      <w:start w:val="28"/>
    </w:lvl>
  </w:abstractNum>
  <w:abstractNum w:abstractNumId="105">
    <w:nsid w:val="56438D15"/>
    <w:multiLevelType w:val="hybridMultilevel"/>
    <w:lvl w:ilvl="0">
      <w:lvlJc w:val="left"/>
      <w:lvlText w:val="%1."/>
      <w:numFmt w:val="decimal"/>
      <w:start w:val="8"/>
    </w:lvl>
  </w:abstractNum>
  <w:abstractNum w:abstractNumId="106">
    <w:nsid w:val="519E3149"/>
    <w:multiLevelType w:val="hybridMultilevel"/>
    <w:lvl w:ilvl="0">
      <w:lvlJc w:val="left"/>
      <w:lvlText w:val="(%1)"/>
      <w:numFmt w:val="lowerLetter"/>
      <w:start w:val="1"/>
    </w:lvl>
  </w:abstractNum>
  <w:abstractNum w:abstractNumId="107">
    <w:nsid w:val="2C6E4AFD"/>
    <w:multiLevelType w:val="hybridMultilevel"/>
    <w:lvl w:ilvl="0">
      <w:lvlJc w:val="left"/>
      <w:lvlText w:val="(%1)"/>
      <w:numFmt w:val="lowerLetter"/>
      <w:start w:val="4"/>
    </w:lvl>
  </w:abstractNum>
  <w:abstractNum w:abstractNumId="108">
    <w:nsid w:val="17A1B582"/>
    <w:multiLevelType w:val="hybridMultilevel"/>
    <w:lvl w:ilvl="0">
      <w:lvlJc w:val="left"/>
      <w:lvlText w:val="(%1)"/>
      <w:numFmt w:val="lowerLetter"/>
      <w:start w:val="10"/>
    </w:lvl>
  </w:abstractNum>
  <w:abstractNum w:abstractNumId="109">
    <w:nsid w:val="4DF72E4E"/>
    <w:multiLevelType w:val="hybridMultilevel"/>
    <w:lvl w:ilvl="0">
      <w:lvlJc w:val="left"/>
      <w:lvlText w:val="%1"/>
      <w:numFmt w:val="lowerLetter"/>
      <w:start w:val="1"/>
    </w:lvl>
    <w:lvl w:ilvl="1">
      <w:lvlJc w:val="left"/>
      <w:lvlText w:val="(%2)"/>
      <w:numFmt w:val="lowerLetter"/>
      <w:start w:val="10"/>
    </w:lvl>
  </w:abstractNum>
  <w:abstractNum w:abstractNumId="110">
    <w:nsid w:val="5046B5A9"/>
    <w:multiLevelType w:val="hybridMultilevel"/>
    <w:lvl w:ilvl="0">
      <w:lvlJc w:val="left"/>
      <w:lvlText w:val="(%1)"/>
      <w:numFmt w:val="lowerLetter"/>
      <w:start w:val="35"/>
    </w:lvl>
    <w:lvl w:ilvl="1">
      <w:lvlJc w:val="left"/>
      <w:lvlText w:val="(%2)"/>
      <w:numFmt w:val="lowerLetter"/>
      <w:start w:val="17"/>
    </w:lvl>
  </w:abstractNum>
  <w:abstractNum w:abstractNumId="111">
    <w:nsid w:val="5D888A08"/>
    <w:multiLevelType w:val="hybridMultilevel"/>
    <w:lvl w:ilvl="0">
      <w:lvlJc w:val="left"/>
      <w:lvlText w:val="(%1)"/>
      <w:numFmt w:val="lowerLetter"/>
      <w:start w:val="18"/>
    </w:lvl>
  </w:abstractNum>
  <w:abstractNum w:abstractNumId="112">
    <w:nsid w:val="2A082C70"/>
    <w:multiLevelType w:val="hybridMultilevel"/>
    <w:lvl w:ilvl="0">
      <w:lvlJc w:val="left"/>
      <w:lvlText w:val="%1."/>
      <w:numFmt w:val="decimal"/>
      <w:start w:val="9"/>
    </w:lvl>
  </w:abstractNum>
  <w:abstractNum w:abstractNumId="113">
    <w:nsid w:val="5EC6AFD4"/>
    <w:multiLevelType w:val="hybridMultilevel"/>
    <w:lvl w:ilvl="0">
      <w:lvlJc w:val="left"/>
      <w:lvlText w:val="(%1)"/>
      <w:numFmt w:val="lowerLetter"/>
      <w:start w:val="1"/>
    </w:lvl>
  </w:abstractNum>
  <w:abstractNum w:abstractNumId="114">
    <w:nsid w:val="19E21BB2"/>
    <w:multiLevelType w:val="hybridMultilevel"/>
    <w:lvl w:ilvl="0">
      <w:lvlJc w:val="left"/>
      <w:lvlText w:val="(%1)"/>
      <w:numFmt w:val="lowerLetter"/>
      <w:start w:val="4"/>
    </w:lvl>
  </w:abstractNum>
  <w:abstractNum w:abstractNumId="115">
    <w:nsid w:val="75E0858A"/>
    <w:multiLevelType w:val="hybridMultilevel"/>
    <w:lvl w:ilvl="0">
      <w:lvlJc w:val="left"/>
      <w:lvlText w:val="(%1)"/>
      <w:numFmt w:val="lowerLetter"/>
      <w:start w:val="5"/>
    </w:lvl>
  </w:abstractNum>
  <w:abstractNum w:abstractNumId="116">
    <w:nsid w:val="57A61A29"/>
    <w:multiLevelType w:val="hybridMultilevel"/>
    <w:lvl w:ilvl="0">
      <w:lvlJc w:val="left"/>
      <w:lvlText w:val="%1."/>
      <w:numFmt w:val="decimal"/>
      <w:start w:val="10"/>
    </w:lvl>
  </w:abstractNum>
  <w:abstractNum w:abstractNumId="117">
    <w:nsid w:val="5399C654"/>
    <w:multiLevelType w:val="hybridMultilevel"/>
    <w:lvl w:ilvl="0">
      <w:lvlJc w:val="left"/>
      <w:lvlText w:val="(%1)"/>
      <w:numFmt w:val="lowerLetter"/>
      <w:start w:val="1"/>
    </w:lvl>
  </w:abstractNum>
  <w:abstractNum w:abstractNumId="118">
    <w:nsid w:val="20EE1348"/>
    <w:multiLevelType w:val="hybridMultilevel"/>
    <w:lvl w:ilvl="0">
      <w:lvlJc w:val="left"/>
      <w:lvlText w:val="(%1)"/>
      <w:numFmt w:val="lowerLetter"/>
      <w:start w:val="5"/>
    </w:lvl>
  </w:abstractNum>
  <w:abstractNum w:abstractNumId="119">
    <w:nsid w:val="4427069A"/>
    <w:multiLevelType w:val="hybridMultilevel"/>
    <w:lvl w:ilvl="0">
      <w:lvlJc w:val="left"/>
      <w:lvlText w:val="%1."/>
      <w:numFmt w:val="decimal"/>
      <w:start w:val="12"/>
    </w:lvl>
  </w:abstractNum>
  <w:abstractNum w:abstractNumId="120">
    <w:nsid w:val="B37E80A"/>
    <w:multiLevelType w:val="hybridMultilevel"/>
    <w:lvl w:ilvl="0">
      <w:lvlJc w:val="left"/>
      <w:lvlText w:val="%1"/>
      <w:numFmt w:val="decimal"/>
      <w:start w:val="201"/>
    </w:lvl>
  </w:abstractNum>
  <w:abstractNum w:abstractNumId="121">
    <w:nsid w:val="2157F6BC"/>
    <w:multiLevelType w:val="hybridMultilevel"/>
    <w:lvl w:ilvl="0">
      <w:lvlJc w:val="left"/>
      <w:lvlText w:val="(%1)"/>
      <w:numFmt w:val="lowerRoman"/>
      <w:start w:val="3"/>
    </w:lvl>
  </w:abstractNum>
  <w:abstractNum w:abstractNumId="122">
    <w:nsid w:val="704E1DD5"/>
    <w:multiLevelType w:val="hybridMultilevel"/>
    <w:lvl w:ilvl="0">
      <w:lvlJc w:val="left"/>
      <w:lvlText w:val="%1."/>
      <w:numFmt w:val="decimal"/>
      <w:start w:val="13"/>
    </w:lvl>
  </w:abstractNum>
  <w:abstractNum w:abstractNumId="123">
    <w:nsid w:val="57D2F10E"/>
    <w:multiLevelType w:val="hybridMultilevel"/>
    <w:lvl w:ilvl="0">
      <w:lvlJc w:val="left"/>
      <w:lvlText w:val="%1."/>
      <w:numFmt w:val="decimal"/>
      <w:start w:val="16"/>
    </w:lvl>
  </w:abstractNum>
  <w:abstractNum w:abstractNumId="124">
    <w:nsid w:val="BFFAE18"/>
    <w:multiLevelType w:val="hybridMultilevel"/>
    <w:lvl w:ilvl="0">
      <w:lvlJc w:val="left"/>
      <w:lvlText w:val="(%1)"/>
      <w:numFmt w:val="lowerLetter"/>
      <w:start w:val="1"/>
    </w:lvl>
  </w:abstractNum>
  <w:abstractNum w:abstractNumId="125">
    <w:nsid w:val="E3E47A8"/>
    <w:multiLevelType w:val="hybridMultilevel"/>
    <w:lvl w:ilvl="0">
      <w:lvlJc w:val="left"/>
      <w:lvlText w:val="(%1)"/>
      <w:numFmt w:val="lowerLetter"/>
      <w:start w:val="5"/>
    </w:lvl>
  </w:abstractNum>
  <w:abstractNum w:abstractNumId="126">
    <w:nsid w:val="2E48F044"/>
    <w:multiLevelType w:val="hybridMultilevel"/>
    <w:lvl w:ilvl="0">
      <w:lvlJc w:val="left"/>
      <w:lvlText w:val="%1."/>
      <w:numFmt w:val="decimal"/>
      <w:start w:val="19"/>
    </w:lvl>
  </w:abstractNum>
  <w:abstractNum w:abstractNumId="127">
    <w:nsid w:val="49D0FEAC"/>
    <w:multiLevelType w:val="hybridMultilevel"/>
    <w:lvl w:ilvl="0">
      <w:lvlJc w:val="left"/>
      <w:lvlText w:val="(%1)"/>
      <w:numFmt w:val="lowerLetter"/>
      <w:start w:val="1"/>
    </w:lvl>
  </w:abstractNum>
  <w:abstractNum w:abstractNumId="128">
    <w:nsid w:val="4BEE5A5B"/>
    <w:multiLevelType w:val="hybridMultilevel"/>
    <w:lvl w:ilvl="0">
      <w:lvlJc w:val="left"/>
      <w:lvlText w:val="%1."/>
      <w:numFmt w:val="decimal"/>
      <w:start w:val="21"/>
    </w:lvl>
  </w:abstractNum>
  <w:abstractNum w:abstractNumId="129">
    <w:nsid w:val="5551B9F3"/>
    <w:multiLevelType w:val="hybridMultilevel"/>
    <w:lvl w:ilvl="0">
      <w:lvlJc w:val="left"/>
      <w:lvlText w:val="(%1)"/>
      <w:numFmt w:val="lowerRoman"/>
      <w:start w:val="3"/>
    </w:lvl>
    <w:lvl w:ilvl="1">
      <w:lvlJc w:val="left"/>
      <w:lvlText w:val="%2."/>
      <w:numFmt w:val="decimal"/>
      <w:start w:val="22"/>
    </w:lvl>
  </w:abstractNum>
  <w:abstractNum w:abstractNumId="130">
    <w:nsid w:val="24F6AB8E"/>
    <w:multiLevelType w:val="hybridMultilevel"/>
    <w:lvl w:ilvl="0">
      <w:lvlJc w:val="left"/>
      <w:lvlText w:val="(%1)"/>
      <w:numFmt w:val="lowerRoman"/>
      <w:start w:val="1"/>
    </w:lvl>
  </w:abstractNum>
  <w:abstractNum w:abstractNumId="131">
    <w:nsid w:val="634C574C"/>
    <w:multiLevelType w:val="hybridMultilevel"/>
    <w:lvl w:ilvl="0">
      <w:lvlJc w:val="left"/>
      <w:lvlText w:val="%1."/>
      <w:numFmt w:val="decimal"/>
      <w:start w:val="1"/>
    </w:lvl>
  </w:abstractNum>
  <w:abstractNum w:abstractNumId="132">
    <w:nsid w:val="24E99DD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33">
    <w:nsid w:val="2A31B62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34">
    <w:nsid w:val="1849C29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35">
    <w:nsid w:val="7DFF9D09"/>
    <w:multiLevelType w:val="hybridMultilevel"/>
    <w:lvl w:ilvl="0">
      <w:lvlJc w:val="left"/>
      <w:lvlText w:val="(%1)"/>
      <w:numFmt w:val="lowerRoman"/>
      <w:start w:val="2"/>
    </w:lvl>
  </w:abstractNum>
  <w:abstractNum w:abstractNumId="136">
    <w:nsid w:val="754342"/>
    <w:multiLevelType w:val="hybridMultilevel"/>
    <w:lvl w:ilvl="0">
      <w:lvlJc w:val="left"/>
      <w:lvlText w:val="(%1)"/>
      <w:numFmt w:val="lowerRoman"/>
      <w:start w:val="12"/>
    </w:lvl>
  </w:abstractNum>
  <w:abstractNum w:abstractNumId="137">
    <w:nsid w:val="69E7F3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0"/>
    </w:lvl>
  </w:abstractNum>
  <w:abstractNum w:abstractNumId="138">
    <w:nsid w:val="2A6DE80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9">
    <w:nsid w:val="1816F8C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40">
    <w:nsid w:val="37DF223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1">
    <w:nsid w:val="7AB49DA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2">
    <w:nsid w:val="759F82C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3">
    <w:nsid w:val="61E74EA3"/>
    <w:multiLevelType w:val="hybridMultilevel"/>
    <w:lvl w:ilvl="0">
      <w:lvlJc w:val="left"/>
      <w:lvlText w:val="%1"/>
      <w:numFmt w:val="decimal"/>
      <w:start w:val="1"/>
    </w:lvl>
    <w:lvl w:ilvl="1">
      <w:lvlJc w:val="left"/>
      <w:lvlText w:val="(%2)"/>
      <w:numFmt w:val="lowerLetter"/>
      <w:start w:val="3"/>
    </w:lvl>
  </w:abstractNum>
  <w:abstractNum w:abstractNumId="144">
    <w:nsid w:val="597B4D84"/>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jpe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jpe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98" Type="http://schemas.openxmlformats.org/officeDocument/2006/relationships/hyperlink" Target="http://www.sec.gov/Archives/edgar/data/1719714/000119312520169533/d876622d20f.htm" TargetMode="External"/><Relationship Id="rId99" Type="http://schemas.openxmlformats.org/officeDocument/2006/relationships/hyperlink" Target="http://www.sec.gov/Archives/edgar/data/1719714/000119312520257170/d72033d6k.htm" TargetMode="External"/><Relationship Id="rId100" Type="http://schemas.openxmlformats.org/officeDocument/2006/relationships/hyperlink" Target="http://www.sec.gov/Archives/edgar/data/1719714/000119312520261346/d25529d6k.htm" TargetMode="External"/><Relationship Id="rId101" Type="http://schemas.openxmlformats.org/officeDocument/2006/relationships/hyperlink" Target="http://www.sec.gov/Archives/edgar/data/1719714/000119312518111700/d566514d8a12b.htm" TargetMode="External"/><Relationship Id="rId102" Type="http://schemas.openxmlformats.org/officeDocument/2006/relationships/hyperlink" Target="http://www.sec.gov/Archives/edgar/data/1719714/000119312520169533/d876622dex22.htm" TargetMode="External"/><Relationship Id="rId148" Type="http://schemas.openxmlformats.org/officeDocument/2006/relationships/hyperlink" Target="http://www.sec.gov/Archives/edgar/data/1719714/000119312519016112/d680874dex42.htm" TargetMode="External"/><Relationship Id="rId149" Type="http://schemas.openxmlformats.org/officeDocument/2006/relationships/hyperlink" Target="http://www.sec.gov/Archives/edgar/data/1719714/000119312520040643/d885226dex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2020-10-06T15:27:10Z</dcterms:created>
  <dcterms:modified xsi:type="dcterms:W3CDTF">2020-10-06T15:27:10Z</dcterms:modified>
</cp:coreProperties>
</file>