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1"/>
          <w:szCs w:val="21"/>
          <w:b w:val="1"/>
          <w:bCs w:val="1"/>
          <w:color w:val="0000FF"/>
        </w:rPr>
        <w:t>Ordinary Shares, nominal value EURO0.003 per share, represented by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801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589492107</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20"/>
          </w:cols>
          <w:pgMar w:left="360" w:top="111"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entities and persons filing this statement (collectively, the "Reporting Persons") are: Frazier Life Sciences Public Fund, L.P. ("FLSPF") FHMLSP, L.P. FHMLSP, L.L.C. Frazier Life Sciences X, L.P. ("FLS X") FHMLS X, L.P. FHMLS X, L.L.C. Frazier Life Sciences XI, L.P. ("FLS XI") FHMLS XI, L.P. FHMLS XI, L.L.C. James N. Topper ("Topper") Patrick J. Heron ("Heron" and together with Topper, the "Members")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7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place of business for each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5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4 of each Reporting Person's cover page to this Statement is incorporated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right="1480"/>
        <w:spacing w:after="0" w:line="256" w:lineRule="auto"/>
        <w:rPr>
          <w:sz w:val="20"/>
          <w:szCs w:val="20"/>
          <w:color w:val="auto"/>
        </w:rPr>
      </w:pPr>
      <w:r>
        <w:rPr>
          <w:rFonts w:ascii="Times New Roman" w:cs="Times New Roman" w:eastAsia="Times New Roman" w:hAnsi="Times New Roman"/>
          <w:sz w:val="22"/>
          <w:szCs w:val="22"/>
          <w:color w:val="auto"/>
        </w:rPr>
        <w:t>Ordinary Shares, nominal value EURO0.003 per share, represented by American Depository Shares CUSIP No.:</w:t>
      </w:r>
    </w:p>
    <w:p>
      <w:pPr>
        <w:spacing w:after="0" w:line="230" w:lineRule="auto"/>
        <w:rPr>
          <w:sz w:val="20"/>
          <w:szCs w:val="20"/>
          <w:color w:val="auto"/>
        </w:rPr>
      </w:pPr>
      <w:r>
        <w:rPr>
          <w:rFonts w:ascii="Times New Roman" w:cs="Times New Roman" w:eastAsia="Times New Roman" w:hAnsi="Times New Roman"/>
          <w:sz w:val="22"/>
          <w:szCs w:val="22"/>
          <w:color w:val="auto"/>
        </w:rPr>
        <w:t>(e)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040"/>
          </w:cols>
          <w:pgMar w:left="360" w:top="111" w:right="499" w:bottom="0" w:gutter="0" w:footer="0" w:header="0"/>
          <w:type w:val="continuous"/>
        </w:sectPr>
      </w:pPr>
    </w:p>
    <w:bookmarkStart w:id="9" w:name="page10"/>
    <w:bookmarkEnd w:id="9"/>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contained in row 9 of each Reporting Person's cover page to this Statement (including the footnotes</w:t>
      </w:r>
    </w:p>
    <w:p>
      <w:pPr>
        <w:spacing w:after="0" w:line="26" w:lineRule="exact"/>
        <w:rPr>
          <w:sz w:val="20"/>
          <w:szCs w:val="20"/>
          <w:color w:val="auto"/>
        </w:rPr>
      </w:pPr>
    </w:p>
    <w:p>
      <w:pPr>
        <w:jc w:val="both"/>
        <w:ind w:left="920" w:right="240" w:hanging="912"/>
        <w:spacing w:after="0" w:line="23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 is incorporated by reference. Except as specifically stated herein, the filing of this Statement shall not be construed as an admission that any Reporting Person or any of the foregoing is, for the purposes of Section 13(d) and/or Section 13(g) of the Act or otherwise, the beneficial owner of any securities covered by this Statement or a member of a "group" with any other person.</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38" w:orient="portrait"/>
          <w:cols w:equalWidth="0" w:num="2">
            <w:col w:w="720" w:space="200"/>
            <w:col w:w="10080"/>
          </w:cols>
          <w:pgMar w:left="360" w:top="126" w:right="539" w:bottom="0" w:gutter="0" w:footer="0" w:header="0"/>
          <w:type w:val="continuous"/>
        </w:sectPr>
      </w:pPr>
    </w:p>
    <w:bookmarkStart w:id="10" w:name="page11"/>
    <w:bookmarkEnd w:id="10"/>
    <w:p>
      <w:pPr>
        <w:ind w:left="720" w:right="1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By Jennifer, CFO of FHMLSP, L.L.C., GP of</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Name/Title: FHMLSP, L.P., GP of Frazier Life Sciences Public</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Fund,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FHMLSP, L.L.C., GP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By Jennifer Martin, CFO of FHMLSP, L.L.C.</w:t>
      </w:r>
    </w:p>
    <w:p>
      <w:pPr>
        <w:spacing w:after="0" w:line="44"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By Jennifer Martin, CFO of FHMLS X, L.L.C.,</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652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 L.L.C.,</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514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Name/Title: By Jennifer Martin, CFO of FHMLS X, L.L.C.</w:t>
      </w:r>
    </w:p>
    <w:p>
      <w:pPr>
        <w:spacing w:after="0" w:line="44" w:lineRule="exact"/>
        <w:rPr>
          <w:sz w:val="20"/>
          <w:szCs w:val="20"/>
          <w:color w:val="auto"/>
        </w:rPr>
      </w:pPr>
    </w:p>
    <w:p>
      <w:pPr>
        <w:ind w:left="5140"/>
        <w:spacing w:after="0"/>
        <w:tabs>
          <w:tab w:leader="none" w:pos="6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By Jennifer Martin, CFO of FHMLS XI, L.L.C.,</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652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 L.L.C.,</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5200"/>
        <w:spacing w:after="0"/>
        <w:tabs>
          <w:tab w:leader="none" w:pos="6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ectPr>
          <w:pgSz w:w="11900" w:h="16838" w:orient="portrait"/>
          <w:cols w:equalWidth="0" w:num="1">
            <w:col w:w="10920"/>
          </w:cols>
          <w:pgMar w:left="580" w:top="112" w:right="399" w:bottom="0" w:gutter="0" w:footer="0" w:header="0"/>
        </w:sectPr>
      </w:pPr>
    </w:p>
    <w:bookmarkStart w:id="11" w:name="page12"/>
    <w:bookmarkEnd w:id="11"/>
    <w:p>
      <w:pPr>
        <w:ind w:left="5420"/>
        <w:spacing w:after="0"/>
        <w:rPr>
          <w:sz w:val="20"/>
          <w:szCs w:val="20"/>
          <w:color w:val="auto"/>
        </w:rPr>
      </w:pPr>
      <w:r>
        <w:rPr>
          <w:rFonts w:ascii="Times New Roman" w:cs="Times New Roman" w:eastAsia="Times New Roman" w:hAnsi="Times New Roman"/>
          <w:sz w:val="22"/>
          <w:szCs w:val="22"/>
          <w:color w:val="auto"/>
        </w:rPr>
        <w:t>Name/Title: By Jennifer Martin, CFO of FHMLS XI, L.L.C.</w:t>
      </w:r>
    </w:p>
    <w:p>
      <w:pPr>
        <w:spacing w:after="0" w:line="45"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Jennifer Martin, Attorney-in-Fact for James N.</w:t>
      </w:r>
    </w:p>
    <w:p>
      <w:pPr>
        <w:jc w:val="right"/>
        <w:ind w:right="2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Topper, pursuant to a Power of Attorney, a copy</w:t>
      </w:r>
    </w:p>
    <w:p>
      <w:pPr>
        <w:jc w:val="right"/>
        <w:ind w:right="220"/>
        <w:spacing w:after="0" w:line="231" w:lineRule="auto"/>
        <w:rPr>
          <w:sz w:val="20"/>
          <w:szCs w:val="20"/>
          <w:color w:val="auto"/>
        </w:rPr>
      </w:pPr>
      <w:r>
        <w:rPr>
          <w:rFonts w:ascii="Times New Roman" w:cs="Times New Roman" w:eastAsia="Times New Roman" w:hAnsi="Times New Roman"/>
          <w:sz w:val="22"/>
          <w:szCs w:val="22"/>
          <w:color w:val="auto"/>
        </w:rPr>
        <w:t>of which was filed with the SEC on January 27,</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2026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Attorney-in-Fact for Patrick</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Heron, pursuant to a Power of Attorney, a copy of</w:t>
      </w:r>
    </w:p>
    <w:p>
      <w:pPr>
        <w:ind w:left="6740"/>
        <w:spacing w:after="0" w:line="231" w:lineRule="auto"/>
        <w:rPr>
          <w:sz w:val="20"/>
          <w:szCs w:val="20"/>
          <w:color w:val="auto"/>
        </w:rPr>
      </w:pPr>
      <w:r>
        <w:rPr>
          <w:rFonts w:ascii="Times New Roman" w:cs="Times New Roman" w:eastAsia="Times New Roman" w:hAnsi="Times New Roman"/>
          <w:sz w:val="22"/>
          <w:szCs w:val="22"/>
          <w:color w:val="auto"/>
        </w:rPr>
        <w:t>which was filed with the SEC on January 27,</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2026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80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00"/>
          </w:cols>
          <w:pgMar w:left="360" w:top="112" w:right="439" w:bottom="1440" w:gutter="0" w:footer="0" w:header="0"/>
        </w:sectPr>
      </w:pPr>
    </w:p>
    <w:bookmarkStart w:id="12" w:name="page13"/>
    <w:bookmarkEnd w:id="12"/>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Ordinary Shares of Mereo BioPharma Group plc.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568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568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56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FHMLSP, L.L.C., its General Partner</w:t>
            </w:r>
          </w:p>
        </w:tc>
        <w:tc>
          <w:tcPr>
            <w:tcW w:w="0" w:type="dxa"/>
            <w:vAlign w:val="bottom"/>
          </w:tcPr>
          <w:p>
            <w:pPr>
              <w:spacing w:after="0"/>
              <w:rPr>
                <w:sz w:val="1"/>
                <w:szCs w:val="1"/>
                <w:color w:val="auto"/>
              </w:rPr>
            </w:pPr>
          </w:p>
        </w:tc>
      </w:tr>
      <w:tr>
        <w:trPr>
          <w:trHeight w:val="433"/>
        </w:trPr>
        <w:tc>
          <w:tcPr>
            <w:tcW w:w="3180" w:type="dxa"/>
            <w:vAlign w:val="bottom"/>
          </w:tcPr>
          <w:p>
            <w:pPr>
              <w:spacing w:after="0"/>
              <w:rPr>
                <w:sz w:val="24"/>
                <w:szCs w:val="24"/>
                <w:color w:val="auto"/>
              </w:rPr>
            </w:pPr>
          </w:p>
        </w:tc>
        <w:tc>
          <w:tcPr>
            <w:tcW w:w="56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FHMLSP, L.P.</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FHMLSP, L.L.C., its General Partner</w:t>
            </w:r>
          </w:p>
        </w:tc>
        <w:tc>
          <w:tcPr>
            <w:tcW w:w="0" w:type="dxa"/>
            <w:vAlign w:val="bottom"/>
          </w:tcPr>
          <w:p>
            <w:pPr>
              <w:spacing w:after="0"/>
              <w:rPr>
                <w:sz w:val="1"/>
                <w:szCs w:val="1"/>
                <w:color w:val="auto"/>
              </w:rPr>
            </w:pPr>
          </w:p>
        </w:tc>
      </w:tr>
      <w:tr>
        <w:trPr>
          <w:trHeight w:val="677"/>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72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FHMLSP, L.L.C.</w:t>
            </w:r>
          </w:p>
        </w:tc>
        <w:tc>
          <w:tcPr>
            <w:tcW w:w="0" w:type="dxa"/>
            <w:vAlign w:val="bottom"/>
          </w:tcPr>
          <w:p>
            <w:pPr>
              <w:spacing w:after="0"/>
              <w:rPr>
                <w:sz w:val="1"/>
                <w:szCs w:val="1"/>
                <w:color w:val="auto"/>
              </w:rPr>
            </w:pPr>
          </w:p>
        </w:tc>
      </w:tr>
      <w:tr>
        <w:trPr>
          <w:trHeight w:val="677"/>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482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c>
          <w:tcPr>
            <w:tcW w:w="0" w:type="dxa"/>
            <w:vAlign w:val="bottom"/>
          </w:tcPr>
          <w:p>
            <w:pPr>
              <w:spacing w:after="0"/>
              <w:rPr>
                <w:sz w:val="1"/>
                <w:szCs w:val="1"/>
                <w:color w:val="auto"/>
              </w:rPr>
            </w:pPr>
          </w:p>
        </w:tc>
      </w:tr>
      <w:tr>
        <w:trPr>
          <w:trHeight w:val="433"/>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FHMLS X, L.P.</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c>
          <w:tcPr>
            <w:tcW w:w="0" w:type="dxa"/>
            <w:vAlign w:val="bottom"/>
          </w:tcPr>
          <w:p>
            <w:pPr>
              <w:spacing w:after="0"/>
              <w:rPr>
                <w:sz w:val="1"/>
                <w:szCs w:val="1"/>
                <w:color w:val="auto"/>
              </w:rPr>
            </w:pPr>
          </w:p>
        </w:tc>
      </w:tr>
      <w:tr>
        <w:trPr>
          <w:trHeight w:val="433"/>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w w:val="97"/>
              </w:rPr>
              <w:t>Jennifer Martin, Chief</w:t>
            </w: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FHMLS X, L.L.C.</w:t>
            </w:r>
          </w:p>
        </w:tc>
        <w:tc>
          <w:tcPr>
            <w:tcW w:w="0" w:type="dxa"/>
            <w:vAlign w:val="bottom"/>
          </w:tcPr>
          <w:p>
            <w:pPr>
              <w:spacing w:after="0"/>
              <w:rPr>
                <w:sz w:val="1"/>
                <w:szCs w:val="1"/>
                <w:color w:val="auto"/>
              </w:rPr>
            </w:pPr>
          </w:p>
        </w:tc>
      </w:tr>
      <w:tr>
        <w:trPr>
          <w:trHeight w:val="434"/>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w w:val="97"/>
              </w:rPr>
              <w:t>Jennifer Martin, Chief</w:t>
            </w: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8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482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c>
          <w:tcPr>
            <w:tcW w:w="0" w:type="dxa"/>
            <w:vAlign w:val="bottom"/>
          </w:tcPr>
          <w:p>
            <w:pPr>
              <w:spacing w:after="0"/>
              <w:rPr>
                <w:sz w:val="1"/>
                <w:szCs w:val="1"/>
                <w:color w:val="auto"/>
              </w:rPr>
            </w:pPr>
          </w:p>
        </w:tc>
      </w:tr>
      <w:tr>
        <w:trPr>
          <w:trHeight w:val="433"/>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82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rPr>
              <w:t>FHMLS XI, L.P.</w:t>
            </w:r>
          </w:p>
        </w:tc>
        <w:tc>
          <w:tcPr>
            <w:tcW w:w="0" w:type="dxa"/>
            <w:vAlign w:val="bottom"/>
          </w:tcPr>
          <w:p>
            <w:pPr>
              <w:spacing w:after="0"/>
              <w:rPr>
                <w:sz w:val="1"/>
                <w:szCs w:val="1"/>
                <w:color w:val="auto"/>
              </w:rPr>
            </w:pPr>
          </w:p>
        </w:tc>
      </w:tr>
      <w:tr>
        <w:trPr>
          <w:trHeight w:val="282"/>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c>
          <w:tcPr>
            <w:tcW w:w="0" w:type="dxa"/>
            <w:vAlign w:val="bottom"/>
          </w:tcPr>
          <w:p>
            <w:pPr>
              <w:spacing w:after="0"/>
              <w:rPr>
                <w:sz w:val="1"/>
                <w:szCs w:val="1"/>
                <w:color w:val="auto"/>
              </w:rPr>
            </w:pPr>
          </w:p>
        </w:tc>
      </w:tr>
      <w:tr>
        <w:trPr>
          <w:trHeight w:val="433"/>
        </w:trPr>
        <w:tc>
          <w:tcPr>
            <w:tcW w:w="3180" w:type="dxa"/>
            <w:vAlign w:val="bottom"/>
          </w:tcPr>
          <w:p>
            <w:pPr>
              <w:spacing w:after="0"/>
              <w:rPr>
                <w:sz w:val="24"/>
                <w:szCs w:val="24"/>
                <w:color w:val="auto"/>
              </w:rPr>
            </w:pPr>
          </w:p>
        </w:tc>
        <w:tc>
          <w:tcPr>
            <w:tcW w:w="482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11240"/>
          </w:cols>
          <w:pgMar w:left="320" w:top="108" w:right="339" w:bottom="0" w:gutter="0" w:footer="0" w:header="0"/>
        </w:sectPr>
      </w:pPr>
    </w:p>
    <w:p>
      <w:pPr>
        <w:spacing w:after="0" w:line="242"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22"/>
          <w:szCs w:val="22"/>
          <w:color w:val="auto"/>
        </w:rPr>
        <w:t>Date: February 13, 2026</w:t>
      </w:r>
      <w:r>
        <w:rPr>
          <w:sz w:val="20"/>
          <w:szCs w:val="20"/>
          <w:color w:val="auto"/>
        </w:rPr>
        <w:tab/>
      </w:r>
      <w:r>
        <w:rPr>
          <w:rFonts w:ascii="Times New Roman" w:cs="Times New Roman" w:eastAsia="Times New Roman" w:hAnsi="Times New Roman"/>
          <w:sz w:val="21"/>
          <w:szCs w:val="21"/>
          <w:b w:val="1"/>
          <w:bCs w:val="1"/>
          <w:color w:val="auto"/>
        </w:rPr>
        <w:t>FHMLS XI, L.L.C.</w:t>
      </w:r>
    </w:p>
    <w:p>
      <w:pPr>
        <w:sectPr>
          <w:pgSz w:w="11900" w:h="16843" w:orient="portrait"/>
          <w:cols w:equalWidth="0" w:num="1">
            <w:col w:w="11240"/>
          </w:cols>
          <w:pgMar w:left="320" w:top="108" w:right="3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2"/>
                <w:szCs w:val="22"/>
                <w:color w:val="auto"/>
              </w:rPr>
            </w:pPr>
          </w:p>
        </w:tc>
        <w:tc>
          <w:tcPr>
            <w:tcW w:w="4740" w:type="dxa"/>
            <w:vAlign w:val="bottom"/>
            <w:gridSpan w:val="6"/>
          </w:tcPr>
          <w:p>
            <w:pPr>
              <w:ind w:left="104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40" w:type="dxa"/>
            <w:vAlign w:val="bottom"/>
            <w:vMerge w:val="continue"/>
          </w:tcPr>
          <w:p>
            <w:pPr>
              <w:spacing w:after="0"/>
              <w:rPr>
                <w:sz w:val="23"/>
                <w:szCs w:val="23"/>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5"/>
              </w:rPr>
              <w:t>Jennifer Martin, Chief Financial Officer</w:t>
            </w:r>
          </w:p>
        </w:tc>
        <w:tc>
          <w:tcPr>
            <w:tcW w:w="0" w:type="dxa"/>
            <w:vAlign w:val="bottom"/>
          </w:tcPr>
          <w:p>
            <w:pPr>
              <w:spacing w:after="0"/>
              <w:rPr>
                <w:sz w:val="1"/>
                <w:szCs w:val="1"/>
                <w:color w:val="auto"/>
              </w:rPr>
            </w:pPr>
          </w:p>
        </w:tc>
      </w:tr>
      <w:tr>
        <w:trPr>
          <w:trHeight w:val="676"/>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740" w:type="dxa"/>
            <w:vAlign w:val="bottom"/>
            <w:gridSpan w:val="6"/>
          </w:tcPr>
          <w:p>
            <w:pPr>
              <w:ind w:left="102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60" w:type="dxa"/>
            <w:vAlign w:val="bottom"/>
            <w:gridSpan w:val="2"/>
            <w:vMerge w:val="continue"/>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James N. Topper</w:t>
            </w:r>
          </w:p>
        </w:tc>
        <w:tc>
          <w:tcPr>
            <w:tcW w:w="0" w:type="dxa"/>
            <w:vAlign w:val="bottom"/>
          </w:tcPr>
          <w:p>
            <w:pPr>
              <w:spacing w:after="0"/>
              <w:rPr>
                <w:sz w:val="1"/>
                <w:szCs w:val="1"/>
                <w:color w:val="auto"/>
              </w:rPr>
            </w:pPr>
          </w:p>
        </w:tc>
      </w:tr>
      <w:tr>
        <w:trPr>
          <w:trHeight w:val="676"/>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740" w:type="dxa"/>
            <w:vAlign w:val="bottom"/>
            <w:gridSpan w:val="6"/>
          </w:tcPr>
          <w:p>
            <w:pPr>
              <w:ind w:left="102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60" w:type="dxa"/>
            <w:vAlign w:val="bottom"/>
            <w:gridSpan w:val="2"/>
            <w:vMerge w:val="continue"/>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Patrick J. Heron</w:t>
            </w:r>
          </w:p>
        </w:tc>
        <w:tc>
          <w:tcPr>
            <w:tcW w:w="0" w:type="dxa"/>
            <w:vAlign w:val="bottom"/>
          </w:tcPr>
          <w:p>
            <w:pPr>
              <w:spacing w:after="0"/>
              <w:rPr>
                <w:sz w:val="1"/>
                <w:szCs w:val="1"/>
                <w:color w:val="auto"/>
              </w:rPr>
            </w:pPr>
          </w:p>
        </w:tc>
      </w:tr>
      <w:tr>
        <w:trPr>
          <w:trHeight w:val="676"/>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13, 2026</w:t>
            </w:r>
          </w:p>
        </w:tc>
        <w:tc>
          <w:tcPr>
            <w:tcW w:w="4740" w:type="dxa"/>
            <w:vAlign w:val="bottom"/>
            <w:gridSpan w:val="6"/>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9"/>
              </w:rPr>
              <w:t>Jennifer Martin, as</w:t>
            </w:r>
          </w:p>
        </w:tc>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Attorney-in-Fact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8"/>
        <w:spacing w:after="0" w:line="258" w:lineRule="auto"/>
        <w:tabs>
          <w:tab w:leader="none" w:pos="16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Filing Agreement was executed by Jennifer Martin on behalf of the individuals listed above pursuant to a Power of Attorney, a copy of which was filed with the SEC on January 27, 2026.</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2026-02-13T16:38:46Z</dcterms:created>
  <dcterms:modified xsi:type="dcterms:W3CDTF">2026-02-13T16:38:46Z</dcterms:modified>
</cp:coreProperties>
</file>