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11)*</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16510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4"/>
          <w:szCs w:val="24"/>
          <w:color w:val="auto"/>
        </w:rPr>
      </w:pPr>
    </w:p>
    <w:p>
      <w:pPr>
        <w:ind w:right="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15" w:lineRule="exact"/>
        <w:rPr>
          <w:sz w:val="20"/>
          <w:szCs w:val="20"/>
          <w:color w:val="auto"/>
        </w:rPr>
      </w:pPr>
    </w:p>
    <w:p>
      <w:pPr>
        <w:jc w:val="right"/>
        <w:ind w:left="1960" w:right="6980" w:hanging="1234"/>
        <w:spacing w:after="0" w:line="194" w:lineRule="auto"/>
        <w:tabs>
          <w:tab w:leader="none" w:pos="1636" w:val="left"/>
        </w:tabs>
        <w:numPr>
          <w:ilvl w:val="0"/>
          <w:numId w:val="2"/>
        </w:numPr>
        <w:rPr>
          <w:rFonts w:ascii="Arial" w:cs="Arial" w:eastAsia="Arial" w:hAnsi="Arial"/>
          <w:sz w:val="32"/>
          <w:szCs w:val="32"/>
          <w:b w:val="1"/>
          <w:bCs w:val="1"/>
          <w:color w:val="auto"/>
          <w:vertAlign w:val="subscript"/>
        </w:rPr>
      </w:pPr>
      <w:r>
        <w:rPr>
          <w:rFonts w:ascii="Arial" w:cs="Arial" w:eastAsia="Arial" w:hAnsi="Arial"/>
          <w:sz w:val="16"/>
          <w:szCs w:val="16"/>
          <w:color w:val="auto"/>
        </w:rPr>
        <w:t>NAME OF REPORTING PERSON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526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5"/>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State of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97,319,355 Ordinary Shares (including 65,369,355 Ordinary Shares represented by 13,073,871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97,319,355 Ordinary Shares (including 65,369,355 Ordinary Shares represented by 13,073,871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97,319,355 Ordinary Shares (including 65,369,355 Ordinary Shares represented by 13,073,871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13.88%</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PN, IA</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8"/>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15" w:lineRule="exact"/>
        <w:rPr>
          <w:sz w:val="20"/>
          <w:szCs w:val="20"/>
          <w:color w:val="auto"/>
        </w:rPr>
      </w:pPr>
    </w:p>
    <w:p>
      <w:pPr>
        <w:ind w:left="1960" w:right="7020" w:hanging="1234"/>
        <w:spacing w:after="0" w:line="182" w:lineRule="auto"/>
        <w:tabs>
          <w:tab w:leader="none" w:pos="1636" w:val="left"/>
        </w:tabs>
        <w:numPr>
          <w:ilvl w:val="0"/>
          <w:numId w:val="6"/>
        </w:numPr>
        <w:rPr>
          <w:rFonts w:ascii="Arial" w:cs="Arial" w:eastAsia="Arial" w:hAnsi="Arial"/>
          <w:sz w:val="34"/>
          <w:szCs w:val="34"/>
          <w:b w:val="1"/>
          <w:bCs w:val="1"/>
          <w:color w:val="auto"/>
          <w:vertAlign w:val="subscript"/>
        </w:rPr>
      </w:pPr>
      <w:r>
        <w:rPr>
          <w:rFonts w:ascii="Arial" w:cs="Arial" w:eastAsia="Arial" w:hAnsi="Arial"/>
          <w:sz w:val="17"/>
          <w:szCs w:val="17"/>
          <w:color w:val="auto"/>
        </w:rPr>
        <w:t>NAME OF REPORTING PERSON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526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8"/>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9"/>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97,319,355 Ordinary Shares (including 65,369,355 Ordinary Shares represented by 13,073,871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97,319,355 Ordinary Shares (including 65,369,355 Ordinary Shares represented by 13,073,871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97,319,355 Ordinary Shares (including 65,369,355 Ordinary Shares represented by 13,073,871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13.88%</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IN</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8"/>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Mereo BioPharma Group plc, a public limited company under the laws of England and Wales (the “</w:t>
      </w:r>
      <w:r>
        <w:rPr>
          <w:rFonts w:ascii="Arial" w:cs="Arial" w:eastAsia="Arial" w:hAnsi="Arial"/>
          <w:sz w:val="18"/>
          <w:szCs w:val="18"/>
          <w:u w:val="single" w:color="auto"/>
          <w:color w:val="auto"/>
        </w:rPr>
        <w:t>Issuer</w:t>
      </w:r>
      <w:r>
        <w:rPr>
          <w:rFonts w:ascii="Arial" w:cs="Arial" w:eastAsia="Arial" w:hAnsi="Arial"/>
          <w:sz w:val="18"/>
          <w:szCs w:val="18"/>
          <w:color w:val="auto"/>
        </w:rPr>
        <w:t>”), which was subsequently amended on June 9, 2022, June 14, 2022, August 24, 2022, September 23, 2022, October 28, 2022, June 14, 2023, October 31, 2023, November 2, 2023, November 6, 2023, and November 8, 2023 (collectively, including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IN SECURITIES OF THE ISSUER</w:t>
      </w:r>
    </w:p>
    <w:p>
      <w:pPr>
        <w:spacing w:after="0" w:line="229" w:lineRule="exact"/>
        <w:rPr>
          <w:sz w:val="20"/>
          <w:szCs w:val="20"/>
          <w:color w:val="auto"/>
        </w:rPr>
      </w:pPr>
    </w:p>
    <w:p>
      <w:pPr>
        <w:ind w:left="660" w:right="18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701,217,089 Ordinary Shares reported to be outstanding as of July 2023 in Exhibit 99.1 and 99.2 attached to the Issuer’s filing on Form 6-K filed with the Securities and Exchange Commission on September 7, 2023.</w:t>
      </w:r>
    </w:p>
    <w:p>
      <w:pPr>
        <w:spacing w:after="0" w:line="187" w:lineRule="exact"/>
        <w:rPr>
          <w:sz w:val="20"/>
          <w:szCs w:val="20"/>
          <w:color w:val="auto"/>
        </w:rPr>
      </w:pPr>
    </w:p>
    <w:p>
      <w:pPr>
        <w:ind w:left="660" w:right="7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 A annexed hereto lists all transactions in the securities of the Issuer by the Reporting Persons during the past 60 days. All such transactions were effected in the open market unless otherwise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28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1000" w:type="dxa"/>
            <w:vAlign w:val="bottom"/>
            <w:tcBorders>
              <w:top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SCHEDULE 13D</w:t>
            </w:r>
          </w:p>
        </w:tc>
        <w:tc>
          <w:tcPr>
            <w:tcW w:w="1000" w:type="dxa"/>
            <w:vAlign w:val="bottom"/>
            <w:tcBorders>
              <w:right w:val="single" w:sz="8" w:color="auto"/>
            </w:tcBorders>
          </w:tcPr>
          <w:p>
            <w:pPr>
              <w:spacing w:after="0"/>
              <w:rPr>
                <w:sz w:val="24"/>
                <w:szCs w:val="24"/>
                <w:color w:val="auto"/>
              </w:rPr>
            </w:pPr>
          </w:p>
        </w:tc>
        <w:tc>
          <w:tcPr>
            <w:tcW w:w="1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5"/>
              </w:rPr>
              <w:t>Page 6 of 6 Pages</w:t>
            </w:r>
          </w:p>
        </w:tc>
        <w:tc>
          <w:tcPr>
            <w:tcW w:w="2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4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gridSpan w:val="2"/>
            <w:vMerge w:val="restart"/>
          </w:tcPr>
          <w:p>
            <w:pPr>
              <w:jc w:val="center"/>
              <w:ind w:right="150"/>
              <w:spacing w:after="0"/>
              <w:rPr>
                <w:sz w:val="20"/>
                <w:szCs w:val="20"/>
                <w:color w:val="auto"/>
              </w:rPr>
            </w:pPr>
            <w:r>
              <w:rPr>
                <w:rFonts w:ascii="Arial" w:cs="Arial" w:eastAsia="Arial" w:hAnsi="Arial"/>
                <w:sz w:val="18"/>
                <w:szCs w:val="18"/>
                <w:b w:val="1"/>
                <w:bCs w:val="1"/>
                <w:color w:val="auto"/>
                <w:w w:val="99"/>
              </w:rPr>
              <w:t>SCHEDULE A</w:t>
            </w:r>
          </w:p>
        </w:tc>
        <w:tc>
          <w:tcPr>
            <w:tcW w:w="10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4"/>
                <w:szCs w:val="24"/>
                <w:color w:val="auto"/>
              </w:rPr>
            </w:pPr>
          </w:p>
        </w:tc>
        <w:tc>
          <w:tcPr>
            <w:tcW w:w="6280" w:type="dxa"/>
            <w:vAlign w:val="bottom"/>
            <w:gridSpan w:val="7"/>
          </w:tcPr>
          <w:p>
            <w:pPr>
              <w:jc w:val="center"/>
              <w:ind w:right="720"/>
              <w:spacing w:after="0"/>
              <w:rPr>
                <w:sz w:val="20"/>
                <w:szCs w:val="20"/>
                <w:color w:val="auto"/>
              </w:rPr>
            </w:pPr>
            <w:r>
              <w:rPr>
                <w:rFonts w:ascii="Arial" w:cs="Arial" w:eastAsia="Arial" w:hAnsi="Arial"/>
                <w:sz w:val="18"/>
                <w:szCs w:val="18"/>
                <w:b w:val="1"/>
                <w:bCs w:val="1"/>
                <w:color w:val="auto"/>
                <w:w w:val="89"/>
              </w:rPr>
              <w:t>Transactions in the Securities of the Issuer During the Past 60 Days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Nature of</w:t>
            </w:r>
          </w:p>
        </w:tc>
        <w:tc>
          <w:tcPr>
            <w:tcW w:w="1000" w:type="dxa"/>
            <w:vAlign w:val="bottom"/>
          </w:tcPr>
          <w:p>
            <w:pPr>
              <w:spacing w:after="0"/>
              <w:rPr>
                <w:sz w:val="16"/>
                <w:szCs w:val="16"/>
                <w:color w:val="auto"/>
              </w:rPr>
            </w:pPr>
          </w:p>
        </w:tc>
        <w:tc>
          <w:tcPr>
            <w:tcW w:w="110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85"/>
              </w:rPr>
              <w:t>Securities</w:t>
            </w:r>
          </w:p>
        </w:tc>
        <w:tc>
          <w:tcPr>
            <w:tcW w:w="7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gridSpan w:val="3"/>
          </w:tcPr>
          <w:p>
            <w:pPr>
              <w:ind w:left="700"/>
              <w:spacing w:after="0" w:line="191" w:lineRule="exact"/>
              <w:rPr>
                <w:sz w:val="20"/>
                <w:szCs w:val="20"/>
                <w:color w:val="auto"/>
              </w:rPr>
            </w:pPr>
            <w:r>
              <w:rPr>
                <w:rFonts w:ascii="Arial" w:cs="Arial" w:eastAsia="Arial" w:hAnsi="Arial"/>
                <w:sz w:val="18"/>
                <w:szCs w:val="18"/>
                <w:b w:val="1"/>
                <w:bCs w:val="1"/>
                <w:color w:val="auto"/>
              </w:rPr>
              <w:t>Price per Security</w:t>
            </w:r>
          </w:p>
        </w:tc>
        <w:tc>
          <w:tcPr>
            <w:tcW w:w="660" w:type="dxa"/>
            <w:vAlign w:val="bottom"/>
          </w:tcPr>
          <w:p>
            <w:pPr>
              <w:spacing w:after="0"/>
              <w:rPr>
                <w:sz w:val="16"/>
                <w:szCs w:val="16"/>
                <w:color w:val="auto"/>
              </w:rPr>
            </w:pPr>
          </w:p>
        </w:tc>
        <w:tc>
          <w:tcPr>
            <w:tcW w:w="2120" w:type="dxa"/>
            <w:vAlign w:val="bottom"/>
            <w:tcBorders>
              <w:right w:val="single" w:sz="8" w:color="auto"/>
            </w:tcBorders>
          </w:tcPr>
          <w:p>
            <w:pPr>
              <w:jc w:val="center"/>
              <w:ind w:right="590"/>
              <w:spacing w:after="0" w:line="191" w:lineRule="exact"/>
              <w:rPr>
                <w:sz w:val="20"/>
                <w:szCs w:val="20"/>
                <w:color w:val="auto"/>
              </w:rPr>
            </w:pPr>
            <w:r>
              <w:rPr>
                <w:rFonts w:ascii="Arial" w:cs="Arial" w:eastAsia="Arial" w:hAnsi="Arial"/>
                <w:sz w:val="18"/>
                <w:szCs w:val="18"/>
                <w:b w:val="1"/>
                <w:bCs w:val="1"/>
                <w:color w:val="auto"/>
                <w:w w:val="91"/>
              </w:rPr>
              <w:t>Date of</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10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9"/>
              </w:rPr>
              <w:t>Purchased/(Sold)</w:t>
            </w:r>
          </w:p>
        </w:tc>
        <w:tc>
          <w:tcPr>
            <w:tcW w:w="7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Purchase/Sale</w:t>
            </w: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color w:val="auto"/>
                <w:w w:val="89"/>
              </w:rPr>
              <w:t>243,255</w:t>
            </w:r>
          </w:p>
        </w:tc>
        <w:tc>
          <w:tcPr>
            <w:tcW w:w="7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7"/>
                <w:szCs w:val="17"/>
                <w:color w:val="auto"/>
                <w:w w:val="89"/>
              </w:rPr>
              <w:t>2.0459</w:t>
            </w:r>
            <w:r>
              <w:rPr>
                <w:rFonts w:ascii="Arial" w:cs="Arial" w:eastAsia="Arial" w:hAnsi="Arial"/>
                <w:sz w:val="28"/>
                <w:szCs w:val="28"/>
                <w:color w:val="auto"/>
                <w:w w:val="89"/>
                <w:vertAlign w:val="superscript"/>
              </w:rPr>
              <w:t>1</w:t>
            </w:r>
          </w:p>
        </w:tc>
        <w:tc>
          <w:tcPr>
            <w:tcW w:w="9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11/09/2023</w:t>
            </w: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color w:val="auto"/>
                <w:w w:val="89"/>
              </w:rPr>
              <w:t>108,384</w:t>
            </w:r>
          </w:p>
        </w:tc>
        <w:tc>
          <w:tcPr>
            <w:tcW w:w="7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7"/>
                <w:szCs w:val="17"/>
                <w:color w:val="auto"/>
                <w:w w:val="92"/>
              </w:rPr>
              <w:t xml:space="preserve">2.0572 </w:t>
            </w:r>
            <w:r>
              <w:rPr>
                <w:rFonts w:ascii="Arial" w:cs="Arial" w:eastAsia="Arial" w:hAnsi="Arial"/>
                <w:sz w:val="28"/>
                <w:szCs w:val="28"/>
                <w:color w:val="auto"/>
                <w:w w:val="92"/>
                <w:vertAlign w:val="superscript"/>
              </w:rPr>
              <w:t>2</w:t>
            </w:r>
          </w:p>
        </w:tc>
        <w:tc>
          <w:tcPr>
            <w:tcW w:w="9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11/10/2023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0"/>
          <w:szCs w:val="20"/>
          <w:color w:val="auto"/>
        </w:rPr>
      </w:pPr>
    </w:p>
    <w:p>
      <w:pPr>
        <w:ind w:right="640" w:firstLine="8"/>
        <w:spacing w:after="0" w:line="234" w:lineRule="auto"/>
        <w:tabs>
          <w:tab w:leader="none" w:pos="120" w:val="left"/>
        </w:tabs>
        <w:numPr>
          <w:ilvl w:val="0"/>
          <w:numId w:val="12"/>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$2.005 to $2.06,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43" w:lineRule="exact"/>
        <w:rPr>
          <w:sz w:val="20"/>
          <w:szCs w:val="20"/>
          <w:color w:val="auto"/>
        </w:rPr>
      </w:pPr>
    </w:p>
    <w:p>
      <w:pPr>
        <w:jc w:val="both"/>
        <w:ind w:right="740" w:firstLine="8"/>
        <w:spacing w:after="0" w:line="234" w:lineRule="auto"/>
        <w:tabs>
          <w:tab w:leader="none" w:pos="120"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$2.05 to $2.06,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6"/>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6"/>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2023-11-13T06:39:17Z</dcterms:created>
  <dcterms:modified xsi:type="dcterms:W3CDTF">2023-11-13T06:39:17Z</dcterms:modified>
</cp:coreProperties>
</file>