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18,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229" w:right="4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140"/>
        <w:spacing w:after="0"/>
        <w:rPr>
          <w:sz w:val="20"/>
          <w:szCs w:val="20"/>
          <w:color w:val="auto"/>
        </w:rPr>
      </w:pPr>
      <w:r>
        <w:rPr>
          <w:rFonts w:ascii="Arial" w:cs="Arial" w:eastAsia="Arial" w:hAnsi="Arial"/>
          <w:sz w:val="16"/>
          <w:szCs w:val="16"/>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w:t>
      </w:r>
    </w:p>
    <w:p>
      <w:pPr>
        <w:spacing w:after="0" w:line="20" w:lineRule="exact"/>
        <w:rPr>
          <w:sz w:val="24"/>
          <w:szCs w:val="24"/>
          <w:color w:val="auto"/>
        </w:rPr>
      </w:pPr>
    </w:p>
    <w:p>
      <w:pPr>
        <w:sectPr>
          <w:pgSz w:w="11900" w:h="16838" w:orient="portrait"/>
          <w:cols w:equalWidth="0" w:num="2">
            <w:col w:w="7480" w:space="720"/>
            <w:col w:w="2840"/>
          </w:cols>
          <w:pgMar w:left="440" w:top="229" w:right="419" w:bottom="0" w:gutter="0" w:footer="0" w:header="0"/>
          <w:type w:val="continuous"/>
        </w:sectPr>
      </w:pPr>
    </w:p>
    <w:p>
      <w:pPr>
        <w:spacing w:after="0" w:line="11"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60"/>
          </w:cols>
          <w:pgMar w:left="440" w:top="229" w:right="419" w:bottom="0" w:gutter="0" w:footer="0" w:header="0"/>
          <w:type w:val="continuous"/>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Cavendish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+44 33 3023 7300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ectPr>
          <w:pgSz w:w="11900" w:h="16838" w:orient="portrait"/>
          <w:cols w:equalWidth="0" w:num="1">
            <w:col w:w="11040"/>
          </w:cols>
          <w:pgMar w:left="440" w:top="229" w:right="419" w:bottom="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 2019 Equity Incentive Plan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 2019 Non-Employee Equity Incentive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Mereo US Holdings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251 Little Falls Drive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Wilmington, DE 19808</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No.: +1 302 636 5401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Copy to :</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David S. Bakst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Mayer Brown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Registered </w:t>
            </w:r>
            <w:r>
              <w:rPr>
                <w:rFonts w:ascii="Arial" w:cs="Arial" w:eastAsia="Arial" w:hAnsi="Arial"/>
                <w:sz w:val="12"/>
                <w:szCs w:val="12"/>
                <w:b w:val="1"/>
                <w:bCs w:val="1"/>
                <w:color w:val="auto"/>
                <w:w w:val="90"/>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Per Share </w:t>
            </w:r>
            <w:r>
              <w:rPr>
                <w:rFonts w:ascii="Arial" w:cs="Arial" w:eastAsia="Arial" w:hAnsi="Arial"/>
                <w:sz w:val="12"/>
                <w:szCs w:val="12"/>
                <w:b w:val="1"/>
                <w:bCs w:val="1"/>
                <w:color w:val="auto"/>
                <w:w w:val="92"/>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Registration Fee </w:t>
            </w:r>
            <w:r>
              <w:rPr>
                <w:rFonts w:ascii="Arial" w:cs="Arial" w:eastAsia="Arial" w:hAnsi="Arial"/>
                <w:sz w:val="12"/>
                <w:szCs w:val="12"/>
                <w:b w:val="1"/>
                <w:bCs w:val="1"/>
                <w:color w:val="auto"/>
                <w:w w:val="91"/>
              </w:rPr>
              <w:t>(4)</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nominal value £0.003 per share</w:t>
            </w:r>
            <w:r>
              <w:rPr>
                <w:rFonts w:ascii="Arial" w:cs="Arial" w:eastAsia="Arial" w:hAnsi="Arial"/>
                <w:sz w:val="15"/>
                <w:szCs w:val="15"/>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5,234,938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$0.33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$1,727,530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0" w:gutter="0" w:footer="0" w:header="0"/>
          <w:type w:val="continuous"/>
        </w:sectPr>
      </w:pPr>
    </w:p>
    <w:bookmarkStart w:id="1" w:name="page2"/>
    <w:bookmarkEnd w:id="1"/>
    <w:p>
      <w:pPr>
        <w:ind w:left="436" w:right="200" w:hanging="436"/>
        <w:spacing w:after="0" w:line="254"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ordinary shares, par value £0.003 per share (the “Ordinary Shares”) of Mereo BioPharma Group plc (the “Registrant”) registered hereunder may be represented by the Registrant’s American Depositary Shares (“ADSs”), with each ADS representing five Ordinary Shares. The Registrant’s ADSs issuable upon deposit of the ordinary shares have been registered under a separate registration statement on Form F-6 (333-223890).</w:t>
      </w:r>
    </w:p>
    <w:p>
      <w:pPr>
        <w:spacing w:after="0" w:line="2" w:lineRule="exact"/>
        <w:rPr>
          <w:rFonts w:ascii="Arial" w:cs="Arial" w:eastAsia="Arial" w:hAnsi="Arial"/>
          <w:sz w:val="18"/>
          <w:szCs w:val="18"/>
          <w:color w:val="auto"/>
        </w:rPr>
      </w:pPr>
    </w:p>
    <w:p>
      <w:pPr>
        <w:ind w:left="436" w:hanging="436"/>
        <w:spacing w:after="0" w:line="250"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ordinary shares issuable pursuant to the Mereo BioPharma Group plc 2019 Equity Incentive Plan and the Mereo BioPharma Group plc 2019 Non-Employee Equity Incentive Plan (collectively, the “Plans”), which share a common Ordinary Share pool. Pursuant to Rule 416(a) under the Securities Act of 1933, as amended (the “Securities Act”), this registration statement is deemed to cover an indeterminate number of additional Ordinary Shares that may be offered or issued pursuant to Plans to prevent dilution resulting from any share dividend, share split or other similar transaction.</w:t>
      </w:r>
    </w:p>
    <w:p>
      <w:pPr>
        <w:spacing w:after="0" w:line="2" w:lineRule="exact"/>
        <w:rPr>
          <w:rFonts w:ascii="Arial" w:cs="Arial" w:eastAsia="Arial" w:hAnsi="Arial"/>
          <w:sz w:val="18"/>
          <w:szCs w:val="18"/>
          <w:color w:val="auto"/>
        </w:rPr>
      </w:pPr>
    </w:p>
    <w:p>
      <w:pPr>
        <w:ind w:left="436" w:hanging="436"/>
        <w:spacing w:after="0"/>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Computed solely for the purpose of calculating the registration fee pursuant to Rule 457(c) and 457(h) under the Securities Act on the basis of</w:t>
      </w:r>
    </w:p>
    <w:p>
      <w:pPr>
        <w:spacing w:after="0" w:line="32" w:lineRule="exact"/>
        <w:rPr>
          <w:rFonts w:ascii="Arial" w:cs="Arial" w:eastAsia="Arial" w:hAnsi="Arial"/>
          <w:sz w:val="16"/>
          <w:szCs w:val="16"/>
          <w:color w:val="auto"/>
        </w:rPr>
      </w:pPr>
    </w:p>
    <w:p>
      <w:pPr>
        <w:jc w:val="both"/>
        <w:ind w:left="436" w:right="140"/>
        <w:spacing w:after="0" w:line="250" w:lineRule="auto"/>
        <w:rPr>
          <w:rFonts w:ascii="Arial" w:cs="Arial" w:eastAsia="Arial" w:hAnsi="Arial"/>
          <w:sz w:val="16"/>
          <w:szCs w:val="16"/>
          <w:color w:val="auto"/>
        </w:rPr>
      </w:pPr>
      <w:r>
        <w:rPr>
          <w:rFonts w:ascii="Arial" w:cs="Arial" w:eastAsia="Arial" w:hAnsi="Arial"/>
          <w:sz w:val="18"/>
          <w:szCs w:val="18"/>
          <w:color w:val="auto"/>
        </w:rPr>
        <w:t>25.750 pence, the average high and low sale price of the Ordinary Shares of the Registrant on the Alternative Investment Market operated by the London Stock Exchange on February 13, 2020, converted into U.S. dollars at the noon buying rate of the Federal Reserve Bank of New York on February 7, 2020, of $1.2908 to £1.0000.</w:t>
      </w:r>
    </w:p>
    <w:p>
      <w:pPr>
        <w:spacing w:after="0" w:line="1" w:lineRule="exact"/>
        <w:rPr>
          <w:rFonts w:ascii="Arial" w:cs="Arial" w:eastAsia="Arial" w:hAnsi="Arial"/>
          <w:sz w:val="16"/>
          <w:szCs w:val="16"/>
          <w:color w:val="auto"/>
        </w:rPr>
      </w:pPr>
    </w:p>
    <w:p>
      <w:pPr>
        <w:ind w:left="436" w:right="60" w:hanging="436"/>
        <w:spacing w:after="0" w:line="270" w:lineRule="auto"/>
        <w:tabs>
          <w:tab w:leader="none" w:pos="436"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457(p) under the Securities Act, the Registrant hereby offsets the registration fee for this registration statement on Form S-8 against the registration fee of $10,022.00 previously paid by the Registrant in connection with the Registrant’s registration statement on Form F-1 (File No. 333-223883), initially filed by the Registrant with the Securities and Exchange Commission on March 23, 2018 and withdrawn by the Registrant on February 21, 2019 before it had become effective and before any securities were sold thereunder, of which $5,820.30 remains unused. Accordingly, no filing fee is being paid at this time. After application of the registration fee due in connection with this registration statement on Form S-8, $5,596.07 remains available to the Registrant for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173990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96"/>
          </w:cols>
          <w:pgMar w:left="444" w:top="139"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Registration Statement on Form S-8 (this “Registration Statement”) is filed by Mereo BioPharma Group plc (the “Registrant”) for the purpose of registering an additional 5,234,938 ordinary shares, nominal value £0.003 per share (the “Ordinary Shares”), which may be issued pursuant to new and previously issued awards under the Mereo BioPharma Group plc 2019 Equity Incentive Plan and the Mereo BioPharma Group plc 2019 Non-Employee Equity Incentive Plan (collectively, the “Plans”), which share a common Ordinary Share pool. The number of Ordinary Shares available for issuance under the Plans is subject to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in an amount equal to the lesser of (i) 4.5% of the Company’s issued and outstanding shares and (ii) such number of shares as determined by the plan administrator, in its discretion.</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May 21, 2019, the Company filed with the Securities and Exchange Commission (the “SEC”) a Registration Statement on Form S-8 (File No. 333-231636) (the “Prior Registration Statement”) to register 4,321,062 Ordinary Shares issuable under the Plans. The Registrant is filing this Registration Statement to register an additional 5,234,938 Ordinary Shares, which may be issued pursuant to new and previously issued awards under the Plans. Pursuant to Instruction E of Form S-8, the contents of Prior Registration Statement are hereby incorporated by reference herein, and the information required by Part II of Form S-8 is omitted, except as supplemented by the information set forth below.</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otherwise indicated or context otherwise requires, all references in this prospectus to the “Merger” are to the merger of Mereo MergerCo One Inc. and OncoMed Pharmaceuticals, Inc., with OncoMed Pharmaceuticals, Inc. surviving as a wholly-owned subsidiary of Mereo US Holdings Inc., and as an indirect wholly-owned subsidiary of Mereo BioPharma Group plc.</w:t>
      </w:r>
    </w:p>
    <w:p>
      <w:pPr>
        <w:sectPr>
          <w:pgSz w:w="11900" w:h="16838" w:orient="portrait"/>
          <w:cols w:equalWidth="0" w:num="1">
            <w:col w:w="10980"/>
          </w:cols>
          <w:pgMar w:left="440" w:top="270"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PLAN INFORMATION.*</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REGISTRANT INFORMATION AND EMPLOYEE PLAN ANNUAL INFORMATION.*</w:t>
      </w:r>
    </w:p>
    <w:p>
      <w:pPr>
        <w:spacing w:after="0" w:line="256" w:lineRule="exact"/>
        <w:rPr>
          <w:sz w:val="20"/>
          <w:szCs w:val="20"/>
          <w:color w:val="auto"/>
        </w:rPr>
      </w:pPr>
    </w:p>
    <w:p>
      <w:pPr>
        <w:ind w:left="220" w:right="120" w:hanging="216"/>
        <w:spacing w:after="0" w:line="25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and the Note to Part I of Form S-8. The documents containing information specified in this Part I will be separately provided to the participants in the Plans covered by this registration statement, as specified by Rule 428(b)(1) under the Securities Act. Such documents will not be filed with the SEC either as part of this Registration Statement or as prospectuses or prospectus supplements pursuant to Rule 424 under the Securities Act.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131" w:lineRule="exact"/>
        <w:rPr>
          <w:sz w:val="20"/>
          <w:szCs w:val="20"/>
          <w:color w:val="auto"/>
        </w:rPr>
      </w:pPr>
    </w:p>
    <w:p>
      <w:pPr>
        <w:ind w:left="1420" w:right="500" w:hanging="430"/>
        <w:spacing w:after="0" w:line="277" w:lineRule="auto"/>
        <w:tabs>
          <w:tab w:leader="none" w:pos="1420" w:val="left"/>
        </w:tabs>
        <w:numPr>
          <w:ilvl w:val="0"/>
          <w:numId w:val="3"/>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The Registrant’s annual report on Form 20-F for the year ended December 31, 2018, filed with the SEC on April 29, 2019 and</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amended on May 29, 2019 (File No. 001-38452);</w:t>
        </w:r>
      </w:hyperlink>
    </w:p>
    <w:p>
      <w:pPr>
        <w:spacing w:after="0" w:line="75" w:lineRule="exact"/>
        <w:rPr>
          <w:rFonts w:ascii="Arial" w:cs="Arial" w:eastAsia="Arial" w:hAnsi="Arial"/>
          <w:sz w:val="18"/>
          <w:szCs w:val="18"/>
          <w:u w:val="single" w:color="auto"/>
          <w:color w:val="0000EE"/>
        </w:rPr>
      </w:pPr>
    </w:p>
    <w:p>
      <w:pPr>
        <w:ind w:left="1420" w:right="80" w:hanging="430"/>
        <w:spacing w:after="0" w:line="291" w:lineRule="auto"/>
        <w:tabs>
          <w:tab w:leader="none" w:pos="1420" w:val="left"/>
        </w:tabs>
        <w:numPr>
          <w:ilvl w:val="0"/>
          <w:numId w:val="3"/>
        </w:numPr>
        <w:rPr>
          <w:rFonts w:ascii="Arial" w:cs="Arial" w:eastAsia="Arial" w:hAnsi="Arial"/>
          <w:sz w:val="16"/>
          <w:szCs w:val="16"/>
          <w:u w:val="single" w:color="auto"/>
          <w:color w:val="0000EE"/>
        </w:rPr>
      </w:pPr>
      <w:hyperlink r:id="rId22">
        <w:r>
          <w:rPr>
            <w:rFonts w:ascii="Arial" w:cs="Arial" w:eastAsia="Arial" w:hAnsi="Arial"/>
            <w:sz w:val="16"/>
            <w:szCs w:val="16"/>
            <w:u w:val="single" w:color="auto"/>
            <w:color w:val="0000EE"/>
          </w:rPr>
          <w:t>The Registrant’s report on Form 6-K filed with the SEC on February 18, 2020 (SEC Accession No. 0001193125-20-039926), which</w:t>
        </w:r>
      </w:hyperlink>
      <w:r>
        <w:rPr>
          <w:rFonts w:ascii="Arial" w:cs="Arial" w:eastAsia="Arial" w:hAnsi="Arial"/>
          <w:sz w:val="16"/>
          <w:szCs w:val="16"/>
          <w:u w:val="single" w:color="auto"/>
          <w:color w:val="0000EE"/>
        </w:rPr>
        <w:t xml:space="preserve"> </w:t>
      </w:r>
      <w:hyperlink r:id="rId22">
        <w:r>
          <w:rPr>
            <w:rFonts w:ascii="Arial" w:cs="Arial" w:eastAsia="Arial" w:hAnsi="Arial"/>
            <w:sz w:val="16"/>
            <w:szCs w:val="16"/>
            <w:u w:val="single" w:color="auto"/>
            <w:color w:val="0000EE"/>
          </w:rPr>
          <w:t>contains the Registrant’s unaudited pro forma condensed combined financial information as of June 30, 2019 and December 31,</w:t>
        </w:r>
      </w:hyperlink>
    </w:p>
    <w:p>
      <w:pPr>
        <w:ind w:left="1420" w:right="140"/>
        <w:spacing w:after="0" w:line="261" w:lineRule="auto"/>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2018 and for the year ended December 31, 2018 and the interim period ended June 30, 2019, giving effect to the Merger as if it had</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occurred on January 1, 2018;</w:t>
        </w:r>
      </w:hyperlink>
    </w:p>
    <w:p>
      <w:pPr>
        <w:spacing w:after="0" w:line="89" w:lineRule="exact"/>
        <w:rPr>
          <w:rFonts w:ascii="Arial" w:cs="Arial" w:eastAsia="Arial" w:hAnsi="Arial"/>
          <w:sz w:val="18"/>
          <w:szCs w:val="18"/>
          <w:u w:val="single" w:color="auto"/>
          <w:color w:val="0000EE"/>
        </w:rPr>
      </w:pPr>
    </w:p>
    <w:p>
      <w:pPr>
        <w:ind w:left="1420" w:hanging="430"/>
        <w:spacing w:after="0"/>
        <w:tabs>
          <w:tab w:leader="none" w:pos="1420" w:val="left"/>
        </w:tabs>
        <w:numPr>
          <w:ilvl w:val="0"/>
          <w:numId w:val="3"/>
        </w:numPr>
        <w:rPr>
          <w:rFonts w:ascii="Arial" w:cs="Arial" w:eastAsia="Arial" w:hAnsi="Arial"/>
          <w:sz w:val="17"/>
          <w:szCs w:val="17"/>
          <w:u w:val="single" w:color="auto"/>
          <w:color w:val="0000EE"/>
        </w:rPr>
      </w:pPr>
      <w:hyperlink r:id="rId23">
        <w:r>
          <w:rPr>
            <w:rFonts w:ascii="Arial" w:cs="Arial" w:eastAsia="Arial" w:hAnsi="Arial"/>
            <w:sz w:val="17"/>
            <w:szCs w:val="17"/>
            <w:u w:val="single" w:color="auto"/>
            <w:color w:val="0000EE"/>
          </w:rPr>
          <w:t>The Registrant’s report on Form 6-K filed with the SEC on February 12, 2020 (SEC Accession No. 0001193125-20-032479);</w:t>
        </w:r>
      </w:hyperlink>
    </w:p>
    <w:p>
      <w:pPr>
        <w:spacing w:after="0" w:line="142" w:lineRule="exact"/>
        <w:rPr>
          <w:rFonts w:ascii="Arial" w:cs="Arial" w:eastAsia="Arial" w:hAnsi="Arial"/>
          <w:sz w:val="17"/>
          <w:szCs w:val="17"/>
          <w:u w:val="single" w:color="auto"/>
          <w:color w:val="0000EE"/>
        </w:rPr>
      </w:pPr>
    </w:p>
    <w:p>
      <w:pPr>
        <w:ind w:left="1420" w:right="360" w:hanging="430"/>
        <w:spacing w:after="0" w:line="264" w:lineRule="auto"/>
        <w:tabs>
          <w:tab w:leader="none" w:pos="1420" w:val="left"/>
        </w:tabs>
        <w:numPr>
          <w:ilvl w:val="0"/>
          <w:numId w:val="3"/>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The Registrant’s report on Form 6-K filed with the SEC on September 17, 2019 (SEC Accession No. 0001193125-19-246280),</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which contains the Registrant’s unaudited interim consolidated financial statements as of June 30, 2019 and 2018 and for the six</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months ended June 30, 2019 and 2018;</w:t>
        </w:r>
      </w:hyperlink>
    </w:p>
    <w:p>
      <w:pPr>
        <w:spacing w:after="0" w:line="86" w:lineRule="exact"/>
        <w:rPr>
          <w:rFonts w:ascii="Arial" w:cs="Arial" w:eastAsia="Arial" w:hAnsi="Arial"/>
          <w:sz w:val="18"/>
          <w:szCs w:val="18"/>
          <w:u w:val="single" w:color="auto"/>
          <w:color w:val="0000EE"/>
        </w:rPr>
      </w:pPr>
    </w:p>
    <w:p>
      <w:pPr>
        <w:ind w:left="1420" w:right="640" w:hanging="430"/>
        <w:spacing w:after="0" w:line="277" w:lineRule="auto"/>
        <w:tabs>
          <w:tab w:leader="none" w:pos="1420" w:val="left"/>
        </w:tabs>
        <w:numPr>
          <w:ilvl w:val="0"/>
          <w:numId w:val="3"/>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OncoMed Pharmaceuticals, Inc.’s annual report on Form 10-K for the year ended December 31, 2018, filed with the SEC on</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March 7, 2019 (File No. 001-35993);</w:t>
        </w:r>
      </w:hyperlink>
    </w:p>
    <w:p>
      <w:pPr>
        <w:spacing w:after="0" w:line="75" w:lineRule="exact"/>
        <w:rPr>
          <w:rFonts w:ascii="Arial" w:cs="Arial" w:eastAsia="Arial" w:hAnsi="Arial"/>
          <w:sz w:val="18"/>
          <w:szCs w:val="18"/>
          <w:u w:val="single" w:color="auto"/>
          <w:color w:val="0000EE"/>
        </w:rPr>
      </w:pPr>
    </w:p>
    <w:p>
      <w:pPr>
        <w:ind w:left="1420" w:right="140" w:hanging="430"/>
        <w:spacing w:after="0" w:line="27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reports filed pursuant to Section 13(a) or 15(d) of the Securities Exchange Act of 1934, as amended (the “Exchange Act”) since the end of the fiscal year covered by the Registrant’s Form 20-F referred to in clause (a) above; and</w:t>
      </w:r>
    </w:p>
    <w:p>
      <w:pPr>
        <w:spacing w:after="0" w:line="75" w:lineRule="exact"/>
        <w:rPr>
          <w:rFonts w:ascii="Arial" w:cs="Arial" w:eastAsia="Arial" w:hAnsi="Arial"/>
          <w:sz w:val="18"/>
          <w:szCs w:val="18"/>
          <w:color w:val="auto"/>
        </w:rPr>
      </w:pPr>
    </w:p>
    <w:p>
      <w:pPr>
        <w:ind w:left="1420" w:hanging="430"/>
        <w:spacing w:after="0" w:line="264" w:lineRule="auto"/>
        <w:tabs>
          <w:tab w:leader="none" w:pos="1420" w:val="left"/>
        </w:tabs>
        <w:numPr>
          <w:ilvl w:val="0"/>
          <w:numId w:val="3"/>
        </w:numPr>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The description of the Registrant’s Ordinary Shares and ADSs contained in the Registrant’s registration statement on Form 8-A, filed</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with the SEC on April 9, 2018 (File No. 001-38452), including any amendment or report filed for the purpose of updating such</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description.</w:t>
        </w:r>
      </w:hyperlink>
    </w:p>
    <w:p>
      <w:pPr>
        <w:spacing w:after="0" w:line="181" w:lineRule="exact"/>
        <w:rPr>
          <w:rFonts w:ascii="Arial" w:cs="Arial" w:eastAsia="Arial" w:hAnsi="Arial"/>
          <w:sz w:val="18"/>
          <w:szCs w:val="18"/>
          <w:u w:val="single" w:color="auto"/>
          <w:color w:val="0000EE"/>
        </w:rPr>
      </w:pPr>
    </w:p>
    <w:p>
      <w:pPr>
        <w:ind w:right="120"/>
        <w:spacing w:after="0" w:line="293" w:lineRule="auto"/>
        <w:rPr>
          <w:sz w:val="20"/>
          <w:szCs w:val="20"/>
          <w:color w:val="auto"/>
        </w:rPr>
      </w:pPr>
      <w:r>
        <w:rPr>
          <w:rFonts w:ascii="Arial" w:cs="Arial" w:eastAsia="Arial" w:hAnsi="Arial"/>
          <w:sz w:val="16"/>
          <w:szCs w:val="16"/>
          <w:color w:val="auto"/>
        </w:rPr>
        <w:t>In addition, all documents subsequently filed by the Registrant with the SEC pursuant to Sections 13(a), 13(c), 14 and 15(d) of the Exchange Act, prior to the filing of a post-effective amendment to this Registration Statement which indicates that all securities offered have been sold or which deregisters all securities then remaining unsold, including any Report of Foreign Private Issuer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 or portion thereof, whether specifically listed above or to be filed in the future, that is not deemed “filed” with the SEC.</w:t>
      </w:r>
    </w:p>
    <w:p>
      <w:pPr>
        <w:sectPr>
          <w:pgSz w:w="11900" w:h="16838" w:orient="portrait"/>
          <w:cols w:equalWidth="0" w:num="1">
            <w:col w:w="11020"/>
          </w:cols>
          <w:pgMar w:left="440" w:top="270" w:right="439" w:bottom="1440" w:gutter="0" w:footer="0" w:header="0"/>
        </w:sectPr>
      </w:pPr>
    </w:p>
    <w:bookmarkStart w:id="4" w:name="page5"/>
    <w:bookmarkEnd w:id="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29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Articles of Association of the Registrant provide that the Registrant may indemnify the directors and other officers of the Registrant in respect of any proceedings, whether civil or criminal, brought against them by reason of their being directors or officers of the Registrant and to the fullest extent permitted by the Companies Act 2006 of the United Kingdom (“CA 2006”).</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Generally, under CA 2006, any provision by which the Registrant directly or indirectly provides an indemnity (to any extent) for a director of the Registrant or of an “associated company” (i.e., a company that is a parent, subsidiary or sister company of the Registrant)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Registrant has entered into a deed of indemnity with each of its directors, the form of which was filed as Exhibit 10.26 to the Registrant’s registration statement on Form F-4 (Registration No. 333-229351), as originally filed by the Registrant on January 25, 2019 and subsequently amended. Except as prohibited by applicable law, these deeds of indemnity may require the Registrant, among other things, to indemnify its directors for certain expenses, including attorneys’ fees, costs and expenses incurred by such directors with the prior written consent of the Registrant in any action or proceeding arising out of their service as a director of the Registrant, or one of its subsidiaries.</w:t>
      </w:r>
    </w:p>
    <w:p>
      <w:pPr>
        <w:spacing w:after="0" w:line="173" w:lineRule="exact"/>
        <w:rPr>
          <w:sz w:val="20"/>
          <w:szCs w:val="20"/>
          <w:color w:val="auto"/>
        </w:rPr>
      </w:pPr>
    </w:p>
    <w:p>
      <w:pPr>
        <w:jc w:val="both"/>
        <w:ind w:right="280"/>
        <w:spacing w:after="0" w:line="308" w:lineRule="auto"/>
        <w:rPr>
          <w:sz w:val="20"/>
          <w:szCs w:val="20"/>
          <w:color w:val="auto"/>
        </w:rPr>
      </w:pPr>
      <w:r>
        <w:rPr>
          <w:rFonts w:ascii="Arial" w:cs="Arial" w:eastAsia="Arial" w:hAnsi="Arial"/>
          <w:sz w:val="17"/>
          <w:szCs w:val="17"/>
          <w:color w:val="auto"/>
        </w:rPr>
        <w:t>The Registrant maintains directors and officers insurance coverage, which, subject to policy terms and limitations, is expected to include coverage to reimburse the Registrant for amounts that it may be required or permitted by law to pay directors or officers of the Registrant.</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in the “Exhibit Index” are filed as a part of, or incorporated by reference into, this Registration Statement.</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left="380" w:hanging="37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80" w:hanging="384"/>
        <w:spacing w:after="0"/>
        <w:tabs>
          <w:tab w:leader="none" w:pos="13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800" w:hanging="403"/>
        <w:spacing w:after="0"/>
        <w:tabs>
          <w:tab w:leader="none" w:pos="18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ectPr>
          <w:pgSz w:w="11900" w:h="16838" w:orient="portrait"/>
          <w:cols w:equalWidth="0" w:num="1">
            <w:col w:w="11000"/>
          </w:cols>
          <w:pgMar w:left="440" w:top="274" w:right="459" w:bottom="1440" w:gutter="0" w:footer="0" w:header="0"/>
        </w:sectPr>
      </w:pPr>
    </w:p>
    <w:bookmarkStart w:id="5" w:name="page6"/>
    <w:bookmarkEnd w:id="5"/>
    <w:p>
      <w:pPr>
        <w:ind w:left="996" w:right="40" w:firstLine="397"/>
        <w:spacing w:after="0" w:line="272" w:lineRule="auto"/>
        <w:tabs>
          <w:tab w:leader="none" w:pos="1842"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96" w:right="500" w:firstLine="397"/>
        <w:spacing w:after="0" w:line="277" w:lineRule="auto"/>
        <w:tabs>
          <w:tab w:leader="none" w:pos="18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996"/>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15(d) of the Exchange Act that are incorporated by reference in this Registration Statement.</w:t>
      </w:r>
    </w:p>
    <w:p>
      <w:pPr>
        <w:spacing w:after="0" w:line="73" w:lineRule="exact"/>
        <w:rPr>
          <w:sz w:val="20"/>
          <w:szCs w:val="20"/>
          <w:color w:val="auto"/>
        </w:rPr>
      </w:pPr>
    </w:p>
    <w:p>
      <w:pPr>
        <w:ind w:left="436" w:firstLine="428"/>
        <w:spacing w:after="0" w:line="264"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36" w:right="60" w:firstLine="428"/>
        <w:spacing w:after="0" w:line="277"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firstLine="4"/>
        <w:spacing w:after="0" w:line="257" w:lineRule="auto"/>
        <w:tabs>
          <w:tab w:leader="none" w:pos="38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8" w:lineRule="exact"/>
        <w:rPr>
          <w:rFonts w:ascii="Arial" w:cs="Arial" w:eastAsia="Arial" w:hAnsi="Arial"/>
          <w:sz w:val="18"/>
          <w:szCs w:val="18"/>
          <w:color w:val="auto"/>
        </w:rPr>
      </w:pPr>
    </w:p>
    <w:p>
      <w:pPr>
        <w:ind w:left="-4" w:right="100" w:firstLine="4"/>
        <w:spacing w:after="0" w:line="254" w:lineRule="auto"/>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96"/>
          </w:cols>
          <w:pgMar w:left="444" w:top="274"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2"/>
          </w:tcPr>
          <w:p>
            <w:pPr>
              <w:ind w:left="4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60" w:type="dxa"/>
            <w:vAlign w:val="bottom"/>
            <w:gridSpan w:val="2"/>
            <w:vMerge w:val="restart"/>
          </w:tcPr>
          <w:p>
            <w:pPr>
              <w:ind w:left="51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80" w:hanging="78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0">
        <w:r>
          <w:rPr>
            <w:rFonts w:ascii="Arial" w:cs="Arial" w:eastAsia="Arial" w:hAnsi="Arial"/>
            <w:sz w:val="18"/>
            <w:szCs w:val="18"/>
            <w:u w:val="single" w:color="auto"/>
            <w:color w:val="0000EE"/>
          </w:rPr>
          <w:t>Articles of Association of the Registrant (incorporated herein by reference to Exhibit 3.1 to the Registrant’s Registration Statement on Form</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F-4, filed with the SEC on January 25, 2019 (Registration No. 333-229351))</w:t>
        </w:r>
      </w:hyperlink>
    </w:p>
    <w:p>
      <w:pPr>
        <w:spacing w:after="0" w:line="62" w:lineRule="exact"/>
        <w:rPr>
          <w:sz w:val="20"/>
          <w:szCs w:val="20"/>
          <w:color w:val="auto"/>
        </w:rPr>
      </w:pPr>
    </w:p>
    <w:p>
      <w:pPr>
        <w:ind w:left="100"/>
        <w:spacing w:after="0"/>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10">
        <w:r>
          <w:rPr>
            <w:rFonts w:ascii="Arial" w:cs="Arial" w:eastAsia="Arial" w:hAnsi="Arial"/>
            <w:sz w:val="17"/>
            <w:szCs w:val="17"/>
            <w:u w:val="single" w:color="auto"/>
            <w:color w:val="0000EE"/>
          </w:rPr>
          <w:t>Opinion of Mayer Brown International LLP</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
        <w:r>
          <w:rPr>
            <w:rFonts w:ascii="Arial" w:cs="Arial" w:eastAsia="Arial" w:hAnsi="Arial"/>
            <w:sz w:val="16"/>
            <w:szCs w:val="16"/>
            <w:u w:val="single" w:color="auto"/>
            <w:color w:val="0000EE"/>
          </w:rPr>
          <w:t>Consent of Mayer Brown International LLP (included in Exhibit 5.1)</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16">
        <w:r>
          <w:rPr>
            <w:rFonts w:ascii="Arial" w:cs="Arial" w:eastAsia="Arial" w:hAnsi="Arial"/>
            <w:sz w:val="16"/>
            <w:szCs w:val="16"/>
            <w:u w:val="single" w:color="auto"/>
            <w:color w:val="0000EE"/>
          </w:rPr>
          <w:t>Consent of Ernst &amp; Young LLP (UK), independent registered public accounting firm</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17">
        <w:r>
          <w:rPr>
            <w:rFonts w:ascii="Arial" w:cs="Arial" w:eastAsia="Arial" w:hAnsi="Arial"/>
            <w:sz w:val="16"/>
            <w:szCs w:val="16"/>
            <w:u w:val="single" w:color="auto"/>
            <w:color w:val="0000EE"/>
          </w:rPr>
          <w:t>Consent of Ernst &amp; Young LLP (US), independent registered public accounting firm</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
        <w:r>
          <w:rPr>
            <w:rFonts w:ascii="Arial" w:cs="Arial" w:eastAsia="Arial" w:hAnsi="Arial"/>
            <w:sz w:val="16"/>
            <w:szCs w:val="16"/>
            <w:u w:val="single" w:color="auto"/>
            <w:color w:val="0000EE"/>
          </w:rPr>
          <w:t>Powers of Attorney (included in signature page hereto)</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8">
        <w:r>
          <w:rPr>
            <w:rFonts w:ascii="Arial" w:cs="Arial" w:eastAsia="Arial" w:hAnsi="Arial"/>
            <w:sz w:val="16"/>
            <w:szCs w:val="16"/>
            <w:u w:val="single" w:color="auto"/>
            <w:color w:val="0000EE"/>
          </w:rPr>
          <w:t>Mereo BioPharma Group plc 2019 Equity Incentive Plan, as amended on February 13, 2020</w:t>
        </w:r>
      </w:hyperlink>
    </w:p>
    <w:p>
      <w:pPr>
        <w:spacing w:after="0" w:line="117"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8">
        <w:r>
          <w:rPr>
            <w:rFonts w:ascii="Arial" w:cs="Arial" w:eastAsia="Arial" w:hAnsi="Arial"/>
            <w:sz w:val="16"/>
            <w:szCs w:val="16"/>
            <w:u w:val="single" w:color="auto"/>
            <w:color w:val="0000EE"/>
          </w:rPr>
          <w:t>Mereo BioPharma Group plc 2019 Non-Employee Equity Incentive Plan, as amended on February 13, 2020 (included in Exhibit 99.1)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60"/>
          </w:cols>
          <w:pgMar w:left="440" w:top="270" w:right="4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February 18, 2020.</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KNOW ALL PERSONS BY THESE PRESENT, that each person whose signature appears below hereby constitutes and appoints Denise Scots-Knight, Ph.D. and Richard Jones,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2020 in the capacities indicated:</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6100" w:type="dxa"/>
            <w:vAlign w:val="bottom"/>
          </w:tcPr>
          <w:p>
            <w:pPr>
              <w:ind w:left="2900"/>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r>
      <w:tr>
        <w:trPr>
          <w:trHeight w:val="412"/>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 Ph.D.</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Denise Scots-Knight, Ph.D.</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Jones</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Richard Jones</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Fellner, Ph.D.</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Chairman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Peter Fellner, Ph.D.</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Bains</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Blackburn</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Paul Blackburn</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Anders Ekblom, M.D., Ph.D.</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Anders Ekblom, M.D., Ph.D.</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Kunal Kashyap</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Deepika R. Pakianathan, Ph.D.</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Deepika R. Pakianathan, Ph.D.</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31"/>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 Wyzga</w:t>
            </w: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Member of the Board</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Michael S. Wyzga</w:t>
            </w:r>
          </w:p>
        </w:tc>
        <w:tc>
          <w:tcPr>
            <w:tcW w:w="100" w:type="dxa"/>
            <w:vAlign w:val="bottom"/>
          </w:tcPr>
          <w:p>
            <w:pPr>
              <w:spacing w:after="0"/>
              <w:rPr>
                <w:sz w:val="19"/>
                <w:szCs w:val="19"/>
                <w:color w:val="auto"/>
              </w:rPr>
            </w:pPr>
          </w:p>
        </w:tc>
        <w:tc>
          <w:tcPr>
            <w:tcW w:w="61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February 18,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US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730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980"/>
        <w:spacing w:after="0"/>
        <w:tabs>
          <w:tab w:leader="none" w:pos="754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980"/>
          </w:cols>
          <w:pgMar w:left="440" w:top="270" w:right="4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Mayer Brown International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 Bishopsgate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 EC2M 3AF</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Telephone: +44 20 3130 3000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+44 20 3130 3001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www.mayerbrown.com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DX 556 London and City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tabs>
          <w:tab w:leader="none" w:pos="9720" w:val="left"/>
        </w:tabs>
        <w:rPr>
          <w:sz w:val="20"/>
          <w:szCs w:val="20"/>
          <w:color w:val="auto"/>
        </w:rPr>
      </w:pPr>
      <w:r>
        <w:rPr>
          <w:rFonts w:ascii="Arial" w:cs="Arial" w:eastAsia="Arial" w:hAnsi="Arial"/>
          <w:sz w:val="18"/>
          <w:szCs w:val="18"/>
          <w:color w:val="auto"/>
        </w:rPr>
        <w:t>One Cavendish Place</w:t>
      </w:r>
      <w:r>
        <w:rPr>
          <w:sz w:val="20"/>
          <w:szCs w:val="20"/>
          <w:color w:val="auto"/>
        </w:rPr>
        <w:tab/>
      </w:r>
      <w:r>
        <w:rPr>
          <w:rFonts w:ascii="Arial" w:cs="Arial" w:eastAsia="Arial" w:hAnsi="Arial"/>
          <w:sz w:val="16"/>
          <w:szCs w:val="16"/>
          <w:color w:val="auto"/>
        </w:rPr>
        <w:t>18 February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W1G 0QF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ref: 1923354/20456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31"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17" w:lineRule="exact"/>
        <w:rPr>
          <w:rFonts w:ascii="Arial" w:cs="Arial" w:eastAsia="Arial" w:hAnsi="Arial"/>
          <w:sz w:val="18"/>
          <w:szCs w:val="18"/>
          <w:color w:val="auto"/>
        </w:rPr>
      </w:pPr>
    </w:p>
    <w:p>
      <w:pPr>
        <w:ind w:left="440" w:right="40"/>
        <w:spacing w:after="0" w:line="295" w:lineRule="auto"/>
        <w:rPr>
          <w:rFonts w:ascii="Arial" w:cs="Arial" w:eastAsia="Arial" w:hAnsi="Arial"/>
          <w:sz w:val="18"/>
          <w:szCs w:val="18"/>
          <w:color w:val="auto"/>
        </w:rPr>
      </w:pPr>
      <w:r>
        <w:rPr>
          <w:rFonts w:ascii="Arial" w:cs="Arial" w:eastAsia="Arial" w:hAnsi="Arial"/>
          <w:sz w:val="16"/>
          <w:szCs w:val="16"/>
          <w:color w:val="auto"/>
        </w:rPr>
        <w:t xml:space="preserve">We have acted for Mereo BioPharma Group plc, a public limited company incorporated under the laws of England and Wales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as its legal advisers in England in connection with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to be filed on or about 18 February 2020 by the Company with the Securities and Exchange Commission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the rules and regulations promulgated thereunder (the</w:t>
      </w:r>
      <w:r>
        <w:rPr>
          <w:rFonts w:ascii="Arial" w:cs="Arial" w:eastAsia="Arial" w:hAnsi="Arial"/>
          <w:sz w:val="16"/>
          <w:szCs w:val="16"/>
          <w:b w:val="1"/>
          <w:bCs w:val="1"/>
          <w:color w:val="auto"/>
        </w:rPr>
        <w:t xml:space="preserve"> “Rules”</w:t>
      </w:r>
      <w:r>
        <w:rPr>
          <w:rFonts w:ascii="Arial" w:cs="Arial" w:eastAsia="Arial" w:hAnsi="Arial"/>
          <w:sz w:val="16"/>
          <w:szCs w:val="16"/>
          <w:color w:val="auto"/>
        </w:rPr>
        <w:t>), relating to the registration of an aggregate of 5,269,118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£0.003 each in the Company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The Shares are issuable under the Mereo BioPharma Group plc 2019 Equity Incentive Plan (including the Mereo BioPharma Group plc 2019 Non-Employee Equity Incentive Plan) (the </w:t>
      </w:r>
      <w:r>
        <w:rPr>
          <w:rFonts w:ascii="Arial" w:cs="Arial" w:eastAsia="Arial" w:hAnsi="Arial"/>
          <w:sz w:val="16"/>
          <w:szCs w:val="16"/>
          <w:b w:val="1"/>
          <w:bCs w:val="1"/>
          <w:color w:val="auto"/>
        </w:rPr>
        <w:t>“Scheme”</w:t>
      </w:r>
      <w:r>
        <w:rPr>
          <w:rFonts w:ascii="Arial" w:cs="Arial" w:eastAsia="Arial" w:hAnsi="Arial"/>
          <w:sz w:val="16"/>
          <w:szCs w:val="16"/>
          <w:color w:val="auto"/>
        </w:rPr>
        <w:t>).</w:t>
      </w:r>
    </w:p>
    <w:p>
      <w:pPr>
        <w:spacing w:after="0" w:line="51" w:lineRule="exact"/>
        <w:rPr>
          <w:rFonts w:ascii="Arial" w:cs="Arial" w:eastAsia="Arial" w:hAnsi="Arial"/>
          <w:sz w:val="18"/>
          <w:szCs w:val="18"/>
          <w:color w:val="auto"/>
        </w:rPr>
      </w:pPr>
    </w:p>
    <w:p>
      <w:pPr>
        <w:ind w:left="440" w:right="500"/>
        <w:spacing w:after="0" w:line="277" w:lineRule="auto"/>
        <w:rPr>
          <w:rFonts w:ascii="Arial" w:cs="Arial" w:eastAsia="Arial" w:hAnsi="Arial"/>
          <w:sz w:val="18"/>
          <w:szCs w:val="18"/>
          <w:color w:val="auto"/>
        </w:rPr>
      </w:pPr>
      <w:r>
        <w:rPr>
          <w:rFonts w:ascii="Arial" w:cs="Arial" w:eastAsia="Arial" w:hAnsi="Arial"/>
          <w:sz w:val="18"/>
          <w:szCs w:val="18"/>
          <w:color w:val="auto"/>
        </w:rPr>
        <w:t>The existing issued ordinary shares of the Company are admitted to trading, and application will be required to be made for the Shares to be admitted to trading, on the AIM market operated by London Stock Exchange plc (</w:t>
      </w:r>
      <w:r>
        <w:rPr>
          <w:rFonts w:ascii="Arial" w:cs="Arial" w:eastAsia="Arial" w:hAnsi="Arial"/>
          <w:sz w:val="18"/>
          <w:szCs w:val="18"/>
          <w:b w:val="1"/>
          <w:bCs w:val="1"/>
          <w:color w:val="auto"/>
        </w:rPr>
        <w:t>“AIM”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In connection with the Registration Statement, we have been asked to provide an opinion on certain matters, as set out below.</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Examination and enquiries</w:t>
      </w:r>
    </w:p>
    <w:p>
      <w:pPr>
        <w:spacing w:after="0" w:line="134" w:lineRule="exact"/>
        <w:rPr>
          <w:rFonts w:ascii="Arial" w:cs="Arial" w:eastAsia="Arial" w:hAnsi="Arial"/>
          <w:sz w:val="18"/>
          <w:szCs w:val="18"/>
          <w:color w:val="auto"/>
        </w:rPr>
      </w:pPr>
    </w:p>
    <w:p>
      <w:pPr>
        <w:ind w:left="980" w:hanging="544"/>
        <w:spacing w:after="0"/>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the purpose of giving this opinion, we have examined:</w:t>
      </w:r>
    </w:p>
    <w:p>
      <w:pPr>
        <w:spacing w:after="0" w:line="130" w:lineRule="exact"/>
        <w:rPr>
          <w:rFonts w:ascii="Arial" w:cs="Arial" w:eastAsia="Arial" w:hAnsi="Arial"/>
          <w:sz w:val="18"/>
          <w:szCs w:val="18"/>
          <w:color w:val="auto"/>
        </w:rPr>
      </w:pPr>
    </w:p>
    <w:p>
      <w:pPr>
        <w:ind w:left="1420" w:right="480" w:hanging="430"/>
        <w:spacing w:after="0" w:line="277" w:lineRule="auto"/>
        <w:tabs>
          <w:tab w:leader="none" w:pos="14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 copy of the Registration Statement (excluding its exhibits and any documents incorporated by reference into the Registration Statement); and</w:t>
      </w:r>
    </w:p>
    <w:p>
      <w:pPr>
        <w:spacing w:after="0" w:line="103"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This is a legal communication, not a financial communication. Neither this nor any other communication from this firm is intended to be, or should be construed as, an invitation or inducement (direct or indirect) to any person to engage in investment activity.</w:t>
      </w:r>
    </w:p>
    <w:p>
      <w:pPr>
        <w:spacing w:after="0" w:line="6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Mayer Brown International LLP is a limited liability partnership (registered in England and Wales number OC303359) which is authorised and regulated by the Solicitors Regulation Authority. We operate in combination with other Mayer Brown entities with offices in the United States, Europe and Asia and are associated with Tauil &amp; Chequer Advogados, a Brazilian law partnership.</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use the term “partner” to refer to a member of Mayer Brown International LLP, or an employee or consultant who is a lawyer with equivalent</w:t>
      </w:r>
    </w:p>
    <w:p>
      <w:pPr>
        <w:spacing w:after="0" w:line="3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standing and qualifications and to a partner of or lawyer with equivalent status in another Mayer Brown entity. A list of the names of members of Mayer Brown International LLP and their respective professional qualifications may be inspected at our registered office, 201 Bishopsgate, London EC2M 3AF, England or on www.mayerbrown.com.</w:t>
      </w:r>
    </w:p>
    <w:p>
      <w:pPr>
        <w:sectPr>
          <w:pgSz w:w="11900" w:h="16838" w:orient="portrait"/>
          <w:cols w:equalWidth="0" w:num="1">
            <w:col w:w="11020"/>
          </w:cols>
          <w:pgMar w:left="440" w:top="121" w:right="439" w:bottom="1440" w:gutter="0" w:footer="0" w:header="0"/>
        </w:sectPr>
      </w:pPr>
    </w:p>
    <w:bookmarkStart w:id="10" w:name="page11"/>
    <w:bookmarkEnd w:id="10"/>
    <w:p>
      <w:pPr>
        <w:ind w:left="1416" w:right="140" w:hanging="430"/>
        <w:spacing w:after="0" w:line="266" w:lineRule="auto"/>
        <w:tabs>
          <w:tab w:leader="none" w:pos="1416"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dated 18 February 2020 signed by the company secretary of the Company (the “</w:t>
      </w:r>
      <w:r>
        <w:rPr>
          <w:rFonts w:ascii="Arial" w:cs="Arial" w:eastAsia="Arial" w:hAnsi="Arial"/>
          <w:sz w:val="18"/>
          <w:szCs w:val="18"/>
          <w:b w:val="1"/>
          <w:bCs w:val="1"/>
          <w:color w:val="auto"/>
        </w:rPr>
        <w:t>Officer’s Certificate</w:t>
      </w:r>
      <w:r>
        <w:rPr>
          <w:rFonts w:ascii="Arial" w:cs="Arial" w:eastAsia="Arial" w:hAnsi="Arial"/>
          <w:sz w:val="18"/>
          <w:szCs w:val="18"/>
          <w:color w:val="auto"/>
        </w:rPr>
        <w:t>”) relating to certain factual matters and having annexed thereto copies (certified by the company secretary as being true, complete, accurate and up-to-date in each case) of the following documents:</w:t>
      </w:r>
    </w:p>
    <w:p>
      <w:pPr>
        <w:spacing w:after="0" w:line="72" w:lineRule="exact"/>
        <w:rPr>
          <w:rFonts w:ascii="Arial" w:cs="Arial" w:eastAsia="Arial" w:hAnsi="Arial"/>
          <w:sz w:val="18"/>
          <w:szCs w:val="18"/>
          <w:color w:val="auto"/>
        </w:rPr>
      </w:pPr>
    </w:p>
    <w:p>
      <w:pPr>
        <w:ind w:left="1436" w:right="260" w:hanging="4"/>
        <w:spacing w:after="0" w:line="277" w:lineRule="auto"/>
        <w:tabs>
          <w:tab w:leader="none" w:pos="1731"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Company’s certificate of incorporation, certificate of incorporation on re-registration, memorandum of association and its articles of association; and</w:t>
      </w:r>
    </w:p>
    <w:p>
      <w:pPr>
        <w:spacing w:after="0" w:line="62" w:lineRule="exact"/>
        <w:rPr>
          <w:rFonts w:ascii="Arial" w:cs="Arial" w:eastAsia="Arial" w:hAnsi="Arial"/>
          <w:sz w:val="18"/>
          <w:szCs w:val="18"/>
          <w:color w:val="auto"/>
        </w:rPr>
      </w:pPr>
    </w:p>
    <w:p>
      <w:pPr>
        <w:ind w:left="1716" w:hanging="284"/>
        <w:spacing w:after="0"/>
        <w:tabs>
          <w:tab w:leader="none" w:pos="1716" w:val="left"/>
        </w:tabs>
        <w:numPr>
          <w:ilvl w:val="2"/>
          <w:numId w:val="9"/>
        </w:numPr>
        <w:rPr>
          <w:rFonts w:ascii="Arial" w:cs="Arial" w:eastAsia="Arial" w:hAnsi="Arial"/>
          <w:sz w:val="18"/>
          <w:szCs w:val="18"/>
          <w:color w:val="auto"/>
        </w:rPr>
      </w:pPr>
      <w:r>
        <w:rPr>
          <w:rFonts w:ascii="Arial" w:cs="Arial" w:eastAsia="Arial" w:hAnsi="Arial"/>
          <w:sz w:val="18"/>
          <w:szCs w:val="18"/>
          <w:color w:val="auto"/>
        </w:rPr>
        <w:t>a copy of the Scheme.</w:t>
      </w:r>
    </w:p>
    <w:p>
      <w:pPr>
        <w:spacing w:after="0" w:line="130" w:lineRule="exact"/>
        <w:rPr>
          <w:rFonts w:ascii="Arial" w:cs="Arial" w:eastAsia="Arial" w:hAnsi="Arial"/>
          <w:sz w:val="18"/>
          <w:szCs w:val="18"/>
          <w:color w:val="auto"/>
        </w:rPr>
      </w:pPr>
    </w:p>
    <w:p>
      <w:pPr>
        <w:ind w:left="976" w:hanging="544"/>
        <w:spacing w:after="0"/>
        <w:tabs>
          <w:tab w:leader="none" w:pos="9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purpose of giving this opinion, we have:</w:t>
      </w:r>
    </w:p>
    <w:p>
      <w:pPr>
        <w:spacing w:after="0" w:line="130" w:lineRule="exact"/>
        <w:rPr>
          <w:rFonts w:ascii="Arial" w:cs="Arial" w:eastAsia="Arial" w:hAnsi="Arial"/>
          <w:sz w:val="18"/>
          <w:szCs w:val="18"/>
          <w:color w:val="auto"/>
        </w:rPr>
      </w:pPr>
    </w:p>
    <w:p>
      <w:pPr>
        <w:ind w:left="1416" w:right="140" w:hanging="430"/>
        <w:spacing w:after="0" w:line="277" w:lineRule="auto"/>
        <w:tabs>
          <w:tab w:leader="none" w:pos="141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arranged for our agents to make on 18 February 2020 an online search of the register kept by the Registrar of Companies in respect of the Company (the </w:t>
      </w:r>
      <w:r>
        <w:rPr>
          <w:rFonts w:ascii="Arial" w:cs="Arial" w:eastAsia="Arial" w:hAnsi="Arial"/>
          <w:sz w:val="18"/>
          <w:szCs w:val="18"/>
          <w:b w:val="1"/>
          <w:bCs w:val="1"/>
          <w:color w:val="auto"/>
        </w:rPr>
        <w:t>“Company Search”</w:t>
      </w:r>
      <w:r>
        <w:rPr>
          <w:rFonts w:ascii="Arial" w:cs="Arial" w:eastAsia="Arial" w:hAnsi="Arial"/>
          <w:sz w:val="18"/>
          <w:szCs w:val="18"/>
          <w:color w:val="auto"/>
        </w:rPr>
        <w:t>); and</w:t>
      </w:r>
    </w:p>
    <w:p>
      <w:pPr>
        <w:spacing w:after="0" w:line="76" w:lineRule="exact"/>
        <w:rPr>
          <w:sz w:val="20"/>
          <w:szCs w:val="20"/>
          <w:color w:val="auto"/>
        </w:rPr>
      </w:pPr>
    </w:p>
    <w:p>
      <w:pPr>
        <w:ind w:left="1416" w:right="40" w:hanging="430"/>
        <w:spacing w:after="0" w:line="264" w:lineRule="auto"/>
        <w:tabs>
          <w:tab w:leader="none" w:pos="14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arranged for our agents to make on 18 February 2020 at approximately 10:04 a.m. an online search in respect of the Company of the Central Registry of Winding Up Petitions (the “</w:t>
      </w:r>
      <w:r>
        <w:rPr>
          <w:rFonts w:ascii="Arial" w:cs="Arial" w:eastAsia="Arial" w:hAnsi="Arial"/>
          <w:sz w:val="18"/>
          <w:szCs w:val="18"/>
          <w:b w:val="1"/>
          <w:bCs w:val="1"/>
          <w:color w:val="auto"/>
        </w:rPr>
        <w:t>Central Registry Enquiry</w:t>
      </w:r>
      <w:r>
        <w:rPr>
          <w:rFonts w:ascii="Arial" w:cs="Arial" w:eastAsia="Arial" w:hAnsi="Arial"/>
          <w:sz w:val="18"/>
          <w:szCs w:val="18"/>
          <w:color w:val="auto"/>
        </w:rPr>
        <w:t>”, and, together with the Company Search,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69"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and reviewed the information we received from our agents from the Searches (the “</w:t>
      </w:r>
      <w:r>
        <w:rPr>
          <w:rFonts w:ascii="Arial" w:cs="Arial" w:eastAsia="Arial" w:hAnsi="Arial"/>
          <w:sz w:val="18"/>
          <w:szCs w:val="18"/>
          <w:b w:val="1"/>
          <w:bCs w:val="1"/>
          <w:color w:val="auto"/>
        </w:rPr>
        <w:t>Search Results</w:t>
      </w:r>
      <w:r>
        <w:rPr>
          <w:rFonts w:ascii="Arial" w:cs="Arial" w:eastAsia="Arial" w:hAnsi="Arial"/>
          <w:sz w:val="18"/>
          <w:szCs w:val="18"/>
          <w:color w:val="auto"/>
        </w:rPr>
        <w:t>”).</w:t>
      </w:r>
    </w:p>
    <w:p>
      <w:pPr>
        <w:spacing w:after="0" w:line="135" w:lineRule="exact"/>
        <w:rPr>
          <w:sz w:val="20"/>
          <w:szCs w:val="20"/>
          <w:color w:val="auto"/>
        </w:rPr>
      </w:pPr>
    </w:p>
    <w:p>
      <w:pPr>
        <w:ind w:left="976" w:hanging="544"/>
        <w:spacing w:after="0" w:line="264" w:lineRule="auto"/>
        <w:tabs>
          <w:tab w:leader="none" w:pos="976" w:val="left"/>
        </w:tabs>
        <w:numPr>
          <w:ilvl w:val="1"/>
          <w:numId w:val="12"/>
        </w:numPr>
        <w:rPr>
          <w:rFonts w:ascii="Arial" w:cs="Arial" w:eastAsia="Arial" w:hAnsi="Arial"/>
          <w:sz w:val="18"/>
          <w:szCs w:val="18"/>
          <w:color w:val="auto"/>
        </w:rPr>
      </w:pPr>
      <w:r>
        <w:rPr>
          <w:rFonts w:ascii="Arial" w:cs="Arial" w:eastAsia="Arial" w:hAnsi="Arial"/>
          <w:sz w:val="18"/>
          <w:szCs w:val="18"/>
          <w:color w:val="auto"/>
        </w:rPr>
        <w:t>For the purposes of giving this opinion, we have only examined and relied on those documents referred to in paragraph 2(a) and arranged or obtained the Searches and reviewed the Search Results. We have made no further enquiries concerning the Company or any other matter in connection with the giving of this opinion.</w:t>
      </w:r>
    </w:p>
    <w:p>
      <w:pPr>
        <w:spacing w:after="0" w:line="86" w:lineRule="exact"/>
        <w:rPr>
          <w:rFonts w:ascii="Arial" w:cs="Arial" w:eastAsia="Arial" w:hAnsi="Arial"/>
          <w:sz w:val="18"/>
          <w:szCs w:val="18"/>
          <w:color w:val="auto"/>
        </w:rPr>
      </w:pPr>
    </w:p>
    <w:p>
      <w:pPr>
        <w:ind w:left="976" w:right="340" w:hanging="544"/>
        <w:spacing w:after="0" w:line="308" w:lineRule="auto"/>
        <w:tabs>
          <w:tab w:leader="none" w:pos="976" w:val="left"/>
        </w:tabs>
        <w:numPr>
          <w:ilvl w:val="1"/>
          <w:numId w:val="12"/>
        </w:numPr>
        <w:rPr>
          <w:rFonts w:ascii="Arial" w:cs="Arial" w:eastAsia="Arial" w:hAnsi="Arial"/>
          <w:sz w:val="17"/>
          <w:szCs w:val="17"/>
          <w:color w:val="auto"/>
        </w:rPr>
      </w:pPr>
      <w:r>
        <w:rPr>
          <w:rFonts w:ascii="Arial" w:cs="Arial" w:eastAsia="Arial" w:hAnsi="Arial"/>
          <w:sz w:val="17"/>
          <w:szCs w:val="17"/>
          <w:color w:val="auto"/>
        </w:rPr>
        <w:t>We have made no enquiry, and express no opinion, as to any matter of fact. As to matters of fact which are material to this opinion, we have relied entirely and without further enquiry on statements made in the documents listed in paragraph 2(a).</w:t>
      </w:r>
    </w:p>
    <w:p>
      <w:pPr>
        <w:spacing w:after="0" w:line="47" w:lineRule="exact"/>
        <w:rPr>
          <w:rFonts w:ascii="Arial" w:cs="Arial" w:eastAsia="Arial" w:hAnsi="Arial"/>
          <w:sz w:val="17"/>
          <w:szCs w:val="17"/>
          <w:color w:val="auto"/>
        </w:rPr>
      </w:pPr>
    </w:p>
    <w:p>
      <w:pPr>
        <w:ind w:left="436" w:hanging="436"/>
        <w:spacing w:after="0"/>
        <w:tabs>
          <w:tab w:leader="none" w:pos="43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34" w:lineRule="exact"/>
        <w:rPr>
          <w:rFonts w:ascii="Arial" w:cs="Arial" w:eastAsia="Arial" w:hAnsi="Arial"/>
          <w:sz w:val="18"/>
          <w:szCs w:val="18"/>
          <w:color w:val="auto"/>
        </w:rPr>
      </w:pPr>
    </w:p>
    <w:p>
      <w:pPr>
        <w:ind w:left="976" w:hanging="544"/>
        <w:spacing w:after="0"/>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giving this opinion we have assumed:</w:t>
      </w:r>
    </w:p>
    <w:p>
      <w:pPr>
        <w:spacing w:after="0" w:line="130" w:lineRule="exact"/>
        <w:rPr>
          <w:rFonts w:ascii="Arial" w:cs="Arial" w:eastAsia="Arial" w:hAnsi="Arial"/>
          <w:sz w:val="18"/>
          <w:szCs w:val="18"/>
          <w:color w:val="auto"/>
        </w:rPr>
      </w:pPr>
    </w:p>
    <w:p>
      <w:pPr>
        <w:ind w:left="1416" w:hanging="430"/>
        <w:spacing w:after="0"/>
        <w:tabs>
          <w:tab w:leader="none" w:pos="141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genuineness of all signatures, seals and stamps;</w:t>
      </w:r>
    </w:p>
    <w:p>
      <w:pPr>
        <w:spacing w:after="0" w:line="130" w:lineRule="exact"/>
        <w:rPr>
          <w:rFonts w:ascii="Arial" w:cs="Arial" w:eastAsia="Arial" w:hAnsi="Arial"/>
          <w:sz w:val="18"/>
          <w:szCs w:val="18"/>
          <w:color w:val="auto"/>
        </w:rPr>
      </w:pPr>
    </w:p>
    <w:p>
      <w:pPr>
        <w:ind w:left="1416" w:right="380" w:hanging="430"/>
        <w:spacing w:after="0" w:line="277" w:lineRule="auto"/>
        <w:tabs>
          <w:tab w:leader="none" w:pos="141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that each of the individuals who signs as, or otherwise claims to be, an officer of the Company is the individual whom he or she claims to be and holds the office he or she claims to hold;</w:t>
      </w:r>
    </w:p>
    <w:p>
      <w:pPr>
        <w:spacing w:after="0" w:line="75" w:lineRule="exact"/>
        <w:rPr>
          <w:rFonts w:ascii="Arial" w:cs="Arial" w:eastAsia="Arial" w:hAnsi="Arial"/>
          <w:sz w:val="18"/>
          <w:szCs w:val="18"/>
          <w:color w:val="auto"/>
        </w:rPr>
      </w:pPr>
    </w:p>
    <w:p>
      <w:pPr>
        <w:ind w:left="1416" w:hanging="430"/>
        <w:spacing w:after="0"/>
        <w:tabs>
          <w:tab w:leader="none" w:pos="141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1416" w:right="440" w:hanging="430"/>
        <w:spacing w:after="0" w:line="277" w:lineRule="auto"/>
        <w:tabs>
          <w:tab w:leader="none" w:pos="141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conformity with the original documents of all documents reviewed by us as drafts, specimens, pro formas or copies and the authenticity and completeness of all such original documents;</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0" w:right="459" w:bottom="1440" w:gutter="0" w:footer="0" w:header="0"/>
        </w:sectPr>
      </w:pPr>
    </w:p>
    <w:bookmarkStart w:id="11" w:name="page12"/>
    <w:bookmarkEnd w:id="11"/>
    <w:p>
      <w:pPr>
        <w:ind w:left="430" w:hanging="430"/>
        <w:spacing w:after="0"/>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Scheme was validly adopted by the Company, including in accordance with all applicable laws and regulations;</w:t>
      </w:r>
    </w:p>
    <w:p>
      <w:pPr>
        <w:spacing w:after="0" w:line="130" w:lineRule="exact"/>
        <w:rPr>
          <w:rFonts w:ascii="Arial" w:cs="Arial" w:eastAsia="Arial" w:hAnsi="Arial"/>
          <w:sz w:val="18"/>
          <w:szCs w:val="18"/>
          <w:color w:val="auto"/>
        </w:rPr>
      </w:pPr>
    </w:p>
    <w:p>
      <w:pPr>
        <w:ind w:left="430" w:right="180" w:hanging="430"/>
        <w:spacing w:after="0" w:line="308" w:lineRule="auto"/>
        <w:tabs>
          <w:tab w:leader="none" w:pos="4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all grants of awards made under the Scheme and all allotments of Shares pursuant to the Scheme have been, or will be, validly made in accordance with the rules of the Scheme and in accordance with the Company’s articles of association;</w:t>
      </w:r>
    </w:p>
    <w:p>
      <w:pPr>
        <w:spacing w:after="0" w:line="51" w:lineRule="exact"/>
        <w:rPr>
          <w:rFonts w:ascii="Arial" w:cs="Arial" w:eastAsia="Arial" w:hAnsi="Arial"/>
          <w:sz w:val="17"/>
          <w:szCs w:val="17"/>
          <w:color w:val="auto"/>
        </w:rPr>
      </w:pPr>
    </w:p>
    <w:p>
      <w:pPr>
        <w:ind w:left="430" w:hanging="430"/>
        <w:spacing w:after="0" w:line="264"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86" w:lineRule="exact"/>
        <w:rPr>
          <w:rFonts w:ascii="Arial" w:cs="Arial" w:eastAsia="Arial" w:hAnsi="Arial"/>
          <w:sz w:val="18"/>
          <w:szCs w:val="18"/>
          <w:color w:val="auto"/>
        </w:rPr>
      </w:pPr>
    </w:p>
    <w:p>
      <w:pPr>
        <w:ind w:left="430" w:right="280" w:hanging="430"/>
        <w:spacing w:after="0" w:line="264"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each consent, licence, approval, authorisation or order of any governmental authority or other person which is required under any applicable law in connection with the transactions contemplated by the Registration Statement, has been or will have been obtained and is or will be in full force and effect;</w:t>
      </w:r>
    </w:p>
    <w:p>
      <w:pPr>
        <w:spacing w:after="0" w:line="86" w:lineRule="exact"/>
        <w:rPr>
          <w:rFonts w:ascii="Arial" w:cs="Arial" w:eastAsia="Arial" w:hAnsi="Arial"/>
          <w:sz w:val="18"/>
          <w:szCs w:val="18"/>
          <w:color w:val="auto"/>
        </w:rPr>
      </w:pPr>
    </w:p>
    <w:p>
      <w:pPr>
        <w:ind w:left="430" w:right="200" w:hanging="430"/>
        <w:spacing w:after="0" w:line="308" w:lineRule="auto"/>
        <w:tabs>
          <w:tab w:leader="none" w:pos="43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the Company is and will at all relevant times remain in compliance with all applicable anti-corruption, anti-money laundering, anti-terrorism, sanctions, exchange control and human rights laws and regulations of any applicable jurisdiction;</w:t>
      </w:r>
    </w:p>
    <w:p>
      <w:pPr>
        <w:spacing w:after="0" w:line="51" w:lineRule="exact"/>
        <w:rPr>
          <w:rFonts w:ascii="Arial" w:cs="Arial" w:eastAsia="Arial" w:hAnsi="Arial"/>
          <w:sz w:val="17"/>
          <w:szCs w:val="17"/>
          <w:color w:val="auto"/>
        </w:rPr>
      </w:pPr>
    </w:p>
    <w:p>
      <w:pPr>
        <w:ind w:left="430" w:right="140" w:hanging="430"/>
        <w:spacing w:after="0" w:line="264"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no agreement, document or obligation to or by which the Company (or its assets) is a party or bound and no injunction or other court order against or affecting the Company would be breached or infringed by the performance of actions to be carried out pursuant to, or any other aspect of the matters contemplated by, the Registration Statement;</w:t>
      </w:r>
    </w:p>
    <w:p>
      <w:pPr>
        <w:spacing w:after="0" w:line="86" w:lineRule="exact"/>
        <w:rPr>
          <w:rFonts w:ascii="Arial" w:cs="Arial" w:eastAsia="Arial" w:hAnsi="Arial"/>
          <w:sz w:val="18"/>
          <w:szCs w:val="18"/>
          <w:color w:val="auto"/>
        </w:rPr>
      </w:pPr>
    </w:p>
    <w:p>
      <w:pPr>
        <w:ind w:left="430" w:right="160" w:hanging="430"/>
        <w:spacing w:after="0" w:line="277"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 information disclosed by the Searches is true, accurate, complete and up-to-date and that there is no information which, for any reason, should have been disclosed by those Searches and was not;</w:t>
      </w:r>
    </w:p>
    <w:p>
      <w:pPr>
        <w:spacing w:after="0" w:line="75" w:lineRule="exact"/>
        <w:rPr>
          <w:rFonts w:ascii="Arial" w:cs="Arial" w:eastAsia="Arial" w:hAnsi="Arial"/>
          <w:sz w:val="18"/>
          <w:szCs w:val="18"/>
          <w:color w:val="auto"/>
        </w:rPr>
      </w:pPr>
    </w:p>
    <w:p>
      <w:pPr>
        <w:ind w:left="430" w:right="40" w:hanging="430"/>
        <w:spacing w:after="0" w:line="259"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all applicable laws (for the avoidance of doubt, as in force at all relevant times) have been and will be complied with respect to anything done in relation to the grant of awards under the Scheme and the allotment and issue of any Shares pursuant to the Scheme, including without limitation the Financial Services and Markets Act 2000, Regulation (EU) No. 596/2014 of the European Parliament and Regulation (EU) No. 2017/1129 of the European Parliament;</w:t>
      </w:r>
    </w:p>
    <w:p>
      <w:pPr>
        <w:spacing w:after="0" w:line="92" w:lineRule="exact"/>
        <w:rPr>
          <w:rFonts w:ascii="Arial" w:cs="Arial" w:eastAsia="Arial" w:hAnsi="Arial"/>
          <w:sz w:val="18"/>
          <w:szCs w:val="18"/>
          <w:color w:val="auto"/>
        </w:rPr>
      </w:pPr>
    </w:p>
    <w:p>
      <w:pPr>
        <w:ind w:left="430" w:right="20" w:hanging="430"/>
        <w:spacing w:after="0" w:line="259" w:lineRule="auto"/>
        <w:tabs>
          <w:tab w:leader="none" w:pos="4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that as at each date on which the Company grants or granted awards under the Scheme or allots and issues any Shares pursuant to the Scheme (each an </w:t>
      </w:r>
      <w:r>
        <w:rPr>
          <w:rFonts w:ascii="Arial" w:cs="Arial" w:eastAsia="Arial" w:hAnsi="Arial"/>
          <w:sz w:val="18"/>
          <w:szCs w:val="18"/>
          <w:b w:val="1"/>
          <w:bCs w:val="1"/>
          <w:color w:val="auto"/>
        </w:rPr>
        <w:t>“Allotment Date”</w:t>
      </w:r>
      <w:r>
        <w:rPr>
          <w:rFonts w:ascii="Arial" w:cs="Arial" w:eastAsia="Arial" w:hAnsi="Arial"/>
          <w:sz w:val="18"/>
          <w:szCs w:val="18"/>
          <w:color w:val="auto"/>
        </w:rPr>
        <w:t>), the documents examined, and the results of the searches and enquiries made, as set out in paragraph 2 (</w:t>
      </w:r>
      <w:r>
        <w:rPr>
          <w:rFonts w:ascii="Arial" w:cs="Arial" w:eastAsia="Arial" w:hAnsi="Arial"/>
          <w:sz w:val="18"/>
          <w:szCs w:val="18"/>
          <w:i w:val="1"/>
          <w:iCs w:val="1"/>
          <w:color w:val="auto"/>
        </w:rPr>
        <w:t>Examination and enquiries</w:t>
      </w:r>
      <w:r>
        <w:rPr>
          <w:rFonts w:ascii="Arial" w:cs="Arial" w:eastAsia="Arial" w:hAnsi="Arial"/>
          <w:sz w:val="18"/>
          <w:szCs w:val="18"/>
          <w:color w:val="auto"/>
        </w:rPr>
        <w:t>), would not be rendered untrue, inaccurate, incomplete or out-of-date in any relevant respect by reference to subsequent facts, matters, circumstances or events;</w:t>
      </w:r>
    </w:p>
    <w:p>
      <w:pPr>
        <w:spacing w:after="0" w:line="119" w:lineRule="exact"/>
        <w:rPr>
          <w:sz w:val="20"/>
          <w:szCs w:val="20"/>
          <w:color w:val="auto"/>
        </w:rPr>
      </w:pPr>
    </w:p>
    <w:p>
      <w:pPr>
        <w:ind w:left="447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30"/>
          </w:cols>
          <w:pgMar w:left="1430" w:top="274" w:right="439" w:bottom="1440" w:gutter="0" w:footer="0" w:header="0"/>
        </w:sectPr>
      </w:pPr>
    </w:p>
    <w:bookmarkStart w:id="12" w:name="page13"/>
    <w:bookmarkEnd w:id="12"/>
    <w:p>
      <w:pPr>
        <w:ind w:left="984" w:right="40" w:hanging="430"/>
        <w:spacing w:after="0" w:line="259"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as at each date on which the Company allots and issues any Shares pursuant to the Scheme, the Company will have received the aggregate consideration payable for those Shares as “cash consideration” (as defined in s583(3) Companies Act 2006), such aggregate consideration being not less than the nominal value of those Shares; and that s583 Companies Act 2006 will continue in force unamended at all relevant times;</w:t>
      </w:r>
    </w:p>
    <w:p>
      <w:pPr>
        <w:spacing w:after="0" w:line="92" w:lineRule="exact"/>
        <w:rPr>
          <w:rFonts w:ascii="Arial" w:cs="Arial" w:eastAsia="Arial" w:hAnsi="Arial"/>
          <w:sz w:val="18"/>
          <w:szCs w:val="18"/>
          <w:color w:val="auto"/>
        </w:rPr>
      </w:pPr>
    </w:p>
    <w:p>
      <w:pPr>
        <w:ind w:left="984" w:right="40" w:hanging="430"/>
        <w:spacing w:after="0" w:line="302" w:lineRule="auto"/>
        <w:tabs>
          <w:tab w:leader="none" w:pos="9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the directors of the Company as at each Allotment Date will be duly authorised pursuant to the articles of association of the Company in force at the Allotment Date, the Companies Act 2006 and any relevant authority given by the members of the Company in general meeting to grant such awards and/or to allot and issue the relevant Shares, and that any pre-emption rights that would otherwise apply in relation to such grant, allotment and issue will have been validly disapplied (in each case to the extent required);</w:t>
      </w:r>
    </w:p>
    <w:p>
      <w:pPr>
        <w:spacing w:after="0" w:line="59" w:lineRule="exact"/>
        <w:rPr>
          <w:rFonts w:ascii="Arial" w:cs="Arial" w:eastAsia="Arial" w:hAnsi="Arial"/>
          <w:sz w:val="16"/>
          <w:szCs w:val="16"/>
          <w:color w:val="auto"/>
        </w:rPr>
      </w:pPr>
    </w:p>
    <w:p>
      <w:pPr>
        <w:ind w:left="984" w:right="220" w:hanging="430"/>
        <w:spacing w:after="0" w:line="277" w:lineRule="auto"/>
        <w:tabs>
          <w:tab w:leader="none" w:pos="9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as at each date on which the Company allots and issues any Shares pursuant to the Scheme, the directors of the Company will have validly resolved to allot and issue the relevant Shares;</w:t>
      </w:r>
    </w:p>
    <w:p>
      <w:pPr>
        <w:spacing w:after="0" w:line="75" w:lineRule="exact"/>
        <w:rPr>
          <w:rFonts w:ascii="Arial" w:cs="Arial" w:eastAsia="Arial" w:hAnsi="Arial"/>
          <w:sz w:val="18"/>
          <w:szCs w:val="18"/>
          <w:color w:val="auto"/>
        </w:rPr>
      </w:pPr>
    </w:p>
    <w:p>
      <w:pPr>
        <w:ind w:left="984" w:hanging="430"/>
        <w:spacing w:after="0" w:line="276" w:lineRule="auto"/>
        <w:tabs>
          <w:tab w:leader="none" w:pos="9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that there is and will be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and no additional document between any relevant parties which in either case would or might affect this opinion and which was not revealed to us by the documents examined or the searches and enquiries made by us in connection with the giving of this opinion; and</w:t>
      </w:r>
    </w:p>
    <w:p>
      <w:pPr>
        <w:spacing w:after="0" w:line="78" w:lineRule="exact"/>
        <w:rPr>
          <w:sz w:val="20"/>
          <w:szCs w:val="20"/>
          <w:color w:val="auto"/>
        </w:rPr>
      </w:pPr>
    </w:p>
    <w:p>
      <w:pPr>
        <w:ind w:left="1004" w:right="200" w:hanging="458"/>
        <w:spacing w:after="0" w:line="277" w:lineRule="auto"/>
        <w:rPr>
          <w:sz w:val="20"/>
          <w:szCs w:val="20"/>
          <w:color w:val="auto"/>
        </w:rPr>
      </w:pPr>
      <w:r>
        <w:rPr>
          <w:rFonts w:ascii="Arial" w:cs="Arial" w:eastAsia="Arial" w:hAnsi="Arial"/>
          <w:sz w:val="18"/>
          <w:szCs w:val="18"/>
          <w:color w:val="auto"/>
        </w:rPr>
        <w:t>(xviii)that no allotment of Shares will result in a requirement to make a mandatory offer under rule 9 of the City Code on Takeovers and Mergers.</w:t>
      </w:r>
    </w:p>
    <w:p>
      <w:pPr>
        <w:spacing w:after="0" w:line="76" w:lineRule="exact"/>
        <w:rPr>
          <w:sz w:val="20"/>
          <w:szCs w:val="20"/>
          <w:color w:val="auto"/>
        </w:rPr>
      </w:pPr>
    </w:p>
    <w:p>
      <w:pPr>
        <w:ind w:left="544" w:right="240" w:hanging="544"/>
        <w:spacing w:after="0" w:line="277" w:lineRule="auto"/>
        <w:tabs>
          <w:tab w:leader="none" w:pos="5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relation to paragraph 3(a)(xi), it should be noted that this information may not be true, accurate, complete or up-to-date. In particular, but without limitation:</w:t>
      </w:r>
    </w:p>
    <w:p>
      <w:pPr>
        <w:spacing w:after="0" w:line="76" w:lineRule="exact"/>
        <w:rPr>
          <w:sz w:val="20"/>
          <w:szCs w:val="20"/>
          <w:color w:val="auto"/>
        </w:rPr>
      </w:pPr>
    </w:p>
    <w:p>
      <w:pPr>
        <w:ind w:left="544" w:right="780" w:hanging="544"/>
        <w:spacing w:after="0" w:line="308" w:lineRule="auto"/>
        <w:tabs>
          <w:tab w:leader="none" w:pos="5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may be matters which should have been registered but which have not been registered or there may be a delay between the registration of those matters and the relevant entries appearing on the register of the relevant party;</w:t>
      </w:r>
    </w:p>
    <w:p>
      <w:pPr>
        <w:spacing w:after="0" w:line="51" w:lineRule="exact"/>
        <w:rPr>
          <w:rFonts w:ascii="Arial" w:cs="Arial" w:eastAsia="Arial" w:hAnsi="Arial"/>
          <w:sz w:val="17"/>
          <w:szCs w:val="17"/>
          <w:color w:val="auto"/>
        </w:rPr>
      </w:pPr>
    </w:p>
    <w:p>
      <w:pPr>
        <w:ind w:left="984" w:right="160" w:hanging="430"/>
        <w:spacing w:after="0" w:line="276" w:lineRule="auto"/>
        <w:tabs>
          <w:tab w:leader="none" w:pos="984" w:val="left"/>
        </w:tabs>
        <w:numPr>
          <w:ilvl w:val="1"/>
          <w:numId w:val="17"/>
        </w:numPr>
        <w:rPr>
          <w:rFonts w:ascii="Arial" w:cs="Arial" w:eastAsia="Arial" w:hAnsi="Arial"/>
          <w:sz w:val="17"/>
          <w:szCs w:val="17"/>
          <w:color w:val="auto"/>
        </w:rPr>
      </w:pPr>
      <w:r>
        <w:rPr>
          <w:rFonts w:ascii="Arial" w:cs="Arial" w:eastAsia="Arial" w:hAnsi="Arial"/>
          <w:sz w:val="17"/>
          <w:szCs w:val="17"/>
          <w:color w:val="auto"/>
        </w:rPr>
        <w:t>there is no requirement to register with the Registrar of Companies notice of a petition for the winding-up of, or application for an administration order in respect of, a company. Such a notice or notice of a winding-up or administration order having been made, a resolution having been passed for the winding-up of a company or a receiver, manager, administrative receiver, administrator or liquidator having been appointed may not be filed with the Registrar of Companies immediately and there may be a delay in any notice appearing on the register of the relevant party;</w:t>
      </w:r>
    </w:p>
    <w:p>
      <w:pPr>
        <w:spacing w:after="0" w:line="77" w:lineRule="exact"/>
        <w:rPr>
          <w:rFonts w:ascii="Arial" w:cs="Arial" w:eastAsia="Arial" w:hAnsi="Arial"/>
          <w:sz w:val="17"/>
          <w:szCs w:val="17"/>
          <w:color w:val="auto"/>
        </w:rPr>
      </w:pPr>
    </w:p>
    <w:p>
      <w:pPr>
        <w:ind w:left="984" w:right="120" w:hanging="430"/>
        <w:spacing w:after="0" w:line="302" w:lineRule="auto"/>
        <w:tabs>
          <w:tab w:leader="none" w:pos="984"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results of the Central Registry Enquiry relate only to petitions for the compulsory winding up of, or applications for an administration order in respect of, the Company presented prior to the enquiry and entered on the records of the Central Registry of Winding Up Petitions. The presentation of such a petition, or the making of such an application, may not have been notified to the Central Registry or entered on its records immediately or, if presented to a County Court or Chancery District Registry, at all; and</w:t>
      </w:r>
    </w:p>
    <w:p>
      <w:pPr>
        <w:spacing w:after="0" w:line="87"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4"/>
          </w:cols>
          <w:pgMar w:left="876" w:top="274" w:right="459" w:bottom="1440" w:gutter="0" w:footer="0" w:header="0"/>
        </w:sectPr>
      </w:pPr>
    </w:p>
    <w:bookmarkStart w:id="13" w:name="page14"/>
    <w:bookmarkEnd w:id="13"/>
    <w:p>
      <w:pPr>
        <w:ind w:left="1416" w:hanging="430"/>
        <w:spacing w:after="0"/>
        <w:tabs>
          <w:tab w:leader="none" w:pos="1416" w:val="left"/>
        </w:tabs>
        <w:numPr>
          <w:ilvl w:val="2"/>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further information might have become available on the relevant register after the Searches were made.</w:t>
      </w:r>
    </w:p>
    <w:p>
      <w:pPr>
        <w:spacing w:after="0" w:line="369" w:lineRule="exact"/>
        <w:rPr>
          <w:rFonts w:ascii="Arial" w:cs="Arial" w:eastAsia="Arial" w:hAnsi="Arial"/>
          <w:sz w:val="18"/>
          <w:szCs w:val="18"/>
          <w:color w:val="auto"/>
        </w:rPr>
      </w:pPr>
    </w:p>
    <w:p>
      <w:pPr>
        <w:ind w:left="436" w:hanging="436"/>
        <w:spacing w:after="0"/>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4" w:lineRule="exact"/>
        <w:rPr>
          <w:rFonts w:ascii="Arial" w:cs="Arial" w:eastAsia="Arial" w:hAnsi="Arial"/>
          <w:sz w:val="18"/>
          <w:szCs w:val="18"/>
          <w:color w:val="auto"/>
        </w:rPr>
      </w:pPr>
    </w:p>
    <w:p>
      <w:pPr>
        <w:ind w:left="976" w:right="20" w:hanging="544"/>
        <w:spacing w:after="0" w:line="276" w:lineRule="auto"/>
        <w:tabs>
          <w:tab w:leader="none" w:pos="976" w:val="left"/>
        </w:tabs>
        <w:numPr>
          <w:ilvl w:val="1"/>
          <w:numId w:val="19"/>
        </w:numPr>
        <w:rPr>
          <w:rFonts w:ascii="Arial" w:cs="Arial" w:eastAsia="Arial" w:hAnsi="Arial"/>
          <w:sz w:val="17"/>
          <w:szCs w:val="17"/>
          <w:color w:val="auto"/>
        </w:rPr>
      </w:pPr>
      <w:r>
        <w:rPr>
          <w:rFonts w:ascii="Arial" w:cs="Arial" w:eastAsia="Arial" w:hAnsi="Arial"/>
          <w:sz w:val="17"/>
          <w:szCs w:val="17"/>
          <w:color w:val="auto"/>
        </w:rPr>
        <w:t>On the basis of the examination and enquiries referred to in paragraph 2 (</w:t>
      </w:r>
      <w:r>
        <w:rPr>
          <w:rFonts w:ascii="Arial" w:cs="Arial" w:eastAsia="Arial" w:hAnsi="Arial"/>
          <w:sz w:val="17"/>
          <w:szCs w:val="17"/>
          <w:i w:val="1"/>
          <w:iCs w:val="1"/>
          <w:color w:val="auto"/>
        </w:rPr>
        <w:t>Examination and enquiries</w:t>
      </w:r>
      <w:r>
        <w:rPr>
          <w:rFonts w:ascii="Arial" w:cs="Arial" w:eastAsia="Arial" w:hAnsi="Arial"/>
          <w:sz w:val="17"/>
          <w:szCs w:val="17"/>
          <w:color w:val="auto"/>
        </w:rPr>
        <w:t>) and the assumptions made in paragraph 3 (</w:t>
      </w:r>
      <w:r>
        <w:rPr>
          <w:rFonts w:ascii="Arial" w:cs="Arial" w:eastAsia="Arial" w:hAnsi="Arial"/>
          <w:sz w:val="17"/>
          <w:szCs w:val="17"/>
          <w:i w:val="1"/>
          <w:iCs w:val="1"/>
          <w:color w:val="auto"/>
        </w:rPr>
        <w:t>Assumptions</w:t>
      </w:r>
      <w:r>
        <w:rPr>
          <w:rFonts w:ascii="Arial" w:cs="Arial" w:eastAsia="Arial" w:hAnsi="Arial"/>
          <w:sz w:val="17"/>
          <w:szCs w:val="17"/>
          <w:color w:val="auto"/>
        </w:rPr>
        <w:t>) and subject to the qualifications set out in paragraph 5 (</w:t>
      </w:r>
      <w:r>
        <w:rPr>
          <w:rFonts w:ascii="Arial" w:cs="Arial" w:eastAsia="Arial" w:hAnsi="Arial"/>
          <w:sz w:val="17"/>
          <w:szCs w:val="17"/>
          <w:i w:val="1"/>
          <w:iCs w:val="1"/>
          <w:color w:val="auto"/>
        </w:rPr>
        <w:t>Qualifications</w:t>
      </w:r>
      <w:r>
        <w:rPr>
          <w:rFonts w:ascii="Arial" w:cs="Arial" w:eastAsia="Arial" w:hAnsi="Arial"/>
          <w:sz w:val="17"/>
          <w:szCs w:val="17"/>
          <w:color w:val="auto"/>
        </w:rPr>
        <w:t>), we are of the opinion that the Shares allotted and issued pursuant to the Scheme will, when the Company has received the aggregate issue price in respect of such Shares, the names of the holders of such Shares are entered in the register of members of the Company and such Shares have been admitted to trading on AIM, be validly issued, fully paid and no further amount may be called thereon.</w:t>
      </w:r>
    </w:p>
    <w:p>
      <w:pPr>
        <w:spacing w:after="0" w:line="77" w:lineRule="exact"/>
        <w:rPr>
          <w:rFonts w:ascii="Arial" w:cs="Arial" w:eastAsia="Arial" w:hAnsi="Arial"/>
          <w:sz w:val="17"/>
          <w:szCs w:val="17"/>
          <w:color w:val="auto"/>
        </w:rPr>
      </w:pPr>
    </w:p>
    <w:p>
      <w:pPr>
        <w:ind w:left="976" w:right="80" w:hanging="544"/>
        <w:spacing w:after="0" w:line="277" w:lineRule="auto"/>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opinion is strictly limited to the matters expressly stated in this paragraph 4 and is not to be construed as extending by implication to any other matter.</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976" w:hanging="544"/>
        <w:spacing w:after="0"/>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opinions set out in paragraph 4 (</w:t>
      </w:r>
      <w:r>
        <w:rPr>
          <w:rFonts w:ascii="Arial" w:cs="Arial" w:eastAsia="Arial" w:hAnsi="Arial"/>
          <w:sz w:val="18"/>
          <w:szCs w:val="18"/>
          <w:i w:val="1"/>
          <w:iCs w:val="1"/>
          <w:color w:val="auto"/>
        </w:rPr>
        <w:t>Opinions</w:t>
      </w:r>
      <w:r>
        <w:rPr>
          <w:rFonts w:ascii="Arial" w:cs="Arial" w:eastAsia="Arial" w:hAnsi="Arial"/>
          <w:sz w:val="18"/>
          <w:szCs w:val="18"/>
          <w:color w:val="auto"/>
        </w:rPr>
        <w:t>) are subject to the qualifications set out in the remainder of this paragraph 5.</w:t>
      </w:r>
    </w:p>
    <w:p>
      <w:pPr>
        <w:spacing w:after="0" w:line="130" w:lineRule="exact"/>
        <w:rPr>
          <w:rFonts w:ascii="Arial" w:cs="Arial" w:eastAsia="Arial" w:hAnsi="Arial"/>
          <w:sz w:val="18"/>
          <w:szCs w:val="18"/>
          <w:color w:val="auto"/>
        </w:rPr>
      </w:pPr>
    </w:p>
    <w:p>
      <w:pPr>
        <w:jc w:val="both"/>
        <w:ind w:left="976" w:right="400" w:hanging="544"/>
        <w:spacing w:after="0" w:line="264" w:lineRule="auto"/>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express no opinion as to matters of United Kingdom taxation or any liability to tax (including, without limitation, stamp duty and stamp duty reserve tax) which may arise or be incurred as a result of or in connection with the Shares, the Scheme or the transactions contemplated thereby, or as to tax matters generally.</w:t>
      </w:r>
    </w:p>
    <w:p>
      <w:pPr>
        <w:spacing w:after="0" w:line="86" w:lineRule="exact"/>
        <w:rPr>
          <w:rFonts w:ascii="Arial" w:cs="Arial" w:eastAsia="Arial" w:hAnsi="Arial"/>
          <w:sz w:val="18"/>
          <w:szCs w:val="18"/>
          <w:color w:val="auto"/>
        </w:rPr>
      </w:pPr>
    </w:p>
    <w:p>
      <w:pPr>
        <w:jc w:val="both"/>
        <w:ind w:left="976" w:right="120" w:hanging="544"/>
        <w:spacing w:after="0" w:line="264" w:lineRule="auto"/>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opinion set out in paragraph 4(a) (</w:t>
      </w:r>
      <w:r>
        <w:rPr>
          <w:rFonts w:ascii="Arial" w:cs="Arial" w:eastAsia="Arial" w:hAnsi="Arial"/>
          <w:sz w:val="18"/>
          <w:szCs w:val="18"/>
          <w:i w:val="1"/>
          <w:iCs w:val="1"/>
          <w:color w:val="auto"/>
        </w:rPr>
        <w:t>Opinions</w:t>
      </w:r>
      <w:r>
        <w:rPr>
          <w:rFonts w:ascii="Arial" w:cs="Arial" w:eastAsia="Arial" w:hAnsi="Arial"/>
          <w:sz w:val="18"/>
          <w:szCs w:val="18"/>
          <w:color w:val="auto"/>
        </w:rPr>
        <w:t>) relates only to Shares contemplated by the Registration Statement that are new ordinary shares issued by the Company from time to time pursuant to the Scheme following the date of the Registration Statement. We express no opinion in respect of any other securities of the Company.</w:t>
      </w:r>
    </w:p>
    <w:p>
      <w:pPr>
        <w:spacing w:after="0" w:line="325" w:lineRule="exact"/>
        <w:rPr>
          <w:rFonts w:ascii="Arial" w:cs="Arial" w:eastAsia="Arial" w:hAnsi="Arial"/>
          <w:sz w:val="18"/>
          <w:szCs w:val="18"/>
          <w:color w:val="auto"/>
        </w:rPr>
      </w:pPr>
    </w:p>
    <w:p>
      <w:pPr>
        <w:ind w:left="436" w:hanging="436"/>
        <w:spacing w:after="0"/>
        <w:tabs>
          <w:tab w:leader="none" w:pos="436"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Law</w:t>
      </w:r>
    </w:p>
    <w:p>
      <w:pPr>
        <w:spacing w:after="0" w:line="134" w:lineRule="exact"/>
        <w:rPr>
          <w:rFonts w:ascii="Arial" w:cs="Arial" w:eastAsia="Arial" w:hAnsi="Arial"/>
          <w:sz w:val="18"/>
          <w:szCs w:val="18"/>
          <w:color w:val="auto"/>
        </w:rPr>
      </w:pPr>
    </w:p>
    <w:p>
      <w:pPr>
        <w:ind w:left="976" w:right="140" w:hanging="544"/>
        <w:spacing w:after="0" w:line="277" w:lineRule="auto"/>
        <w:tabs>
          <w:tab w:leader="none" w:pos="976"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This opinion and any non-contractual obligations arising out of or in connection with this opinion shall be governed by, and construed in accordance with, English law.</w:t>
      </w:r>
    </w:p>
    <w:p>
      <w:pPr>
        <w:spacing w:after="0" w:line="75" w:lineRule="exact"/>
        <w:rPr>
          <w:rFonts w:ascii="Arial" w:cs="Arial" w:eastAsia="Arial" w:hAnsi="Arial"/>
          <w:sz w:val="18"/>
          <w:szCs w:val="18"/>
          <w:color w:val="auto"/>
        </w:rPr>
      </w:pPr>
    </w:p>
    <w:p>
      <w:pPr>
        <w:ind w:left="976" w:hanging="544"/>
        <w:spacing w:after="0" w:line="276" w:lineRule="auto"/>
        <w:tabs>
          <w:tab w:leader="none" w:pos="97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This opinion relates only to English law (being for these purposes, except to the extent we make specific reference to an English law “conflict of law” (private international law) rule or principle, English domestic law on the assumption that English domestic law applies to all relevant issues) as applied by the English courts as at today’s date, including the laws of the European Union to the extent having the force of law in England by virtue of s1A European Union (Withdrawal) Act 2018 (as introduced by s1 European Union (Withdrawal Agreement) Act 2020). In construing any European Union directive or regulation, we have read only the English version.</w:t>
      </w:r>
    </w:p>
    <w:p>
      <w:pPr>
        <w:spacing w:after="0" w:line="77" w:lineRule="exact"/>
        <w:rPr>
          <w:rFonts w:ascii="Arial" w:cs="Arial" w:eastAsia="Arial" w:hAnsi="Arial"/>
          <w:sz w:val="17"/>
          <w:szCs w:val="17"/>
          <w:color w:val="auto"/>
        </w:rPr>
      </w:pPr>
    </w:p>
    <w:p>
      <w:pPr>
        <w:ind w:left="976" w:hanging="544"/>
        <w:spacing w:after="0"/>
        <w:tabs>
          <w:tab w:leader="none" w:pos="976" w:val="left"/>
        </w:tabs>
        <w:numPr>
          <w:ilvl w:val="1"/>
          <w:numId w:val="19"/>
        </w:numPr>
        <w:rPr>
          <w:rFonts w:ascii="Arial" w:cs="Arial" w:eastAsia="Arial" w:hAnsi="Arial"/>
          <w:sz w:val="17"/>
          <w:szCs w:val="17"/>
          <w:color w:val="auto"/>
        </w:rPr>
      </w:pPr>
      <w:r>
        <w:rPr>
          <w:rFonts w:ascii="Arial" w:cs="Arial" w:eastAsia="Arial" w:hAnsi="Arial"/>
          <w:sz w:val="17"/>
          <w:szCs w:val="17"/>
          <w:color w:val="auto"/>
        </w:rPr>
        <w:t>We do not undertake or accept any obligation to update this opinion to reflect subsequent changes in English law or factual matters.</w:t>
      </w:r>
    </w:p>
    <w:p>
      <w:pPr>
        <w:spacing w:after="0" w:line="169"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56"/>
          </w:cols>
          <w:pgMar w:left="444" w:top="274" w:right="499" w:bottom="1440" w:gutter="0" w:footer="0" w:header="0"/>
        </w:sectPr>
      </w:pPr>
    </w:p>
    <w:bookmarkStart w:id="14" w:name="page15"/>
    <w:bookmarkEnd w:id="14"/>
    <w:p>
      <w:pPr>
        <w:jc w:val="both"/>
        <w:ind w:left="980" w:hanging="544"/>
        <w:spacing w:after="0" w:line="286"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express no opinion as to, and we have not investigated for the purposes of this opinion, the laws of any jurisdiction other than England. It is assumed that no foreign law which may apply to the matters contemplated by the Registration Statement, or any document relating to, or any party to, any transaction contemplated by the Registration Statement, would or might affect this opinion.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Securities Act or the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Mayer Brown International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2238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Mayer Brown International LLP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Mereo Biopharma Group plc 2019 Equity Incentive Plan and the Mereo Biopharma Group plc 2019 Non-Employee Equity Incentive Plan of Mereo Biopharma Group plc of our report dated April 29, 2019, with respect to the consolidated financial statements of Mereo Biopharma Group plc included in its Annual Report (Form 20-F) for the year ended December 31, 2018,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2020</w:t>
      </w:r>
    </w:p>
    <w:p>
      <w:pPr>
        <w:sectPr>
          <w:pgSz w:w="11900" w:h="16838" w:orient="portrait"/>
          <w:cols w:equalWidth="0" w:num="1">
            <w:col w:w="11020"/>
          </w:cols>
          <w:pgMar w:left="440" w:top="121"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Mereo BioPharma Group plc 2019 Equity Incentive Plan and the Mereo BioPharma Group plc 2019 Non-Employee Equity Incentive Plan of Mereo BioPharma Group plc of our reports dated March 7, 2019, with respect to the financial statements of OncoMed Pharmaceuticals, Inc. and the effectiveness of internal control over financial reporting of OncoMed Pharmaceuticals, Inc. included in its Annual Report (Form 10-K) for the year ended December 31, 2018,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2020</w:t>
      </w:r>
    </w:p>
    <w:p>
      <w:pPr>
        <w:sectPr>
          <w:pgSz w:w="11900" w:h="16838" w:orient="portrait"/>
          <w:cols w:equalWidth="0" w:num="1">
            <w:col w:w="11020"/>
          </w:cols>
          <w:pgMar w:left="440" w:top="121"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February 13, 2020</w:t>
      </w:r>
    </w:p>
    <w:p>
      <w:pPr>
        <w:spacing w:after="0" w:line="221" w:lineRule="exact"/>
        <w:rPr>
          <w:sz w:val="20"/>
          <w:szCs w:val="20"/>
          <w:color w:val="auto"/>
        </w:rPr>
      </w:pPr>
    </w:p>
    <w:p>
      <w:pPr>
        <w:ind w:right="160" w:firstLine="441"/>
        <w:spacing w:after="0" w:line="281"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i w:val="1"/>
          <w:iCs w:val="1"/>
          <w:color w:val="auto"/>
        </w:rPr>
        <w:t>Purpose</w:t>
      </w:r>
      <w:r>
        <w:rPr>
          <w:rFonts w:ascii="Arial" w:cs="Arial" w:eastAsia="Arial" w:hAnsi="Arial"/>
          <w:sz w:val="17"/>
          <w:szCs w:val="17"/>
          <w:color w:val="auto"/>
        </w:rPr>
        <w:t>. The purpose of the Mereo BioPharma Group plc 2019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is to motivate and reward those employees of Mereo BioPharma Group plc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to perform at the highest level and to further the best interests of the Company and its shareholders. The Plan (excluding any sub-plan of the Plan) is intended to be an employees’ share scheme for the purposes of section 1166 of the UK Companies Act 2006. Capitalized terms not otherwise defined herein are defined in Section 21.</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w:t>
      </w:r>
      <w:r>
        <w:rPr>
          <w:rFonts w:ascii="Arial" w:cs="Arial" w:eastAsia="Arial" w:hAnsi="Arial"/>
          <w:sz w:val="18"/>
          <w:szCs w:val="18"/>
          <w:i w:val="1"/>
          <w:iCs w:val="1"/>
          <w:color w:val="auto"/>
        </w:rPr>
        <w:t>. Eligibility.</w:t>
      </w:r>
    </w:p>
    <w:p>
      <w:pPr>
        <w:spacing w:after="0" w:line="225" w:lineRule="exact"/>
        <w:rPr>
          <w:sz w:val="20"/>
          <w:szCs w:val="20"/>
          <w:color w:val="auto"/>
        </w:rPr>
      </w:pPr>
    </w:p>
    <w:p>
      <w:pPr>
        <w:ind w:right="200" w:firstLine="996"/>
        <w:spacing w:after="0" w:line="308" w:lineRule="auto"/>
        <w:tabs>
          <w:tab w:leader="none" w:pos="1237"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employee of the Company or any of its subsidiaries (which, for this purpose, must be a subsidiary within the meaning of section 1159 of the UK Companies Act 2006) of the Company) shall be eligible to be selected to receive an Award under the Plan.</w:t>
      </w:r>
    </w:p>
    <w:p>
      <w:pPr>
        <w:spacing w:after="0" w:line="146" w:lineRule="exact"/>
        <w:rPr>
          <w:rFonts w:ascii="Arial" w:cs="Arial" w:eastAsia="Arial" w:hAnsi="Arial"/>
          <w:sz w:val="17"/>
          <w:szCs w:val="17"/>
          <w:color w:val="auto"/>
        </w:rPr>
      </w:pPr>
    </w:p>
    <w:p>
      <w:pPr>
        <w:ind w:right="640" w:firstLine="996"/>
        <w:spacing w:after="0" w:line="277" w:lineRule="auto"/>
        <w:tabs>
          <w:tab w:leader="none" w:pos="12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Holders of equity compensation awards granted by a company acquired by the Company (or whose business is acquired by the Company) or with which the Company combines are eligible for grants of Replacement Awards under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w:t>
      </w:r>
      <w:r>
        <w:rPr>
          <w:rFonts w:ascii="Arial" w:cs="Arial" w:eastAsia="Arial" w:hAnsi="Arial"/>
          <w:sz w:val="18"/>
          <w:szCs w:val="18"/>
          <w:i w:val="1"/>
          <w:iCs w:val="1"/>
          <w:color w:val="auto"/>
        </w:rPr>
        <w:t>. Administration.</w:t>
      </w:r>
    </w:p>
    <w:p>
      <w:pPr>
        <w:spacing w:after="0" w:line="225" w:lineRule="exact"/>
        <w:rPr>
          <w:sz w:val="20"/>
          <w:szCs w:val="20"/>
          <w:color w:val="auto"/>
        </w:rPr>
      </w:pPr>
    </w:p>
    <w:p>
      <w:pPr>
        <w:jc w:val="both"/>
        <w:ind w:firstLine="996"/>
        <w:spacing w:after="0" w:line="342" w:lineRule="auto"/>
        <w:tabs>
          <w:tab w:leader="none" w:pos="12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may designate one or more directors as a subcommittee who may act for the Committee if necessary to satisfy the requirements of this Section. The Committee may issue rules and regulations for administration of the Plan.</w:t>
      </w:r>
    </w:p>
    <w:p>
      <w:pPr>
        <w:spacing w:after="0" w:line="123" w:lineRule="exact"/>
        <w:rPr>
          <w:rFonts w:ascii="Arial" w:cs="Arial" w:eastAsia="Arial" w:hAnsi="Arial"/>
          <w:sz w:val="16"/>
          <w:szCs w:val="16"/>
          <w:color w:val="auto"/>
        </w:rPr>
      </w:pPr>
    </w:p>
    <w:p>
      <w:pPr>
        <w:jc w:val="both"/>
        <w:ind w:right="60" w:firstLine="996"/>
        <w:spacing w:after="0" w:line="288" w:lineRule="auto"/>
        <w:tabs>
          <w:tab w:leader="none" w:pos="1247" w:val="left"/>
        </w:tabs>
        <w:numPr>
          <w:ilvl w:val="1"/>
          <w:numId w:val="22"/>
        </w:numPr>
        <w:rPr>
          <w:rFonts w:ascii="Arial" w:cs="Arial" w:eastAsia="Arial" w:hAnsi="Arial"/>
          <w:sz w:val="16"/>
          <w:szCs w:val="16"/>
          <w:color w:val="auto"/>
        </w:rPr>
      </w:pPr>
      <w:r>
        <w:rPr>
          <w:rFonts w:ascii="Arial" w:cs="Arial" w:eastAsia="Arial" w:hAnsi="Arial"/>
          <w:sz w:val="16"/>
          <w:szCs w:val="16"/>
          <w:color w:val="auto"/>
        </w:rPr>
        <w:t>Subject to the terms of the Plan and applicable law, the Committee (or its delegate) shall have full power and authority to: (i) designate Participants; (ii) determine the type or types of Awards (including Replacement Awards) to be granted to each Participant under the Plan; (iii) determine the number of Shares to be covered by (or with respect to which payments, rights or other matters are to be calculated in connection with) Awards;</w:t>
      </w:r>
    </w:p>
    <w:p>
      <w:pPr>
        <w:ind w:right="280" w:firstLine="4"/>
        <w:spacing w:after="0" w:line="281" w:lineRule="auto"/>
        <w:tabs>
          <w:tab w:leader="none" w:pos="3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determine the terms and conditions of any Award; (v) determine whether, to what extent and under what circumstances Awards may be settled or exercised in cash, Shares, other Awards, other property, net settlement (including broker-assisted cashless exercise) or any combination thereof, or canceled, forfeited or suspended, and the method or methods by which Awards may be settled, exercised, canceled, forfeited or suspended;</w:t>
      </w:r>
    </w:p>
    <w:p>
      <w:pPr>
        <w:spacing w:after="0" w:line="2" w:lineRule="exact"/>
        <w:rPr>
          <w:rFonts w:ascii="Arial" w:cs="Arial" w:eastAsia="Arial" w:hAnsi="Arial"/>
          <w:sz w:val="16"/>
          <w:szCs w:val="16"/>
          <w:color w:val="auto"/>
        </w:rPr>
      </w:pPr>
    </w:p>
    <w:p>
      <w:pPr>
        <w:ind w:left="300" w:hanging="296"/>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 whether, to what extent and under what</w:t>
      </w:r>
    </w:p>
    <w:p>
      <w:pPr>
        <w:sectPr>
          <w:pgSz w:w="11900" w:h="16838" w:orient="portrait"/>
          <w:cols w:equalWidth="0" w:num="1">
            <w:col w:w="11020"/>
          </w:cols>
          <w:pgMar w:left="440" w:top="121" w:right="439" w:bottom="1440" w:gutter="0" w:footer="0" w:header="0"/>
        </w:sectPr>
      </w:pPr>
    </w:p>
    <w:bookmarkStart w:id="18" w:name="page19"/>
    <w:bookmarkEnd w:id="18"/>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circumstances cash, Shares,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88" w:lineRule="exact"/>
        <w:rPr>
          <w:sz w:val="20"/>
          <w:szCs w:val="20"/>
          <w:color w:val="auto"/>
        </w:rPr>
      </w:pPr>
    </w:p>
    <w:p>
      <w:pPr>
        <w:ind w:right="360" w:firstLine="996"/>
        <w:spacing w:after="0" w:line="277" w:lineRule="auto"/>
        <w:tabs>
          <w:tab w:leader="none" w:pos="12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its shareholders and Participants and any Beneficiaries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w:t>
      </w:r>
      <w:r>
        <w:rPr>
          <w:rFonts w:ascii="Arial" w:cs="Arial" w:eastAsia="Arial" w:hAnsi="Arial"/>
          <w:sz w:val="18"/>
          <w:szCs w:val="18"/>
          <w:i w:val="1"/>
          <w:iCs w:val="1"/>
          <w:color w:val="auto"/>
        </w:rPr>
        <w:t>. Shares Available for Awards.</w:t>
      </w:r>
    </w:p>
    <w:p>
      <w:pPr>
        <w:spacing w:after="0" w:line="225" w:lineRule="exact"/>
        <w:rPr>
          <w:sz w:val="20"/>
          <w:szCs w:val="20"/>
          <w:color w:val="auto"/>
        </w:rPr>
      </w:pPr>
    </w:p>
    <w:p>
      <w:pPr>
        <w:ind w:firstLine="996"/>
        <w:spacing w:after="0" w:line="254" w:lineRule="auto"/>
        <w:tabs>
          <w:tab w:leader="none" w:pos="12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Subject to adjustment as provided in Section 4(c), the aggregate number of Shares initially available for issuance under the Plan and the Mereo BioPharma Group plc 2019 Non-Employee Equity Incentive Plan (which is a sub-plan of the Plan and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shall not exceed 9,590,180 Shares. Beginning in the 2021 calendar year, the total number of Shares available for issuance under the Plan shall be increased on January 1</w:t>
      </w:r>
      <w:r>
        <w:rPr>
          <w:rFonts w:ascii="Arial" w:cs="Arial" w:eastAsia="Arial" w:hAnsi="Arial"/>
          <w:sz w:val="15"/>
          <w:szCs w:val="15"/>
          <w:color w:val="auto"/>
        </w:rPr>
        <w:t>st</w:t>
      </w:r>
      <w:r>
        <w:rPr>
          <w:rFonts w:ascii="Arial" w:cs="Arial" w:eastAsia="Arial" w:hAnsi="Arial"/>
          <w:sz w:val="18"/>
          <w:szCs w:val="18"/>
          <w:color w:val="auto"/>
        </w:rPr>
        <w:t xml:space="preserve"> of each year in an amount equal to the lesser of (i) 4.5% of the Company’s issued and outstanding Shares (which 4.5% limit shall be measured as of January 1</w:t>
      </w:r>
      <w:r>
        <w:rPr>
          <w:rFonts w:ascii="Arial" w:cs="Arial" w:eastAsia="Arial" w:hAnsi="Arial"/>
          <w:sz w:val="15"/>
          <w:szCs w:val="15"/>
          <w:color w:val="auto"/>
        </w:rPr>
        <w:t>st</w:t>
      </w:r>
      <w:r>
        <w:rPr>
          <w:rFonts w:ascii="Arial" w:cs="Arial" w:eastAsia="Arial" w:hAnsi="Arial"/>
          <w:sz w:val="18"/>
          <w:szCs w:val="18"/>
          <w:color w:val="auto"/>
        </w:rPr>
        <w:t xml:space="preserve"> of such year) and (ii) such number of Shares as determined by the Committee in its discretion.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spacing w:after="0" w:line="192" w:lineRule="exact"/>
        <w:rPr>
          <w:rFonts w:ascii="Arial" w:cs="Arial" w:eastAsia="Arial" w:hAnsi="Arial"/>
          <w:sz w:val="18"/>
          <w:szCs w:val="18"/>
          <w:color w:val="auto"/>
        </w:rPr>
      </w:pPr>
    </w:p>
    <w:p>
      <w:pPr>
        <w:ind w:left="1260" w:hanging="26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determining the number of Shares available for issuance under the Plan:</w:t>
      </w:r>
    </w:p>
    <w:p>
      <w:pPr>
        <w:spacing w:after="0" w:line="117" w:lineRule="exact"/>
        <w:rPr>
          <w:rFonts w:ascii="Arial" w:cs="Arial" w:eastAsia="Arial" w:hAnsi="Arial"/>
          <w:sz w:val="18"/>
          <w:szCs w:val="18"/>
          <w:color w:val="auto"/>
        </w:rPr>
      </w:pPr>
    </w:p>
    <w:p>
      <w:pPr>
        <w:ind w:left="1000" w:right="140" w:firstLine="397"/>
        <w:spacing w:after="0" w:line="257" w:lineRule="auto"/>
        <w:tabs>
          <w:tab w:leader="none" w:pos="1616"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all Shares covered by SARs shall be counted against the number of Shares available for issuance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SARs that may be settled only in cash shall not be so counted and (B) if the Company grants a SAR in tandem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for the same number of Shares and provides that only one such Award may be exercised (a “</w:t>
      </w:r>
      <w:r>
        <w:rPr>
          <w:rFonts w:ascii="Arial" w:cs="Arial" w:eastAsia="Arial" w:hAnsi="Arial"/>
          <w:sz w:val="18"/>
          <w:szCs w:val="18"/>
          <w:b w:val="1"/>
          <w:bCs w:val="1"/>
          <w:color w:val="auto"/>
        </w:rPr>
        <w:t>Tandem SAR</w:t>
      </w:r>
      <w:r>
        <w:rPr>
          <w:rFonts w:ascii="Arial" w:cs="Arial" w:eastAsia="Arial" w:hAnsi="Arial"/>
          <w:sz w:val="18"/>
          <w:szCs w:val="18"/>
          <w:color w:val="auto"/>
        </w:rPr>
        <w:t>”), only the Shares covered by the Option, and not the Shares covered by the Tandem SAR, shall be so counted, and the expiration of one in connection with the other’s exercise shall not restore Shares to the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9" w:name="page20"/>
    <w:bookmarkEnd w:id="19"/>
    <w:p>
      <w:pPr>
        <w:ind w:left="1000" w:right="320" w:firstLine="397"/>
        <w:spacing w:after="0" w:line="277" w:lineRule="auto"/>
        <w:tabs>
          <w:tab w:leader="none" w:pos="1666"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an Award may be settled only in cash, no Shares shall be counted against the number of Shares available for issuance under the Plan;</w:t>
      </w:r>
    </w:p>
    <w:p>
      <w:pPr>
        <w:spacing w:after="0" w:line="62" w:lineRule="exact"/>
        <w:rPr>
          <w:rFonts w:ascii="Arial" w:cs="Arial" w:eastAsia="Arial" w:hAnsi="Arial"/>
          <w:sz w:val="18"/>
          <w:szCs w:val="18"/>
          <w:color w:val="auto"/>
        </w:rPr>
      </w:pPr>
    </w:p>
    <w:p>
      <w:pPr>
        <w:ind w:left="1000" w:right="80" w:firstLine="397"/>
        <w:spacing w:after="0" w:line="290" w:lineRule="auto"/>
        <w:tabs>
          <w:tab w:leader="none" w:pos="1716"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if any Award (A) expires or is terminated, surrendered or cancelled without having been fully exercised or is forfeited in whole or in part (including as the result of Shares subject to such Award being repurchased by the Company at or below the original issuance price pursuant to a contractual repurchase right) or (B) results in any Shares not being issued (including as a result of an Award that was settleable either in cash or in Shares actually being settled in cash), the unused Shares covered by such Award shall again be available for issuance under the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in the case of the exercise of a SAR, the number of Shares counted against the Shares available for issuance under the Plan shall be the full number of Shares subject to the SAR multiplied by the percentage of the SAR actually exercised, regardless of the number of Shares actually used to settle such SAR upon exercise and (2) the Shares covered by a Tandem SAR shall not again become available for issuance under the Plan upon the expiration or termination of such Tandem SAR;</w:t>
      </w:r>
    </w:p>
    <w:p>
      <w:pPr>
        <w:spacing w:after="0" w:line="58" w:lineRule="exact"/>
        <w:rPr>
          <w:rFonts w:ascii="Arial" w:cs="Arial" w:eastAsia="Arial" w:hAnsi="Arial"/>
          <w:sz w:val="16"/>
          <w:szCs w:val="16"/>
          <w:color w:val="auto"/>
        </w:rPr>
      </w:pPr>
    </w:p>
    <w:p>
      <w:pPr>
        <w:jc w:val="both"/>
        <w:ind w:left="1000" w:right="80" w:firstLine="397"/>
        <w:spacing w:after="0" w:line="286" w:lineRule="auto"/>
        <w:tabs>
          <w:tab w:leader="none" w:pos="1706" w:val="left"/>
        </w:tabs>
        <w:numPr>
          <w:ilvl w:val="1"/>
          <w:numId w:val="27"/>
        </w:numPr>
        <w:rPr>
          <w:rFonts w:ascii="Arial" w:cs="Arial" w:eastAsia="Arial" w:hAnsi="Arial"/>
          <w:sz w:val="17"/>
          <w:szCs w:val="17"/>
          <w:color w:val="auto"/>
        </w:rPr>
      </w:pPr>
      <w:r>
        <w:rPr>
          <w:rFonts w:ascii="Arial" w:cs="Arial" w:eastAsia="Arial" w:hAnsi="Arial"/>
          <w:sz w:val="17"/>
          <w:szCs w:val="17"/>
          <w:color w:val="auto"/>
        </w:rPr>
        <w:t>Shares delivered (either by actual delivery, attestation, or net exercise) to the Company by a Participant to (i) exercise an Award or (ii) satisfy tax withholding obligations with respect to Options or SARs (including Shares retained from the Option or SAR creating the tax obligation) shall not be added back to the number of Shares available for issuance under the Plan; and</w:t>
      </w:r>
    </w:p>
    <w:p>
      <w:pPr>
        <w:spacing w:after="0" w:line="57" w:lineRule="exact"/>
        <w:rPr>
          <w:rFonts w:ascii="Arial" w:cs="Arial" w:eastAsia="Arial" w:hAnsi="Arial"/>
          <w:sz w:val="17"/>
          <w:szCs w:val="17"/>
          <w:color w:val="auto"/>
        </w:rPr>
      </w:pPr>
    </w:p>
    <w:p>
      <w:pPr>
        <w:ind w:left="1000" w:right="140" w:firstLine="397"/>
        <w:spacing w:after="0" w:line="277" w:lineRule="auto"/>
        <w:tabs>
          <w:tab w:leader="none" w:pos="1656" w:val="left"/>
        </w:tabs>
        <w:numPr>
          <w:ilvl w:val="1"/>
          <w:numId w:val="27"/>
        </w:numPr>
        <w:rPr>
          <w:rFonts w:ascii="Arial" w:cs="Arial" w:eastAsia="Arial" w:hAnsi="Arial"/>
          <w:sz w:val="18"/>
          <w:szCs w:val="18"/>
          <w:color w:val="auto"/>
        </w:rPr>
      </w:pPr>
      <w:r>
        <w:rPr>
          <w:rFonts w:ascii="Arial" w:cs="Arial" w:eastAsia="Arial" w:hAnsi="Arial"/>
          <w:sz w:val="18"/>
          <w:szCs w:val="18"/>
          <w:color w:val="auto"/>
        </w:rPr>
        <w:t>Shares repurchased by the Company on the open market using the proceeds from the exercise of an Award shall not increase the number of Shares available for issuance under the Plan.</w:t>
      </w:r>
    </w:p>
    <w:p>
      <w:pPr>
        <w:spacing w:after="0" w:line="170" w:lineRule="exact"/>
        <w:rPr>
          <w:rFonts w:ascii="Arial" w:cs="Arial" w:eastAsia="Arial" w:hAnsi="Arial"/>
          <w:sz w:val="18"/>
          <w:szCs w:val="18"/>
          <w:color w:val="auto"/>
        </w:rPr>
      </w:pPr>
    </w:p>
    <w:p>
      <w:pPr>
        <w:ind w:firstLine="996"/>
        <w:spacing w:after="0" w:line="255" w:lineRule="auto"/>
        <w:tabs>
          <w:tab w:leader="none" w:pos="12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event that, as a result of any dividend or other distribution (whether in the form of cash, Shares or other securities), recapitalization, stock split, reverse stock split, reorganization, merger,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(an “</w:t>
      </w:r>
      <w:r>
        <w:rPr>
          <w:rFonts w:ascii="Arial" w:cs="Arial" w:eastAsia="Arial" w:hAnsi="Arial"/>
          <w:sz w:val="18"/>
          <w:szCs w:val="18"/>
          <w:b w:val="1"/>
          <w:bCs w:val="1"/>
          <w:color w:val="auto"/>
        </w:rPr>
        <w:t>Adjustment Event</w:t>
      </w:r>
      <w:r>
        <w:rPr>
          <w:rFonts w:ascii="Arial" w:cs="Arial" w:eastAsia="Arial" w:hAnsi="Arial"/>
          <w:sz w:val="18"/>
          <w:szCs w:val="18"/>
          <w:color w:val="auto"/>
        </w:rPr>
        <w:t>”), then the Committee shall, subject to Section 18, adjust equitably any or all of:</w:t>
      </w:r>
    </w:p>
    <w:p>
      <w:pPr>
        <w:spacing w:after="0" w:line="81" w:lineRule="exact"/>
        <w:rPr>
          <w:rFonts w:ascii="Arial" w:cs="Arial" w:eastAsia="Arial" w:hAnsi="Arial"/>
          <w:sz w:val="18"/>
          <w:szCs w:val="18"/>
          <w:color w:val="auto"/>
        </w:rPr>
      </w:pPr>
    </w:p>
    <w:p>
      <w:pPr>
        <w:ind w:left="1000" w:right="160" w:firstLine="397"/>
        <w:spacing w:after="0" w:line="277" w:lineRule="auto"/>
        <w:tabs>
          <w:tab w:leader="none" w:pos="16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number and type of Shares (or other securities) which thereafter may be made the subject of Awards, including the aggregate and individual limits specified in Section 4(a);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0" w:name="page21"/>
    <w:bookmarkEnd w:id="20"/>
    <w:p>
      <w:pPr>
        <w:ind w:left="1660" w:hanging="263"/>
        <w:spacing w:after="0"/>
        <w:tabs>
          <w:tab w:leader="none" w:pos="1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and type of Shares (or other securities) subject to outstanding Awards; and</w:t>
      </w:r>
    </w:p>
    <w:p>
      <w:pPr>
        <w:spacing w:after="0" w:line="117" w:lineRule="exact"/>
        <w:rPr>
          <w:rFonts w:ascii="Arial" w:cs="Arial" w:eastAsia="Arial" w:hAnsi="Arial"/>
          <w:sz w:val="18"/>
          <w:szCs w:val="18"/>
          <w:color w:val="auto"/>
        </w:rPr>
      </w:pPr>
    </w:p>
    <w:p>
      <w:pPr>
        <w:ind w:left="1000" w:right="100" w:firstLine="397"/>
        <w:spacing w:after="0" w:line="277" w:lineRule="auto"/>
        <w:tabs>
          <w:tab w:leader="none" w:pos="17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 acquisition, exercise price with respect to any Award or, if deemed appropriate, make provision for a cash payment to the holder of an outstanding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number of Shares subject to any Award denominated in Shares shall always be a whole number.</w:t>
      </w:r>
    </w:p>
    <w:p>
      <w:pPr>
        <w:spacing w:after="0" w:line="225" w:lineRule="exact"/>
        <w:rPr>
          <w:sz w:val="20"/>
          <w:szCs w:val="20"/>
          <w:color w:val="auto"/>
        </w:rPr>
      </w:pPr>
    </w:p>
    <w:p>
      <w:pPr>
        <w:ind w:left="1260" w:hanging="264"/>
        <w:spacing w:after="0"/>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unissued Shares or Shares acquired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Section 5</w:t>
      </w:r>
      <w:r>
        <w:rPr>
          <w:rFonts w:ascii="Arial" w:cs="Arial" w:eastAsia="Arial" w:hAnsi="Arial"/>
          <w:sz w:val="16"/>
          <w:szCs w:val="16"/>
          <w:i w:val="1"/>
          <w:iCs w:val="1"/>
          <w:color w:val="auto"/>
        </w:rPr>
        <w:t>. American Depositary Shares.</w:t>
      </w:r>
      <w:r>
        <w:rPr>
          <w:rFonts w:ascii="Arial" w:cs="Arial" w:eastAsia="Arial" w:hAnsi="Arial"/>
          <w:sz w:val="16"/>
          <w:szCs w:val="16"/>
          <w:color w:val="auto"/>
        </w:rPr>
        <w:t xml:space="preserve"> Notwithstanding anything herein to the contrary, the Committee may, in its discretion, make any Awards authorized hereunder subject to ADSs. In such cases, any applicable references hereunder to “Shares” shall be deemed references to “ADSs.”</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Section 6</w:t>
      </w:r>
      <w:r>
        <w:rPr>
          <w:rFonts w:ascii="Arial" w:cs="Arial" w:eastAsia="Arial" w:hAnsi="Arial"/>
          <w:sz w:val="18"/>
          <w:szCs w:val="18"/>
          <w:i w:val="1"/>
          <w:iCs w:val="1"/>
          <w:color w:val="auto"/>
        </w:rPr>
        <w:t>. Options.</w:t>
      </w:r>
      <w:r>
        <w:rPr>
          <w:rFonts w:ascii="Arial" w:cs="Arial" w:eastAsia="Arial" w:hAnsi="Arial"/>
          <w:sz w:val="18"/>
          <w:szCs w:val="18"/>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170" w:lineRule="exact"/>
        <w:rPr>
          <w:sz w:val="20"/>
          <w:szCs w:val="20"/>
          <w:color w:val="auto"/>
        </w:rPr>
      </w:pPr>
    </w:p>
    <w:p>
      <w:pPr>
        <w:ind w:right="360" w:firstLine="996"/>
        <w:spacing w:after="0" w:line="308" w:lineRule="auto"/>
        <w:tabs>
          <w:tab w:leader="none" w:pos="1237"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exercise price per Share under an Option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Replacement Awards, such exercise price shall not be less than the Fair Market Value of a Share on the date of grant of such Option.</w:t>
      </w:r>
    </w:p>
    <w:p>
      <w:pPr>
        <w:spacing w:after="0" w:line="146" w:lineRule="exact"/>
        <w:rPr>
          <w:rFonts w:ascii="Arial" w:cs="Arial" w:eastAsia="Arial" w:hAnsi="Arial"/>
          <w:sz w:val="17"/>
          <w:szCs w:val="17"/>
          <w:color w:val="auto"/>
        </w:rPr>
      </w:pPr>
    </w:p>
    <w:p>
      <w:pPr>
        <w:ind w:left="1260" w:hanging="264"/>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term of each Option shall be fixed by the Committee but shall not exceed 10 years from the date of grant of such Option.</w:t>
      </w:r>
    </w:p>
    <w:p>
      <w:pPr>
        <w:spacing w:after="0" w:line="236" w:lineRule="exact"/>
        <w:rPr>
          <w:rFonts w:ascii="Arial" w:cs="Arial" w:eastAsia="Arial" w:hAnsi="Arial"/>
          <w:sz w:val="17"/>
          <w:szCs w:val="17"/>
          <w:color w:val="auto"/>
        </w:rPr>
      </w:pPr>
    </w:p>
    <w:p>
      <w:pPr>
        <w:ind w:left="1240" w:hanging="244"/>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w:t>
      </w:r>
    </w:p>
    <w:p>
      <w:pPr>
        <w:spacing w:after="0" w:line="225" w:lineRule="exact"/>
        <w:rPr>
          <w:rFonts w:ascii="Arial" w:cs="Arial" w:eastAsia="Arial" w:hAnsi="Arial"/>
          <w:sz w:val="18"/>
          <w:szCs w:val="18"/>
          <w:color w:val="auto"/>
        </w:rPr>
      </w:pPr>
    </w:p>
    <w:p>
      <w:pPr>
        <w:ind w:firstLine="996"/>
        <w:spacing w:after="0" w:line="286" w:lineRule="auto"/>
        <w:tabs>
          <w:tab w:leader="none" w:pos="1247"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Committee shall determine the methods by which, and the forms in which payment of the exercise price with respect thereto may be made or deemed to have been made, including cash, Shares, other Awards, other property, net settlement (including broker-assisted cashless exercise) or any combination thereof, having a Fair Market Value on the exercise date equal to the relevant exercise price.</w:t>
      </w:r>
    </w:p>
    <w:p>
      <w:pPr>
        <w:spacing w:after="0" w:line="166"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Section 7</w:t>
      </w:r>
      <w:r>
        <w:rPr>
          <w:rFonts w:ascii="Arial" w:cs="Arial" w:eastAsia="Arial" w:hAnsi="Arial"/>
          <w:sz w:val="17"/>
          <w:szCs w:val="17"/>
          <w:i w:val="1"/>
          <w:iCs w:val="1"/>
          <w:color w:val="auto"/>
        </w:rPr>
        <w:t>. Stock Appreciation Rights.</w:t>
      </w:r>
      <w:r>
        <w:rPr>
          <w:rFonts w:ascii="Arial" w:cs="Arial" w:eastAsia="Arial" w:hAnsi="Arial"/>
          <w:sz w:val="17"/>
          <w:szCs w:val="17"/>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1" w:name="page22"/>
    <w:bookmarkEnd w:id="21"/>
    <w:p>
      <w:pPr>
        <w:ind w:left="10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SARs may be granted under the Plan to Participants either alone (“freestanding”) or in addition to other Awards granted under the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(“tandem”).</w:t>
      </w:r>
    </w:p>
    <w:p>
      <w:pPr>
        <w:spacing w:after="0" w:line="211" w:lineRule="exact"/>
        <w:rPr>
          <w:sz w:val="20"/>
          <w:szCs w:val="20"/>
          <w:color w:val="auto"/>
        </w:rPr>
      </w:pPr>
    </w:p>
    <w:p>
      <w:pPr>
        <w:ind w:right="500" w:firstLine="996"/>
        <w:spacing w:after="0" w:line="264" w:lineRule="auto"/>
        <w:tabs>
          <w:tab w:leader="none" w:pos="1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exercise price per Share under a SAR shall be determined by the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in the case of Replacement Awards, such exercise price shall not be less than the Fair Market Value of a Share on the date of grant of such SAR (or if granted in connection with an Option, on the grant date of such Option).</w:t>
      </w:r>
    </w:p>
    <w:p>
      <w:pPr>
        <w:spacing w:after="0" w:line="181" w:lineRule="exact"/>
        <w:rPr>
          <w:rFonts w:ascii="Arial" w:cs="Arial" w:eastAsia="Arial" w:hAnsi="Arial"/>
          <w:sz w:val="18"/>
          <w:szCs w:val="18"/>
          <w:color w:val="auto"/>
        </w:rPr>
      </w:pPr>
    </w:p>
    <w:p>
      <w:pPr>
        <w:ind w:left="1240" w:hanging="244"/>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term of each SAR shall be fixed by the Committee but shall not exceed 10 years from the date of grant of such SAR.</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 SAR may be exercised or settled in whole or in part.</w:t>
      </w:r>
    </w:p>
    <w:p>
      <w:pPr>
        <w:spacing w:after="0" w:line="225" w:lineRule="exact"/>
        <w:rPr>
          <w:rFonts w:ascii="Arial" w:cs="Arial" w:eastAsia="Arial" w:hAnsi="Arial"/>
          <w:sz w:val="18"/>
          <w:szCs w:val="18"/>
          <w:color w:val="auto"/>
        </w:rPr>
      </w:pPr>
    </w:p>
    <w:p>
      <w:pPr>
        <w:ind w:right="60" w:firstLine="996"/>
        <w:spacing w:after="0" w:line="286" w:lineRule="auto"/>
        <w:tabs>
          <w:tab w:leader="none" w:pos="1237" w:val="left"/>
        </w:tabs>
        <w:numPr>
          <w:ilvl w:val="0"/>
          <w:numId w:val="32"/>
        </w:numPr>
        <w:rPr>
          <w:rFonts w:ascii="Arial" w:cs="Arial" w:eastAsia="Arial" w:hAnsi="Arial"/>
          <w:sz w:val="17"/>
          <w:szCs w:val="17"/>
          <w:color w:val="auto"/>
        </w:rPr>
      </w:pPr>
      <w:r>
        <w:rPr>
          <w:rFonts w:ascii="Arial" w:cs="Arial" w:eastAsia="Arial" w:hAnsi="Arial"/>
          <w:sz w:val="17"/>
          <w:szCs w:val="17"/>
          <w:color w:val="auto"/>
        </w:rPr>
        <w:t>Upon the exercise of a SAR, the Company shall pay to the Participant an amount equal to the number of Shares subject to the SAR multiplied by the excess, if any, of the Fair Market Value of one Share on the exercise date over the exercise price of such SAR. The Company shall pay such excess in cash, in Shares valued at Fair Market Value, or any combination thereof, as determined by the Committee.</w:t>
      </w:r>
    </w:p>
    <w:p>
      <w:pPr>
        <w:spacing w:after="0" w:line="166"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Restricted Stock and RSUs.</w:t>
      </w:r>
      <w:r>
        <w:rPr>
          <w:rFonts w:ascii="Arial" w:cs="Arial" w:eastAsia="Arial" w:hAnsi="Arial"/>
          <w:sz w:val="18"/>
          <w:szCs w:val="18"/>
          <w:color w:val="auto"/>
        </w:rPr>
        <w:t xml:space="preserve">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181" w:lineRule="exact"/>
        <w:rPr>
          <w:sz w:val="20"/>
          <w:szCs w:val="20"/>
          <w:color w:val="auto"/>
        </w:rPr>
      </w:pPr>
    </w:p>
    <w:p>
      <w:pPr>
        <w:ind w:firstLine="996"/>
        <w:spacing w:after="0" w:line="264" w:lineRule="auto"/>
        <w:tabs>
          <w:tab w:leader="none" w:pos="123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applicable Award Document shall specify the vesting schedule and, with respect to RSUs, the delivery schedule (which may include deferred delivery later than the vesting date) and whether the Award of Restricted Stock or RSUs is entitled to dividends or dividend equivalents, voting rights or any other rights.</w:t>
      </w:r>
    </w:p>
    <w:p>
      <w:pPr>
        <w:spacing w:after="0" w:line="181" w:lineRule="exact"/>
        <w:rPr>
          <w:rFonts w:ascii="Arial" w:cs="Arial" w:eastAsia="Arial" w:hAnsi="Arial"/>
          <w:sz w:val="18"/>
          <w:szCs w:val="18"/>
          <w:color w:val="auto"/>
        </w:rPr>
      </w:pPr>
    </w:p>
    <w:p>
      <w:pPr>
        <w:ind w:right="240" w:firstLine="996"/>
        <w:spacing w:after="0" w:line="293" w:lineRule="auto"/>
        <w:tabs>
          <w:tab w:leader="none" w:pos="12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of Restricted Stock and RSUs shall be subject to such restrictions as the Committee may impose (including any limitation on the right to vote a Share of Restricted Stock or the right to receive any dividend, dividend equivalent or other right), which restrictions may lapse separately or in combination at such time or times, in such installments or otherwise, as the Committee may deem appropriate. Without limiting the generality of the foregoing, if the Award relates to Shares on which dividends are declared during the period that the Award is outstanding, the Award shall not provide for the payment of such dividend (or a dividend equivalent) to the Participant prior to the time at which such Award, or applicable portion thereof, becomes nonforfeitable, unless otherwise provided in the applicable Award Document.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2" w:name="page23"/>
    <w:bookmarkEnd w:id="22"/>
    <w:p>
      <w:pPr>
        <w:ind w:right="100" w:firstLine="996"/>
        <w:spacing w:after="0" w:line="259" w:lineRule="auto"/>
        <w:tabs>
          <w:tab w:leader="none" w:pos="1237"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share of Restricted Stock granted under the Plan may be evidenced in such manner as the Committee may deem appropriate, including book-entry registration or issuance of a stock certificate or certificates. In the event that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86" w:lineRule="exact"/>
        <w:rPr>
          <w:rFonts w:ascii="Arial" w:cs="Arial" w:eastAsia="Arial" w:hAnsi="Arial"/>
          <w:sz w:val="18"/>
          <w:szCs w:val="18"/>
          <w:color w:val="auto"/>
        </w:rPr>
      </w:pPr>
    </w:p>
    <w:p>
      <w:pPr>
        <w:ind w:right="40" w:firstLine="996"/>
        <w:spacing w:after="0" w:line="277" w:lineRule="auto"/>
        <w:tabs>
          <w:tab w:leader="none" w:pos="12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may determine the form or forms (including cash, Shares, other Awards, other property or any combination thereof) in which payment of the amount owing upon settlement of any RSU Award may be made.</w:t>
      </w:r>
    </w:p>
    <w:p>
      <w:pPr>
        <w:spacing w:after="0" w:line="170"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181" w:lineRule="exact"/>
        <w:rPr>
          <w:sz w:val="20"/>
          <w:szCs w:val="20"/>
          <w:color w:val="auto"/>
        </w:rPr>
      </w:pPr>
    </w:p>
    <w:p>
      <w:pPr>
        <w:ind w:firstLine="996"/>
        <w:spacing w:after="0" w:line="289" w:lineRule="auto"/>
        <w:tabs>
          <w:tab w:leader="none" w:pos="12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 Awards may be denominated as a cash amount, a number of Shares or a combination thereof and are Awards which may be earned upon achievement or satisfaction of performance conditions specified by the Committee. In addition, the Committee may specify that any other Award shall constitute a Performance Award by conditioning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 If the Performance Award relates to Shares on which dividends are declared during the Performance Period, the Performance Award shall not provide for the payment of such dividend (or dividend equivalent) to the Participant prior to the time at which such Performance Award, or the applicable portion thereof, is earned.</w:t>
      </w:r>
    </w:p>
    <w:p>
      <w:pPr>
        <w:spacing w:after="0" w:line="166" w:lineRule="exact"/>
        <w:rPr>
          <w:rFonts w:ascii="Arial" w:cs="Arial" w:eastAsia="Arial" w:hAnsi="Arial"/>
          <w:sz w:val="16"/>
          <w:szCs w:val="16"/>
          <w:color w:val="auto"/>
        </w:rPr>
      </w:pPr>
    </w:p>
    <w:p>
      <w:pPr>
        <w:ind w:right="80" w:firstLine="996"/>
        <w:spacing w:after="0" w:line="297" w:lineRule="auto"/>
        <w:tabs>
          <w:tab w:leader="none" w:pos="12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 criteria may be measured on an absolute (</w:t>
      </w:r>
      <w:r>
        <w:rPr>
          <w:rFonts w:ascii="Arial" w:cs="Arial" w:eastAsia="Arial" w:hAnsi="Arial"/>
          <w:sz w:val="16"/>
          <w:szCs w:val="16"/>
          <w:i w:val="1"/>
          <w:iCs w:val="1"/>
          <w:color w:val="auto"/>
        </w:rPr>
        <w:t>e.g.</w:t>
      </w:r>
      <w:r>
        <w:rPr>
          <w:rFonts w:ascii="Arial" w:cs="Arial" w:eastAsia="Arial" w:hAnsi="Arial"/>
          <w:sz w:val="16"/>
          <w:szCs w:val="16"/>
          <w:color w:val="auto"/>
        </w:rPr>
        <w:t>, plan or budget) or relative basis, and may be established on a corporate-wide basis or with respect to one or more business units, divisions, subsidiaries or business segments.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minimum</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3" w:name="page24"/>
    <w:bookmarkEnd w:id="2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acceptable level of achievement, in whole or in part, as the Committee deems appropriate and equitable. Performance objectives may be adjusted for material items not originally contemplated in establishing the performance target for items resulting from discontinued operations, extraordinary gains and losses, the effect of changes in accounting standards or principles, acquisitions or divestitures, changes in tax rules or regulations, capital transactions, restructuring, nonrecurring gains or losses or unusual items. Performance measures may vary from Performance Award to Performance Award, and from Participant to Participant, and may be established on a stand-alone 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167" w:lineRule="exact"/>
        <w:rPr>
          <w:sz w:val="20"/>
          <w:szCs w:val="20"/>
          <w:color w:val="auto"/>
        </w:rPr>
      </w:pPr>
    </w:p>
    <w:p>
      <w:pPr>
        <w:ind w:right="20" w:firstLine="996"/>
        <w:spacing w:after="0" w:line="259" w:lineRule="auto"/>
        <w:tabs>
          <w:tab w:leader="none" w:pos="1236"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Settlement of Performance Awards; Other Terms. </w:t>
      </w:r>
      <w:r>
        <w:rPr>
          <w:rFonts w:ascii="Arial" w:cs="Arial" w:eastAsia="Arial" w:hAnsi="Arial"/>
          <w:sz w:val="18"/>
          <w:szCs w:val="18"/>
          <w:color w:val="auto"/>
        </w:rPr>
        <w:t>Settlement of Performance Awards shall be in cash, Shares, other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net settlement or any combination thereof, as determined in the discretion of the Committee. Performance Awards will be settled only after the end of the relevant Performance Period. The Committee may, in its discretion, increase or reduce the amount of a settlement otherwise to be made in connection with a Performance Award.</w:t>
      </w:r>
    </w:p>
    <w:p>
      <w:pPr>
        <w:spacing w:after="0" w:line="187"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Section 10</w:t>
      </w:r>
      <w:r>
        <w:rPr>
          <w:rFonts w:ascii="Arial" w:cs="Arial" w:eastAsia="Arial" w:hAnsi="Arial"/>
          <w:sz w:val="16"/>
          <w:szCs w:val="16"/>
          <w:i w:val="1"/>
          <w:iCs w:val="1"/>
          <w:color w:val="auto"/>
        </w:rPr>
        <w:t>. Other Share-Based Awards.</w:t>
      </w:r>
      <w:r>
        <w:rPr>
          <w:rFonts w:ascii="Arial" w:cs="Arial" w:eastAsia="Arial" w:hAnsi="Arial"/>
          <w:sz w:val="16"/>
          <w:szCs w:val="16"/>
          <w:color w:val="auto"/>
        </w:rPr>
        <w:t xml:space="preserve"> The Committee is authorized, subject to limitations under applicable law, to grant to Participants such other Awards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acquisition rights for Shares, Awards with value and payment contingent upon performance of the Company or business units thereof or any other factors designated by the Committee. The Committee shall determine the terms and conditions of such Awards.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w:t>
      </w:r>
      <w:r>
        <w:rPr>
          <w:rFonts w:ascii="Arial" w:cs="Arial" w:eastAsia="Arial" w:hAnsi="Arial"/>
          <w:sz w:val="18"/>
          <w:szCs w:val="18"/>
          <w:i w:val="1"/>
          <w:iCs w:val="1"/>
          <w:color w:val="auto"/>
        </w:rPr>
        <w:t>. Effect of Termination of Service or a Change in Control on Awards.</w:t>
      </w:r>
    </w:p>
    <w:p>
      <w:pPr>
        <w:spacing w:after="0" w:line="225" w:lineRule="exact"/>
        <w:rPr>
          <w:sz w:val="20"/>
          <w:szCs w:val="20"/>
          <w:color w:val="auto"/>
        </w:rPr>
      </w:pPr>
    </w:p>
    <w:p>
      <w:pPr>
        <w:ind w:firstLine="996"/>
        <w:spacing w:after="0" w:line="264" w:lineRule="auto"/>
        <w:tabs>
          <w:tab w:leader="none" w:pos="12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may provide, by rule or regulation or in any Award Document, or may determine in any individual case, the circumstances in which, and the extent to which, an Award may be exercised, settled, vested, paid or forfeited in the event of a Participant’s Termination of Service prior to the vesting, exercise or settlement of such Award or the end of a Performance Period.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4" w:name="page25"/>
    <w:bookmarkEnd w:id="24"/>
    <w:p>
      <w:pPr>
        <w:ind w:left="1260" w:hanging="264"/>
        <w:spacing w:after="0"/>
        <w:tabs>
          <w:tab w:leader="none" w:pos="1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 Change in Control, outstanding Awards shall be treated as described below.</w:t>
      </w:r>
    </w:p>
    <w:p>
      <w:pPr>
        <w:spacing w:after="0" w:line="117" w:lineRule="exact"/>
        <w:rPr>
          <w:rFonts w:ascii="Arial" w:cs="Arial" w:eastAsia="Arial" w:hAnsi="Arial"/>
          <w:sz w:val="18"/>
          <w:szCs w:val="18"/>
          <w:color w:val="auto"/>
        </w:rPr>
      </w:pPr>
    </w:p>
    <w:p>
      <w:pPr>
        <w:ind w:left="1000" w:right="20" w:firstLine="397"/>
        <w:spacing w:after="0" w:line="293" w:lineRule="auto"/>
        <w:tabs>
          <w:tab w:leader="none" w:pos="1616"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in connection with the Change in Control, any outstanding Award is continued in effect or converted into an award or right with respect to stock of the successor or surviving corporation (or a parent or subsidiary thereof) (in the case of Options and SARs awarded to a Participant to whom Section 18 applies, in a manner that complies with Sections 424 and 409A of the Code if those sections apply to the Award), then upon the occurrence of a Termination of Service of a Participant by the Company without Cause within 24 months following the Change in Control, on the date of such Termination of Service, such Award held by such Participant shall immediately vest and settle, and with respect to Options and SARs, shall become exercisable and shall remain exercisable for one year.</w:t>
      </w:r>
    </w:p>
    <w:p>
      <w:pPr>
        <w:spacing w:after="0" w:line="56" w:lineRule="exact"/>
        <w:rPr>
          <w:rFonts w:ascii="Arial" w:cs="Arial" w:eastAsia="Arial" w:hAnsi="Arial"/>
          <w:sz w:val="16"/>
          <w:szCs w:val="16"/>
          <w:color w:val="auto"/>
        </w:rPr>
      </w:pPr>
    </w:p>
    <w:p>
      <w:pPr>
        <w:ind w:left="1000" w:right="200" w:firstLine="397"/>
        <w:spacing w:after="0" w:line="308" w:lineRule="auto"/>
        <w:tabs>
          <w:tab w:leader="none" w:pos="1666" w:val="left"/>
        </w:tabs>
        <w:numPr>
          <w:ilvl w:val="1"/>
          <w:numId w:val="38"/>
        </w:numPr>
        <w:rPr>
          <w:rFonts w:ascii="Arial" w:cs="Arial" w:eastAsia="Arial" w:hAnsi="Arial"/>
          <w:sz w:val="17"/>
          <w:szCs w:val="17"/>
          <w:color w:val="auto"/>
        </w:rPr>
      </w:pPr>
      <w:r>
        <w:rPr>
          <w:rFonts w:ascii="Arial" w:cs="Arial" w:eastAsia="Arial" w:hAnsi="Arial"/>
          <w:sz w:val="17"/>
          <w:szCs w:val="17"/>
          <w:color w:val="auto"/>
        </w:rPr>
        <w:t>If outstanding Awards are not continued or converted as described in subsection (i) above, then on the Change in Control, such Awards shall immediately vest and settle and, in the case of Options and SARs, shall become fully exercisable.</w:t>
      </w:r>
    </w:p>
    <w:p>
      <w:pPr>
        <w:spacing w:after="0" w:line="14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For purposes of subsections (i) and (ii) above, no Option, SAR, Restricted Stock or RSU shall be treated as “continued or converted” on a basis consistent with the requirements of subsection (i) or (ii), as applicable, unless the stock underlying such award after such continuation or conversion consists of securities of a class that is widely held and publicly traded on a recognized United States or International securities exchange.</w:t>
      </w:r>
    </w:p>
    <w:p>
      <w:pPr>
        <w:spacing w:after="0" w:line="147" w:lineRule="exact"/>
        <w:rPr>
          <w:sz w:val="20"/>
          <w:szCs w:val="20"/>
          <w:color w:val="auto"/>
        </w:rPr>
      </w:pPr>
    </w:p>
    <w:p>
      <w:pPr>
        <w:ind w:firstLine="996"/>
        <w:spacing w:after="0" w:line="255" w:lineRule="auto"/>
        <w:tabs>
          <w:tab w:leader="none" w:pos="12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addition, in the event of a Change in Control or other Adjustment Event and to the extent permitted under applicable law and not inconsistent with the provisions of Section 11(a) above or the applicable Award Document, the Committee, in its sole discretion, and on such terms and conditions as it deems appropriate, either by the terms of the Award or by action taken prior to the occurrence of such Change in Control or other Adjustment Event, may take any one or more of the following actions whenever the Committee determines that such action is appropriate or desirable in order to prevent the dilution or enlargement of the benefits intended to be made available under the Plan or to facilitate the Change in Control transaction or other Adjustment Event:</w:t>
      </w:r>
    </w:p>
    <w:p>
      <w:pPr>
        <w:spacing w:after="0" w:line="85" w:lineRule="exact"/>
        <w:rPr>
          <w:rFonts w:ascii="Arial" w:cs="Arial" w:eastAsia="Arial" w:hAnsi="Arial"/>
          <w:sz w:val="18"/>
          <w:szCs w:val="18"/>
          <w:color w:val="auto"/>
        </w:rPr>
      </w:pPr>
    </w:p>
    <w:p>
      <w:pPr>
        <w:ind w:left="1000" w:right="40" w:firstLine="397"/>
        <w:spacing w:after="0" w:line="259" w:lineRule="auto"/>
        <w:tabs>
          <w:tab w:leader="none" w:pos="1616"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terminate or cancel any outstanding Award in exchange for a cash payment (and, for the avoidance of doubt, if as of the date of the Change in Control or other Adjustment Event, the Committee determines that no amount would have been realized upon the exercise of the Award or other realization of the Participant’s rights, then the Award may be cancelled by the Company without payment of consideration);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5" w:name="page26"/>
    <w:bookmarkEnd w:id="25"/>
    <w:p>
      <w:pPr>
        <w:ind w:left="1000" w:firstLine="397"/>
        <w:spacing w:after="0" w:line="293" w:lineRule="auto"/>
        <w:tabs>
          <w:tab w:leader="none" w:pos="1666"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provide for the assumption, substitution, replacement or continuation of any Award by the successor or surviving corporation (or a parent or subsidiary thereof) with cash, securities, rights or other property to be paid or issued, as the case may be, by the successor or surviving corporation (or a parent or subsidiary thereof), and to provide for appropriate adjustments with respect to the number and type of securities (or other consideration) of the successor or surviving corporation (or a parent or subsidiary thereof), subject to any replacement awards, the terms and conditions of the replacement awards (including, without limitation, any applicable performance targets or criteria with respect thereto) and the grant, exercise or purchase price per share for the replacement awards;</w:t>
      </w:r>
    </w:p>
    <w:p>
      <w:pPr>
        <w:spacing w:after="0" w:line="56" w:lineRule="exact"/>
        <w:rPr>
          <w:rFonts w:ascii="Arial" w:cs="Arial" w:eastAsia="Arial" w:hAnsi="Arial"/>
          <w:sz w:val="16"/>
          <w:szCs w:val="16"/>
          <w:color w:val="auto"/>
        </w:rPr>
      </w:pPr>
    </w:p>
    <w:p>
      <w:pPr>
        <w:ind w:left="1000" w:right="40" w:firstLine="397"/>
        <w:spacing w:after="0" w:line="264" w:lineRule="auto"/>
        <w:tabs>
          <w:tab w:leader="none" w:pos="17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other adjustments in the number and type of securities (or other consideration) subject to outstanding Awards and in the terms and conditions of outstanding Awards (including the grant or exercise price and performance criteria with respect thereto) and Awards that may be granted in the future;</w:t>
      </w:r>
    </w:p>
    <w:p>
      <w:pPr>
        <w:spacing w:after="0" w:line="73" w:lineRule="exact"/>
        <w:rPr>
          <w:rFonts w:ascii="Arial" w:cs="Arial" w:eastAsia="Arial" w:hAnsi="Arial"/>
          <w:sz w:val="18"/>
          <w:szCs w:val="18"/>
          <w:color w:val="auto"/>
        </w:rPr>
      </w:pPr>
    </w:p>
    <w:p>
      <w:pPr>
        <w:ind w:left="1000" w:right="320" w:firstLine="397"/>
        <w:spacing w:after="0" w:line="308" w:lineRule="auto"/>
        <w:tabs>
          <w:tab w:leader="none" w:pos="170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provide that any Award shall be accelerated and become exercisable, payable and/or fully vested with respect to all Shares covered thereby, notwithstanding anything to the contrary in the Plan or the applicable Award Document; and</w:t>
      </w:r>
    </w:p>
    <w:p>
      <w:pPr>
        <w:spacing w:after="0" w:line="38" w:lineRule="exact"/>
        <w:rPr>
          <w:rFonts w:ascii="Arial" w:cs="Arial" w:eastAsia="Arial" w:hAnsi="Arial"/>
          <w:sz w:val="17"/>
          <w:szCs w:val="17"/>
          <w:color w:val="auto"/>
        </w:rPr>
      </w:pPr>
    </w:p>
    <w:p>
      <w:pPr>
        <w:ind w:left="1660" w:hanging="263"/>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that any Award shall not vest, be exercised or become payable as a result of such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w:t>
      </w:r>
      <w:r>
        <w:rPr>
          <w:rFonts w:ascii="Arial" w:cs="Arial" w:eastAsia="Arial" w:hAnsi="Arial"/>
          <w:sz w:val="18"/>
          <w:szCs w:val="18"/>
          <w:i w:val="1"/>
          <w:iCs w:val="1"/>
          <w:color w:val="auto"/>
        </w:rPr>
        <w:t>. General Provisions Applicable to Awards.</w:t>
      </w:r>
    </w:p>
    <w:p>
      <w:pPr>
        <w:spacing w:after="0" w:line="225" w:lineRule="exact"/>
        <w:rPr>
          <w:sz w:val="20"/>
          <w:szCs w:val="20"/>
          <w:color w:val="auto"/>
        </w:rPr>
      </w:pPr>
    </w:p>
    <w:p>
      <w:pPr>
        <w:ind w:right="120" w:firstLine="996"/>
        <w:spacing w:after="0" w:line="277" w:lineRule="auto"/>
        <w:tabs>
          <w:tab w:leader="none" w:pos="1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 unless otherwise determined by the Committee.</w:t>
      </w:r>
    </w:p>
    <w:p>
      <w:pPr>
        <w:spacing w:after="0" w:line="170" w:lineRule="exact"/>
        <w:rPr>
          <w:rFonts w:ascii="Arial" w:cs="Arial" w:eastAsia="Arial" w:hAnsi="Arial"/>
          <w:sz w:val="18"/>
          <w:szCs w:val="18"/>
          <w:color w:val="auto"/>
        </w:rPr>
      </w:pPr>
    </w:p>
    <w:p>
      <w:pPr>
        <w:ind w:right="160" w:firstLine="996"/>
        <w:spacing w:after="0" w:line="259" w:lineRule="auto"/>
        <w:tabs>
          <w:tab w:leader="none" w:pos="12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6" w:lineRule="exact"/>
        <w:rPr>
          <w:rFonts w:ascii="Arial" w:cs="Arial" w:eastAsia="Arial" w:hAnsi="Arial"/>
          <w:sz w:val="18"/>
          <w:szCs w:val="18"/>
          <w:color w:val="auto"/>
        </w:rPr>
      </w:pPr>
    </w:p>
    <w:p>
      <w:pPr>
        <w:ind w:right="20" w:firstLine="996"/>
        <w:spacing w:after="0" w:line="297" w:lineRule="auto"/>
        <w:tabs>
          <w:tab w:leader="none" w:pos="1237"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the terms of the Plan and Section 18, payments or transfers to be made by the Company upon the grant, exercise or settlement of an Award may be made in the form of cash, Shares, other Awards, other property, net settlement or any combination thereof, as determined by the Committee in its discretion,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6" w:name="page27"/>
    <w:bookmarkEnd w:id="26"/>
    <w:p>
      <w:pPr>
        <w:ind w:left="-40" w:right="60" w:firstLine="996"/>
        <w:spacing w:after="0" w:line="276" w:lineRule="auto"/>
        <w:tabs>
          <w:tab w:leader="none" w:pos="1207"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may be permitted by the Committee or as specifically provided in an Award Document, (i) no Award and no right under any Award shall be assignable, alienable, saleable or transferable by a Participant otherwise than by will or pursuant to Section 12(e) and (ii) during a Participant’s lifetime, each Award, and each right under any Award, shall be exercisable only by the Participant or, if permissible under applicable law, by the Participant’s guardian or legal representative. The provisions of this Section 12(d) shall not apply to any Award that has been fully exercised or settled, as the case may be, and shall not preclude forfeiture of an Award in accordance with the terms thereof.</w:t>
      </w:r>
    </w:p>
    <w:p>
      <w:pPr>
        <w:spacing w:after="0" w:line="172" w:lineRule="exact"/>
        <w:rPr>
          <w:rFonts w:ascii="Arial" w:cs="Arial" w:eastAsia="Arial" w:hAnsi="Arial"/>
          <w:sz w:val="17"/>
          <w:szCs w:val="17"/>
          <w:color w:val="auto"/>
        </w:rPr>
      </w:pPr>
    </w:p>
    <w:p>
      <w:pPr>
        <w:ind w:left="-40" w:right="60" w:firstLine="996"/>
        <w:spacing w:after="0" w:line="277" w:lineRule="auto"/>
        <w:tabs>
          <w:tab w:leader="none" w:pos="11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Participant may designate a Beneficiary or change a previous Beneficiary designation at such times prescribed by the Committee by using forms and following procedures approved or accepted by the Committee for that purpose.</w:t>
      </w:r>
    </w:p>
    <w:p>
      <w:pPr>
        <w:spacing w:after="0" w:line="170" w:lineRule="exact"/>
        <w:rPr>
          <w:rFonts w:ascii="Arial" w:cs="Arial" w:eastAsia="Arial" w:hAnsi="Arial"/>
          <w:sz w:val="18"/>
          <w:szCs w:val="18"/>
          <w:color w:val="auto"/>
        </w:rPr>
      </w:pPr>
    </w:p>
    <w:p>
      <w:pPr>
        <w:ind w:left="-40" w:firstLine="996"/>
        <w:spacing w:after="0" w:line="257" w:lineRule="auto"/>
        <w:tabs>
          <w:tab w:leader="none" w:pos="11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certificates for Shares and/or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188" w:lineRule="exact"/>
        <w:rPr>
          <w:rFonts w:ascii="Arial" w:cs="Arial" w:eastAsia="Arial" w:hAnsi="Arial"/>
          <w:sz w:val="18"/>
          <w:szCs w:val="18"/>
          <w:color w:val="auto"/>
        </w:rPr>
      </w:pPr>
    </w:p>
    <w:p>
      <w:pPr>
        <w:ind w:left="-40" w:firstLine="996"/>
        <w:spacing w:after="0" w:line="264" w:lineRule="auto"/>
        <w:tabs>
          <w:tab w:leader="none" w:pos="1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Without limiting the generality of Section 12(h), the Committee may impose restrictions on any Award with respect to noncompetition, confidentiality and other restrictive covenants, or requirements to comply with minimum stock ownership requirements, as it deems necessary or appropriate in its sole discretion.</w:t>
      </w:r>
    </w:p>
    <w:p>
      <w:pPr>
        <w:spacing w:after="0" w:line="181" w:lineRule="exact"/>
        <w:rPr>
          <w:rFonts w:ascii="Arial" w:cs="Arial" w:eastAsia="Arial" w:hAnsi="Arial"/>
          <w:sz w:val="18"/>
          <w:szCs w:val="18"/>
          <w:color w:val="auto"/>
        </w:rPr>
      </w:pPr>
    </w:p>
    <w:p>
      <w:pPr>
        <w:ind w:left="-40" w:right="20" w:firstLine="996"/>
        <w:spacing w:after="0" w:line="254" w:lineRule="auto"/>
        <w:tabs>
          <w:tab w:leader="none" w:pos="12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Committee may specify in an Award Document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a Termination of Service with or without Cause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Document) or remain in effect, depending on the outcome), violation of material policies, breach of noncompetition, confidentiality or other restrictive covenants that may apply to the Participant, or other conduct by the Participant that is detrimental to the business or reputation of the Company and/or its Affiliates.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27" w:name="page28"/>
    <w:bookmarkEnd w:id="27"/>
    <w:p>
      <w:pPr>
        <w:ind w:right="120" w:firstLine="996"/>
        <w:spacing w:after="0" w:line="264" w:lineRule="auto"/>
        <w:tabs>
          <w:tab w:leader="none" w:pos="1207"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payments and benefits under any Award shall be subject to repayment to or recoupment (“clawback”) by the Company in accordance with such policies and procedures as the Committee or Board may adopt from time to time, including policies and procedures to implement applicable law, stock market or exchange rules and regulations or accounting or tax rules and regulations.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13</w:t>
      </w:r>
      <w:r>
        <w:rPr>
          <w:rFonts w:ascii="Arial" w:cs="Arial" w:eastAsia="Arial" w:hAnsi="Arial"/>
          <w:sz w:val="18"/>
          <w:szCs w:val="18"/>
          <w:i w:val="1"/>
          <w:iCs w:val="1"/>
          <w:color w:val="auto"/>
        </w:rPr>
        <w:t>. Amendments and Termination.</w:t>
      </w:r>
    </w:p>
    <w:p>
      <w:pPr>
        <w:spacing w:after="0" w:line="225" w:lineRule="exact"/>
        <w:rPr>
          <w:sz w:val="20"/>
          <w:szCs w:val="20"/>
          <w:color w:val="auto"/>
        </w:rPr>
      </w:pPr>
    </w:p>
    <w:p>
      <w:pPr>
        <w:ind w:right="220" w:firstLine="996"/>
        <w:spacing w:after="0" w:line="289" w:lineRule="auto"/>
        <w:tabs>
          <w:tab w:leader="none" w:pos="12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Except to the extent prohibited by applicable law and unless otherwise expressly provided in an Award Document or in the Plan, the Board may amend, alter, suspend, discontinue or terminate the Plan or any portion 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the consent of the affected Participant, if such action would materially adversely affect the rights of such Participant under any outstanding Award, except to the extent any such amendment, alteration, suspension, discontinuance or termination is made to cause the Plan to comply with applicable law, stock market or exchange rules and regulations or accounting or tax rules and regulations, or to impose any recoupment provisions on any Awards in accordance with Section 12(i). Notwithstanding anything to the contrary in the Plan, the Committee may amend the Plan in such manner as may be necessary to enable the Plan to achieve its stated purposes in any jurisdiction in a tax-efficient manner and in compliance with local laws, rules and regulations.</w:t>
      </w:r>
    </w:p>
    <w:p>
      <w:pPr>
        <w:spacing w:after="0" w:line="166" w:lineRule="exact"/>
        <w:rPr>
          <w:rFonts w:ascii="Arial" w:cs="Arial" w:eastAsia="Arial" w:hAnsi="Arial"/>
          <w:sz w:val="16"/>
          <w:szCs w:val="16"/>
          <w:color w:val="auto"/>
        </w:rPr>
      </w:pPr>
    </w:p>
    <w:p>
      <w:pPr>
        <w:ind w:firstLine="996"/>
        <w:spacing w:after="0" w:line="284" w:lineRule="auto"/>
        <w:tabs>
          <w:tab w:leader="none" w:pos="1247"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subject to Section 4(c) and Section 18, no such action shall materially adversely affect the rights of any affected Participant or holder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Beneficiary under any Award theretofore granted under the Plan, except to the extent any such action is made to cause the Plan to comply with applicable law, stock market or exchange rules and regulations or accounting or tax rules and regulations, or to impose any recoupment provisions on any Awards in accordance with Section 12(i);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as provided in Section 4(c), the Committee shall not without the approval of the Company’s shareholders (a) lower the exercise price per Share of an Option or SAR after it is granted or take any other action that would be treated as a repricing of such Award under the rules of the principal stock market or exchange on which the Company’s Shares are quoted or traded, or</w:t>
      </w:r>
    </w:p>
    <w:p>
      <w:pPr>
        <w:spacing w:after="0" w:line="1" w:lineRule="exact"/>
        <w:rPr>
          <w:rFonts w:ascii="Arial" w:cs="Arial" w:eastAsia="Arial" w:hAnsi="Arial"/>
          <w:sz w:val="16"/>
          <w:szCs w:val="16"/>
          <w:color w:val="auto"/>
        </w:rPr>
      </w:pPr>
    </w:p>
    <w:p>
      <w:pPr>
        <w:ind w:right="400" w:firstLine="4"/>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cancel an Option or SAR when the exercise price per Share exceeds the Fair Market Value in exchange for cash or another Award (other than in connection with a Change in Control).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8" w:name="page29"/>
    <w:bookmarkEnd w:id="28"/>
    <w:p>
      <w:pPr>
        <w:ind w:firstLine="996"/>
        <w:spacing w:after="0" w:line="257" w:lineRule="auto"/>
        <w:tabs>
          <w:tab w:leader="none" w:pos="1237"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in Section 9(b), the Committee shall be authorized to make adjustments in the terms and conditions of, and the criteria included in, Awards in recognition of events (including the events described in Section 4(c)) affecting the Company, or the financial statements of the Company, or of changes in applicable law, stock market or exchange rules and regulations or accounting or tax rules and regulations, whenever the Committee determines that such adjustments are appropriate in order to prevent dilution or enlargement of the benefits or potential benefits intended to be made available under the Plan.</w:t>
      </w:r>
    </w:p>
    <w:p>
      <w:pPr>
        <w:spacing w:after="0" w:line="188" w:lineRule="exact"/>
        <w:rPr>
          <w:rFonts w:ascii="Arial" w:cs="Arial" w:eastAsia="Arial" w:hAnsi="Arial"/>
          <w:sz w:val="18"/>
          <w:szCs w:val="18"/>
          <w:color w:val="auto"/>
        </w:rPr>
      </w:pPr>
    </w:p>
    <w:p>
      <w:pPr>
        <w:ind w:right="220" w:firstLine="996"/>
        <w:spacing w:after="0" w:line="277" w:lineRule="auto"/>
        <w:tabs>
          <w:tab w:leader="none" w:pos="12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170"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Prohibition on Option and SAR Repricing.</w:t>
      </w:r>
      <w:r>
        <w:rPr>
          <w:rFonts w:ascii="Arial" w:cs="Arial" w:eastAsia="Arial" w:hAnsi="Arial"/>
          <w:sz w:val="17"/>
          <w:szCs w:val="17"/>
          <w:color w:val="auto"/>
        </w:rPr>
        <w:t xml:space="preserve"> Except as provided in Section 4(c), the Committee may not, without prior approval of the Company’s shareholders, seek to effect any re-pricing of any previously granted “underwater” Option or SAR by: (i) amending or modifying the terms of the Option or SAR to lower the exercise price; (ii) cancelling the underwater Option or SAR and granting either (A) replacement Options or SARs having a lower exercise price or (B) Restricted Stock, RSU, Performance Award or Other Share-Based Award in exchange; or (iii) cancelling or repurchasing the underwater Options or SARs for cash or other securities. An Option or SAR will be deemed to be “underwater” at any time when the Fair Market Value of the Shares covered by such Award is less than the exercise price of the Award.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15</w:t>
      </w:r>
      <w:r>
        <w:rPr>
          <w:rFonts w:ascii="Arial" w:cs="Arial" w:eastAsia="Arial" w:hAnsi="Arial"/>
          <w:sz w:val="18"/>
          <w:szCs w:val="18"/>
          <w:i w:val="1"/>
          <w:iCs w:val="1"/>
          <w:color w:val="auto"/>
        </w:rPr>
        <w:t>. Miscellaneous.</w:t>
      </w:r>
    </w:p>
    <w:p>
      <w:pPr>
        <w:spacing w:after="0" w:line="225" w:lineRule="exact"/>
        <w:rPr>
          <w:sz w:val="20"/>
          <w:szCs w:val="20"/>
          <w:color w:val="auto"/>
        </w:rPr>
      </w:pPr>
    </w:p>
    <w:p>
      <w:pPr>
        <w:jc w:val="both"/>
        <w:ind w:right="140" w:firstLine="996"/>
        <w:spacing w:after="0" w:line="279" w:lineRule="auto"/>
        <w:tabs>
          <w:tab w:leader="none" w:pos="1237"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171" w:lineRule="exact"/>
        <w:rPr>
          <w:rFonts w:ascii="Arial" w:cs="Arial" w:eastAsia="Arial" w:hAnsi="Arial"/>
          <w:sz w:val="17"/>
          <w:szCs w:val="17"/>
          <w:color w:val="auto"/>
        </w:rPr>
      </w:pPr>
    </w:p>
    <w:p>
      <w:pPr>
        <w:ind w:right="40" w:firstLine="996"/>
        <w:spacing w:after="0" w:line="257" w:lineRule="auto"/>
        <w:tabs>
          <w:tab w:leader="none" w:pos="12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of, or to continue to provide services to, the Company or any Affiliate. Further, the Company or the applicable subsidiary may at any time dismiss a Participant, free from any liability, or any claim under the Plan, unless otherwise expressly provided in the Plan or in any Award Document or in any other agreement binding the parties. The receipt of any Award under the Plan is not intended to confer any rights on the receiving Participant except as set forth in the applicable Award Document.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29" w:name="page30"/>
    <w:bookmarkEnd w:id="29"/>
    <w:p>
      <w:pPr>
        <w:ind w:left="-40" w:right="480" w:firstLine="996"/>
        <w:spacing w:after="0" w:line="277" w:lineRule="auto"/>
        <w:tabs>
          <w:tab w:leader="none" w:pos="119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in the Plan shall prevent the Company from adopting or continuing in effect other or additional compensation arrangements, and such arrangements may be either generally applicable or applicable only in specific cases.</w:t>
      </w:r>
    </w:p>
    <w:p>
      <w:pPr>
        <w:spacing w:after="0" w:line="170" w:lineRule="exact"/>
        <w:rPr>
          <w:rFonts w:ascii="Arial" w:cs="Arial" w:eastAsia="Arial" w:hAnsi="Arial"/>
          <w:sz w:val="18"/>
          <w:szCs w:val="18"/>
          <w:color w:val="auto"/>
        </w:rPr>
      </w:pPr>
    </w:p>
    <w:p>
      <w:pPr>
        <w:ind w:left="-40" w:firstLine="996"/>
        <w:spacing w:after="0" w:line="273" w:lineRule="auto"/>
        <w:tabs>
          <w:tab w:leader="none" w:pos="120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shall be authorized to withhold from any Award granted or any payment due or transfer made under any Award or under the Plan or from any compensation or other amount owing to a Participant the amount (in cash, Shares, other Awards, other property, net settlement or any combination thereof) of applicable withholding taxes or par value amounts (to the extent required to be paid in cash) due in respect of an Award, its exercise or settlement or any payment or transfer under such Award or under the Plan and to take such other action (including providing for elective payment of such amounts in cash or Shares by the Participant) as may be necessary in the opinion of the Company to satisfy all obligations for the payment of such taxes or par value amounts (to the extent required to be paid in cash).</w:t>
      </w:r>
    </w:p>
    <w:p>
      <w:pPr>
        <w:spacing w:after="0" w:line="178" w:lineRule="exact"/>
        <w:rPr>
          <w:rFonts w:ascii="Arial" w:cs="Arial" w:eastAsia="Arial" w:hAnsi="Arial"/>
          <w:sz w:val="17"/>
          <w:szCs w:val="17"/>
          <w:color w:val="auto"/>
        </w:rPr>
      </w:pPr>
    </w:p>
    <w:p>
      <w:pPr>
        <w:ind w:left="-40" w:right="460" w:firstLine="996"/>
        <w:spacing w:after="0" w:line="297" w:lineRule="auto"/>
        <w:tabs>
          <w:tab w:leader="none" w:pos="119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provision of the Plan or any Award Document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Document, such provision shall be stricken as to such jurisdiction, person or Award, and the remainder of the Plan and any such Award Document shall remain in full force and effect.</w:t>
      </w:r>
    </w:p>
    <w:p>
      <w:pPr>
        <w:spacing w:after="0" w:line="158" w:lineRule="exact"/>
        <w:rPr>
          <w:rFonts w:ascii="Arial" w:cs="Arial" w:eastAsia="Arial" w:hAnsi="Arial"/>
          <w:sz w:val="16"/>
          <w:szCs w:val="16"/>
          <w:color w:val="auto"/>
        </w:rPr>
      </w:pPr>
    </w:p>
    <w:p>
      <w:pPr>
        <w:ind w:left="-40" w:right="340" w:firstLine="996"/>
        <w:spacing w:after="0" w:line="286" w:lineRule="auto"/>
        <w:tabs>
          <w:tab w:leader="none" w:pos="1177"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65" w:lineRule="exact"/>
        <w:rPr>
          <w:rFonts w:ascii="Arial" w:cs="Arial" w:eastAsia="Arial" w:hAnsi="Arial"/>
          <w:sz w:val="17"/>
          <w:szCs w:val="17"/>
          <w:color w:val="auto"/>
        </w:rPr>
      </w:pPr>
    </w:p>
    <w:p>
      <w:pPr>
        <w:jc w:val="both"/>
        <w:ind w:left="-40" w:right="140" w:firstLine="996"/>
        <w:spacing w:after="0" w:line="264" w:lineRule="auto"/>
        <w:tabs>
          <w:tab w:leader="none" w:pos="12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81" w:lineRule="exact"/>
        <w:rPr>
          <w:rFonts w:ascii="Arial" w:cs="Arial" w:eastAsia="Arial" w:hAnsi="Arial"/>
          <w:sz w:val="18"/>
          <w:szCs w:val="18"/>
          <w:color w:val="auto"/>
        </w:rPr>
      </w:pPr>
    </w:p>
    <w:p>
      <w:pPr>
        <w:ind w:left="-40" w:firstLine="996"/>
        <w:spacing w:after="0" w:line="302" w:lineRule="auto"/>
        <w:tabs>
          <w:tab w:leader="none" w:pos="12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Awards may be granted to Participants who are non-US nationals or employed outside the US, or both, on such terms and conditions different from those applicable to Awards to Participants who are employed in the US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80" w:top="274" w:right="47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w:t>
      </w:r>
      <w:r>
        <w:rPr>
          <w:rFonts w:ascii="Arial" w:cs="Arial" w:eastAsia="Arial" w:hAnsi="Arial"/>
          <w:sz w:val="18"/>
          <w:szCs w:val="18"/>
          <w:i w:val="1"/>
          <w:iCs w:val="1"/>
          <w:color w:val="auto"/>
        </w:rPr>
        <w:t>. Effective Date of the Plan.</w:t>
      </w:r>
      <w:r>
        <w:rPr>
          <w:rFonts w:ascii="Arial" w:cs="Arial" w:eastAsia="Arial" w:hAnsi="Arial"/>
          <w:sz w:val="18"/>
          <w:szCs w:val="18"/>
          <w:color w:val="auto"/>
        </w:rPr>
        <w:t xml:space="preserve"> The Plan is effective as of the Effective Date.</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Section 17</w:t>
      </w:r>
      <w:r>
        <w:rPr>
          <w:rFonts w:ascii="Arial" w:cs="Arial" w:eastAsia="Arial" w:hAnsi="Arial"/>
          <w:sz w:val="17"/>
          <w:szCs w:val="17"/>
          <w:i w:val="1"/>
          <w:iCs w:val="1"/>
          <w:color w:val="auto"/>
        </w:rPr>
        <w:t>. Term of the Plan.</w:t>
      </w:r>
      <w:r>
        <w:rPr>
          <w:rFonts w:ascii="Arial" w:cs="Arial" w:eastAsia="Arial" w:hAnsi="Arial"/>
          <w:sz w:val="17"/>
          <w:szCs w:val="17"/>
          <w:color w:val="auto"/>
        </w:rPr>
        <w:t xml:space="preserve"> No Award shall be granted under the Plan after the earliest to occur of (i) the ten-year anniversary of the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permitted by the listing rules of any stock exchanges on which the Company is listed, such ten-year term may be extended indefinitely so long as the maximum number of Shares available for issuance under the Plan have not been issued, (ii) the maximum number of Shares available for issuance under the Plan have been issued or (iii) the Board terminates the Plan in accordance with Section 13(a). However, unless otherwise expressly provided in the Plan or in an applicable Award Document,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78"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i w:val="1"/>
          <w:iCs w:val="1"/>
          <w:color w:val="auto"/>
        </w:rPr>
        <w:t>Section 409A of the Code.</w:t>
      </w:r>
      <w:r>
        <w:rPr>
          <w:rFonts w:ascii="Arial" w:cs="Arial" w:eastAsia="Arial" w:hAnsi="Arial"/>
          <w:sz w:val="17"/>
          <w:szCs w:val="17"/>
          <w:color w:val="auto"/>
        </w:rPr>
        <w:t xml:space="preserve"> With respect to Awards subject to Section 409A of the Code, the Plan is intended to comply with the requirements of Section 409A of the Code, and the provisions of the Plan and any Award Document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deemed amended so as to avoid this conflict. If an amount payable under an Award as a result of the Participant’s Termination of Service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Service, except as permitted under Section 409A of the Code. If the Award includes a “series of installment payments” (within the meaning of Section 1.409A-2(b)(2)(iii) of the Treasury Regulations), the Participant’s right to the series of installment payments shall be treated as a right to a series of separate payments and not as a right to a single payment, and if the Award includes “dividend equivalents” (within the meaning of Section 1.409A-3(e) of the Treasury Regulations), the Participant’s right to the dividend equivalents shall be treated separately from the right to other amounts under the Award. Notwithstanding the foregoing, the tax treatment of the benefits provided under the Plan or any Award Document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1" w:name="page32"/>
    <w:bookmarkEnd w:id="31"/>
    <w:p>
      <w:pPr>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19. </w:t>
      </w:r>
      <w:r>
        <w:rPr>
          <w:rFonts w:ascii="Arial" w:cs="Arial" w:eastAsia="Arial" w:hAnsi="Arial"/>
          <w:sz w:val="18"/>
          <w:szCs w:val="18"/>
          <w:i w:val="1"/>
          <w:iCs w:val="1"/>
          <w:color w:val="auto"/>
        </w:rPr>
        <w:t>Data Protection.</w:t>
      </w:r>
      <w:r>
        <w:rPr>
          <w:rFonts w:ascii="Arial" w:cs="Arial" w:eastAsia="Arial" w:hAnsi="Arial"/>
          <w:sz w:val="18"/>
          <w:szCs w:val="18"/>
          <w:color w:val="auto"/>
        </w:rPr>
        <w:t xml:space="preserve"> By participating in the Plan, the Participant consents to the holding and processing of personal information provided by the Participant to the Company or any Affiliate, trustee or third party service provider, for all purposes relating to the operation of the Plan. These include, but are not limited to:</w:t>
      </w:r>
    </w:p>
    <w:p>
      <w:pPr>
        <w:spacing w:after="0" w:line="73" w:lineRule="exact"/>
        <w:rPr>
          <w:sz w:val="20"/>
          <w:szCs w:val="20"/>
          <w:color w:val="auto"/>
        </w:rPr>
      </w:pPr>
    </w:p>
    <w:p>
      <w:pPr>
        <w:ind w:left="660" w:hanging="21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administering and maintaining Participant records;</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providing information to the Company, Affiliates, trustees of any employee benefit trust, registrars, brokers or third party administrators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(iii) providing information to future purchasers or merger partners of the Company or any Affiliate, or the business in which the Participant works;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220" w:firstLine="444"/>
        <w:spacing w:after="0" w:line="277" w:lineRule="auto"/>
        <w:tabs>
          <w:tab w:leader="none" w:pos="74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transferring information about the Participant to any country or territory that may not provide the same protection for the information as the Participant’s home country.</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Section 20</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The Plan and each Award Document shall be governed by the laws of England and Wales. The Company, its Affiliates and each Participant (by acceptance of an Award) irrevocably submit, in respect of any suit, action or proceeding related to the implementation or enforcement of the Plan, to the exclusive jurisdiction of the competent courts in England and Wales.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Definitions</w:t>
      </w:r>
      <w:r>
        <w:rPr>
          <w:rFonts w:ascii="Arial" w:cs="Arial" w:eastAsia="Arial" w:hAnsi="Arial"/>
          <w:sz w:val="18"/>
          <w:szCs w:val="18"/>
          <w:color w:val="auto"/>
        </w:rPr>
        <w:t>. As used in the Plan, the following terms shall have the meanings set forth below:</w:t>
      </w:r>
    </w:p>
    <w:p>
      <w:pPr>
        <w:spacing w:after="0" w:line="113" w:lineRule="exact"/>
        <w:rPr>
          <w:sz w:val="20"/>
          <w:szCs w:val="20"/>
          <w:color w:val="auto"/>
        </w:rPr>
      </w:pPr>
    </w:p>
    <w:p>
      <w:pPr>
        <w:ind w:left="1240" w:hanging="244"/>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ADS</w:t>
      </w:r>
      <w:r>
        <w:rPr>
          <w:rFonts w:ascii="Arial" w:cs="Arial" w:eastAsia="Arial" w:hAnsi="Arial"/>
          <w:sz w:val="18"/>
          <w:szCs w:val="18"/>
          <w:color w:val="auto"/>
        </w:rPr>
        <w:t>” means an American Depositary Share, representing five (5) Shares.</w:t>
      </w:r>
    </w:p>
    <w:p>
      <w:pPr>
        <w:spacing w:after="0" w:line="225" w:lineRule="exact"/>
        <w:rPr>
          <w:rFonts w:ascii="Arial" w:cs="Arial" w:eastAsia="Arial" w:hAnsi="Arial"/>
          <w:sz w:val="18"/>
          <w:szCs w:val="18"/>
          <w:color w:val="auto"/>
        </w:rPr>
      </w:pPr>
    </w:p>
    <w:p>
      <w:pPr>
        <w:ind w:right="40" w:firstLine="996"/>
        <w:spacing w:after="0" w:line="266" w:lineRule="auto"/>
        <w:tabs>
          <w:tab w:leader="none" w:pos="1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entity that, directly or indirectly, is controlled by the Company, (ii) any entity in which the Company, directly or indirectly, has a significant equity interest, in each case as determined by the Committee and (iii) any other entity which the Committee determines should be treated as an “Affiliate.”</w:t>
      </w:r>
    </w:p>
    <w:p>
      <w:pPr>
        <w:spacing w:after="0" w:line="176" w:lineRule="exact"/>
        <w:rPr>
          <w:rFonts w:ascii="Arial" w:cs="Arial" w:eastAsia="Arial" w:hAnsi="Arial"/>
          <w:sz w:val="18"/>
          <w:szCs w:val="18"/>
          <w:color w:val="auto"/>
        </w:rPr>
      </w:pPr>
    </w:p>
    <w:p>
      <w:pPr>
        <w:ind w:left="1240" w:hanging="244"/>
        <w:spacing w:after="0"/>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means any Option, SAR, Restricted Stock, RSU, Performance Award or Other Share-Based Award granted under the Plan.</w:t>
      </w:r>
    </w:p>
    <w:p>
      <w:pPr>
        <w:spacing w:after="0" w:line="248" w:lineRule="exact"/>
        <w:rPr>
          <w:rFonts w:ascii="Arial" w:cs="Arial" w:eastAsia="Arial" w:hAnsi="Arial"/>
          <w:sz w:val="16"/>
          <w:szCs w:val="16"/>
          <w:color w:val="auto"/>
        </w:rPr>
      </w:pPr>
    </w:p>
    <w:p>
      <w:pPr>
        <w:ind w:right="160" w:firstLine="996"/>
        <w:spacing w:after="0" w:line="282" w:lineRule="auto"/>
        <w:tabs>
          <w:tab w:leader="none" w:pos="1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Document</w:t>
      </w:r>
      <w:r>
        <w:rPr>
          <w:rFonts w:ascii="Arial" w:cs="Arial" w:eastAsia="Arial" w:hAnsi="Arial"/>
          <w:sz w:val="18"/>
          <w:szCs w:val="18"/>
          <w:color w:val="auto"/>
        </w:rPr>
        <w:t>” means any agreement, contract or other instrument or document, which may be in electronic format, evidencing any Award granted under the Plan, which may, but need not, be executed or acknowledged by a Participant.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2" w:name="page33"/>
    <w:bookmarkEnd w:id="32"/>
    <w:p>
      <w:pPr>
        <w:ind w:left="-40" w:right="180" w:firstLine="996"/>
        <w:spacing w:after="0" w:line="261" w:lineRule="auto"/>
        <w:tabs>
          <w:tab w:leader="none" w:pos="119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Beneficiary</w:t>
      </w:r>
      <w:r>
        <w:rPr>
          <w:rFonts w:ascii="Arial" w:cs="Arial" w:eastAsia="Arial" w:hAnsi="Arial"/>
          <w:sz w:val="18"/>
          <w:szCs w:val="18"/>
          <w:color w:val="auto"/>
        </w:rPr>
        <w:t>” means a person entitled to receive payments or other benefits or exercise rights that are available under the Plan in the event of the Participant’s death. If no such person is named by a Participant, or if no Beneficiary designated by the Participant is eligible to receive payments or other benefits or exercise rights that are available under the Plan at the Participant’s death, such Participant’s Beneficiary shall be such Participant’s estate.</w:t>
      </w:r>
    </w:p>
    <w:p>
      <w:pPr>
        <w:spacing w:after="0" w:line="180" w:lineRule="exact"/>
        <w:rPr>
          <w:rFonts w:ascii="Arial" w:cs="Arial" w:eastAsia="Arial" w:hAnsi="Arial"/>
          <w:sz w:val="18"/>
          <w:szCs w:val="18"/>
          <w:color w:val="auto"/>
        </w:rPr>
      </w:pPr>
    </w:p>
    <w:p>
      <w:pPr>
        <w:ind w:left="1180" w:hanging="224"/>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20" w:hanging="264"/>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except as otherwise provided in such Participant’s Award Document, such Participant’s:</w:t>
      </w:r>
    </w:p>
    <w:p>
      <w:pPr>
        <w:spacing w:after="0" w:line="121" w:lineRule="exact"/>
        <w:rPr>
          <w:rFonts w:ascii="Arial" w:cs="Arial" w:eastAsia="Arial" w:hAnsi="Arial"/>
          <w:sz w:val="18"/>
          <w:szCs w:val="18"/>
          <w:color w:val="auto"/>
        </w:rPr>
      </w:pPr>
    </w:p>
    <w:p>
      <w:pPr>
        <w:jc w:val="both"/>
        <w:ind w:left="960" w:firstLine="397"/>
        <w:spacing w:after="0" w:line="286" w:lineRule="auto"/>
        <w:tabs>
          <w:tab w:leader="none" w:pos="1576" w:val="left"/>
        </w:tabs>
        <w:numPr>
          <w:ilvl w:val="1"/>
          <w:numId w:val="52"/>
        </w:numPr>
        <w:rPr>
          <w:rFonts w:ascii="Arial" w:cs="Arial" w:eastAsia="Arial" w:hAnsi="Arial"/>
          <w:sz w:val="17"/>
          <w:szCs w:val="17"/>
          <w:color w:val="auto"/>
        </w:rPr>
      </w:pPr>
      <w:r>
        <w:rPr>
          <w:rFonts w:ascii="Arial" w:cs="Arial" w:eastAsia="Arial" w:hAnsi="Arial"/>
          <w:sz w:val="17"/>
          <w:szCs w:val="17"/>
          <w:color w:val="auto"/>
        </w:rPr>
        <w:t>indictment for any crime (A) constituting a felony, or (B) that has, or could reasonably be expected to result in, an adverse impact on the performance of a Participant’s duties to the Company or any of its subsidiaries, or otherwise has, or could reasonably be expected to result in, an adverse impact to the business or reputation of the Company or any of its subsidiaries;</w:t>
      </w:r>
    </w:p>
    <w:p>
      <w:pPr>
        <w:spacing w:after="0" w:line="57" w:lineRule="exact"/>
        <w:rPr>
          <w:rFonts w:ascii="Arial" w:cs="Arial" w:eastAsia="Arial" w:hAnsi="Arial"/>
          <w:sz w:val="17"/>
          <w:szCs w:val="17"/>
          <w:color w:val="auto"/>
        </w:rPr>
      </w:pPr>
    </w:p>
    <w:p>
      <w:pPr>
        <w:ind w:left="960" w:right="80" w:firstLine="397"/>
        <w:spacing w:after="0" w:line="312" w:lineRule="auto"/>
        <w:tabs>
          <w:tab w:leader="none" w:pos="1626" w:val="left"/>
        </w:tabs>
        <w:numPr>
          <w:ilvl w:val="1"/>
          <w:numId w:val="52"/>
        </w:numPr>
        <w:rPr>
          <w:rFonts w:ascii="Arial" w:cs="Arial" w:eastAsia="Arial" w:hAnsi="Arial"/>
          <w:sz w:val="16"/>
          <w:szCs w:val="16"/>
          <w:color w:val="auto"/>
        </w:rPr>
      </w:pPr>
      <w:r>
        <w:rPr>
          <w:rFonts w:ascii="Arial" w:cs="Arial" w:eastAsia="Arial" w:hAnsi="Arial"/>
          <w:sz w:val="16"/>
          <w:szCs w:val="16"/>
          <w:color w:val="auto"/>
        </w:rPr>
        <w:t>having been the subject of any order, judicial or administrative, obtained or issued by the Securities and Exchange Commission (or any other competent authority) for any securities violation involving fraud, including, for example, any such order consented to by the Participant in which findings of facts or any legal conclusions establishing liability are neither admitted nor denied;</w:t>
      </w:r>
    </w:p>
    <w:p>
      <w:pPr>
        <w:spacing w:after="0" w:line="38" w:lineRule="exact"/>
        <w:rPr>
          <w:rFonts w:ascii="Arial" w:cs="Arial" w:eastAsia="Arial" w:hAnsi="Arial"/>
          <w:sz w:val="16"/>
          <w:szCs w:val="16"/>
          <w:color w:val="auto"/>
        </w:rPr>
      </w:pPr>
    </w:p>
    <w:p>
      <w:pPr>
        <w:ind w:left="960" w:right="60" w:firstLine="397"/>
        <w:spacing w:after="0" w:line="277" w:lineRule="auto"/>
        <w:tabs>
          <w:tab w:leader="none" w:pos="1676"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conduct, in connection with his or her employment, which is not taken in good faith and has, or could reasonably be expected to result in, material injury to the business or reputation of the Company or any of its subsidiaries;</w:t>
      </w:r>
    </w:p>
    <w:p>
      <w:pPr>
        <w:spacing w:after="0" w:line="62" w:lineRule="exact"/>
        <w:rPr>
          <w:rFonts w:ascii="Arial" w:cs="Arial" w:eastAsia="Arial" w:hAnsi="Arial"/>
          <w:sz w:val="18"/>
          <w:szCs w:val="18"/>
          <w:color w:val="auto"/>
        </w:rPr>
      </w:pPr>
    </w:p>
    <w:p>
      <w:pPr>
        <w:ind w:left="960" w:right="140" w:firstLine="397"/>
        <w:spacing w:after="0" w:line="277" w:lineRule="auto"/>
        <w:tabs>
          <w:tab w:leader="none" w:pos="166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willful violation of the Company’s code of conduct or other material policies set forth in the manuals or statements of policy of the Company or any of its subsidiaries;</w:t>
      </w:r>
    </w:p>
    <w:p>
      <w:pPr>
        <w:spacing w:after="0" w:line="62" w:lineRule="exact"/>
        <w:rPr>
          <w:rFonts w:ascii="Arial" w:cs="Arial" w:eastAsia="Arial" w:hAnsi="Arial"/>
          <w:sz w:val="18"/>
          <w:szCs w:val="18"/>
          <w:color w:val="auto"/>
        </w:rPr>
      </w:pPr>
    </w:p>
    <w:p>
      <w:pPr>
        <w:ind w:left="960" w:firstLine="397"/>
        <w:spacing w:after="0" w:line="277" w:lineRule="auto"/>
        <w:tabs>
          <w:tab w:leader="none" w:pos="1616"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willful neglect in the performance of a Participant’s duties for the Company or any of its subsidiaries or willful or repeated failure or refusal to perform such duties;</w:t>
      </w:r>
    </w:p>
    <w:p>
      <w:pPr>
        <w:spacing w:after="0" w:line="62" w:lineRule="exact"/>
        <w:rPr>
          <w:rFonts w:ascii="Arial" w:cs="Arial" w:eastAsia="Arial" w:hAnsi="Arial"/>
          <w:sz w:val="18"/>
          <w:szCs w:val="18"/>
          <w:color w:val="auto"/>
        </w:rPr>
      </w:pPr>
    </w:p>
    <w:p>
      <w:pPr>
        <w:ind w:left="1660" w:hanging="303"/>
        <w:spacing w:after="0"/>
        <w:tabs>
          <w:tab w:leader="none" w:pos="16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material breach of any applicable employment agreement or other agreement with the Company or any of its subsidiaries; or</w:t>
      </w:r>
    </w:p>
    <w:p>
      <w:pPr>
        <w:spacing w:after="0" w:line="140" w:lineRule="exact"/>
        <w:rPr>
          <w:rFonts w:ascii="Arial" w:cs="Arial" w:eastAsia="Arial" w:hAnsi="Arial"/>
          <w:sz w:val="16"/>
          <w:szCs w:val="16"/>
          <w:color w:val="auto"/>
        </w:rPr>
      </w:pPr>
    </w:p>
    <w:p>
      <w:pPr>
        <w:ind w:left="1720" w:hanging="363"/>
        <w:spacing w:after="0"/>
        <w:tabs>
          <w:tab w:leader="none" w:pos="17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conduct, in connection with his or her employment.</w:t>
      </w:r>
    </w:p>
    <w:p>
      <w:pPr>
        <w:spacing w:after="0" w:line="117" w:lineRule="exact"/>
        <w:rPr>
          <w:sz w:val="20"/>
          <w:szCs w:val="20"/>
          <w:color w:val="auto"/>
        </w:rPr>
      </w:pPr>
    </w:p>
    <w:p>
      <w:pPr>
        <w:ind w:left="960" w:right="280"/>
        <w:spacing w:after="0" w:line="342" w:lineRule="auto"/>
        <w:rPr>
          <w:sz w:val="20"/>
          <w:szCs w:val="20"/>
          <w:color w:val="auto"/>
        </w:rPr>
      </w:pPr>
      <w:r>
        <w:rPr>
          <w:rFonts w:ascii="Arial" w:cs="Arial" w:eastAsia="Arial" w:hAnsi="Arial"/>
          <w:sz w:val="16"/>
          <w:szCs w:val="16"/>
          <w:color w:val="auto"/>
        </w:rPr>
        <w:t>The occurrence of any such event described in clauses (ii) through (v) that is susceptible to cure or remedy shall not constitute Cause if such Participant cures or remedies such event within 30 (thirty) days after the Company provides notice to such Participant.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80" w:top="270" w:right="459" w:bottom="1440" w:gutter="0" w:footer="0" w:header="0"/>
        </w:sectPr>
      </w:pPr>
    </w:p>
    <w:bookmarkStart w:id="33" w:name="page34"/>
    <w:bookmarkEnd w:id="33"/>
    <w:p>
      <w:pPr>
        <w:ind w:left="1260" w:hanging="264"/>
        <w:spacing w:after="0"/>
        <w:tabs>
          <w:tab w:leader="none" w:pos="1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the occurrence of any one or more of the following events:</w:t>
      </w:r>
    </w:p>
    <w:p>
      <w:pPr>
        <w:spacing w:after="0" w:line="121" w:lineRule="exact"/>
        <w:rPr>
          <w:rFonts w:ascii="Arial" w:cs="Arial" w:eastAsia="Arial" w:hAnsi="Arial"/>
          <w:sz w:val="18"/>
          <w:szCs w:val="18"/>
          <w:color w:val="auto"/>
        </w:rPr>
      </w:pPr>
    </w:p>
    <w:p>
      <w:pPr>
        <w:ind w:left="1000" w:right="20" w:firstLine="397"/>
        <w:spacing w:after="0" w:line="259" w:lineRule="auto"/>
        <w:tabs>
          <w:tab w:leader="none" w:pos="1616" w:val="left"/>
        </w:tabs>
        <w:numPr>
          <w:ilvl w:val="1"/>
          <w:numId w:val="53"/>
        </w:numPr>
        <w:rPr>
          <w:rFonts w:ascii="Arial" w:cs="Arial" w:eastAsia="Arial" w:hAnsi="Arial"/>
          <w:sz w:val="18"/>
          <w:szCs w:val="18"/>
          <w:color w:val="auto"/>
        </w:rPr>
      </w:pPr>
      <w:r>
        <w:rPr>
          <w:rFonts w:ascii="Arial" w:cs="Arial" w:eastAsia="Arial" w:hAnsi="Arial"/>
          <w:sz w:val="18"/>
          <w:szCs w:val="18"/>
          <w:color w:val="auto"/>
        </w:rPr>
        <w:t>a direct or indirect change in ownership or control of the Company effected through one transaction or a series of related transactions within a 12-month period, whereby any Person other than the Company, directly or indirectly acquires or maintains beneficial ownership of securities of the Company constituting more than 50% of the total combined voting power of the Company’s equity securities outstanding immediately after such acquisition;</w:t>
      </w:r>
    </w:p>
    <w:p>
      <w:pPr>
        <w:spacing w:after="0" w:line="78" w:lineRule="exact"/>
        <w:rPr>
          <w:rFonts w:ascii="Arial" w:cs="Arial" w:eastAsia="Arial" w:hAnsi="Arial"/>
          <w:sz w:val="18"/>
          <w:szCs w:val="18"/>
          <w:color w:val="auto"/>
        </w:rPr>
      </w:pPr>
    </w:p>
    <w:p>
      <w:pPr>
        <w:ind w:left="1000" w:firstLine="397"/>
        <w:spacing w:after="0" w:line="291" w:lineRule="auto"/>
        <w:tabs>
          <w:tab w:leader="none" w:pos="1666"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at any time during a period of 12 consecutive months, individuals who at the beginning of such period constituted the Board cease for any reason to constitute a majority of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new member of the Board whose election or nomination for election was approved by a vote of at least a majority of the directors then still in office who either were directors at the beginning of such period or whose election or nomination for election was so approved, shall be considered as though such individual were a member of the Board at the beginning of the period,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59" w:lineRule="exact"/>
        <w:rPr>
          <w:rFonts w:ascii="Arial" w:cs="Arial" w:eastAsia="Arial" w:hAnsi="Arial"/>
          <w:sz w:val="16"/>
          <w:szCs w:val="16"/>
          <w:color w:val="auto"/>
        </w:rPr>
      </w:pPr>
    </w:p>
    <w:p>
      <w:pPr>
        <w:ind w:left="1000" w:right="20" w:firstLine="397"/>
        <w:spacing w:after="0" w:line="297" w:lineRule="auto"/>
        <w:tabs>
          <w:tab w:leader="none" w:pos="1716"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or any of its subsidiaries with any other corporation or entity, other than a merger or consolidation which would result in the voting securities of the Company outstanding immediately prior to such merger or consolidation continuing to represent (either by remaining outstanding or being converted into voting securities of the surviving entity or, if applicable, the ultimate parent thereof) at least 50% of the combined voting power and total fair market value of the securities of the Company or such surviving entity or parent outstanding immediately after such merger or consolidation; or</w:t>
      </w:r>
    </w:p>
    <w:p>
      <w:pPr>
        <w:spacing w:after="0" w:line="50" w:lineRule="exact"/>
        <w:rPr>
          <w:rFonts w:ascii="Arial" w:cs="Arial" w:eastAsia="Arial" w:hAnsi="Arial"/>
          <w:sz w:val="16"/>
          <w:szCs w:val="16"/>
          <w:color w:val="auto"/>
        </w:rPr>
      </w:pPr>
    </w:p>
    <w:p>
      <w:pPr>
        <w:ind w:left="1000" w:right="180" w:firstLine="397"/>
        <w:spacing w:after="0" w:line="264" w:lineRule="auto"/>
        <w:tabs>
          <w:tab w:leader="none" w:pos="170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consummation of any sale, lease, exchange or other transfer to any Person (other than an Affiliate of the Company), in one transaction or a series of related transactions within a 12-month period, of all or substantially all of the assets of the Company and its subsidiaries.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Notwithstanding the foregoing or any provision of any Award Document to the contrary, for any Award to which Section 18 applies that provides for accelerated distribution on a Change in Control of amounts that constitute “deferred compensation” (as defined in Section 409A of the Code), if the event that constitutes such Change in Control does not also constitute a change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34" w:name="page35"/>
    <w:bookmarkEnd w:id="34"/>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or effective control of the Company, or in the ownership of a substantial portion of the Company’s assets (in either case, as defined in Section 409A of the Code), such amount shall not be distributed on such Change in Control but instead shall vest as of the date of such Change in Control and shall be paid on the scheduled payment date specified in the applicable Award Document, except to the extent that earlier distribution would not result in the Participant who holds such Award incurring any additional tax, penalty, interest or other expense under Section 409A of the Code.</w:t>
      </w:r>
    </w:p>
    <w:p>
      <w:pPr>
        <w:spacing w:after="0" w:line="150" w:lineRule="exact"/>
        <w:rPr>
          <w:sz w:val="20"/>
          <w:szCs w:val="20"/>
          <w:color w:val="auto"/>
        </w:rPr>
      </w:pPr>
    </w:p>
    <w:p>
      <w:pPr>
        <w:ind w:firstLine="996"/>
        <w:spacing w:after="0" w:line="282" w:lineRule="auto"/>
        <w:tabs>
          <w:tab w:leader="none" w:pos="12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from time to time, and the rules, regulations and guidance thereunder. Any reference to a provision in the Code shall include any successor provision thereto.</w:t>
      </w:r>
    </w:p>
    <w:p>
      <w:pPr>
        <w:spacing w:after="0" w:line="161" w:lineRule="exact"/>
        <w:rPr>
          <w:rFonts w:ascii="Arial" w:cs="Arial" w:eastAsia="Arial" w:hAnsi="Arial"/>
          <w:sz w:val="18"/>
          <w:szCs w:val="18"/>
          <w:color w:val="auto"/>
        </w:rPr>
      </w:pPr>
    </w:p>
    <w:p>
      <w:pPr>
        <w:ind w:right="340" w:firstLine="996"/>
        <w:spacing w:after="0" w:line="282" w:lineRule="auto"/>
        <w:tabs>
          <w:tab w:leader="none" w:pos="12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Remuneration Committee of the Board or such other committee as may be designated by the Board. If the Board does not designate the Committee, references herein to the “Committee” shall refer to the Board.</w:t>
      </w:r>
    </w:p>
    <w:p>
      <w:pPr>
        <w:spacing w:after="0" w:line="161" w:lineRule="exact"/>
        <w:rPr>
          <w:rFonts w:ascii="Arial" w:cs="Arial" w:eastAsia="Arial" w:hAnsi="Arial"/>
          <w:sz w:val="18"/>
          <w:szCs w:val="18"/>
          <w:color w:val="auto"/>
        </w:rPr>
      </w:pPr>
    </w:p>
    <w:p>
      <w:pPr>
        <w:ind w:right="280" w:firstLine="996"/>
        <w:spacing w:after="0" w:line="313" w:lineRule="auto"/>
        <w:tabs>
          <w:tab w:leader="none" w:pos="12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total and permanent disability as determined by the Committee in its discretion in accordance with uniform and non-discriminatory standards adopted by the Committee from time to time, or such other definition as is required under applicable law.</w:t>
      </w:r>
    </w:p>
    <w:p>
      <w:pPr>
        <w:spacing w:after="0" w:line="138" w:lineRule="exact"/>
        <w:rPr>
          <w:rFonts w:ascii="Arial" w:cs="Arial" w:eastAsia="Arial" w:hAnsi="Arial"/>
          <w:sz w:val="17"/>
          <w:szCs w:val="17"/>
          <w:color w:val="auto"/>
        </w:rPr>
      </w:pPr>
    </w:p>
    <w:p>
      <w:pPr>
        <w:ind w:left="1220" w:hanging="224"/>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April 4, 2019.</w:t>
      </w:r>
    </w:p>
    <w:p>
      <w:pPr>
        <w:spacing w:after="0" w:line="225" w:lineRule="exact"/>
        <w:rPr>
          <w:rFonts w:ascii="Arial" w:cs="Arial" w:eastAsia="Arial" w:hAnsi="Arial"/>
          <w:sz w:val="18"/>
          <w:szCs w:val="18"/>
          <w:color w:val="auto"/>
        </w:rPr>
      </w:pPr>
    </w:p>
    <w:p>
      <w:pPr>
        <w:ind w:right="140" w:firstLine="996"/>
        <w:spacing w:after="0" w:line="313" w:lineRule="auto"/>
        <w:tabs>
          <w:tab w:leader="none" w:pos="1297"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United States Securities Exchange Act of 1934, as amended from time to time, and the rules, regulations and guidance thereunder. Any reference to a provision in the Exchange Act shall include any successor provision thereto.</w:t>
      </w:r>
    </w:p>
    <w:p>
      <w:pPr>
        <w:spacing w:after="0" w:line="138" w:lineRule="exact"/>
        <w:rPr>
          <w:rFonts w:ascii="Arial" w:cs="Arial" w:eastAsia="Arial" w:hAnsi="Arial"/>
          <w:sz w:val="17"/>
          <w:szCs w:val="17"/>
          <w:color w:val="auto"/>
        </w:rPr>
      </w:pPr>
    </w:p>
    <w:p>
      <w:pPr>
        <w:ind w:right="60" w:firstLine="996"/>
        <w:spacing w:after="0" w:line="277" w:lineRule="auto"/>
        <w:tabs>
          <w:tab w:leader="none" w:pos="12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Fair Market Value</w:t>
      </w:r>
      <w:r>
        <w:rPr>
          <w:rFonts w:ascii="Arial" w:cs="Arial" w:eastAsia="Arial" w:hAnsi="Arial"/>
          <w:sz w:val="17"/>
          <w:szCs w:val="17"/>
          <w:color w:val="auto"/>
        </w:rPr>
        <w:t>” on a date means (i) with respect to a Share or ADS, as applicable, the closing price of a Share or ADS, as applicable, on the last preceding date on which there was a reported sale on the principal stock market or exchange on which the Shares or ADSs, as applicable, are quoted or traded, or if Shares or ADSs, as applicable, are not so quoted or traded, the fair market value of a Share or ADS, as applicable, as determined by the Committee, and (ii) with respect to any property other than Shares or ADSs, the fair market value of such property determined by such methods or procedures as shall be established from time to time by the Committee.</w:t>
      </w:r>
    </w:p>
    <w:p>
      <w:pPr>
        <w:spacing w:after="0" w:line="168" w:lineRule="exact"/>
        <w:rPr>
          <w:rFonts w:ascii="Arial" w:cs="Arial" w:eastAsia="Arial" w:hAnsi="Arial"/>
          <w:sz w:val="17"/>
          <w:szCs w:val="17"/>
          <w:color w:val="auto"/>
        </w:rPr>
      </w:pPr>
    </w:p>
    <w:p>
      <w:pPr>
        <w:ind w:left="1260" w:hanging="264"/>
        <w:spacing w:after="0"/>
        <w:tabs>
          <w:tab w:leader="none" w:pos="1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option representing the right to acquire Shares from the Company, granted in accordance with the provisions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w:t>
      </w:r>
    </w:p>
    <w:p>
      <w:pPr>
        <w:spacing w:after="0" w:line="206" w:lineRule="exact"/>
        <w:rPr>
          <w:rFonts w:ascii="Arial" w:cs="Arial" w:eastAsia="Arial" w:hAnsi="Arial"/>
          <w:sz w:val="16"/>
          <w:szCs w:val="16"/>
          <w:color w:val="auto"/>
        </w:rPr>
      </w:pPr>
    </w:p>
    <w:p>
      <w:pPr>
        <w:ind w:left="1260" w:hanging="264"/>
        <w:spacing w:after="0"/>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Share-Based Award</w:t>
      </w:r>
      <w:r>
        <w:rPr>
          <w:rFonts w:ascii="Arial" w:cs="Arial" w:eastAsia="Arial" w:hAnsi="Arial"/>
          <w:sz w:val="18"/>
          <w:szCs w:val="18"/>
          <w:color w:val="auto"/>
        </w:rPr>
        <w:t>” means an Award granted in accordance with the provisions of Section 10.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5" w:name="page36"/>
    <w:bookmarkEnd w:id="35"/>
    <w:p>
      <w:pPr>
        <w:ind w:left="1220" w:hanging="26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Participant</w:t>
      </w:r>
      <w:r>
        <w:rPr>
          <w:rFonts w:ascii="Arial" w:cs="Arial" w:eastAsia="Arial" w:hAnsi="Arial"/>
          <w:sz w:val="18"/>
          <w:szCs w:val="18"/>
          <w:color w:val="auto"/>
        </w:rPr>
        <w:t>” means the recipient of an Award granted under the Plan.</w:t>
      </w:r>
    </w:p>
    <w:p>
      <w:pPr>
        <w:spacing w:after="0" w:line="225" w:lineRule="exact"/>
        <w:rPr>
          <w:rFonts w:ascii="Arial" w:cs="Arial" w:eastAsia="Arial" w:hAnsi="Arial"/>
          <w:sz w:val="18"/>
          <w:szCs w:val="18"/>
          <w:color w:val="auto"/>
        </w:rPr>
      </w:pPr>
    </w:p>
    <w:p>
      <w:pPr>
        <w:ind w:left="1180" w:hanging="224"/>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granted in accordance with the provisions of Section 9.</w:t>
      </w:r>
    </w:p>
    <w:p>
      <w:pPr>
        <w:spacing w:after="0" w:line="225" w:lineRule="exact"/>
        <w:rPr>
          <w:rFonts w:ascii="Arial" w:cs="Arial" w:eastAsia="Arial" w:hAnsi="Arial"/>
          <w:sz w:val="18"/>
          <w:szCs w:val="18"/>
          <w:color w:val="auto"/>
        </w:rPr>
      </w:pPr>
    </w:p>
    <w:p>
      <w:pPr>
        <w:ind w:left="-40" w:right="200" w:firstLine="996"/>
        <w:spacing w:after="0" w:line="282" w:lineRule="auto"/>
        <w:tabs>
          <w:tab w:leader="none" w:pos="11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established by the Committee at the time any Performance Award is granted or at any time thereafter during which any performance goals specified by the Committee with respect to such Award are measured.</w:t>
      </w:r>
    </w:p>
    <w:p>
      <w:pPr>
        <w:spacing w:after="0" w:line="161" w:lineRule="exact"/>
        <w:rPr>
          <w:rFonts w:ascii="Arial" w:cs="Arial" w:eastAsia="Arial" w:hAnsi="Arial"/>
          <w:sz w:val="18"/>
          <w:szCs w:val="18"/>
          <w:color w:val="auto"/>
        </w:rPr>
      </w:pPr>
    </w:p>
    <w:p>
      <w:pPr>
        <w:ind w:left="-40" w:firstLine="996"/>
        <w:spacing w:after="0" w:line="282" w:lineRule="auto"/>
        <w:tabs>
          <w:tab w:leader="none" w:pos="116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 natural person or a partnership, company, association, cooperative, mutual insurance society, foundation or any other body which operates externally as an independent unit or organisation.</w:t>
      </w:r>
    </w:p>
    <w:p>
      <w:pPr>
        <w:spacing w:after="0" w:line="161" w:lineRule="exact"/>
        <w:rPr>
          <w:rFonts w:ascii="Arial" w:cs="Arial" w:eastAsia="Arial" w:hAnsi="Arial"/>
          <w:sz w:val="18"/>
          <w:szCs w:val="18"/>
          <w:color w:val="auto"/>
        </w:rPr>
      </w:pPr>
    </w:p>
    <w:p>
      <w:pPr>
        <w:ind w:left="-40" w:right="20" w:firstLine="996"/>
        <w:spacing w:after="0" w:line="282" w:lineRule="auto"/>
        <w:tabs>
          <w:tab w:leader="none" w:pos="12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Award</w:t>
      </w:r>
      <w:r>
        <w:rPr>
          <w:rFonts w:ascii="Arial" w:cs="Arial" w:eastAsia="Arial" w:hAnsi="Arial"/>
          <w:sz w:val="18"/>
          <w:szCs w:val="18"/>
          <w:color w:val="auto"/>
        </w:rPr>
        <w:t>” means an Award granted in assumption of, or in substitution for, an outstanding award previously granted by a company or business acquired by the Company or with which the Company, directly or indirectly, combines.</w:t>
      </w:r>
    </w:p>
    <w:p>
      <w:pPr>
        <w:spacing w:after="0" w:line="161" w:lineRule="exact"/>
        <w:rPr>
          <w:rFonts w:ascii="Arial" w:cs="Arial" w:eastAsia="Arial" w:hAnsi="Arial"/>
          <w:sz w:val="18"/>
          <w:szCs w:val="18"/>
          <w:color w:val="auto"/>
        </w:rPr>
      </w:pPr>
    </w:p>
    <w:p>
      <w:pPr>
        <w:ind w:left="1220" w:hanging="26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any Share granted in accordance with the relevant provisions of Section 8.</w:t>
      </w:r>
    </w:p>
    <w:p>
      <w:pPr>
        <w:spacing w:after="0" w:line="225" w:lineRule="exact"/>
        <w:rPr>
          <w:rFonts w:ascii="Arial" w:cs="Arial" w:eastAsia="Arial" w:hAnsi="Arial"/>
          <w:sz w:val="18"/>
          <w:szCs w:val="18"/>
          <w:color w:val="auto"/>
        </w:rPr>
      </w:pPr>
    </w:p>
    <w:p>
      <w:pPr>
        <w:ind w:left="-40" w:right="100" w:firstLine="996"/>
        <w:spacing w:after="0" w:line="313" w:lineRule="auto"/>
        <w:tabs>
          <w:tab w:leader="none" w:pos="1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RSU</w:t>
      </w:r>
      <w:r>
        <w:rPr>
          <w:rFonts w:ascii="Arial" w:cs="Arial" w:eastAsia="Arial" w:hAnsi="Arial"/>
          <w:sz w:val="17"/>
          <w:szCs w:val="17"/>
          <w:color w:val="auto"/>
        </w:rPr>
        <w:t>” means a contractual right granted in accordance with the relevant provisions of Section 8 that is denominated in Shares. Each RSU represents a right to receive the value of one Share. Awards of RSUs may include the right to receive dividend equivalents.</w:t>
      </w:r>
    </w:p>
    <w:p>
      <w:pPr>
        <w:spacing w:after="0" w:line="138" w:lineRule="exact"/>
        <w:rPr>
          <w:rFonts w:ascii="Arial" w:cs="Arial" w:eastAsia="Arial" w:hAnsi="Arial"/>
          <w:sz w:val="17"/>
          <w:szCs w:val="17"/>
          <w:color w:val="auto"/>
        </w:rPr>
      </w:pPr>
    </w:p>
    <w:p>
      <w:pPr>
        <w:ind w:left="-40" w:firstLine="996"/>
        <w:spacing w:after="0" w:line="266" w:lineRule="auto"/>
        <w:tabs>
          <w:tab w:leader="none" w:pos="12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SAR</w:t>
      </w:r>
      <w:r>
        <w:rPr>
          <w:rFonts w:ascii="Arial" w:cs="Arial" w:eastAsia="Arial" w:hAnsi="Arial"/>
          <w:sz w:val="18"/>
          <w:szCs w:val="18"/>
          <w:color w:val="auto"/>
        </w:rPr>
        <w:t>” means any right granted in accordance with the provisions of Section 7 to receive upon exercise by a Participant or settlement the excess of (i) the Fair Market Value of one Share on the date of exercise or settlement over (ii) the exercise price of the right on the date of grant, or if granted in connection with an Option, on the date of grant of the Option.</w:t>
      </w:r>
    </w:p>
    <w:p>
      <w:pPr>
        <w:spacing w:after="0" w:line="176" w:lineRule="exact"/>
        <w:rPr>
          <w:rFonts w:ascii="Arial" w:cs="Arial" w:eastAsia="Arial" w:hAnsi="Arial"/>
          <w:sz w:val="18"/>
          <w:szCs w:val="18"/>
          <w:color w:val="auto"/>
        </w:rPr>
      </w:pPr>
    </w:p>
    <w:p>
      <w:pPr>
        <w:ind w:left="1220" w:hanging="26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an ordinary share, £0.003 par value, of the Company.</w:t>
      </w:r>
    </w:p>
    <w:p>
      <w:pPr>
        <w:spacing w:after="0" w:line="225" w:lineRule="exact"/>
        <w:rPr>
          <w:rFonts w:ascii="Arial" w:cs="Arial" w:eastAsia="Arial" w:hAnsi="Arial"/>
          <w:sz w:val="18"/>
          <w:szCs w:val="18"/>
          <w:color w:val="auto"/>
        </w:rPr>
      </w:pPr>
    </w:p>
    <w:p>
      <w:pPr>
        <w:ind w:left="-40" w:right="100" w:firstLine="996"/>
        <w:spacing w:after="0" w:line="255" w:lineRule="auto"/>
        <w:tabs>
          <w:tab w:leader="none" w:pos="11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Service</w:t>
      </w:r>
      <w:r>
        <w:rPr>
          <w:rFonts w:ascii="Arial" w:cs="Arial" w:eastAsia="Arial" w:hAnsi="Arial"/>
          <w:sz w:val="18"/>
          <w:szCs w:val="18"/>
          <w:color w:val="auto"/>
        </w:rPr>
        <w:t xml:space="preserve">” means a cessation of the employment relationship such that the Participant is no longer an employee of the Company or one of its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transfer of employment from the Company to a subsidiary, from a subsidiary to the Company or from one subsidiary to another subsidiary shall not be deemed a cessation of service that would constitute a Termination of Service;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a Termination of Service will be deemed to occur for a Participant employed by a subsidiary when a subsidiary ceases to be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subsidiary, unless such Participant’s employment continues with the Company or another subsidiary;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for these purposes, a Participant who holds an office with the Company or one of its subsidiaries shall be deemed to be an employee of that Company whether or not he or she is otherwise such an employee.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80" w:top="270" w:right="4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NON-EMPLOYEE EQUITY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“NON-EMPLOYEE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February 13, 2020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Introduction</w:t>
      </w:r>
      <w:r>
        <w:rPr>
          <w:rFonts w:ascii="Arial" w:cs="Arial" w:eastAsia="Arial" w:hAnsi="Arial"/>
          <w:sz w:val="18"/>
          <w:szCs w:val="18"/>
          <w:color w:val="auto"/>
        </w:rPr>
        <w:t>.</w:t>
      </w:r>
    </w:p>
    <w:p>
      <w:pPr>
        <w:spacing w:after="0" w:line="221" w:lineRule="exact"/>
        <w:rPr>
          <w:sz w:val="20"/>
          <w:szCs w:val="20"/>
          <w:color w:val="auto"/>
        </w:rPr>
      </w:pPr>
    </w:p>
    <w:p>
      <w:pPr>
        <w:ind w:right="180" w:firstLine="996"/>
        <w:spacing w:after="0" w:line="266" w:lineRule="auto"/>
        <w:tabs>
          <w:tab w:leader="none" w:pos="123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Non-Employee Plan is a sub-plan of the Mereo BioPharma Group plc 2019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and permits the grant of Awards to officers of the Company or any subsidiary of the Company who are not employees (as at the time of the relevant grant) of any such company.</w:t>
      </w:r>
    </w:p>
    <w:p>
      <w:pPr>
        <w:spacing w:after="0" w:line="180" w:lineRule="exact"/>
        <w:rPr>
          <w:rFonts w:ascii="Arial" w:cs="Arial" w:eastAsia="Arial" w:hAnsi="Arial"/>
          <w:sz w:val="18"/>
          <w:szCs w:val="18"/>
          <w:color w:val="auto"/>
        </w:rPr>
      </w:pPr>
    </w:p>
    <w:p>
      <w:pPr>
        <w:ind w:right="80" w:firstLine="996"/>
        <w:spacing w:after="0" w:line="277" w:lineRule="auto"/>
        <w:tabs>
          <w:tab w:leader="none" w:pos="12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the avoidance of doubt, the Non-Employee Plan (i) shall not prejudice the status of the Plan as an employees’ share scheme within the meaning of section 1166 of the UK Companies Act 2006 and (ii) operates separately from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Definitions and Interpretation</w:t>
      </w:r>
    </w:p>
    <w:p>
      <w:pPr>
        <w:spacing w:after="0" w:line="225" w:lineRule="exact"/>
        <w:rPr>
          <w:sz w:val="20"/>
          <w:szCs w:val="20"/>
          <w:color w:val="auto"/>
        </w:rPr>
      </w:pPr>
    </w:p>
    <w:p>
      <w:pPr>
        <w:ind w:right="60" w:firstLine="996"/>
        <w:spacing w:after="0" w:line="277" w:lineRule="auto"/>
        <w:tabs>
          <w:tab w:leader="none" w:pos="12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Non-Employee Plan, words and expressions used in the Plan shall, unless otherwise specified below, apply in relation to Awards granted under the Non-Employee Plan.</w:t>
      </w:r>
    </w:p>
    <w:p>
      <w:pPr>
        <w:spacing w:after="0" w:line="170" w:lineRule="exact"/>
        <w:rPr>
          <w:rFonts w:ascii="Arial" w:cs="Arial" w:eastAsia="Arial" w:hAnsi="Arial"/>
          <w:sz w:val="18"/>
          <w:szCs w:val="18"/>
          <w:color w:val="auto"/>
        </w:rPr>
      </w:pPr>
    </w:p>
    <w:p>
      <w:pPr>
        <w:ind w:left="1260" w:hanging="264"/>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Save as modified in the Non-Employee Plan, all the provisions of the Plan relevant to Awards shall be incorporated into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Non-Employee Plan as if fully set out herein so as to be part of the Non-Employee Plan.</w:t>
      </w:r>
    </w:p>
    <w:p>
      <w:pPr>
        <w:spacing w:after="0" w:line="211" w:lineRule="exact"/>
        <w:rPr>
          <w:sz w:val="20"/>
          <w:szCs w:val="20"/>
          <w:color w:val="auto"/>
        </w:rPr>
      </w:pPr>
    </w:p>
    <w:p>
      <w:pPr>
        <w:ind w:left="1240" w:hanging="244"/>
        <w:spacing w:after="0"/>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These rules of the Non-Employee Plan take precedence if there is any inconsistency between them and the rules of the Plan.</w:t>
      </w:r>
    </w:p>
    <w:p>
      <w:pPr>
        <w:spacing w:after="0" w:line="232" w:lineRule="exact"/>
        <w:rPr>
          <w:rFonts w:ascii="Arial" w:cs="Arial" w:eastAsia="Arial" w:hAnsi="Arial"/>
          <w:sz w:val="17"/>
          <w:szCs w:val="17"/>
          <w:color w:val="auto"/>
        </w:rPr>
      </w:pPr>
    </w:p>
    <w:p>
      <w:pPr>
        <w:ind w:right="40" w:firstLine="996"/>
        <w:spacing w:after="0" w:line="281" w:lineRule="auto"/>
        <w:tabs>
          <w:tab w:leader="none" w:pos="12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these rules of the Non-Employee Plan, “</w:t>
      </w:r>
      <w:r>
        <w:rPr>
          <w:rFonts w:ascii="Arial" w:cs="Arial" w:eastAsia="Arial" w:hAnsi="Arial"/>
          <w:sz w:val="17"/>
          <w:szCs w:val="17"/>
          <w:b w:val="1"/>
          <w:bCs w:val="1"/>
          <w:color w:val="auto"/>
        </w:rPr>
        <w:t>Termination of Service</w:t>
      </w:r>
      <w:r>
        <w:rPr>
          <w:rFonts w:ascii="Arial" w:cs="Arial" w:eastAsia="Arial" w:hAnsi="Arial"/>
          <w:sz w:val="17"/>
          <w:szCs w:val="17"/>
          <w:color w:val="auto"/>
        </w:rPr>
        <w:t>” means the Participant ceasing to be an officeholder or employee of the Company or one of its subsidiaries such that they are no longer an officeholder or employee of any such company; provided that, for avoidance of doubt, a Termination of Service will be deemed to occur if a subsidiary of which the Participant is an officeholder or employee ceases to be a subsidiary, unless they remain an officeholder or employee of the Company or another subsidiary.</w:t>
      </w:r>
    </w:p>
    <w:p>
      <w:pPr>
        <w:spacing w:after="0" w:line="164" w:lineRule="exact"/>
        <w:rPr>
          <w:rFonts w:ascii="Arial" w:cs="Arial" w:eastAsia="Arial" w:hAnsi="Arial"/>
          <w:sz w:val="17"/>
          <w:szCs w:val="17"/>
          <w:color w:val="auto"/>
        </w:rPr>
      </w:pPr>
    </w:p>
    <w:p>
      <w:pPr>
        <w:ind w:right="480" w:firstLine="996"/>
        <w:spacing w:after="0" w:line="282" w:lineRule="auto"/>
        <w:tabs>
          <w:tab w:leader="none" w:pos="12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these rules of the Non-Employee Plan, whenever the terms “</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employment</w:t>
      </w:r>
      <w:r>
        <w:rPr>
          <w:rFonts w:ascii="Arial" w:cs="Arial" w:eastAsia="Arial" w:hAnsi="Arial"/>
          <w:sz w:val="18"/>
          <w:szCs w:val="18"/>
          <w:color w:val="auto"/>
        </w:rPr>
        <w:t>” are otherwise used in the context of matters following the grant of an Award, they shall be construed in the context of that person being an officeholder.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
    <w:nsid w:val="737B8DDC"/>
    <w:multiLevelType w:val="hybridMultilevel"/>
    <w:lvl w:ilvl="0">
      <w:lvlJc w:val="left"/>
      <w:lvlText w:val="(%1)"/>
      <w:numFmt w:val="lowerRoman"/>
      <w:start w:val="2"/>
    </w:lvl>
  </w:abstractNum>
  <w:abstractNum w:abstractNumId="5">
    <w:nsid w:val="6CEAF087"/>
    <w:multiLevelType w:val="hybridMultilevel"/>
    <w:lvl w:ilvl="0">
      <w:lvlJc w:val="left"/>
      <w:lvlText w:val="%1"/>
      <w:numFmt w:val="lowerLetter"/>
      <w:start w:val="1"/>
    </w:lvl>
    <w:lvl w:ilvl="1">
      <w:lvlJc w:val="left"/>
      <w:lvlText w:val="(%2)"/>
      <w:numFmt w:val="decimal"/>
      <w:start w:val="2"/>
    </w:lvl>
  </w:abstractNum>
  <w:abstractNum w:abstractNumId="6">
    <w:nsid w:val="22221A70"/>
    <w:multiLevelType w:val="hybridMultilevel"/>
    <w:lvl w:ilvl="0">
      <w:lvlJc w:val="left"/>
      <w:lvlText w:val="(%1)"/>
      <w:numFmt w:val="lowerLetter"/>
      <w:start w:val="2"/>
    </w:lvl>
    <w:lvl w:ilvl="1">
      <w:lvlJc w:val="left"/>
      <w:lvlText w:val="%2"/>
      <w:numFmt w:val="decimal"/>
      <w:start w:val="1"/>
    </w:lvl>
  </w:abstractNum>
  <w:abstractNum w:abstractNumId="7">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3006C83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
    <w:nsid w:val="614FD4A1"/>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0">
    <w:nsid w:val="419AC241"/>
    <w:multiLevelType w:val="hybridMultilevel"/>
    <w:lvl w:ilvl="0">
      <w:lvlJc w:val="left"/>
      <w:lvlText w:val="(%1)"/>
      <w:numFmt w:val="lowerRoman"/>
      <w:start w:val="2"/>
    </w:lvl>
  </w:abstractNum>
  <w:abstractNum w:abstractNumId="11">
    <w:nsid w:val="5577F8E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
    <w:nsid w:val="440BADF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5072367"/>
    <w:multiLevelType w:val="hybridMultilevel"/>
    <w:lvl w:ilvl="0">
      <w:lvlJc w:val="left"/>
      <w:lvlText w:val="(%1)"/>
      <w:numFmt w:val="lowerRoman"/>
      <w:start w:val="5"/>
    </w:lvl>
  </w:abstractNum>
  <w:abstractNum w:abstractNumId="14">
    <w:nsid w:val="3804823E"/>
    <w:multiLevelType w:val="hybridMultilevel"/>
    <w:lvl w:ilvl="0">
      <w:lvlJc w:val="left"/>
      <w:lvlText w:val="(%1)"/>
      <w:numFmt w:val="lowerRoman"/>
      <w:start w:val="14"/>
    </w:lvl>
  </w:abstractNum>
  <w:abstractNum w:abstractNumId="15">
    <w:nsid w:val="77465F01"/>
    <w:multiLevelType w:val="hybridMultilevel"/>
    <w:lvl w:ilvl="0">
      <w:lvlJc w:val="left"/>
      <w:lvlText w:val="(%1)"/>
      <w:numFmt w:val="lowerLetter"/>
      <w:start w:val="2"/>
    </w:lvl>
  </w:abstractNum>
  <w:abstractNum w:abstractNumId="16">
    <w:nsid w:val="7724C67E"/>
    <w:multiLevelType w:val="hybridMultilevel"/>
    <w:lvl w:ilvl="0">
      <w:lvlJc w:val="left"/>
      <w:lvlText w:val="(%1)"/>
      <w:numFmt w:val="lowerRoman"/>
      <w:start w:val="1"/>
    </w:lvl>
    <w:lvl w:ilvl="1">
      <w:lvlJc w:val="left"/>
      <w:lvlText w:val="(%2)"/>
      <w:numFmt w:val="lowerRoman"/>
      <w:start w:val="2"/>
    </w:lvl>
  </w:abstractNum>
  <w:abstractNum w:abstractNumId="1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
    <w:nsid w:val="2463B9E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5E884ADC"/>
    <w:multiLevelType w:val="hybridMultilevel"/>
    <w:lvl w:ilvl="0">
      <w:lvlJc w:val="left"/>
      <w:lvlText w:val="(%1)"/>
      <w:numFmt w:val="lowerLetter"/>
      <w:start w:val="4"/>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Roman"/>
      <w:start w:val="1"/>
    </w:lvl>
    <w:lvl w:ilvl="1">
      <w:lvlJc w:val="left"/>
      <w:lvlText w:val="(%2)"/>
      <w:numFmt w:val="lowerLetter"/>
      <w:start w:val="1"/>
    </w:lvl>
  </w:abstractNum>
  <w:abstractNum w:abstractNumId="22">
    <w:nsid w:val="580BD78F"/>
    <w:multiLevelType w:val="hybridMultilevel"/>
    <w:lvl w:ilvl="0">
      <w:lvlJc w:val="left"/>
      <w:lvlText w:val="(%1)"/>
      <w:numFmt w:val="lowerRoman"/>
      <w:start w:val="4"/>
    </w:lvl>
    <w:lvl w:ilvl="1">
      <w:lvlJc w:val="left"/>
      <w:lvlText w:val="%2"/>
      <w:numFmt w:val="lowerLetter"/>
      <w:start w:val="1"/>
    </w:lvl>
  </w:abstractNum>
  <w:abstractNum w:abstractNumId="23">
    <w:nsid w:val="153EA438"/>
    <w:multiLevelType w:val="hybridMultilevel"/>
    <w:lvl w:ilvl="0">
      <w:lvlJc w:val="left"/>
      <w:lvlText w:val="(%1)"/>
      <w:numFmt w:val="lowerRoman"/>
      <w:start w:val="6"/>
    </w:lvl>
    <w:lvl w:ilvl="1">
      <w:lvlJc w:val="left"/>
      <w:lvlText w:val="%2"/>
      <w:numFmt w:val="lowerLetter"/>
      <w:start w:val="1"/>
    </w:lvl>
  </w:abstractNum>
  <w:abstractNum w:abstractNumId="24">
    <w:nsid w:val="3855585C"/>
    <w:multiLevelType w:val="hybridMultilevel"/>
    <w:lvl w:ilvl="0">
      <w:lvlJc w:val="left"/>
      <w:lvlText w:val="(%1)"/>
      <w:numFmt w:val="lowerLetter"/>
      <w:start w:val="3"/>
    </w:lvl>
  </w:abstractNum>
  <w:abstractNum w:abstractNumId="25">
    <w:nsid w:val="70A64E2A"/>
    <w:multiLevelType w:val="hybridMultilevel"/>
    <w:lvl w:ilvl="0">
      <w:lvlJc w:val="left"/>
      <w:lvlText w:val="(%1)"/>
      <w:numFmt w:val="lowerLetter"/>
      <w:start w:val="1"/>
    </w:lvl>
    <w:lvl w:ilvl="1">
      <w:lvlJc w:val="left"/>
      <w:lvlText w:val="(%2)"/>
      <w:numFmt w:val="lowerLetter"/>
      <w:start w:val="9"/>
    </w:lvl>
  </w:abstractNum>
  <w:abstractNum w:abstractNumId="26">
    <w:nsid w:val="6A2342EC"/>
    <w:multiLevelType w:val="hybridMultilevel"/>
    <w:lvl w:ilvl="0">
      <w:lvlJc w:val="left"/>
      <w:lvlText w:val="%1"/>
      <w:numFmt w:val="lowerLetter"/>
      <w:start w:val="1"/>
    </w:lvl>
    <w:lvl w:ilvl="1">
      <w:lvlJc w:val="left"/>
      <w:lvlText w:val="(%2)"/>
      <w:numFmt w:val="lowerRoman"/>
      <w:start w:val="2"/>
    </w:lvl>
  </w:abstractNum>
  <w:abstractNum w:abstractNumId="27">
    <w:nsid w:val="2A487CB0"/>
    <w:multiLevelType w:val="hybridMultilevel"/>
    <w:lvl w:ilvl="0">
      <w:lvlJc w:val="left"/>
      <w:lvlText w:val="(%1)"/>
      <w:numFmt w:val="lowerLetter"/>
      <w:start w:val="3"/>
    </w:lvl>
    <w:lvl w:ilvl="1">
      <w:lvlJc w:val="left"/>
      <w:lvlText w:val="(%2)"/>
      <w:numFmt w:val="lowerRoman"/>
      <w:start w:val="1"/>
    </w:lvl>
  </w:abstractNum>
  <w:abstractNum w:abstractNumId="28">
    <w:nsid w:val="1D4ED43B"/>
    <w:multiLevelType w:val="hybridMultilevel"/>
    <w:lvl w:ilvl="0">
      <w:lvlJc w:val="left"/>
      <w:lvlText w:val="(%1)"/>
      <w:numFmt w:val="lowerRoman"/>
      <w:start w:val="2"/>
    </w:lvl>
  </w:abstractNum>
  <w:abstractNum w:abstractNumId="29">
    <w:nsid w:val="725A06FB"/>
    <w:multiLevelType w:val="hybridMultilevel"/>
    <w:lvl w:ilvl="0">
      <w:lvlJc w:val="left"/>
      <w:lvlText w:val="(%1)"/>
      <w:numFmt w:val="lowerLetter"/>
      <w:start w:val="4"/>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2"/>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3"/>
    </w:lvl>
  </w:abstractNum>
  <w:abstractNum w:abstractNumId="34">
    <w:nsid w:val="542289EC"/>
    <w:multiLevelType w:val="hybridMultilevel"/>
    <w:lvl w:ilvl="0">
      <w:lvlJc w:val="left"/>
      <w:lvlText w:val="(%1)"/>
      <w:numFmt w:val="lowerLetter"/>
      <w:start w:val="1"/>
    </w:lvl>
  </w:abstractNum>
  <w:abstractNum w:abstractNumId="35">
    <w:nsid w:val="6DE91B18"/>
    <w:multiLevelType w:val="hybridMultilevel"/>
    <w:lvl w:ilvl="0">
      <w:lvlJc w:val="left"/>
      <w:lvlText w:val="(%1)"/>
      <w:numFmt w:val="lowerLetter"/>
      <w:start w:val="3"/>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2"/>
    </w:lvl>
    <w:lvl w:ilvl="1">
      <w:lvlJc w:val="left"/>
      <w:lvlText w:val="(%2)"/>
      <w:numFmt w:val="lowerRoman"/>
      <w:start w:val="1"/>
    </w:lvl>
  </w:abstractNum>
  <w:abstractNum w:abstractNumId="38">
    <w:nsid w:val="32FFF902"/>
    <w:multiLevelType w:val="hybridMultilevel"/>
    <w:lvl w:ilvl="0">
      <w:lvlJc w:val="left"/>
      <w:lvlText w:val="(%1)"/>
      <w:numFmt w:val="lowerLetter"/>
      <w:start w:val="3"/>
    </w:lvl>
    <w:lvl w:ilvl="1">
      <w:lvlJc w:val="left"/>
      <w:lvlText w:val="(%2)"/>
      <w:numFmt w:val="lowerLetter"/>
      <w:start w:val="9"/>
    </w:lvl>
  </w:abstractNum>
  <w:abstractNum w:abstractNumId="39">
    <w:nsid w:val="684A481A"/>
    <w:multiLevelType w:val="hybridMultilevel"/>
    <w:lvl w:ilvl="0">
      <w:lvlJc w:val="left"/>
      <w:lvlText w:val="(%1)"/>
      <w:numFmt w:val="lowerRoman"/>
      <w:start w:val="2"/>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lowerRoman"/>
      <w:start w:val="1"/>
    </w:lvl>
  </w:abstractNum>
  <w:abstractNum w:abstractNumId="43">
    <w:nsid w:val="1BA026FA"/>
    <w:multiLevelType w:val="hybridMultilevel"/>
    <w:lvl w:ilvl="0">
      <w:lvlJc w:val="left"/>
      <w:lvlText w:val="%1"/>
      <w:numFmt w:val="lowerLetter"/>
      <w:start w:val="1"/>
    </w:lvl>
    <w:lvl w:ilvl="1">
      <w:lvlJc w:val="left"/>
      <w:lvlText w:val="(%2)"/>
      <w:numFmt w:val="lowerLetter"/>
      <w:start w:val="1"/>
    </w:lvl>
  </w:abstractNum>
  <w:abstractNum w:abstractNumId="44">
    <w:nsid w:val="79A1DEAA"/>
    <w:multiLevelType w:val="hybridMultilevel"/>
    <w:lvl w:ilvl="0">
      <w:lvlJc w:val="left"/>
      <w:lvlText w:val="(%1)"/>
      <w:numFmt w:val="lowerLetter"/>
      <w:start w:val="2"/>
    </w:lvl>
    <w:lvl w:ilvl="1">
      <w:lvlJc w:val="left"/>
      <w:lvlText w:val="%2"/>
      <w:numFmt w:val="lowerLetter"/>
      <w:start w:val="1"/>
    </w:lvl>
  </w:abstractNum>
  <w:abstractNum w:abstractNumId="45">
    <w:nsid w:val="75C6C33A"/>
    <w:multiLevelType w:val="hybridMultilevel"/>
    <w:lvl w:ilvl="0">
      <w:lvlJc w:val="left"/>
      <w:lvlText w:val="(%1)"/>
      <w:numFmt w:val="lowerLetter"/>
      <w:start w:val="3"/>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3"/>
    </w:lvl>
  </w:abstractNum>
  <w:abstractNum w:abstractNumId="48">
    <w:nsid w:val="520EEDD1"/>
    <w:multiLevelType w:val="hybridMultilevel"/>
    <w:lvl w:ilvl="0">
      <w:lvlJc w:val="left"/>
      <w:lvlText w:val="(%1)"/>
      <w:numFmt w:val="lowerRoman"/>
      <w:start w:val="1"/>
    </w:lvl>
  </w:abstractNum>
  <w:abstractNum w:abstractNumId="49">
    <w:nsid w:val="374A3FE6"/>
    <w:multiLevelType w:val="hybridMultilevel"/>
    <w:lvl w:ilvl="0">
      <w:lvlJc w:val="left"/>
      <w:lvlText w:val="(%1)"/>
      <w:numFmt w:val="lowerRoman"/>
      <w:start w:val="4"/>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5"/>
    </w:lvl>
    <w:lvl w:ilvl="1">
      <w:lvlJc w:val="left"/>
      <w:lvlText w:val="(%2)"/>
      <w:numFmt w:val="lowerRoman"/>
      <w:start w:val="1"/>
    </w:lvl>
  </w:abstractNum>
  <w:abstractNum w:abstractNumId="52">
    <w:nsid w:val="649BB77C"/>
    <w:multiLevelType w:val="hybridMultilevel"/>
    <w:lvl w:ilvl="0">
      <w:lvlJc w:val="left"/>
      <w:lvlText w:val="(%1)"/>
      <w:numFmt w:val="lowerLetter"/>
      <w:start w:val="8"/>
    </w:lvl>
    <w:lvl w:ilvl="1">
      <w:lvlJc w:val="left"/>
      <w:lvlText w:val="(%2)"/>
      <w:numFmt w:val="lowerRoman"/>
      <w:start w:val="1"/>
    </w:lvl>
  </w:abstractNum>
  <w:abstractNum w:abstractNumId="53">
    <w:nsid w:val="275AC794"/>
    <w:multiLevelType w:val="hybridMultilevel"/>
    <w:lvl w:ilvl="0">
      <w:lvlJc w:val="left"/>
      <w:lvlText w:val="(%1)"/>
      <w:numFmt w:val="lowerLetter"/>
      <w:start w:val="9"/>
    </w:lvl>
  </w:abstractNum>
  <w:abstractNum w:abstractNumId="54">
    <w:nsid w:val="39386575"/>
    <w:multiLevelType w:val="hybridMultilevel"/>
    <w:lvl w:ilvl="0">
      <w:lvlJc w:val="left"/>
      <w:lvlText w:val="(%1)"/>
      <w:numFmt w:val="lowerLetter"/>
      <w:start w:val="17"/>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21" Type="http://schemas.openxmlformats.org/officeDocument/2006/relationships/hyperlink" Target="http://www.sec.gov/Archives/edgar/data/1719714/000119312519125560/d734372d20f.htm" TargetMode="External"/><Relationship Id="rId22" Type="http://schemas.openxmlformats.org/officeDocument/2006/relationships/hyperlink" Target="http://www.sec.gov/Archives/edgar/data/1719714/000119312520039926/d891073d6k.htm" TargetMode="External"/><Relationship Id="rId23" Type="http://schemas.openxmlformats.org/officeDocument/2006/relationships/hyperlink" Target="http://www.sec.gov/Archives/edgar/data/1719714/000119312520032479/d879415d6k.htm" TargetMode="External"/><Relationship Id="rId24" Type="http://schemas.openxmlformats.org/officeDocument/2006/relationships/hyperlink" Target="http://www.sec.gov/Archives/edgar/data/1719714/000119312519246280/d800241d6k.htm" TargetMode="External"/><Relationship Id="rId25" Type="http://schemas.openxmlformats.org/officeDocument/2006/relationships/hyperlink" Target="http://www.sec.gov/Archives/edgar/data/1302573/000156459019006795/omed-10k_20181231.htm" TargetMode="External"/><Relationship Id="rId26" Type="http://schemas.openxmlformats.org/officeDocument/2006/relationships/hyperlink" Target="http://www.sec.gov/Archives/edgar/data/1719714/000119312518111700/d566514d8a12b.htm" TargetMode="External"/><Relationship Id="rId30" Type="http://schemas.openxmlformats.org/officeDocument/2006/relationships/hyperlink" Target="http://www.sec.gov/Archives/edgar/data/1719714/000119312519016112/d680874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2020-02-18T16:20:09Z</dcterms:created>
  <dcterms:modified xsi:type="dcterms:W3CDTF">2020-02-18T16:20:09Z</dcterms:modified>
</cp:coreProperties>
</file>