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10)*</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16510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40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6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4"/>
          <w:szCs w:val="24"/>
          <w:color w:val="auto"/>
        </w:rPr>
      </w:pPr>
    </w:p>
    <w:p>
      <w:pPr>
        <w:ind w:right="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jc w:val="right"/>
        <w:ind w:left="1960" w:right="6980" w:hanging="1234"/>
        <w:spacing w:after="0" w:line="194" w:lineRule="auto"/>
        <w:tabs>
          <w:tab w:leader="none" w:pos="1636"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6"/>
          <w:szCs w:val="16"/>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526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5"/>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95,561,160 Ordinary Shares (including 63,611,160 Ordinary Shares represented by 12,722,232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95,561,160 Ordinary Shares (including 63,611,160 Ordinary Shares represented by 12,722,232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95,561,160 Ordinary Shares (including 63,611,160 Ordinary Shares represented by 12,722,232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13.63%</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PN, IA</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15" w:lineRule="exact"/>
        <w:rPr>
          <w:sz w:val="20"/>
          <w:szCs w:val="20"/>
          <w:color w:val="auto"/>
        </w:rPr>
      </w:pPr>
    </w:p>
    <w:p>
      <w:pPr>
        <w:ind w:left="1960" w:right="7020" w:hanging="1234"/>
        <w:spacing w:after="0" w:line="182" w:lineRule="auto"/>
        <w:tabs>
          <w:tab w:leader="none" w:pos="1636"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7"/>
          <w:szCs w:val="17"/>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26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6351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w:t>
            </w:r>
          </w:p>
        </w:tc>
        <w:tc>
          <w:tcPr>
            <w:tcW w:w="72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Borders>
              <w:top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5"/>
        </w:trPr>
        <w:tc>
          <w:tcPr>
            <w:tcW w:w="12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760" w:type="dxa"/>
            <w:vAlign w:val="bottom"/>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640" w:hanging="914"/>
        <w:spacing w:after="0"/>
        <w:tabs>
          <w:tab w:leader="none" w:pos="1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28" w:lineRule="exact"/>
        <w:rPr>
          <w:sz w:val="20"/>
          <w:szCs w:val="20"/>
          <w:color w:val="auto"/>
        </w:rPr>
      </w:pPr>
    </w:p>
    <w:p>
      <w:pPr>
        <w:ind w:left="1960" w:right="7980" w:hanging="1234"/>
        <w:spacing w:after="0" w:line="182" w:lineRule="auto"/>
        <w:tabs>
          <w:tab w:leader="none" w:pos="1636" w:val="left"/>
        </w:tabs>
        <w:numPr>
          <w:ilvl w:val="0"/>
          <w:numId w:val="8"/>
        </w:numPr>
        <w:rPr>
          <w:rFonts w:ascii="Arial" w:cs="Arial" w:eastAsia="Arial" w:hAnsi="Arial"/>
          <w:sz w:val="34"/>
          <w:szCs w:val="34"/>
          <w:b w:val="1"/>
          <w:bCs w:val="1"/>
          <w:color w:val="auto"/>
          <w:vertAlign w:val="subscript"/>
        </w:rPr>
      </w:pPr>
      <w:r>
        <w:rPr>
          <w:rFonts w:ascii="Arial" w:cs="Arial" w:eastAsia="Arial" w:hAnsi="Arial"/>
          <w:sz w:val="17"/>
          <w:szCs w:val="17"/>
          <w:color w:val="auto"/>
        </w:rPr>
        <w:t>SOURCE OF FUNDS AF</w:t>
      </w:r>
    </w:p>
    <w:p>
      <w:pPr>
        <w:spacing w:after="0" w:line="226" w:lineRule="exact"/>
        <w:rPr>
          <w:sz w:val="20"/>
          <w:szCs w:val="20"/>
          <w:color w:val="auto"/>
        </w:rPr>
      </w:pPr>
    </w:p>
    <w:tbl>
      <w:tblPr>
        <w:tblLayout w:type="fixed"/>
        <w:tblInd w:w="720" w:type="dxa"/>
        <w:tblCellMar>
          <w:top w:w="0" w:type="dxa"/>
          <w:left w:w="0" w:type="dxa"/>
          <w:bottom w:w="0" w:type="dxa"/>
          <w:right w:w="0" w:type="dxa"/>
        </w:tblCellMar>
      </w:tblPr>
      <w:tr>
        <w:trPr>
          <w:trHeight w:val="303"/>
        </w:trPr>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5</w:t>
            </w:r>
          </w:p>
        </w:tc>
        <w:tc>
          <w:tcPr>
            <w:tcW w:w="9280" w:type="dxa"/>
            <w:vAlign w:val="bottom"/>
          </w:tcPr>
          <w:p>
            <w:pPr>
              <w:ind w:left="420"/>
              <w:spacing w:after="0" w:line="207" w:lineRule="exact"/>
              <w:rPr>
                <w:sz w:val="20"/>
                <w:szCs w:val="20"/>
                <w:color w:val="auto"/>
              </w:rPr>
            </w:pPr>
            <w:r>
              <w:rPr>
                <w:rFonts w:ascii="Arial" w:cs="Arial" w:eastAsia="Arial" w:hAnsi="Arial"/>
                <w:sz w:val="18"/>
                <w:szCs w:val="18"/>
                <w:color w:val="auto"/>
                <w:w w:val="96"/>
              </w:rPr>
              <w:t xml:space="preserve">CHECK BOX IF DISCLOSURE OF LEGAL PROCEEDING IS REQUIRED PURSUANT TO ITEMS 2(d) or 2(e)    </w:t>
            </w:r>
            <w:r>
              <w:rPr>
                <w:rFonts w:ascii="MS PGothic" w:cs="MS PGothic" w:eastAsia="MS PGothic" w:hAnsi="MS PGothic"/>
                <w:sz w:val="18"/>
                <w:szCs w:val="18"/>
                <w:color w:val="auto"/>
                <w:w w:val="96"/>
              </w:rPr>
              <w:t>☐</w:t>
            </w:r>
          </w:p>
        </w:tc>
      </w:tr>
    </w:tbl>
    <w:p>
      <w:pPr>
        <w:spacing w:after="0" w:line="93" w:lineRule="exact"/>
        <w:rPr>
          <w:sz w:val="20"/>
          <w:szCs w:val="20"/>
          <w:color w:val="auto"/>
        </w:rPr>
      </w:pPr>
    </w:p>
    <w:p>
      <w:pPr>
        <w:ind w:left="1960" w:right="5920" w:hanging="1234"/>
        <w:spacing w:after="0" w:line="182" w:lineRule="auto"/>
        <w:tabs>
          <w:tab w:leader="none" w:pos="1636" w:val="left"/>
        </w:tabs>
        <w:numPr>
          <w:ilvl w:val="0"/>
          <w:numId w:val="9"/>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7</w:t>
            </w:r>
          </w:p>
        </w:tc>
        <w:tc>
          <w:tcPr>
            <w:tcW w:w="70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700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520" w:type="dxa"/>
            <w:vAlign w:val="bottom"/>
            <w:vMerge w:val="continue"/>
          </w:tcPr>
          <w:p>
            <w:pPr>
              <w:spacing w:after="0"/>
              <w:rPr>
                <w:sz w:val="9"/>
                <w:szCs w:val="9"/>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VOTING POWER</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320" w:type="dxa"/>
            <w:vAlign w:val="bottom"/>
            <w:tcBorders>
              <w:right w:val="single" w:sz="8" w:color="auto"/>
            </w:tcBorders>
            <w:vMerge w:val="continue"/>
          </w:tcPr>
          <w:p>
            <w:pPr>
              <w:spacing w:after="0"/>
              <w:rPr>
                <w:sz w:val="7"/>
                <w:szCs w:val="7"/>
                <w:color w:val="auto"/>
              </w:rPr>
            </w:pPr>
          </w:p>
        </w:tc>
        <w:tc>
          <w:tcPr>
            <w:tcW w:w="70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95,561,160 Ordinary Shares (including 63,611,160 Ordinary Shares represented by 12,722,232 ADRs)</w:t>
            </w:r>
          </w:p>
        </w:tc>
        <w:tc>
          <w:tcPr>
            <w:tcW w:w="0" w:type="dxa"/>
            <w:vAlign w:val="bottom"/>
          </w:tcPr>
          <w:p>
            <w:pPr>
              <w:spacing w:after="0"/>
              <w:rPr>
                <w:sz w:val="1"/>
                <w:szCs w:val="1"/>
                <w:color w:val="auto"/>
              </w:rPr>
            </w:pPr>
          </w:p>
        </w:tc>
      </w:tr>
      <w:tr>
        <w:trPr>
          <w:trHeight w:val="53"/>
        </w:trPr>
        <w:tc>
          <w:tcPr>
            <w:tcW w:w="1520" w:type="dxa"/>
            <w:vAlign w:val="bottom"/>
            <w:vMerge w:val="continue"/>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320" w:type="dxa"/>
            <w:vAlign w:val="bottom"/>
            <w:tcBorders>
              <w:right w:val="single" w:sz="8" w:color="auto"/>
            </w:tcBorders>
          </w:tcPr>
          <w:p>
            <w:pPr>
              <w:spacing w:after="0"/>
              <w:rPr>
                <w:sz w:val="8"/>
                <w:szCs w:val="8"/>
                <w:color w:val="auto"/>
              </w:rPr>
            </w:pPr>
          </w:p>
        </w:tc>
        <w:tc>
          <w:tcPr>
            <w:tcW w:w="8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0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OWNED BY</w:t>
            </w:r>
          </w:p>
        </w:tc>
        <w:tc>
          <w:tcPr>
            <w:tcW w:w="13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SOLE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20" w:type="dxa"/>
            <w:vAlign w:val="bottom"/>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700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320" w:type="dxa"/>
            <w:vAlign w:val="bottom"/>
            <w:tcBorders>
              <w:right w:val="single" w:sz="8" w:color="auto"/>
            </w:tcBorders>
          </w:tcPr>
          <w:p>
            <w:pPr>
              <w:spacing w:after="0"/>
              <w:rPr>
                <w:sz w:val="9"/>
                <w:szCs w:val="9"/>
                <w:color w:val="auto"/>
              </w:rPr>
            </w:pPr>
          </w:p>
        </w:tc>
        <w:tc>
          <w:tcPr>
            <w:tcW w:w="70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3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520" w:type="dxa"/>
            <w:vAlign w:val="bottom"/>
            <w:vMerge w:val="continue"/>
          </w:tcPr>
          <w:p>
            <w:pPr>
              <w:spacing w:after="0"/>
              <w:rPr>
                <w:sz w:val="8"/>
                <w:szCs w:val="8"/>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w:t>
            </w:r>
          </w:p>
        </w:tc>
        <w:tc>
          <w:tcPr>
            <w:tcW w:w="70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SHARED DISPOSITIVE POWER</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20" w:type="dxa"/>
            <w:vAlign w:val="bottom"/>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18"/>
                <w:szCs w:val="18"/>
                <w:color w:val="auto"/>
                <w:w w:val="97"/>
              </w:rPr>
              <w:t>95,561,160 Ordinary Shares (including 63,611,160 Ordinary Shares represented by 12,722,232 ADRs)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8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tcPr>
          <w:p>
            <w:pPr>
              <w:ind w:left="120"/>
              <w:spacing w:after="0" w:line="195" w:lineRule="exact"/>
              <w:rPr>
                <w:sz w:val="20"/>
                <w:szCs w:val="20"/>
                <w:color w:val="auto"/>
              </w:rPr>
            </w:pPr>
            <w:r>
              <w:rPr>
                <w:rFonts w:ascii="Arial" w:cs="Arial" w:eastAsia="Arial" w:hAnsi="Arial"/>
                <w:sz w:val="18"/>
                <w:szCs w:val="18"/>
                <w:color w:val="auto"/>
              </w:rPr>
              <w:t>AGGREGATE</w:t>
            </w:r>
          </w:p>
        </w:tc>
        <w:tc>
          <w:tcPr>
            <w:tcW w:w="7000" w:type="dxa"/>
            <w:vAlign w:val="bottom"/>
          </w:tcPr>
          <w:p>
            <w:pPr>
              <w:spacing w:after="0" w:line="195" w:lineRule="exact"/>
              <w:rPr>
                <w:sz w:val="20"/>
                <w:szCs w:val="20"/>
                <w:color w:val="auto"/>
              </w:rPr>
            </w:pPr>
            <w:r>
              <w:rPr>
                <w:rFonts w:ascii="Arial" w:cs="Arial" w:eastAsia="Arial" w:hAnsi="Arial"/>
                <w:sz w:val="18"/>
                <w:szCs w:val="18"/>
                <w:color w:val="auto"/>
              </w:rPr>
              <w:t>AMOUNT BENEFICIALLY OWNED BY EACH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w w:val="96"/>
              </w:rPr>
              <w:t>95,561,160 Ordinary Shares (including 63,611,160 Ordinary Shares represented by 12,722,232 ADRs)</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83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c>
          <w:tcPr>
            <w:tcW w:w="8320" w:type="dxa"/>
            <w:vAlign w:val="bottom"/>
            <w:gridSpan w:val="2"/>
          </w:tcPr>
          <w:p>
            <w:pPr>
              <w:ind w:left="120"/>
              <w:spacing w:after="0"/>
              <w:rPr>
                <w:sz w:val="20"/>
                <w:szCs w:val="20"/>
                <w:color w:val="auto"/>
              </w:rPr>
            </w:pPr>
            <w:r>
              <w:rPr>
                <w:rFonts w:ascii="Arial" w:cs="Arial" w:eastAsia="Arial" w:hAnsi="Arial"/>
                <w:sz w:val="18"/>
                <w:szCs w:val="18"/>
                <w:color w:val="auto"/>
              </w:rPr>
              <w:t>CHECK IF THE AGGREGATE AMOUNT IN ROW (11) EXCLUDES CERTAIN SHARES</w:t>
            </w:r>
          </w:p>
        </w:tc>
        <w:tc>
          <w:tcPr>
            <w:tcW w:w="14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70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13</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13.63%</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14</w:t>
            </w:r>
          </w:p>
        </w:tc>
        <w:tc>
          <w:tcPr>
            <w:tcW w:w="83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TYPE OF REPORTING PERSON</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IN</w:t>
            </w:r>
          </w:p>
        </w:tc>
        <w:tc>
          <w:tcPr>
            <w:tcW w:w="70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7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8"/>
        </w:trPr>
        <w:tc>
          <w:tcPr>
            <w:tcW w:w="1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Mereo BioPharma Group plc, a public limited company under the laws of England and Wales (the “</w:t>
      </w:r>
      <w:r>
        <w:rPr>
          <w:rFonts w:ascii="Arial" w:cs="Arial" w:eastAsia="Arial" w:hAnsi="Arial"/>
          <w:sz w:val="18"/>
          <w:szCs w:val="18"/>
          <w:u w:val="single" w:color="auto"/>
          <w:color w:val="auto"/>
        </w:rPr>
        <w:t>Issuer</w:t>
      </w:r>
      <w:r>
        <w:rPr>
          <w:rFonts w:ascii="Arial" w:cs="Arial" w:eastAsia="Arial" w:hAnsi="Arial"/>
          <w:sz w:val="18"/>
          <w:szCs w:val="18"/>
          <w:color w:val="auto"/>
        </w:rPr>
        <w:t>”), which was subsequently amended on June 9, 2022, June 14, 2022, August 24, 2022, September 23, 2022, October 28, 2022, June 14, 2023, October 31, 2023, November 2, 2023 and November 6, 2023 (collectively, including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IN SECURITIES OF THE ISSUER</w:t>
      </w:r>
    </w:p>
    <w:p>
      <w:pPr>
        <w:spacing w:after="0" w:line="229" w:lineRule="exact"/>
        <w:rPr>
          <w:sz w:val="20"/>
          <w:szCs w:val="20"/>
          <w:color w:val="auto"/>
        </w:rPr>
      </w:pPr>
    </w:p>
    <w:p>
      <w:pPr>
        <w:ind w:left="660" w:right="18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rows (11) and (13) of the cover pages to this Schedule 13D for the aggregate number of Ordinary Shares and percentages of the Ordinary Shares beneficially owned by each of the Reporting Persons. The percentages used in this Schedule 13D are calculated based upon 701,217,089 Ordinary Shares reported to be outstanding as of July 2023 in Exhibit 99.1 and 99.2 attached to the Issuer’s filing on Form 6-K filed with the Securities and Exchange Commission on September 7, 2023.</w:t>
      </w:r>
    </w:p>
    <w:p>
      <w:pPr>
        <w:spacing w:after="0" w:line="187" w:lineRule="exact"/>
        <w:rPr>
          <w:sz w:val="20"/>
          <w:szCs w:val="20"/>
          <w:color w:val="auto"/>
        </w:rPr>
      </w:pPr>
    </w:p>
    <w:p>
      <w:pPr>
        <w:ind w:left="660" w:right="7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Schedule A annexed hereto lists all transactions in the securities of the Issuer by the Reporting Persons during the past 60 days. All such transactions were effected in the open market unless otherwise noted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6 Pages</w:t>
            </w:r>
          </w:p>
        </w:tc>
      </w:tr>
      <w:tr>
        <w:trPr>
          <w:trHeight w:val="351"/>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8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1000" w:type="dxa"/>
            <w:vAlign w:val="bottom"/>
            <w:tcBorders>
              <w:top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SCHEDULE 13D</w:t>
            </w:r>
          </w:p>
        </w:tc>
        <w:tc>
          <w:tcPr>
            <w:tcW w:w="980" w:type="dxa"/>
            <w:vAlign w:val="bottom"/>
            <w:tcBorders>
              <w:right w:val="single" w:sz="8" w:color="auto"/>
            </w:tcBorders>
          </w:tcPr>
          <w:p>
            <w:pPr>
              <w:spacing w:after="0"/>
              <w:rPr>
                <w:sz w:val="24"/>
                <w:szCs w:val="24"/>
                <w:color w:val="auto"/>
              </w:rPr>
            </w:pPr>
          </w:p>
        </w:tc>
        <w:tc>
          <w:tcPr>
            <w:tcW w:w="1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5"/>
              </w:rPr>
              <w:t>Page 6 of 6 Pages</w:t>
            </w:r>
          </w:p>
        </w:tc>
        <w:tc>
          <w:tcPr>
            <w:tcW w:w="2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84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vMerge w:val="restart"/>
          </w:tcPr>
          <w:p>
            <w:pPr>
              <w:jc w:val="center"/>
              <w:ind w:right="170"/>
              <w:spacing w:after="0"/>
              <w:rPr>
                <w:sz w:val="20"/>
                <w:szCs w:val="20"/>
                <w:color w:val="auto"/>
              </w:rPr>
            </w:pPr>
            <w:r>
              <w:rPr>
                <w:rFonts w:ascii="Arial" w:cs="Arial" w:eastAsia="Arial" w:hAnsi="Arial"/>
                <w:sz w:val="18"/>
                <w:szCs w:val="18"/>
                <w:b w:val="1"/>
                <w:bCs w:val="1"/>
                <w:color w:val="auto"/>
                <w:w w:val="99"/>
              </w:rPr>
              <w:t>SCHEDULE A</w:t>
            </w:r>
          </w:p>
        </w:tc>
        <w:tc>
          <w:tcPr>
            <w:tcW w:w="980" w:type="dxa"/>
            <w:vAlign w:val="bottom"/>
            <w:tcBorders>
              <w:right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628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9"/>
              </w:rPr>
              <w:t>Transactions in the Securities of the Issuer During the Past 60 Days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Nature of</w:t>
            </w:r>
          </w:p>
        </w:tc>
        <w:tc>
          <w:tcPr>
            <w:tcW w:w="1000" w:type="dxa"/>
            <w:vAlign w:val="bottom"/>
          </w:tcPr>
          <w:p>
            <w:pPr>
              <w:spacing w:after="0"/>
              <w:rPr>
                <w:sz w:val="16"/>
                <w:szCs w:val="16"/>
                <w:color w:val="auto"/>
              </w:rPr>
            </w:pPr>
          </w:p>
        </w:tc>
        <w:tc>
          <w:tcPr>
            <w:tcW w:w="110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5"/>
              </w:rPr>
              <w:t>Securities</w:t>
            </w:r>
          </w:p>
        </w:tc>
        <w:tc>
          <w:tcPr>
            <w:tcW w:w="7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gridSpan w:val="3"/>
          </w:tcPr>
          <w:p>
            <w:pPr>
              <w:ind w:left="700"/>
              <w:spacing w:after="0" w:line="191" w:lineRule="exact"/>
              <w:rPr>
                <w:sz w:val="20"/>
                <w:szCs w:val="20"/>
                <w:color w:val="auto"/>
              </w:rPr>
            </w:pPr>
            <w:r>
              <w:rPr>
                <w:rFonts w:ascii="Arial" w:cs="Arial" w:eastAsia="Arial" w:hAnsi="Arial"/>
                <w:sz w:val="18"/>
                <w:szCs w:val="18"/>
                <w:b w:val="1"/>
                <w:bCs w:val="1"/>
                <w:color w:val="auto"/>
              </w:rPr>
              <w:t>Price per Security</w:t>
            </w:r>
          </w:p>
        </w:tc>
        <w:tc>
          <w:tcPr>
            <w:tcW w:w="660" w:type="dxa"/>
            <w:vAlign w:val="bottom"/>
          </w:tcPr>
          <w:p>
            <w:pPr>
              <w:spacing w:after="0"/>
              <w:rPr>
                <w:sz w:val="16"/>
                <w:szCs w:val="16"/>
                <w:color w:val="auto"/>
              </w:rPr>
            </w:pPr>
          </w:p>
        </w:tc>
        <w:tc>
          <w:tcPr>
            <w:tcW w:w="2120" w:type="dxa"/>
            <w:vAlign w:val="bottom"/>
            <w:tcBorders>
              <w:right w:val="single" w:sz="8" w:color="auto"/>
            </w:tcBorders>
          </w:tcPr>
          <w:p>
            <w:pPr>
              <w:jc w:val="center"/>
              <w:ind w:right="590"/>
              <w:spacing w:after="0" w:line="191" w:lineRule="exact"/>
              <w:rPr>
                <w:sz w:val="20"/>
                <w:szCs w:val="20"/>
                <w:color w:val="auto"/>
              </w:rPr>
            </w:pPr>
            <w:r>
              <w:rPr>
                <w:rFonts w:ascii="Arial" w:cs="Arial" w:eastAsia="Arial" w:hAnsi="Arial"/>
                <w:sz w:val="18"/>
                <w:szCs w:val="18"/>
                <w:b w:val="1"/>
                <w:bCs w:val="1"/>
                <w:color w:val="auto"/>
                <w:w w:val="91"/>
              </w:rPr>
              <w:t>Date of</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10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89"/>
              </w:rPr>
              <w:t>Purchased/(Sold)</w:t>
            </w:r>
          </w:p>
        </w:tc>
        <w:tc>
          <w:tcPr>
            <w:tcW w:w="7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87"/>
              </w:rPr>
              <w:t>Purchase/Sale</w:t>
            </w:r>
          </w:p>
        </w:tc>
        <w:tc>
          <w:tcPr>
            <w:tcW w:w="0" w:type="dxa"/>
            <w:vAlign w:val="bottom"/>
          </w:tcPr>
          <w:p>
            <w:pPr>
              <w:spacing w:after="0"/>
              <w:rPr>
                <w:sz w:val="1"/>
                <w:szCs w:val="1"/>
                <w:color w:val="auto"/>
              </w:rPr>
            </w:pPr>
          </w:p>
        </w:tc>
      </w:tr>
      <w:tr>
        <w:trPr>
          <w:trHeight w:val="25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437,624</w:t>
            </w:r>
          </w:p>
        </w:tc>
        <w:tc>
          <w:tcPr>
            <w:tcW w:w="7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7"/>
                <w:szCs w:val="17"/>
                <w:color w:val="auto"/>
                <w:w w:val="89"/>
              </w:rPr>
              <w:t>2.0555</w:t>
            </w:r>
            <w:r>
              <w:rPr>
                <w:rFonts w:ascii="Arial" w:cs="Arial" w:eastAsia="Arial" w:hAnsi="Arial"/>
                <w:sz w:val="28"/>
                <w:szCs w:val="28"/>
                <w:color w:val="auto"/>
                <w:w w:val="89"/>
                <w:vertAlign w:val="superscript"/>
              </w:rPr>
              <w:t>1</w:t>
            </w:r>
          </w:p>
        </w:tc>
        <w:tc>
          <w:tcPr>
            <w:tcW w:w="92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11/06/2023</w:t>
            </w:r>
          </w:p>
        </w:tc>
        <w:tc>
          <w:tcPr>
            <w:tcW w:w="0" w:type="dxa"/>
            <w:vAlign w:val="bottom"/>
          </w:tcPr>
          <w:p>
            <w:pPr>
              <w:spacing w:after="0"/>
              <w:rPr>
                <w:sz w:val="1"/>
                <w:szCs w:val="1"/>
                <w:color w:val="auto"/>
              </w:rPr>
            </w:pPr>
          </w:p>
        </w:tc>
      </w:tr>
      <w:tr>
        <w:trPr>
          <w:trHeight w:val="210"/>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Purchase of ADR</w:t>
            </w:r>
          </w:p>
        </w:tc>
        <w:tc>
          <w:tcPr>
            <w:tcW w:w="21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2.06</w:t>
            </w:r>
          </w:p>
        </w:tc>
        <w:tc>
          <w:tcPr>
            <w:tcW w:w="9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0"/>
              </w:rPr>
              <w:t>11/07/2023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jc w:val="both"/>
        <w:ind w:right="740" w:firstLine="8"/>
        <w:spacing w:after="0" w:line="234" w:lineRule="auto"/>
        <w:tabs>
          <w:tab w:leader="none" w:pos="112" w:val="left"/>
        </w:tabs>
        <w:numPr>
          <w:ilvl w:val="0"/>
          <w:numId w:val="12"/>
        </w:numPr>
        <w:rPr>
          <w:rFonts w:ascii="Arial" w:cs="Arial" w:eastAsia="Arial" w:hAnsi="Arial"/>
          <w:sz w:val="27"/>
          <w:szCs w:val="27"/>
          <w:color w:val="auto"/>
          <w:vertAlign w:val="superscript"/>
        </w:rPr>
      </w:pPr>
      <w:r>
        <w:rPr>
          <w:rFonts w:ascii="Arial" w:cs="Arial" w:eastAsia="Arial" w:hAnsi="Arial"/>
          <w:sz w:val="16"/>
          <w:szCs w:val="16"/>
          <w:color w:val="auto"/>
        </w:rPr>
        <w:t>Represents a weighted average price. These ADRs were purchased in multiple transactions at prices ranging from $2.05 to $2.06, inclusive. The Reporting Persons undertake to provide the Issuer, any security holder or the staff of the Securities and Exchange Commission, upon request, full information regarding the number of ADRs purchased at each separate price within the range set forth in this footnote.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6"/>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2023-11-08T06:10:04Z</dcterms:created>
  <dcterms:modified xsi:type="dcterms:W3CDTF">2023-11-08T06:10:04Z</dcterms:modified>
</cp:coreProperties>
</file>