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Mereo BioPharma Group plc pursuant to</w:t>
      </w:r>
    </w:p>
    <w:p>
      <w:pPr>
        <w:jc w:val="right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Rule 425 under the Securities Act of 1933, as amended</w:t>
      </w:r>
    </w:p>
    <w:p>
      <w:pPr>
        <w:jc w:val="right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OncoMed Pharmaceuticals, Inc.</w:t>
      </w:r>
    </w:p>
    <w:p>
      <w:pPr>
        <w:jc w:val="right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January 7, 2019.</w:t>
      </w: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(Subject Company Commission File No.: 001-35993)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-852170</wp:posOffset>
            </wp:positionH>
            <wp:positionV relativeFrom="paragraph">
              <wp:posOffset>253365</wp:posOffset>
            </wp:positionV>
            <wp:extent cx="7698105" cy="44246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700"/>
          </w:cols>
          <w:pgMar w:left="1440" w:top="94" w:right="10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32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3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4678680</wp:posOffset>
            </wp:positionV>
            <wp:extent cx="764667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4678680</wp:posOffset>
            </wp:positionV>
            <wp:extent cx="7646670" cy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4678680</wp:posOffset>
            </wp:positionV>
            <wp:extent cx="7646670" cy="762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4678680</wp:posOffset>
            </wp:positionV>
            <wp:extent cx="7646670" cy="762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42468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42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2019-11-25T16:34:49Z</dcterms:created>
  <dcterms:modified xsi:type="dcterms:W3CDTF">2019-11-25T16:34:49Z</dcterms:modified>
</cp:coreProperties>
</file>