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40"/>
        <w:spacing w:after="0"/>
        <w:rPr>
          <w:sz w:val="20"/>
          <w:szCs w:val="20"/>
          <w:color w:val="auto"/>
        </w:rPr>
      </w:pPr>
      <w:r>
        <w:rPr>
          <w:rFonts w:ascii="Arial" w:cs="Arial" w:eastAsia="Arial" w:hAnsi="Arial"/>
          <w:sz w:val="32"/>
          <w:szCs w:val="32"/>
          <w:b w:val="1"/>
          <w:bCs w:val="1"/>
          <w:color w:val="auto"/>
        </w:rPr>
        <w:t>SECURITIES AND EXCHANGE COMMISSION</w:t>
      </w:r>
    </w:p>
    <w:p>
      <w:pPr>
        <w:ind w:left="37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26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840" w:right="146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54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540"/>
        <w:spacing w:after="0"/>
        <w:rPr>
          <w:sz w:val="20"/>
          <w:szCs w:val="20"/>
          <w:color w:val="auto"/>
        </w:rPr>
      </w:pPr>
      <w:r>
        <w:rPr>
          <w:rFonts w:ascii="Arial" w:cs="Arial" w:eastAsia="Arial" w:hAnsi="Arial"/>
          <w:sz w:val="18"/>
          <w:szCs w:val="18"/>
          <w:b w:val="1"/>
          <w:bCs w:val="1"/>
          <w:color w:val="auto"/>
        </w:rPr>
        <w:t>London, W1G 0QF, United Kingdom</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3760"/>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121"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The contents of this Report on Form 6-K, excluding Exhibit 99.1 attached hereto, shall be deemed to be incorporated by reference into Mereo BioPharma Group plc’s (“Mereo” or the “Company”) registration statements on Form F-3 (File Numbers 333-239708 and 333-258495) and Form S-8 (File Numbers 333-231636, 333-236498, 333-252147 333-262151 and 333-269388) and related prospectuses, as such registration statements and prospectuses may be amended from time to time, and to be a part thereof from the date on which this report is filed, to the extent not superseded by documents or reports subsequently filed or furnished.</w:t>
      </w:r>
    </w:p>
    <w:p>
      <w:pPr>
        <w:spacing w:after="0" w:line="188"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Exhibit 99.1 to this Report is being furnished and shall not be deemed “filed” for the purposes of Section 18 of the Securities Exchange Act of 1934 (the “Exchange Act”) or otherwise subject to liabilities of that section, nor shall it be deemed incorporated by reference in any filing under the Securities Act of 1933 or the Exchange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Included As Part Of This Form 6-K</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On October 14, 2023, Ultragenyx Pharmaceutical Inc. (NASDAQ: RARE) and Mereo announced interim data from the Phase 2 portion of the Phase 2/3 Orbit study demonstrating that treatment with setrusumab (UX143) significantly reduced incidence of fractures in patients with osteogenesis imperfecta (OI) with at least 6 months of follow-up and continues to demonstrate ongoing and meaningful improvements in lumbar spine bone mineral density (BMD).</w:t>
      </w:r>
    </w:p>
    <w:p>
      <w:pPr>
        <w:spacing w:after="0" w:line="18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As of the cut-off date and following at least 6 months of treatment with setrusumab, the annualized fracture rate across all 24 patients in the Phase 2 portion of the study was reduced by 67%. In the 2 years prior to treatment with setrusumab all patients experienced at least 1 fracture. The median annualized fracture rate of 0.72 in the 2 years prior to treatment was reduced to 0.00 (n=24, p=0.042) during the mean treatment duration period of 9 months. Following initiation of treatment with setrusumab, 20 patients experienced no radiographic-confirmed fractures, and 4 patients experienced 7 radiographic-confirmed fractures in 5 separate events. These fractures exclude fractures of the fingers, toes, skull, and face consistent with the Phase 3 study design.</w:t>
      </w:r>
    </w:p>
    <w:p>
      <w:pPr>
        <w:spacing w:after="0" w:line="192"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The reduction in annualized fracture rates was associated with a clinically meaningful increase in BMD. At the 6-month timepoint, treatment with setrusumab resulted in a mean increase in lumbar spine BMD from baseline of 13% at 20 mg/kg (n=11) and 16% at 40 mg/kg (n=8), which represents the same substantial mean improvement in Z-score of +0.85 for both dose groups at 6 months compared to a combined mean baseline Z-score of –1.68. The small apparent difference in BMD change from baseline is likely related to differences in patients assigned to the two treated groups. There was no statistically significant difference in BMD percent change or Z-score change from baseline between the 20 and 40 mg/kg dosing cohorts.</w:t>
      </w:r>
    </w:p>
    <w:p>
      <w:pPr>
        <w:spacing w:after="0" w:line="16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As of the data cut-off, there were no treatment-related serious adverse events observed in the study. Reported adverse events were generally consistent with those observed in the ASTEROID study with infusion-related events and headache determined to be the most common adverse events related to the study drug. There have been no reported hypersensitivity reactions related to setrusumab. There were no notable safety-related differences observed between dosing groups or age groups.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Phase 3 portion of the study is currently enrolling approximately 195 patients at 50 sites across 12 countries.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the Company’s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will be those that it anticipates. All of Mereo’s forward-looking statements involve known and unknown risks and uncertainties some of which are significant or beyond its control and assumptions that could cause actual results to differ materially from Mereo’s historical experience and its present expectations or projections. Such risks and uncertainties include, among others, the uncertainties inherent in the clinical development process; Mereo’s reliance on third parties to conduct and provide funding for its clinical trials; Mereo’s dependence on enrollment of patients in its clinical trials; and Mereo’s dependence on its key executives. You should carefully consider the foregoing factors and the other risks and uncertainties that affect Mereo’s business, including those described in the “Risk Factors” section of its latest Annual Report on Form 20-F, reports on Form 6-K and other documents furnished or filed from time to time by Mereo with the Securities and Exchange Commission. Mereo wishes to caution you not to place undue reliance on any forward-looking statements, which speak only as of the date hereof. Mereo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October 14, 2023.</w:t>
      </w:r>
    </w:p>
    <w:p>
      <w:pPr>
        <w:sectPr>
          <w:pgSz w:w="11900" w:h="16838" w:orient="portrait"/>
          <w:cols w:equalWidth="0" w:num="1">
            <w:col w:w="10019"/>
          </w:cols>
          <w:pgMar w:left="440" w:top="270"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17,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68730"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8730" cy="591820"/>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171450</wp:posOffset>
            </wp:positionV>
            <wp:extent cx="1997075" cy="788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9707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Ultragenyx and Mereo BioPharma Announce Interim Phase 2 Data from Phase 2/3 </w:t>
      </w:r>
      <w:r>
        <w:rPr>
          <w:rFonts w:ascii="Arial" w:cs="Arial" w:eastAsia="Arial" w:hAnsi="Arial"/>
          <w:sz w:val="17"/>
          <w:szCs w:val="17"/>
          <w:b w:val="1"/>
          <w:bCs w:val="1"/>
          <w:i w:val="1"/>
          <w:iCs w:val="1"/>
          <w:color w:val="auto"/>
        </w:rPr>
        <w:t>Orbit</w:t>
      </w:r>
      <w:r>
        <w:rPr>
          <w:rFonts w:ascii="Arial" w:cs="Arial" w:eastAsia="Arial" w:hAnsi="Arial"/>
          <w:sz w:val="17"/>
          <w:szCs w:val="17"/>
          <w:b w:val="1"/>
          <w:bCs w:val="1"/>
          <w:color w:val="auto"/>
        </w:rPr>
        <w:t xml:space="preserve"> Study Demonstrating Setrusumab (UX143)</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Significantly Reduced Fracture Rates in Patients with Osteogenesis Imperfecta (OI)</w:t>
      </w:r>
    </w:p>
    <w:p>
      <w:pPr>
        <w:spacing w:after="0" w:line="21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Phase 2 data presented at ASBMR 2023 show treatment with setrusumab resulted in 67% reduction in annualized fracture rate associated with continuous and meaningful improvements in bone mineral density (BMD)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Ultragenyx hosting Analyst Day on Monday, October 16 at 8:30 a.m. ET</w:t>
      </w:r>
    </w:p>
    <w:p>
      <w:pPr>
        <w:spacing w:after="0" w:line="221"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NOVATO, Calif., VANCOUVER, British Columbia and LONDON, UK — Oct. 14, 2023 — </w:t>
      </w:r>
      <w:r>
        <w:rPr>
          <w:rFonts w:ascii="Arial" w:cs="Arial" w:eastAsia="Arial" w:hAnsi="Arial"/>
          <w:sz w:val="17"/>
          <w:szCs w:val="17"/>
          <w:color w:val="auto"/>
        </w:rPr>
        <w:t>Ultragenyx Pharmaceutical Inc. (NASDAQ: RARE)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Mereo BioPharma Group plc (NASDAQ: MREO) today announced interim data from the Phase 2 portion of the Phase 2/3 </w:t>
      </w:r>
      <w:r>
        <w:rPr>
          <w:rFonts w:ascii="Arial" w:cs="Arial" w:eastAsia="Arial" w:hAnsi="Arial"/>
          <w:sz w:val="17"/>
          <w:szCs w:val="17"/>
          <w:i w:val="1"/>
          <w:iCs w:val="1"/>
          <w:color w:val="auto"/>
        </w:rPr>
        <w:t>Orbit</w:t>
      </w:r>
      <w:r>
        <w:rPr>
          <w:rFonts w:ascii="Arial" w:cs="Arial" w:eastAsia="Arial" w:hAnsi="Arial"/>
          <w:sz w:val="17"/>
          <w:szCs w:val="17"/>
          <w:color w:val="auto"/>
        </w:rPr>
        <w:t xml:space="preserve"> study demonstrating that treatment with setrusumab (UX143) significantly reduced incidence of fractures in patients with OI with at least 6 months of follow-up and continues to demonstrate ongoing and meaningful improvements in lumbar spine bone mineral density (BMD). The data were presented in a late-breaker presentation at the American Society for Bone and Mineral Research 2023 Annual Meeting (ASBMR).</w:t>
      </w:r>
    </w:p>
    <w:p>
      <w:pPr>
        <w:spacing w:after="0" w:line="17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of the cut-off date and following at least 6 months of treatment with setrusumab, the annualized fracture rate across all 24 patients in the Phase 2 portion of the study was reduced by 67%. In the 2 years prior to treatment with setrusumab all patients experienced at least 1 fracture. The median annualized fracture rate of 0.72 in the 2 years prior to treatment was reduced to 0.00 (n=24, p=0.042) during the mean treatment duration period of 9 months. Following initiation of treatment with setrusumab, 20 patients experienced no radiographic-confirmed fractures, and 4 patients experienced 7 radiographic-confirmed fractures in 5 separate events. These fractures exclude fractures of the fingers, toes, skull, and face consistent with the Phase 3 study design.</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have not yet encountered a patient with a fragility fracture while on setrusumab, and this may result from setrusumab’s effects on the skeleton, improving the rate of new bone formation and bone quality,” said Gary Gottesman, M.D., Professor of Pediatrics and Medicine, Washington University School of Medicine. “Some of the kids feel well enough they are participating in activities that they might normally avoid and have suffered some relatively minor fractures.“</w:t>
      </w:r>
    </w:p>
    <w:p>
      <w:pPr>
        <w:sectPr>
          <w:pgSz w:w="11900" w:h="16838" w:orient="portrait"/>
          <w:cols w:equalWidth="0" w:num="1">
            <w:col w:w="11020"/>
          </w:cols>
          <w:pgMar w:left="440" w:top="121" w:right="439" w:bottom="1440" w:gutter="0" w:footer="0" w:header="0"/>
        </w:sectPr>
      </w:pPr>
    </w:p>
    <w:bookmarkStart w:id="5" w:name="page6"/>
    <w:bookmarkEnd w:id="5"/>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reduction in annualized fracture rates was associated with a clinically meaningful increase in BMD. At the 6-month timepoint, treatment with setrusumab resulted in a mean increase in lumbar spine BMD from baseline of 13% at 20 mg/kg (n=11) and 16% at 40 mg/kg (n=8), which represents the same substantial mean improvement in Z-score of +0.85 for both dose groups at 6 months compared to a combined mean baseline Z-score of –1.68. The small apparent difference in BMD change from baseline is likely related to differences in patients assigned to the two treated groups. There was no statistically significant difference in BMD percent change or Z-score change from baseline between the 20 and 40 mg/kg dosing cohorts.</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data provide compelling evidence that improved bone mineral density, resulting from this unique mechanism of action, reduced the risk of fractures and that treatment with setrusumab could allow patients with OI to lead much more active lives with fewer fractures,” said Eric Crombez, M.D., chief medical officer at Ultragenyx. “I want to acknowledge the OI community and especially thank the people living with OI and their caregivers who have aided the setrusumab development program so that we may potentially offer the first approved treatment option for this severe and disabling disease.”</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As of the data cut-off, there were no treatment-related serious adverse events observed in the study. Reported adverse events were generally consistent with those observed in the </w:t>
      </w:r>
      <w:r>
        <w:rPr>
          <w:rFonts w:ascii="Arial" w:cs="Arial" w:eastAsia="Arial" w:hAnsi="Arial"/>
          <w:sz w:val="18"/>
          <w:szCs w:val="18"/>
          <w:i w:val="1"/>
          <w:iCs w:val="1"/>
          <w:color w:val="auto"/>
        </w:rPr>
        <w:t>ASTEROID study with infusion-related events and headache determined to be the most common adverse events related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study drug. There have been no reported hypersensitivity reactions related to setrusumab. There were no notable safety-related differences observed between dosing groups or age groups.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Phase 3 portion of the study is currently enrolling approximately 195 patients at 50 sites across 12 countries.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 residents can learn more by visiting </w:t>
      </w:r>
      <w:r>
        <w:rPr>
          <w:rFonts w:ascii="Arial" w:cs="Arial" w:eastAsia="Arial" w:hAnsi="Arial"/>
          <w:sz w:val="18"/>
          <w:szCs w:val="18"/>
          <w:u w:val="single" w:color="auto"/>
          <w:color w:val="auto"/>
        </w:rPr>
        <w:t>ultraclinicaltrials.com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 Day and Webcast Information</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 xml:space="preserve">Ultragenyx will host an Analyst Day at 8:30 a.m. ET on Monday, October 16, 2023 to discuss these data and to provide an update on the company’s development pipeline. A live video webcast of the program will be available at </w:t>
      </w:r>
      <w:r>
        <w:rPr>
          <w:rFonts w:ascii="Arial" w:cs="Arial" w:eastAsia="Arial" w:hAnsi="Arial"/>
          <w:sz w:val="16"/>
          <w:szCs w:val="16"/>
          <w:u w:val="single" w:color="auto"/>
          <w:color w:val="auto"/>
        </w:rPr>
        <w:t>https://www.webcaster4.com/Webcast/Page/359/49192</w:t>
      </w:r>
      <w:r>
        <w:rPr>
          <w:rFonts w:ascii="Arial" w:cs="Arial" w:eastAsia="Arial" w:hAnsi="Arial"/>
          <w:sz w:val="16"/>
          <w:szCs w:val="16"/>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 archived version of the remarks will also be available through the Ultragenyx website.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Setrusumab Phase 3 Program</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global, seamless Phase 2/3 Orbit study is evaluating the effect of setrusumab on clinical fracture rate in patients aged 5 to &lt;26 years. In the Phase 2 portion, 24 patients were randomized 1:1 to receive setrusumab at one of two doses to determine the optimal dosing strategy for Phase 3. The pivotal Phase 3 portion of the study will include approximately 195 patients at 50 sites across 12 countries, randomized 2:1 to receive setrusumab or placebo, with a primary efficacy endpoint of annualized clinical fracture rate, excluding fingers, toes, skull, and face. All patients will transition to an extension period and receive open-label setrusumab after the Phase 3 primary analysis is complete.</w:t>
      </w:r>
    </w:p>
    <w:p>
      <w:pPr>
        <w:spacing w:after="0" w:line="1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global Phase 3 Cosmic study is an open-label, randomized, active-controlled study in patients aged 2 to &lt;7 years evaluating setrusumab compared to intravenous bisphosphonates (IV-BP) therapy on reduction in total fracture rate, including morphometric vertebral fractures. The Cosmic study will enroll approximately 65 patients at more than 20 sites across 8 countries.</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Osteogenesis Imperfecta (OI)</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Osteogenesis Imperfecta (OI) includes a group of genetic disorders impacting bone metabolism. Approximately 85% to 90% of OI cases are caused by mutations in the </w:t>
      </w:r>
      <w:r>
        <w:rPr>
          <w:rFonts w:ascii="Arial" w:cs="Arial" w:eastAsia="Arial" w:hAnsi="Arial"/>
          <w:sz w:val="16"/>
          <w:szCs w:val="16"/>
          <w:i w:val="1"/>
          <w:iCs w:val="1"/>
          <w:color w:val="auto"/>
        </w:rPr>
        <w:t>COL1A1 or COL1A2</w:t>
      </w:r>
      <w:r>
        <w:rPr>
          <w:rFonts w:ascii="Arial" w:cs="Arial" w:eastAsia="Arial" w:hAnsi="Arial"/>
          <w:sz w:val="16"/>
          <w:szCs w:val="16"/>
          <w:color w:val="auto"/>
        </w:rPr>
        <w:t xml:space="preserve"> genes, leading to either reduced or abnormal collagen and changes in bone metabolism. The collagen mutations in OI can result in increased bone brittleness, which contributes to a high rate of fractures. Patients with OI also exhibit inadequate production of new bone, which leads to decreased bone mass, bone fragility and weakness. OI can also lead to bone deformities, abnormal spine curvature, pain, decreased mobility, and short stature. No treatments are approved for OI, which affects approximately 60,000 people in the developed world.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Setrusumab (UX143)</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Setrusumab is a fully human monoclonal antibody that inhibits sclerostin, a negative regulator of bone formation. Blocking sclerostin is expected to increase new bone formation, bone mineral density and bone strength in OI. In mouse models of OI, the use of anti-sclerostin antibodies was shown to increase bone formation, improve bone mass to normal levels, and increase bone strength against fracture force testing to normal levels.</w:t>
      </w:r>
    </w:p>
    <w:p>
      <w:pPr>
        <w:spacing w:after="0" w:line="14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2019 Mereo BioPharma completed the Phase 2b dose-finding study (</w:t>
      </w:r>
      <w:r>
        <w:rPr>
          <w:rFonts w:ascii="Arial" w:cs="Arial" w:eastAsia="Arial" w:hAnsi="Arial"/>
          <w:sz w:val="18"/>
          <w:szCs w:val="18"/>
          <w:i w:val="1"/>
          <w:iCs w:val="1"/>
          <w:color w:val="auto"/>
        </w:rPr>
        <w:t>ASTEROID</w:t>
      </w:r>
      <w:r>
        <w:rPr>
          <w:rFonts w:ascii="Arial" w:cs="Arial" w:eastAsia="Arial" w:hAnsi="Arial"/>
          <w:sz w:val="18"/>
          <w:szCs w:val="18"/>
          <w:color w:val="auto"/>
        </w:rPr>
        <w:t xml:space="preserve">) for setrusumab in 112 adults with OI. The </w:t>
      </w:r>
      <w:r>
        <w:rPr>
          <w:rFonts w:ascii="Arial" w:cs="Arial" w:eastAsia="Arial" w:hAnsi="Arial"/>
          <w:sz w:val="18"/>
          <w:szCs w:val="18"/>
          <w:i w:val="1"/>
          <w:iCs w:val="1"/>
          <w:color w:val="auto"/>
        </w:rPr>
        <w:t>ASTEROID</w:t>
      </w:r>
      <w:r>
        <w:rPr>
          <w:rFonts w:ascii="Arial" w:cs="Arial" w:eastAsia="Arial" w:hAnsi="Arial"/>
          <w:sz w:val="18"/>
          <w:szCs w:val="18"/>
          <w:color w:val="auto"/>
        </w:rPr>
        <w:t xml:space="preserve"> study demonstrated treatment with setrusumab resulted in a clear, dose-dependent and statistically significant effect on bone formation and bone density at multiple anatomical sites among adult participants with OI.</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Ultragenyx and Mereo BioPharma are collaborating on the development of setrusumab globally based on the collaboration and license agreement between the parties. The companies have developed a comprehensive late-stage program to continue development of setrusumab in pediatric and young adult patients across OI sub-types I, III and IV.</w:t>
      </w:r>
    </w:p>
    <w:p>
      <w:pPr>
        <w:sectPr>
          <w:pgSz w:w="11900" w:h="16838" w:orient="portrait"/>
          <w:cols w:equalWidth="0" w:num="1">
            <w:col w:w="10980"/>
          </w:cols>
          <w:pgMar w:left="440" w:top="270"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Ultragenyx</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Ultragenyx is a biopharmaceutical company committed to bringing novel products to patients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pacing w:after="0" w:line="1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 For more information on Ultragenyx, please visit </w:t>
      </w:r>
      <w:r>
        <w:rPr>
          <w:rFonts w:ascii="Arial" w:cs="Arial" w:eastAsia="Arial" w:hAnsi="Arial"/>
          <w:sz w:val="18"/>
          <w:szCs w:val="18"/>
          <w:u w:val="single" w:color="auto"/>
          <w:color w:val="auto"/>
        </w:rPr>
        <w:t>ultragenyx.com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alpha-1-antitrypsin deficiency-associated lung disease (AATD-LD). The Company’s partner, Ultragenyx Pharmaceutical, Inc., has initiated a pivotal Phase 2/3 pediatric study in young adults (5 to &lt;26 years old) for setrusumab in OI and a Phase 3 study in pediatric patients (2 to &lt;7 years old) in the first half of 2023. The partnership with Ultragenyx includes potential milestone payments of up to $245 million (following the recent $9 million milestone)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has pediatric disease designation from the FDA. Alvelestat has received U.S. Orphan Drug Designation for the treatment of AATD, Fast Track designation from the FDA, and positive data were reported from a Phase 2 proof-of-concept study in North America, Europe and the UK. In addition to the rare disease programs, Mereo has two oncology product candidates in clinical development. Etigilimab (anti-TIGIT) has completed enrollment in a Phase 1b/2 basket study evaluating its safety and efficacy in combination with an anti-PD-1 in a range of tumor types including three rare tumors and three gynecological carcinomas—cervical, ovarian, and endometrial and is in an ongoing Phase 1b/2 investigator led study at the MD Anderson Cancer Center in clear cell ovarian cancer; navicixizumab, for the treatment of late line ovarian cancer, has completed a Phase 1 study and has been partnered with OncXerna Therapeutics, Inc. in a global licensing agreement that includes payments of up to $300 million in milestones and royalties.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Mereo BioPharma, please visit </w:t>
      </w:r>
      <w:r>
        <w:rPr>
          <w:rFonts w:ascii="Arial" w:cs="Arial" w:eastAsia="Arial" w:hAnsi="Arial"/>
          <w:sz w:val="18"/>
          <w:szCs w:val="18"/>
          <w:u w:val="single" w:color="auto"/>
          <w:color w:val="auto"/>
        </w:rPr>
        <w:t>www.mereobiopharma.com</w:t>
      </w:r>
      <w:r>
        <w:rPr>
          <w:rFonts w:ascii="Arial" w:cs="Arial" w:eastAsia="Arial" w:hAnsi="Arial"/>
          <w:sz w:val="18"/>
          <w:szCs w:val="18"/>
          <w:color w:val="auto"/>
        </w:rPr>
        <w:t>.</w:t>
      </w:r>
    </w:p>
    <w:p>
      <w:pPr>
        <w:sectPr>
          <w:pgSz w:w="11900" w:h="16838" w:orient="portrait"/>
          <w:cols w:equalWidth="0" w:num="1">
            <w:col w:w="10960"/>
          </w:cols>
          <w:pgMar w:left="440" w:top="270"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Ultragenyx Forward-Looking Statements and Use of Digital Media</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the historical information contained herein, the matters set forth in this press release, including statements related to Ultragenyx’s expectations and projections regarding its future operating results and financial performance, business plans and objectives for UX143, expectations regarding the tolerability and safety of UX143, and future clinical and regulatory developments for UX143 are forward-looking statements within the meaning of the “safe harbor” provisions of the Private Securities Litigation Reform Act of 1995.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the uncertainty of clinical drug development and unpredictability and lengthy process for obtaining regulatory approvals, the ability of the company and Mereo BioPharma to successfully develop UX143, the company’s ability to achieve its projected development goals in its expected timeframes, risks related to adverse side effects, risks related to reliance on third party partners to conduct certain activities on the company’s behalf, the potential for any license or collaboration agreement, including the company’s collaboration agreement with Mereo to be terminated,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Ultragenyx undertakes no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(SEC) on August 4, 2023, and its subsequent periodic reports filed with the SEC.</w:t>
      </w:r>
    </w:p>
    <w:p>
      <w:pPr>
        <w:spacing w:after="0" w:line="282"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i w:val="1"/>
          <w:iCs w:val="1"/>
          <w:color w:val="auto"/>
        </w:rPr>
        <w:t>In addition to its SEC filings, press releases and public conference calls, Ultragenyx uses its investor relations website and social media outlets to publish important information about the company, including information that may be deemed material to investors, and to comply with its disclosure obligations under Regulation FD. Financial and other information about Ultragenyx is routinely posted and is accessible on Ultragenyx’s Investor Relations website (</w:t>
      </w:r>
      <w:r>
        <w:rPr>
          <w:rFonts w:ascii="Arial" w:cs="Arial" w:eastAsia="Arial" w:hAnsi="Arial"/>
          <w:sz w:val="16"/>
          <w:szCs w:val="16"/>
          <w:i w:val="1"/>
          <w:iCs w:val="1"/>
          <w:u w:val="single" w:color="auto"/>
          <w:color w:val="auto"/>
        </w:rPr>
        <w:t>https://ir.ultragenyx.com/</w:t>
      </w:r>
      <w:r>
        <w:rPr>
          <w:rFonts w:ascii="Arial" w:cs="Arial" w:eastAsia="Arial" w:hAnsi="Arial"/>
          <w:sz w:val="16"/>
          <w:szCs w:val="16"/>
          <w:i w:val="1"/>
          <w:iCs w:val="1"/>
          <w:color w:val="auto"/>
        </w:rPr>
        <w:t>) and LinkedIn website (</w:t>
      </w:r>
      <w:r>
        <w:rPr>
          <w:rFonts w:ascii="Arial" w:cs="Arial" w:eastAsia="Arial" w:hAnsi="Arial"/>
          <w:sz w:val="16"/>
          <w:szCs w:val="16"/>
          <w:i w:val="1"/>
          <w:iCs w:val="1"/>
          <w:u w:val="single" w:color="auto"/>
          <w:color w:val="auto"/>
        </w:rPr>
        <w:t>https://www.linkedin.com/company/ultragenyx-pharmaceutical-inc-/</w:t>
      </w:r>
      <w:r>
        <w:rPr>
          <w:rFonts w:ascii="Arial" w:cs="Arial" w:eastAsia="Arial" w:hAnsi="Arial"/>
          <w:sz w:val="16"/>
          <w:szCs w:val="16"/>
          <w:i w:val="1"/>
          <w:iCs w:val="1"/>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Forward-Looking Statements</w:t>
      </w:r>
    </w:p>
    <w:p>
      <w:pPr>
        <w:spacing w:after="0" w:line="12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Mereo BioPharma’s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Mereo BioPharma’s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BioPharma will be those that it anticipates.</w:t>
      </w:r>
    </w:p>
    <w:p>
      <w:pPr>
        <w:spacing w:after="0" w:line="5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i w:val="1"/>
          <w:iCs w:val="1"/>
          <w:color w:val="auto"/>
        </w:rPr>
        <w:t>All of Mereo BioPharma’s forward-looking statements involve known and unknown risks and uncertainties some of which are significant or beyond its control and assumptions that could cause actual results to differ materially from Mereo BioPharma’s historical experience and its present expectations or projections.</w:t>
      </w:r>
    </w:p>
    <w:p>
      <w:pPr>
        <w:spacing w:after="0" w:line="29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Such risks and uncertainties include, among others, the uncertainties inherent in the clinical development process; Mereo BioPharma’s reliance on third parties to conduct and provide funding for its clinical trials; Mereo’s dependence on enrollment of patients in its clinical trials; and Mereo’s dependence on its key executives. You should carefully consider the foregoing factors and the other risks and uncertainties that affect Mereo BioPharma’s business, including those described in the “Risk Factors” section of its latest Annual Report on Form 20-F, reports on Form 6-K and other documents furnished or filed from time to time by Mereo BioPharma with the Securities and Exchange Commission. Mereo BioPharma wishes to caution you not to place undue reliance on any forward-looking statements, which speak only as of the date hereof. Mereo BioPharma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Ultragenyx Pharmaceutical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Higa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415-475-6370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ir@ultragenyx.com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 Blake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415-612-7784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media@ultragenyx.com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Denise Scots-Knight,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Christine Fox,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 (0)333 023 7300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Burns McClellan (Investor Relations Advisor to Mereo)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Lee Roth +01 646-930-4406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investors@mereobiopharma.com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2023-10-17T06:10:43Z</dcterms:created>
  <dcterms:modified xsi:type="dcterms:W3CDTF">2023-10-17T06:10:43Z</dcterms:modified>
</cp:coreProperties>
</file>