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21, 2019</w:t>
      </w:r>
    </w:p>
    <w:p>
      <w:pPr>
        <w:spacing w:after="0" w:line="225" w:lineRule="exact"/>
        <w:rPr>
          <w:sz w:val="24"/>
          <w:szCs w:val="24"/>
          <w:color w:val="auto"/>
        </w:rPr>
      </w:pPr>
    </w:p>
    <w:p>
      <w:pPr>
        <w:ind w:left="9200"/>
        <w:spacing w:after="0"/>
        <w:rPr>
          <w:sz w:val="20"/>
          <w:szCs w:val="20"/>
          <w:color w:val="auto"/>
        </w:rPr>
      </w:pPr>
      <w:r>
        <w:rPr>
          <w:rFonts w:ascii="Arial" w:cs="Arial" w:eastAsia="Arial" w:hAnsi="Arial"/>
          <w:sz w:val="16"/>
          <w:szCs w:val="16"/>
          <w:b w:val="1"/>
          <w:bCs w:val="1"/>
          <w:color w:val="auto"/>
        </w:rPr>
        <w:t>Registration No. 333-______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tbl>
      <w:tblPr>
        <w:tblLayout w:type="fixed"/>
        <w:tblInd w:w="580" w:type="dxa"/>
        <w:tblCellMar>
          <w:top w:w="0" w:type="dxa"/>
          <w:left w:w="0" w:type="dxa"/>
          <w:bottom w:w="0" w:type="dxa"/>
          <w:right w:w="0" w:type="dxa"/>
        </w:tblCellMar>
      </w:tblPr>
      <w:tr>
        <w:trPr>
          <w:trHeight w:val="297"/>
        </w:trPr>
        <w:tc>
          <w:tcPr>
            <w:tcW w:w="2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3"/>
          </w:tcPr>
          <w:p>
            <w:pPr>
              <w:jc w:val="center"/>
              <w:ind w:right="3410"/>
              <w:spacing w:after="0"/>
              <w:rPr>
                <w:sz w:val="20"/>
                <w:szCs w:val="20"/>
                <w:color w:val="auto"/>
              </w:rPr>
            </w:pPr>
            <w:r>
              <w:rPr>
                <w:rFonts w:ascii="Arial" w:cs="Arial" w:eastAsia="Arial" w:hAnsi="Arial"/>
                <w:sz w:val="25"/>
                <w:szCs w:val="25"/>
                <w:b w:val="1"/>
                <w:bCs w:val="1"/>
                <w:color w:val="auto"/>
                <w:w w:val="99"/>
              </w:rPr>
              <w:t>UNITED STATES</w:t>
            </w:r>
          </w:p>
        </w:tc>
      </w:tr>
      <w:tr>
        <w:trPr>
          <w:trHeight w:val="302"/>
        </w:trPr>
        <w:tc>
          <w:tcPr>
            <w:tcW w:w="2260" w:type="dxa"/>
            <w:vAlign w:val="bottom"/>
          </w:tcPr>
          <w:p>
            <w:pPr>
              <w:spacing w:after="0"/>
              <w:rPr>
                <w:sz w:val="24"/>
                <w:szCs w:val="24"/>
                <w:color w:val="auto"/>
              </w:rPr>
            </w:pPr>
          </w:p>
        </w:tc>
        <w:tc>
          <w:tcPr>
            <w:tcW w:w="7480" w:type="dxa"/>
            <w:vAlign w:val="bottom"/>
            <w:gridSpan w:val="6"/>
          </w:tcPr>
          <w:p>
            <w:pPr>
              <w:jc w:val="center"/>
              <w:ind w:right="1690"/>
              <w:spacing w:after="0"/>
              <w:rPr>
                <w:sz w:val="20"/>
                <w:szCs w:val="20"/>
                <w:color w:val="auto"/>
              </w:rPr>
            </w:pPr>
            <w:r>
              <w:rPr>
                <w:rFonts w:ascii="Arial" w:cs="Arial" w:eastAsia="Arial" w:hAnsi="Arial"/>
                <w:sz w:val="25"/>
                <w:szCs w:val="25"/>
                <w:b w:val="1"/>
                <w:bCs w:val="1"/>
                <w:color w:val="auto"/>
              </w:rPr>
              <w:t>SECURITIES AND EXCHANGE COMMISSION</w:t>
            </w:r>
          </w:p>
        </w:tc>
      </w:tr>
      <w:tr>
        <w:trPr>
          <w:trHeight w:val="234"/>
        </w:trPr>
        <w:tc>
          <w:tcPr>
            <w:tcW w:w="2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20" w:type="dxa"/>
            <w:vAlign w:val="bottom"/>
            <w:gridSpan w:val="3"/>
          </w:tcPr>
          <w:p>
            <w:pPr>
              <w:jc w:val="center"/>
              <w:ind w:right="3410"/>
              <w:spacing w:after="0"/>
              <w:rPr>
                <w:sz w:val="20"/>
                <w:szCs w:val="20"/>
                <w:color w:val="auto"/>
              </w:rPr>
            </w:pPr>
            <w:r>
              <w:rPr>
                <w:rFonts w:ascii="Arial" w:cs="Arial" w:eastAsia="Arial" w:hAnsi="Arial"/>
                <w:sz w:val="18"/>
                <w:szCs w:val="18"/>
                <w:b w:val="1"/>
                <w:bCs w:val="1"/>
                <w:color w:val="auto"/>
                <w:w w:val="91"/>
              </w:rPr>
              <w:t>Washington, D.C. 20549</w:t>
            </w:r>
          </w:p>
        </w:tc>
      </w:tr>
      <w:tr>
        <w:trPr>
          <w:trHeight w:val="54"/>
        </w:trPr>
        <w:tc>
          <w:tcPr>
            <w:tcW w:w="2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3080" w:type="dxa"/>
            <w:vAlign w:val="bottom"/>
          </w:tcPr>
          <w:p>
            <w:pPr>
              <w:spacing w:after="0"/>
              <w:rPr>
                <w:sz w:val="4"/>
                <w:szCs w:val="4"/>
                <w:color w:val="auto"/>
              </w:rPr>
            </w:pPr>
          </w:p>
        </w:tc>
      </w:tr>
      <w:tr>
        <w:trPr>
          <w:trHeight w:val="637"/>
        </w:trPr>
        <w:tc>
          <w:tcPr>
            <w:tcW w:w="2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3"/>
          </w:tcPr>
          <w:p>
            <w:pPr>
              <w:jc w:val="center"/>
              <w:ind w:right="3410"/>
              <w:spacing w:after="0"/>
              <w:rPr>
                <w:sz w:val="20"/>
                <w:szCs w:val="20"/>
                <w:color w:val="auto"/>
              </w:rPr>
            </w:pPr>
            <w:r>
              <w:rPr>
                <w:rFonts w:ascii="Arial" w:cs="Arial" w:eastAsia="Arial" w:hAnsi="Arial"/>
                <w:sz w:val="25"/>
                <w:szCs w:val="25"/>
                <w:b w:val="1"/>
                <w:bCs w:val="1"/>
                <w:color w:val="auto"/>
                <w:w w:val="98"/>
              </w:rPr>
              <w:t>FORM S-8</w:t>
            </w:r>
          </w:p>
        </w:tc>
      </w:tr>
      <w:tr>
        <w:trPr>
          <w:trHeight w:val="216"/>
        </w:trPr>
        <w:tc>
          <w:tcPr>
            <w:tcW w:w="2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340" w:type="dxa"/>
            <w:vAlign w:val="bottom"/>
            <w:gridSpan w:val="5"/>
          </w:tcPr>
          <w:p>
            <w:pPr>
              <w:jc w:val="center"/>
              <w:ind w:right="2790"/>
              <w:spacing w:after="0"/>
              <w:rPr>
                <w:sz w:val="20"/>
                <w:szCs w:val="20"/>
                <w:color w:val="auto"/>
              </w:rPr>
            </w:pPr>
            <w:r>
              <w:rPr>
                <w:rFonts w:ascii="Arial" w:cs="Arial" w:eastAsia="Arial" w:hAnsi="Arial"/>
                <w:sz w:val="18"/>
                <w:szCs w:val="18"/>
                <w:b w:val="1"/>
                <w:bCs w:val="1"/>
                <w:color w:val="auto"/>
              </w:rPr>
              <w:t>REGISTRATION STATEMENT</w:t>
            </w:r>
          </w:p>
        </w:tc>
      </w:tr>
      <w:tr>
        <w:trPr>
          <w:trHeight w:val="234"/>
        </w:trPr>
        <w:tc>
          <w:tcPr>
            <w:tcW w:w="2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340" w:type="dxa"/>
            <w:vAlign w:val="bottom"/>
            <w:gridSpan w:val="5"/>
          </w:tcPr>
          <w:p>
            <w:pPr>
              <w:jc w:val="center"/>
              <w:ind w:right="2870"/>
              <w:spacing w:after="0"/>
              <w:rPr>
                <w:sz w:val="20"/>
                <w:szCs w:val="20"/>
                <w:color w:val="auto"/>
              </w:rPr>
            </w:pPr>
            <w:r>
              <w:rPr>
                <w:rFonts w:ascii="Arial" w:cs="Arial" w:eastAsia="Arial" w:hAnsi="Arial"/>
                <w:sz w:val="18"/>
                <w:szCs w:val="18"/>
                <w:b w:val="1"/>
                <w:bCs w:val="1"/>
                <w:color w:val="auto"/>
                <w:w w:val="99"/>
              </w:rPr>
              <w:t>UNDER THE SECURITIES ACT OF 1933</w:t>
            </w:r>
          </w:p>
        </w:tc>
      </w:tr>
      <w:tr>
        <w:trPr>
          <w:trHeight w:val="54"/>
        </w:trPr>
        <w:tc>
          <w:tcPr>
            <w:tcW w:w="2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3080" w:type="dxa"/>
            <w:vAlign w:val="bottom"/>
          </w:tcPr>
          <w:p>
            <w:pPr>
              <w:spacing w:after="0"/>
              <w:rPr>
                <w:sz w:val="4"/>
                <w:szCs w:val="4"/>
                <w:color w:val="auto"/>
              </w:rPr>
            </w:pPr>
          </w:p>
        </w:tc>
      </w:tr>
      <w:tr>
        <w:trPr>
          <w:trHeight w:val="650"/>
        </w:trPr>
        <w:tc>
          <w:tcPr>
            <w:tcW w:w="2260" w:type="dxa"/>
            <w:vAlign w:val="bottom"/>
          </w:tcPr>
          <w:p>
            <w:pPr>
              <w:spacing w:after="0"/>
              <w:rPr>
                <w:sz w:val="24"/>
                <w:szCs w:val="24"/>
                <w:color w:val="auto"/>
              </w:rPr>
            </w:pPr>
          </w:p>
        </w:tc>
        <w:tc>
          <w:tcPr>
            <w:tcW w:w="7480" w:type="dxa"/>
            <w:vAlign w:val="bottom"/>
            <w:gridSpan w:val="6"/>
          </w:tcPr>
          <w:p>
            <w:pPr>
              <w:jc w:val="center"/>
              <w:ind w:right="1650"/>
              <w:spacing w:after="0"/>
              <w:rPr>
                <w:sz w:val="20"/>
                <w:szCs w:val="20"/>
                <w:color w:val="auto"/>
              </w:rPr>
            </w:pPr>
            <w:r>
              <w:rPr>
                <w:rFonts w:ascii="Arial" w:cs="Arial" w:eastAsia="Arial" w:hAnsi="Arial"/>
                <w:sz w:val="25"/>
                <w:szCs w:val="25"/>
                <w:b w:val="1"/>
                <w:bCs w:val="1"/>
                <w:color w:val="auto"/>
              </w:rPr>
              <w:t>MEREO BIOPHARMA GROUP PLC</w:t>
            </w:r>
          </w:p>
        </w:tc>
      </w:tr>
      <w:tr>
        <w:trPr>
          <w:trHeight w:val="234"/>
        </w:trPr>
        <w:tc>
          <w:tcPr>
            <w:tcW w:w="2260" w:type="dxa"/>
            <w:vAlign w:val="bottom"/>
          </w:tcPr>
          <w:p>
            <w:pPr>
              <w:spacing w:after="0"/>
              <w:rPr>
                <w:sz w:val="20"/>
                <w:szCs w:val="20"/>
                <w:color w:val="auto"/>
              </w:rPr>
            </w:pPr>
          </w:p>
        </w:tc>
        <w:tc>
          <w:tcPr>
            <w:tcW w:w="7480" w:type="dxa"/>
            <w:vAlign w:val="bottom"/>
            <w:gridSpan w:val="6"/>
          </w:tcPr>
          <w:p>
            <w:pPr>
              <w:jc w:val="center"/>
              <w:ind w:right="165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418"/>
        </w:trPr>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3"/>
              </w:rPr>
              <w:t>United Kingdom</w:t>
            </w: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tcPr>
          <w:p>
            <w:pPr>
              <w:jc w:val="center"/>
              <w:ind w:left="1670"/>
              <w:spacing w:after="0"/>
              <w:rPr>
                <w:sz w:val="20"/>
                <w:szCs w:val="20"/>
                <w:color w:val="auto"/>
              </w:rPr>
            </w:pPr>
            <w:r>
              <w:rPr>
                <w:rFonts w:ascii="Arial" w:cs="Arial" w:eastAsia="Arial" w:hAnsi="Arial"/>
                <w:sz w:val="18"/>
                <w:szCs w:val="18"/>
                <w:b w:val="1"/>
                <w:bCs w:val="1"/>
                <w:color w:val="auto"/>
              </w:rPr>
              <w:t>N/A</w:t>
            </w:r>
          </w:p>
        </w:tc>
      </w:tr>
      <w:tr>
        <w:trPr>
          <w:trHeight w:val="216"/>
        </w:trPr>
        <w:tc>
          <w:tcPr>
            <w:tcW w:w="2260" w:type="dxa"/>
            <w:vAlign w:val="bottom"/>
          </w:tcPr>
          <w:p>
            <w:pPr>
              <w:jc w:val="center"/>
              <w:ind w:right="30"/>
              <w:spacing w:after="0"/>
              <w:rPr>
                <w:sz w:val="20"/>
                <w:szCs w:val="20"/>
                <w:color w:val="auto"/>
              </w:rPr>
            </w:pPr>
            <w:r>
              <w:rPr>
                <w:rFonts w:ascii="Arial" w:cs="Arial" w:eastAsia="Arial" w:hAnsi="Arial"/>
                <w:sz w:val="18"/>
                <w:szCs w:val="18"/>
                <w:color w:val="auto"/>
                <w:w w:val="93"/>
              </w:rPr>
              <w:t>(State or other jurisdiction of</w:t>
            </w: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tcPr>
          <w:p>
            <w:pPr>
              <w:jc w:val="center"/>
              <w:ind w:left="1610"/>
              <w:spacing w:after="0"/>
              <w:rPr>
                <w:sz w:val="20"/>
                <w:szCs w:val="20"/>
                <w:color w:val="auto"/>
              </w:rPr>
            </w:pPr>
            <w:r>
              <w:rPr>
                <w:rFonts w:ascii="Arial" w:cs="Arial" w:eastAsia="Arial" w:hAnsi="Arial"/>
                <w:sz w:val="18"/>
                <w:szCs w:val="18"/>
                <w:color w:val="auto"/>
                <w:w w:val="92"/>
              </w:rPr>
              <w:t>(I.R.S. Employer</w:t>
            </w:r>
          </w:p>
        </w:tc>
      </w:tr>
      <w:tr>
        <w:trPr>
          <w:trHeight w:val="212"/>
        </w:trPr>
        <w:tc>
          <w:tcPr>
            <w:tcW w:w="2260" w:type="dxa"/>
            <w:vAlign w:val="bottom"/>
          </w:tcPr>
          <w:p>
            <w:pPr>
              <w:jc w:val="center"/>
              <w:spacing w:after="0"/>
              <w:rPr>
                <w:sz w:val="20"/>
                <w:szCs w:val="20"/>
                <w:color w:val="auto"/>
              </w:rPr>
            </w:pPr>
            <w:r>
              <w:rPr>
                <w:rFonts w:ascii="Arial" w:cs="Arial" w:eastAsia="Arial" w:hAnsi="Arial"/>
                <w:sz w:val="18"/>
                <w:szCs w:val="18"/>
                <w:color w:val="auto"/>
                <w:w w:val="93"/>
              </w:rPr>
              <w:t>incorporation or organization)</w:t>
            </w: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tcPr>
          <w:p>
            <w:pPr>
              <w:jc w:val="center"/>
              <w:ind w:left="1650"/>
              <w:spacing w:after="0"/>
              <w:rPr>
                <w:sz w:val="20"/>
                <w:szCs w:val="20"/>
                <w:color w:val="auto"/>
              </w:rPr>
            </w:pPr>
            <w:r>
              <w:rPr>
                <w:rFonts w:ascii="Arial" w:cs="Arial" w:eastAsia="Arial" w:hAnsi="Arial"/>
                <w:sz w:val="18"/>
                <w:szCs w:val="18"/>
                <w:color w:val="auto"/>
                <w:w w:val="95"/>
              </w:rPr>
              <w:t>Identification No.)</w:t>
            </w:r>
          </w:p>
        </w:tc>
      </w:tr>
      <w:tr>
        <w:trPr>
          <w:trHeight w:val="216"/>
        </w:trPr>
        <w:tc>
          <w:tcPr>
            <w:tcW w:w="2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20" w:type="dxa"/>
            <w:vAlign w:val="bottom"/>
            <w:gridSpan w:val="3"/>
          </w:tcPr>
          <w:p>
            <w:pPr>
              <w:jc w:val="center"/>
              <w:ind w:right="3650"/>
              <w:spacing w:after="0"/>
              <w:rPr>
                <w:sz w:val="20"/>
                <w:szCs w:val="20"/>
                <w:color w:val="auto"/>
              </w:rPr>
            </w:pPr>
            <w:r>
              <w:rPr>
                <w:rFonts w:ascii="Arial" w:cs="Arial" w:eastAsia="Arial" w:hAnsi="Arial"/>
                <w:sz w:val="18"/>
                <w:szCs w:val="18"/>
                <w:b w:val="1"/>
                <w:bCs w:val="1"/>
                <w:color w:val="auto"/>
                <w:w w:val="90"/>
              </w:rPr>
              <w:t>4th Floor</w:t>
            </w:r>
          </w:p>
        </w:tc>
      </w:tr>
      <w:tr>
        <w:trPr>
          <w:trHeight w:val="216"/>
        </w:trPr>
        <w:tc>
          <w:tcPr>
            <w:tcW w:w="2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20" w:type="dxa"/>
            <w:vAlign w:val="bottom"/>
            <w:gridSpan w:val="3"/>
          </w:tcPr>
          <w:p>
            <w:pPr>
              <w:jc w:val="center"/>
              <w:ind w:right="3650"/>
              <w:spacing w:after="0"/>
              <w:rPr>
                <w:sz w:val="20"/>
                <w:szCs w:val="20"/>
                <w:color w:val="auto"/>
              </w:rPr>
            </w:pPr>
            <w:r>
              <w:rPr>
                <w:rFonts w:ascii="Arial" w:cs="Arial" w:eastAsia="Arial" w:hAnsi="Arial"/>
                <w:sz w:val="18"/>
                <w:szCs w:val="18"/>
                <w:b w:val="1"/>
                <w:bCs w:val="1"/>
                <w:color w:val="auto"/>
                <w:w w:val="88"/>
              </w:rPr>
              <w:t>One Cavendish Place</w:t>
            </w:r>
          </w:p>
        </w:tc>
      </w:tr>
      <w:tr>
        <w:trPr>
          <w:trHeight w:val="216"/>
        </w:trPr>
        <w:tc>
          <w:tcPr>
            <w:tcW w:w="2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20" w:type="dxa"/>
            <w:vAlign w:val="bottom"/>
            <w:gridSpan w:val="3"/>
          </w:tcPr>
          <w:p>
            <w:pPr>
              <w:jc w:val="center"/>
              <w:ind w:right="3630"/>
              <w:spacing w:after="0"/>
              <w:rPr>
                <w:sz w:val="20"/>
                <w:szCs w:val="20"/>
                <w:color w:val="auto"/>
              </w:rPr>
            </w:pPr>
            <w:r>
              <w:rPr>
                <w:rFonts w:ascii="Arial" w:cs="Arial" w:eastAsia="Arial" w:hAnsi="Arial"/>
                <w:sz w:val="18"/>
                <w:szCs w:val="18"/>
                <w:b w:val="1"/>
                <w:bCs w:val="1"/>
                <w:color w:val="auto"/>
                <w:w w:val="94"/>
              </w:rPr>
              <w:t>London W1G 0QF</w:t>
            </w:r>
          </w:p>
        </w:tc>
      </w:tr>
      <w:tr>
        <w:trPr>
          <w:trHeight w:val="216"/>
        </w:trPr>
        <w:tc>
          <w:tcPr>
            <w:tcW w:w="2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20" w:type="dxa"/>
            <w:vAlign w:val="bottom"/>
            <w:gridSpan w:val="3"/>
          </w:tcPr>
          <w:p>
            <w:pPr>
              <w:jc w:val="center"/>
              <w:ind w:right="3650"/>
              <w:spacing w:after="0"/>
              <w:rPr>
                <w:sz w:val="20"/>
                <w:szCs w:val="20"/>
                <w:color w:val="auto"/>
              </w:rPr>
            </w:pPr>
            <w:r>
              <w:rPr>
                <w:rFonts w:ascii="Arial" w:cs="Arial" w:eastAsia="Arial" w:hAnsi="Arial"/>
                <w:sz w:val="18"/>
                <w:szCs w:val="18"/>
                <w:b w:val="1"/>
                <w:bCs w:val="1"/>
                <w:color w:val="auto"/>
                <w:w w:val="93"/>
              </w:rPr>
              <w:t>United Kingdom</w:t>
            </w:r>
          </w:p>
        </w:tc>
      </w:tr>
      <w:tr>
        <w:trPr>
          <w:trHeight w:val="220"/>
        </w:trPr>
        <w:tc>
          <w:tcPr>
            <w:tcW w:w="2260" w:type="dxa"/>
            <w:vAlign w:val="bottom"/>
          </w:tcPr>
          <w:p>
            <w:pPr>
              <w:spacing w:after="0"/>
              <w:rPr>
                <w:sz w:val="19"/>
                <w:szCs w:val="19"/>
                <w:color w:val="auto"/>
              </w:rPr>
            </w:pPr>
          </w:p>
        </w:tc>
        <w:tc>
          <w:tcPr>
            <w:tcW w:w="4020" w:type="dxa"/>
            <w:vAlign w:val="bottom"/>
            <w:gridSpan w:val="4"/>
          </w:tcPr>
          <w:p>
            <w:pPr>
              <w:jc w:val="center"/>
              <w:ind w:left="1380"/>
              <w:spacing w:after="0"/>
              <w:rPr>
                <w:sz w:val="20"/>
                <w:szCs w:val="20"/>
                <w:color w:val="auto"/>
              </w:rPr>
            </w:pPr>
            <w:r>
              <w:rPr>
                <w:rFonts w:ascii="Arial" w:cs="Arial" w:eastAsia="Arial" w:hAnsi="Arial"/>
                <w:sz w:val="18"/>
                <w:szCs w:val="18"/>
                <w:b w:val="1"/>
                <w:bCs w:val="1"/>
                <w:color w:val="auto"/>
                <w:w w:val="89"/>
              </w:rPr>
              <w:t>+44 33 3023 7300</w:t>
            </w:r>
          </w:p>
        </w:tc>
        <w:tc>
          <w:tcPr>
            <w:tcW w:w="38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237"/>
        </w:trPr>
        <w:tc>
          <w:tcPr>
            <w:tcW w:w="2260" w:type="dxa"/>
            <w:vAlign w:val="bottom"/>
          </w:tcPr>
          <w:p>
            <w:pPr>
              <w:spacing w:after="0"/>
              <w:rPr>
                <w:sz w:val="20"/>
                <w:szCs w:val="20"/>
                <w:color w:val="auto"/>
              </w:rPr>
            </w:pPr>
          </w:p>
        </w:tc>
        <w:tc>
          <w:tcPr>
            <w:tcW w:w="7480" w:type="dxa"/>
            <w:vAlign w:val="bottom"/>
            <w:gridSpan w:val="6"/>
          </w:tcPr>
          <w:p>
            <w:pPr>
              <w:jc w:val="center"/>
              <w:ind w:right="1650"/>
              <w:spacing w:after="0"/>
              <w:rPr>
                <w:sz w:val="20"/>
                <w:szCs w:val="20"/>
                <w:color w:val="auto"/>
              </w:rPr>
            </w:pPr>
            <w:r>
              <w:rPr>
                <w:rFonts w:ascii="Arial" w:cs="Arial" w:eastAsia="Arial" w:hAnsi="Arial"/>
                <w:sz w:val="18"/>
                <w:szCs w:val="18"/>
                <w:color w:val="auto"/>
                <w:w w:val="92"/>
              </w:rPr>
              <w:t>(Address including zip code of Principal Executive Offices)</w:t>
            </w:r>
          </w:p>
        </w:tc>
      </w:tr>
      <w:tr>
        <w:trPr>
          <w:trHeight w:val="20"/>
        </w:trPr>
        <w:tc>
          <w:tcPr>
            <w:tcW w:w="2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60" w:type="dxa"/>
            <w:vAlign w:val="bottom"/>
            <w:gridSpan w:val="4"/>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387"/>
        </w:trPr>
        <w:tc>
          <w:tcPr>
            <w:tcW w:w="2260" w:type="dxa"/>
            <w:vAlign w:val="bottom"/>
          </w:tcPr>
          <w:p>
            <w:pPr>
              <w:spacing w:after="0"/>
              <w:rPr>
                <w:sz w:val="24"/>
                <w:szCs w:val="24"/>
                <w:color w:val="auto"/>
              </w:rPr>
            </w:pPr>
          </w:p>
        </w:tc>
        <w:tc>
          <w:tcPr>
            <w:tcW w:w="7480" w:type="dxa"/>
            <w:vAlign w:val="bottom"/>
            <w:gridSpan w:val="6"/>
          </w:tcPr>
          <w:p>
            <w:pPr>
              <w:jc w:val="center"/>
              <w:ind w:right="1670"/>
              <w:spacing w:after="0"/>
              <w:rPr>
                <w:sz w:val="20"/>
                <w:szCs w:val="20"/>
                <w:color w:val="auto"/>
              </w:rPr>
            </w:pPr>
            <w:r>
              <w:rPr>
                <w:rFonts w:ascii="Arial" w:cs="Arial" w:eastAsia="Arial" w:hAnsi="Arial"/>
                <w:sz w:val="18"/>
                <w:szCs w:val="18"/>
                <w:b w:val="1"/>
                <w:bCs w:val="1"/>
                <w:color w:val="auto"/>
                <w:w w:val="92"/>
              </w:rPr>
              <w:t>Mereo Biopharma Group plc 2019 Equity Incentive Plan</w:t>
            </w:r>
          </w:p>
        </w:tc>
      </w:tr>
      <w:tr>
        <w:trPr>
          <w:trHeight w:val="220"/>
        </w:trPr>
        <w:tc>
          <w:tcPr>
            <w:tcW w:w="2260" w:type="dxa"/>
            <w:vAlign w:val="bottom"/>
          </w:tcPr>
          <w:p>
            <w:pPr>
              <w:spacing w:after="0"/>
              <w:rPr>
                <w:sz w:val="19"/>
                <w:szCs w:val="19"/>
                <w:color w:val="auto"/>
              </w:rPr>
            </w:pPr>
          </w:p>
        </w:tc>
        <w:tc>
          <w:tcPr>
            <w:tcW w:w="7480" w:type="dxa"/>
            <w:vAlign w:val="bottom"/>
            <w:gridSpan w:val="6"/>
          </w:tcPr>
          <w:p>
            <w:pPr>
              <w:jc w:val="center"/>
              <w:ind w:right="1690"/>
              <w:spacing w:after="0"/>
              <w:rPr>
                <w:sz w:val="20"/>
                <w:szCs w:val="20"/>
                <w:color w:val="auto"/>
              </w:rPr>
            </w:pPr>
            <w:r>
              <w:rPr>
                <w:rFonts w:ascii="Arial" w:cs="Arial" w:eastAsia="Arial" w:hAnsi="Arial"/>
                <w:sz w:val="18"/>
                <w:szCs w:val="18"/>
                <w:b w:val="1"/>
                <w:bCs w:val="1"/>
                <w:color w:val="auto"/>
                <w:w w:val="91"/>
              </w:rPr>
              <w:t>Mereo Biopharma Group plc 2019 Non-Employee Equity Incentive Plan</w:t>
            </w:r>
          </w:p>
        </w:tc>
      </w:tr>
      <w:tr>
        <w:trPr>
          <w:trHeight w:val="237"/>
        </w:trPr>
        <w:tc>
          <w:tcPr>
            <w:tcW w:w="2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(Full title of the plans)</w:t>
            </w:r>
          </w:p>
        </w:tc>
        <w:tc>
          <w:tcPr>
            <w:tcW w:w="3080" w:type="dxa"/>
            <w:vAlign w:val="bottom"/>
          </w:tcPr>
          <w:p>
            <w:pPr>
              <w:spacing w:after="0"/>
              <w:rPr>
                <w:sz w:val="20"/>
                <w:szCs w:val="20"/>
                <w:color w:val="auto"/>
              </w:rPr>
            </w:pPr>
          </w:p>
        </w:tc>
      </w:tr>
    </w:tbl>
    <w:p>
      <w:pPr>
        <w:spacing w:after="0" w:line="171"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Mereo US Holdings Inc.</w:t>
      </w:r>
    </w:p>
    <w:p>
      <w:pPr>
        <w:spacing w:after="0" w:line="2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251 Little Falls Drive</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Wilmington, DE 19808</w:t>
      </w:r>
    </w:p>
    <w:p>
      <w:pPr>
        <w:spacing w:after="0" w:line="9"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Telephone No.: +1 302 636 5400</w:t>
      </w:r>
    </w:p>
    <w:p>
      <w:pPr>
        <w:spacing w:after="0" w:line="9"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2526665</wp:posOffset>
            </wp:positionH>
            <wp:positionV relativeFrom="paragraph">
              <wp:posOffset>14605</wp:posOffset>
            </wp:positionV>
            <wp:extent cx="20751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i w:val="1"/>
          <w:iCs w:val="1"/>
          <w:color w:val="auto"/>
        </w:rPr>
        <w:t>Copy to</w:t>
      </w:r>
      <w:r>
        <w:rPr>
          <w:rFonts w:ascii="Arial" w:cs="Arial" w:eastAsia="Arial" w:hAnsi="Arial"/>
          <w:sz w:val="18"/>
          <w:szCs w:val="18"/>
          <w:i w:val="1"/>
          <w:iCs w:val="1"/>
          <w:color w:val="auto"/>
        </w:rPr>
        <w:t>:</w:t>
      </w:r>
    </w:p>
    <w:p>
      <w:pPr>
        <w:spacing w:after="0" w:line="221"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Leo Borchardt</w:t>
      </w:r>
    </w:p>
    <w:p>
      <w:pPr>
        <w:spacing w:after="0" w:line="27"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Veronica Wissel</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Davis Polk &amp; Wardwell LLP</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450 Lexington Avenue</w:t>
      </w:r>
    </w:p>
    <w:p>
      <w:pPr>
        <w:spacing w:after="0" w:line="9" w:lineRule="exact"/>
        <w:rPr>
          <w:sz w:val="24"/>
          <w:szCs w:val="24"/>
          <w:color w:val="auto"/>
        </w:rPr>
      </w:pPr>
    </w:p>
    <w:p>
      <w:pPr>
        <w:ind w:left="4560"/>
        <w:spacing w:after="0"/>
        <w:rPr>
          <w:sz w:val="20"/>
          <w:szCs w:val="20"/>
          <w:color w:val="auto"/>
        </w:rPr>
      </w:pPr>
      <w:r>
        <w:rPr>
          <w:rFonts w:ascii="Arial" w:cs="Arial" w:eastAsia="Arial" w:hAnsi="Arial"/>
          <w:sz w:val="18"/>
          <w:szCs w:val="18"/>
          <w:color w:val="auto"/>
        </w:rPr>
        <w:t>New York, New York 10017</w:t>
      </w:r>
    </w:p>
    <w:p>
      <w:pPr>
        <w:spacing w:after="0" w:line="9" w:lineRule="exact"/>
        <w:rPr>
          <w:sz w:val="24"/>
          <w:szCs w:val="24"/>
          <w:color w:val="auto"/>
        </w:rPr>
      </w:pPr>
    </w:p>
    <w:p>
      <w:pPr>
        <w:ind w:left="4980"/>
        <w:spacing w:after="0"/>
        <w:rPr>
          <w:sz w:val="20"/>
          <w:szCs w:val="20"/>
          <w:color w:val="auto"/>
        </w:rPr>
      </w:pPr>
      <w:r>
        <w:rPr>
          <w:rFonts w:ascii="Arial" w:cs="Arial" w:eastAsia="Arial" w:hAnsi="Arial"/>
          <w:sz w:val="18"/>
          <w:szCs w:val="18"/>
          <w:color w:val="auto"/>
        </w:rPr>
        <w:t>+1 212 450 4000</w:t>
      </w:r>
    </w:p>
    <w:p>
      <w:pPr>
        <w:spacing w:after="0" w:line="2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8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00" w:type="dxa"/>
            <w:vAlign w:val="bottom"/>
            <w:gridSpan w:val="3"/>
          </w:tcPr>
          <w:p>
            <w:pPr>
              <w:ind w:left="20"/>
              <w:spacing w:after="0"/>
              <w:rPr>
                <w:sz w:val="20"/>
                <w:szCs w:val="20"/>
                <w:color w:val="auto"/>
              </w:rPr>
            </w:pPr>
            <w:r>
              <w:rPr>
                <w:rFonts w:ascii="Arial" w:cs="Arial" w:eastAsia="Arial" w:hAnsi="Arial"/>
                <w:sz w:val="18"/>
                <w:szCs w:val="18"/>
                <w:color w:val="auto"/>
              </w:rPr>
              <w:t>Accelerated filer</w:t>
            </w:r>
          </w:p>
        </w:tc>
        <w:tc>
          <w:tcPr>
            <w:tcW w:w="19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220" w:type="dxa"/>
            <w:vAlign w:val="bottom"/>
          </w:tcPr>
          <w:p>
            <w:pPr>
              <w:spacing w:after="0"/>
              <w:rPr>
                <w:sz w:val="18"/>
                <w:szCs w:val="18"/>
                <w:color w:val="auto"/>
              </w:rPr>
            </w:pPr>
          </w:p>
        </w:tc>
      </w:tr>
      <w:tr>
        <w:trPr>
          <w:trHeight w:val="216"/>
        </w:trPr>
        <w:tc>
          <w:tcPr>
            <w:tcW w:w="6180" w:type="dxa"/>
            <w:vAlign w:val="bottom"/>
            <w:gridSpan w:val="4"/>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100" w:type="dxa"/>
            <w:vAlign w:val="bottom"/>
            <w:gridSpan w:val="3"/>
          </w:tcPr>
          <w:p>
            <w:pPr>
              <w:ind w:left="20"/>
              <w:spacing w:after="0"/>
              <w:rPr>
                <w:sz w:val="20"/>
                <w:szCs w:val="20"/>
                <w:color w:val="auto"/>
              </w:rPr>
            </w:pPr>
            <w:r>
              <w:rPr>
                <w:rFonts w:ascii="Arial" w:cs="Arial" w:eastAsia="Arial" w:hAnsi="Arial"/>
                <w:sz w:val="18"/>
                <w:szCs w:val="18"/>
                <w:color w:val="auto"/>
                <w:w w:val="95"/>
              </w:rPr>
              <w:t>Smaller reporting company</w:t>
            </w:r>
          </w:p>
        </w:tc>
        <w:tc>
          <w:tcPr>
            <w:tcW w:w="19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220" w:type="dxa"/>
            <w:vAlign w:val="bottom"/>
          </w:tcPr>
          <w:p>
            <w:pPr>
              <w:spacing w:after="0"/>
              <w:rPr>
                <w:sz w:val="18"/>
                <w:szCs w:val="18"/>
                <w:color w:val="auto"/>
              </w:rPr>
            </w:pPr>
          </w:p>
        </w:tc>
      </w:tr>
      <w:tr>
        <w:trPr>
          <w:trHeight w:val="283"/>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100" w:type="dxa"/>
            <w:vAlign w:val="bottom"/>
            <w:gridSpan w:val="3"/>
          </w:tcPr>
          <w:p>
            <w:pPr>
              <w:ind w:left="20"/>
              <w:spacing w:after="0"/>
              <w:rPr>
                <w:sz w:val="20"/>
                <w:szCs w:val="20"/>
                <w:color w:val="auto"/>
              </w:rPr>
            </w:pPr>
            <w:r>
              <w:rPr>
                <w:rFonts w:ascii="Arial" w:cs="Arial" w:eastAsia="Arial" w:hAnsi="Arial"/>
                <w:sz w:val="18"/>
                <w:szCs w:val="18"/>
                <w:color w:val="auto"/>
                <w:w w:val="92"/>
              </w:rPr>
              <w:t>Emerging Growth Company</w:t>
            </w:r>
          </w:p>
        </w:tc>
        <w:tc>
          <w:tcPr>
            <w:tcW w:w="19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22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5"/>
          </w:tcPr>
          <w:p>
            <w:pPr>
              <w:jc w:val="center"/>
              <w:ind w:right="780"/>
              <w:spacing w:after="0"/>
              <w:rPr>
                <w:sz w:val="20"/>
                <w:szCs w:val="20"/>
                <w:color w:val="auto"/>
              </w:rPr>
            </w:pPr>
            <w:r>
              <w:rPr>
                <w:rFonts w:ascii="Arial" w:cs="Arial" w:eastAsia="Arial" w:hAnsi="Arial"/>
                <w:sz w:val="18"/>
                <w:szCs w:val="18"/>
                <w:b w:val="1"/>
                <w:bCs w:val="1"/>
                <w:color w:val="auto"/>
              </w:rPr>
              <w:t>CALCULATION OF REGISTRATION FEE</w:t>
            </w:r>
          </w:p>
        </w:tc>
        <w:tc>
          <w:tcPr>
            <w:tcW w:w="19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w w:val="91"/>
              </w:rPr>
              <w:t>Proposed Maximum</w:t>
            </w:r>
          </w:p>
        </w:tc>
        <w:tc>
          <w:tcPr>
            <w:tcW w:w="140" w:type="dxa"/>
            <w:vAlign w:val="bottom"/>
          </w:tcPr>
          <w:p>
            <w:pPr>
              <w:spacing w:after="0"/>
              <w:rPr>
                <w:sz w:val="15"/>
                <w:szCs w:val="15"/>
                <w:color w:val="auto"/>
              </w:rPr>
            </w:pPr>
          </w:p>
        </w:tc>
        <w:tc>
          <w:tcPr>
            <w:tcW w:w="1920" w:type="dxa"/>
            <w:vAlign w:val="bottom"/>
            <w:tcBorders>
              <w:right w:val="single" w:sz="8" w:color="auto"/>
            </w:tcBorders>
          </w:tcPr>
          <w:p>
            <w:pPr>
              <w:jc w:val="center"/>
              <w:ind w:right="70"/>
              <w:spacing w:after="0" w:line="178" w:lineRule="exact"/>
              <w:rPr>
                <w:sz w:val="20"/>
                <w:szCs w:val="20"/>
                <w:color w:val="auto"/>
              </w:rPr>
            </w:pPr>
            <w:r>
              <w:rPr>
                <w:rFonts w:ascii="Arial" w:cs="Arial" w:eastAsia="Arial" w:hAnsi="Arial"/>
                <w:sz w:val="18"/>
                <w:szCs w:val="18"/>
                <w:b w:val="1"/>
                <w:bCs w:val="1"/>
                <w:color w:val="auto"/>
                <w:w w:val="86"/>
              </w:rPr>
              <w:t>Proposed</w:t>
            </w:r>
          </w:p>
        </w:tc>
        <w:tc>
          <w:tcPr>
            <w:tcW w:w="122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91"/>
              </w:rPr>
              <w:t>Amount of</w:t>
            </w:r>
          </w:p>
        </w:tc>
      </w:tr>
      <w:tr>
        <w:trPr>
          <w:trHeight w:val="220"/>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Amount to be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40" w:type="dxa"/>
            <w:vAlign w:val="bottom"/>
          </w:tcPr>
          <w:p>
            <w:pPr>
              <w:spacing w:after="0"/>
              <w:rPr>
                <w:sz w:val="19"/>
                <w:szCs w:val="19"/>
                <w:color w:val="auto"/>
              </w:rPr>
            </w:pPr>
          </w:p>
        </w:tc>
        <w:tc>
          <w:tcPr>
            <w:tcW w:w="192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Maximum Aggregate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r>
      <w:tr>
        <w:trPr>
          <w:trHeight w:val="271"/>
        </w:trPr>
        <w:tc>
          <w:tcPr>
            <w:tcW w:w="20" w:type="dxa"/>
            <w:vAlign w:val="bottom"/>
          </w:tcPr>
          <w:p>
            <w:pPr>
              <w:spacing w:after="0"/>
              <w:rPr>
                <w:sz w:val="23"/>
                <w:szCs w:val="23"/>
                <w:color w:val="auto"/>
              </w:rPr>
            </w:pPr>
          </w:p>
        </w:tc>
        <w:tc>
          <w:tcPr>
            <w:tcW w:w="386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w w:val="91"/>
              </w:rPr>
              <w:t>Title of Securities to be Registered</w:t>
            </w:r>
          </w:p>
        </w:tc>
        <w:tc>
          <w:tcPr>
            <w:tcW w:w="1060" w:type="dxa"/>
            <w:vAlign w:val="bottom"/>
            <w:tcBorders>
              <w:bottom w:val="single" w:sz="8" w:color="auto"/>
              <w:right w:val="single" w:sz="8" w:color="auto"/>
            </w:tcBorders>
          </w:tcPr>
          <w:p>
            <w:pPr>
              <w:spacing w:after="0"/>
              <w:rPr>
                <w:sz w:val="23"/>
                <w:szCs w:val="23"/>
                <w:color w:val="auto"/>
              </w:rPr>
            </w:pPr>
          </w:p>
        </w:tc>
        <w:tc>
          <w:tcPr>
            <w:tcW w:w="1240" w:type="dxa"/>
            <w:vAlign w:val="bottom"/>
            <w:tcBorders>
              <w:bottom w:val="single" w:sz="8" w:color="auto"/>
            </w:tcBorders>
          </w:tcPr>
          <w:p>
            <w:pPr>
              <w:jc w:val="center"/>
              <w:ind w:left="130"/>
              <w:spacing w:after="0" w:line="271" w:lineRule="exact"/>
              <w:rPr>
                <w:sz w:val="20"/>
                <w:szCs w:val="20"/>
                <w:color w:val="auto"/>
              </w:rPr>
            </w:pPr>
            <w:r>
              <w:rPr>
                <w:rFonts w:ascii="Arial" w:cs="Arial" w:eastAsia="Arial" w:hAnsi="Arial"/>
                <w:sz w:val="18"/>
                <w:szCs w:val="18"/>
                <w:b w:val="1"/>
                <w:bCs w:val="1"/>
                <w:color w:val="auto"/>
                <w:w w:val="83"/>
              </w:rPr>
              <w:t>Registered</w:t>
            </w:r>
            <w:r>
              <w:rPr>
                <w:rFonts w:ascii="Arial" w:cs="Arial" w:eastAsia="Arial" w:hAnsi="Arial"/>
                <w:sz w:val="30"/>
                <w:szCs w:val="30"/>
                <w:b w:val="1"/>
                <w:bCs w:val="1"/>
                <w:color w:val="auto"/>
                <w:w w:val="83"/>
                <w:vertAlign w:val="superscript"/>
              </w:rPr>
              <w:t>(2)</w:t>
            </w:r>
          </w:p>
        </w:tc>
        <w:tc>
          <w:tcPr>
            <w:tcW w:w="240" w:type="dxa"/>
            <w:vAlign w:val="bottom"/>
            <w:tcBorders>
              <w:bottom w:val="single" w:sz="8" w:color="auto"/>
              <w:right w:val="single" w:sz="8" w:color="auto"/>
            </w:tcBorders>
          </w:tcPr>
          <w:p>
            <w:pPr>
              <w:spacing w:after="0"/>
              <w:rPr>
                <w:sz w:val="23"/>
                <w:szCs w:val="23"/>
                <w:color w:val="auto"/>
              </w:rPr>
            </w:pPr>
          </w:p>
        </w:tc>
        <w:tc>
          <w:tcPr>
            <w:tcW w:w="1720" w:type="dxa"/>
            <w:vAlign w:val="bottom"/>
            <w:tcBorders>
              <w:bottom w:val="single" w:sz="8" w:color="auto"/>
              <w:right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6"/>
              </w:rPr>
              <w:t>Per Share</w:t>
            </w:r>
            <w:r>
              <w:rPr>
                <w:rFonts w:ascii="Arial" w:cs="Arial" w:eastAsia="Arial" w:hAnsi="Arial"/>
                <w:sz w:val="30"/>
                <w:szCs w:val="30"/>
                <w:b w:val="1"/>
                <w:bCs w:val="1"/>
                <w:color w:val="auto"/>
                <w:w w:val="86"/>
                <w:vertAlign w:val="superscript"/>
              </w:rPr>
              <w:t>(3)</w:t>
            </w:r>
          </w:p>
        </w:tc>
        <w:tc>
          <w:tcPr>
            <w:tcW w:w="140" w:type="dxa"/>
            <w:vAlign w:val="bottom"/>
            <w:tcBorders>
              <w:bottom w:val="single" w:sz="8" w:color="auto"/>
            </w:tcBorders>
          </w:tcPr>
          <w:p>
            <w:pPr>
              <w:spacing w:after="0"/>
              <w:rPr>
                <w:sz w:val="23"/>
                <w:szCs w:val="23"/>
                <w:color w:val="auto"/>
              </w:rPr>
            </w:pPr>
          </w:p>
        </w:tc>
        <w:tc>
          <w:tcPr>
            <w:tcW w:w="1920" w:type="dxa"/>
            <w:vAlign w:val="bottom"/>
            <w:tcBorders>
              <w:bottom w:val="single" w:sz="8" w:color="auto"/>
              <w:right w:val="single" w:sz="8" w:color="auto"/>
            </w:tcBorders>
          </w:tcPr>
          <w:p>
            <w:pPr>
              <w:jc w:val="center"/>
              <w:ind w:right="70"/>
              <w:spacing w:after="0" w:line="271" w:lineRule="exact"/>
              <w:rPr>
                <w:sz w:val="20"/>
                <w:szCs w:val="20"/>
                <w:color w:val="auto"/>
              </w:rPr>
            </w:pPr>
            <w:r>
              <w:rPr>
                <w:rFonts w:ascii="Arial" w:cs="Arial" w:eastAsia="Arial" w:hAnsi="Arial"/>
                <w:sz w:val="18"/>
                <w:szCs w:val="18"/>
                <w:b w:val="1"/>
                <w:bCs w:val="1"/>
                <w:color w:val="auto"/>
                <w:w w:val="89"/>
              </w:rPr>
              <w:t>Offering Price</w:t>
            </w:r>
            <w:r>
              <w:rPr>
                <w:rFonts w:ascii="Arial" w:cs="Arial" w:eastAsia="Arial" w:hAnsi="Arial"/>
                <w:sz w:val="30"/>
                <w:szCs w:val="30"/>
                <w:b w:val="1"/>
                <w:bCs w:val="1"/>
                <w:color w:val="auto"/>
                <w:w w:val="89"/>
                <w:vertAlign w:val="superscript"/>
              </w:rPr>
              <w:t>(4)</w:t>
            </w:r>
          </w:p>
        </w:tc>
        <w:tc>
          <w:tcPr>
            <w:tcW w:w="122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79"/>
              </w:rPr>
              <w:t>Fee</w:t>
            </w:r>
            <w:r>
              <w:rPr>
                <w:rFonts w:ascii="Arial" w:cs="Arial" w:eastAsia="Arial" w:hAnsi="Arial"/>
                <w:sz w:val="30"/>
                <w:szCs w:val="30"/>
                <w:b w:val="1"/>
                <w:bCs w:val="1"/>
                <w:color w:val="auto"/>
                <w:w w:val="79"/>
                <w:vertAlign w:val="superscript"/>
              </w:rPr>
              <w:t>(5)</w:t>
            </w:r>
          </w:p>
        </w:tc>
      </w:tr>
      <w:tr>
        <w:trPr>
          <w:trHeight w:val="250"/>
        </w:trPr>
        <w:tc>
          <w:tcPr>
            <w:tcW w:w="20" w:type="dxa"/>
            <w:vAlign w:val="bottom"/>
            <w:tcBorders>
              <w:bottom w:val="single" w:sz="8" w:color="auto"/>
            </w:tcBorders>
          </w:tcPr>
          <w:p>
            <w:pPr>
              <w:spacing w:after="0"/>
              <w:rPr>
                <w:sz w:val="21"/>
                <w:szCs w:val="21"/>
                <w:color w:val="auto"/>
              </w:rPr>
            </w:pPr>
          </w:p>
        </w:tc>
        <w:tc>
          <w:tcPr>
            <w:tcW w:w="3860" w:type="dxa"/>
            <w:vAlign w:val="bottom"/>
            <w:tcBorders>
              <w:bottom w:val="single" w:sz="8" w:color="auto"/>
            </w:tcBorders>
          </w:tcPr>
          <w:p>
            <w:pPr>
              <w:spacing w:after="0" w:line="250" w:lineRule="exact"/>
              <w:rPr>
                <w:sz w:val="20"/>
                <w:szCs w:val="20"/>
                <w:color w:val="auto"/>
              </w:rPr>
            </w:pPr>
            <w:r>
              <w:rPr>
                <w:rFonts w:ascii="Arial" w:cs="Arial" w:eastAsia="Arial" w:hAnsi="Arial"/>
                <w:sz w:val="17"/>
                <w:szCs w:val="17"/>
                <w:color w:val="auto"/>
                <w:w w:val="98"/>
              </w:rPr>
              <w:t>Ordinary shares, nominal value £0.003 per share</w:t>
            </w:r>
            <w:r>
              <w:rPr>
                <w:rFonts w:ascii="Arial" w:cs="Arial" w:eastAsia="Arial" w:hAnsi="Arial"/>
                <w:sz w:val="28"/>
                <w:szCs w:val="28"/>
                <w:color w:val="auto"/>
                <w:w w:val="98"/>
                <w:vertAlign w:val="superscript"/>
              </w:rPr>
              <w:t>(1)</w:t>
            </w:r>
          </w:p>
        </w:tc>
        <w:tc>
          <w:tcPr>
            <w:tcW w:w="106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89"/>
              </w:rPr>
              <w:t>4,321,062</w:t>
            </w:r>
          </w:p>
        </w:tc>
        <w:tc>
          <w:tcPr>
            <w:tcW w:w="24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$1.08</w:t>
            </w:r>
          </w:p>
        </w:tc>
        <w:tc>
          <w:tcPr>
            <w:tcW w:w="140" w:type="dxa"/>
            <w:vAlign w:val="bottom"/>
            <w:tcBorders>
              <w:bottom w:val="single" w:sz="8" w:color="auto"/>
            </w:tcBorders>
          </w:tcPr>
          <w:p>
            <w:pPr>
              <w:spacing w:after="0"/>
              <w:rPr>
                <w:sz w:val="21"/>
                <w:szCs w:val="21"/>
                <w:color w:val="auto"/>
              </w:rPr>
            </w:pPr>
          </w:p>
        </w:tc>
        <w:tc>
          <w:tcPr>
            <w:tcW w:w="192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88"/>
              </w:rPr>
              <w:t>$4,666,747</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$565.61</w:t>
            </w:r>
          </w:p>
        </w:tc>
      </w:tr>
    </w:tbl>
    <w:p>
      <w:pPr>
        <w:spacing w:after="0" w:line="233" w:lineRule="exact"/>
        <w:rPr>
          <w:sz w:val="24"/>
          <w:szCs w:val="24"/>
          <w:color w:val="auto"/>
        </w:rPr>
      </w:pPr>
    </w:p>
    <w:p>
      <w:pPr>
        <w:ind w:left="340" w:right="20" w:hanging="332"/>
        <w:spacing w:after="0" w:line="278"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ordinary shares, par value £0.003 per share (the “Ordinary Shares”) of Mereo Biopharma Group plc (the “Registrant”) registered hereunder may be represented by the Registrant’s American Depositary Shares (“ADSs”), with each ADS representing five Ordinary Shares. The Registrant’s ADSs issuable upon deposit of the ordinary shares have been registered under a separate registration statement on Form F-6 (333-223890).</w:t>
      </w:r>
    </w:p>
    <w:p>
      <w:pPr>
        <w:spacing w:after="0" w:line="170" w:lineRule="exact"/>
        <w:rPr>
          <w:rFonts w:ascii="Arial" w:cs="Arial" w:eastAsia="Arial" w:hAnsi="Arial"/>
          <w:sz w:val="16"/>
          <w:szCs w:val="16"/>
          <w:color w:val="auto"/>
        </w:rPr>
      </w:pPr>
    </w:p>
    <w:p>
      <w:pPr>
        <w:ind w:left="340" w:right="140" w:hanging="332"/>
        <w:spacing w:after="0" w:line="278"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ordinary shares issuable pursuant to the Mereo Biopharma Group plc 2019 Equity Incentive Plan and the Mereo Biopharma Group plc 2019 Non-Employee Equity Incentive Plan (collectively, the “Plans”), which share a common Ordinary Share pool. Pursuant to Rule 416(a) under the Securities Act of 1933, as amended (the “Securities Act”), this registration statement is</w:t>
      </w:r>
    </w:p>
    <w:p>
      <w:pPr>
        <w:spacing w:after="0" w:line="170" w:lineRule="exact"/>
        <w:rPr>
          <w:rFonts w:ascii="Arial" w:cs="Arial" w:eastAsia="Arial" w:hAnsi="Arial"/>
          <w:sz w:val="16"/>
          <w:szCs w:val="16"/>
          <w:color w:val="auto"/>
        </w:rPr>
      </w:pPr>
    </w:p>
    <w:p>
      <w:pPr>
        <w:ind w:left="340" w:right="220" w:hanging="332"/>
        <w:spacing w:after="0" w:line="293"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deemed to cover an indeterminate number of additional Ordinary Shares that may be offered or issued pursuant to the Plans to prevent dilution resulting from any share dividend, share split or other similar transaction.</w:t>
      </w:r>
    </w:p>
    <w:p>
      <w:pPr>
        <w:spacing w:after="0" w:line="158"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Computed solely for the purpose of calculating the registration fee pursuant to Rule 457(c) and 457(h) under the Securities Act on the basis of 85.00 pence, the average</w:t>
      </w:r>
    </w:p>
    <w:p>
      <w:pPr>
        <w:sectPr>
          <w:pgSz w:w="11900" w:h="16838" w:orient="portrait"/>
          <w:cols w:equalWidth="0" w:num="1">
            <w:col w:w="11420"/>
          </w:cols>
          <w:pgMar w:left="240" w:top="229" w:right="239" w:bottom="0" w:gutter="0" w:footer="0" w:header="0"/>
        </w:sectPr>
      </w:pPr>
    </w:p>
    <w:bookmarkStart w:id="1" w:name="page2"/>
    <w:bookmarkEnd w:id="1"/>
    <w:p>
      <w:pPr>
        <w:ind w:left="332" w:right="620"/>
        <w:spacing w:after="0" w:line="329" w:lineRule="auto"/>
        <w:rPr>
          <w:sz w:val="20"/>
          <w:szCs w:val="20"/>
          <w:color w:val="auto"/>
        </w:rPr>
      </w:pPr>
      <w:r>
        <w:rPr>
          <w:rFonts w:ascii="Arial" w:cs="Arial" w:eastAsia="Arial" w:hAnsi="Arial"/>
          <w:sz w:val="15"/>
          <w:szCs w:val="15"/>
          <w:color w:val="auto"/>
        </w:rPr>
        <w:t>high and low sale price of the Ordinary Shares of the Registrant on the Alternative Investment Market operated by the London Stock Exchange on May 20, 2019, converted into U.S. dollars at the noon buying rate of the Federal Reserve Bank of New York on May 17, 2019, of $1.2723 to £1.0000.</w:t>
      </w:r>
    </w:p>
    <w:p>
      <w:pPr>
        <w:spacing w:after="0" w:line="135" w:lineRule="exact"/>
        <w:rPr>
          <w:sz w:val="20"/>
          <w:szCs w:val="20"/>
          <w:color w:val="auto"/>
        </w:rPr>
      </w:pPr>
    </w:p>
    <w:p>
      <w:pPr>
        <w:ind w:left="332" w:hanging="332"/>
        <w:spacing w:after="0" w:line="293" w:lineRule="auto"/>
        <w:tabs>
          <w:tab w:leader="none" w:pos="332" w:val="left"/>
        </w:tabs>
        <w:numPr>
          <w:ilvl w:val="0"/>
          <w:numId w:val="2"/>
        </w:numPr>
        <w:rPr>
          <w:rFonts w:ascii="Arial" w:cs="Arial" w:eastAsia="Arial" w:hAnsi="Arial"/>
          <w:sz w:val="15"/>
          <w:szCs w:val="15"/>
          <w:color w:val="auto"/>
        </w:rPr>
      </w:pPr>
      <w:r>
        <w:rPr>
          <w:rFonts w:ascii="Arial" w:cs="Arial" w:eastAsia="Arial" w:hAnsi="Arial"/>
          <w:sz w:val="15"/>
          <w:szCs w:val="15"/>
          <w:color w:val="auto"/>
        </w:rPr>
        <w:t>Rounded up to the nearest penny. Pursuant to Rule 457(p) under the Securities Act, the Registrant hereby offsets the registration fee for this registration statement on Form S-8 against the registration fee of $10,022.00 previously paid by the Registrant in connection with the Registrant’s registration statement on Form F-1 (File No. 333-223883), initially filed by the Registrant with the Securities and Exchange Commission on March 23, 2018 and withdrawn by the Registrant on February 21, 2019 before it had become effective and before any securities were sold thereunder. Accordingly, no filing fee is being paid at this time. After application of the registration fee due in connection with this registration statement on Form S-8, $9,456.39 remains available to the Registrant for future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340995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130" w:right="239" w:bottom="1440" w:gutter="0" w:footer="0" w:header="0"/>
        </w:sectPr>
      </w:pPr>
    </w:p>
    <w:bookmarkStart w:id="2" w:name="page3"/>
    <w:bookmarkEnd w:id="2"/>
    <w:p>
      <w:pPr>
        <w:jc w:val="center"/>
        <w:ind w:left="3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ind w:right="40" w:firstLine="332"/>
        <w:spacing w:after="0" w:line="276" w:lineRule="auto"/>
        <w:tabs>
          <w:tab w:leader="none" w:pos="459" w:val="left"/>
        </w:tabs>
        <w:numPr>
          <w:ilvl w:val="0"/>
          <w:numId w:val="3"/>
        </w:numPr>
        <w:rPr>
          <w:rFonts w:ascii="Arial" w:cs="Arial" w:eastAsia="Arial" w:hAnsi="Arial"/>
          <w:sz w:val="17"/>
          <w:szCs w:val="17"/>
          <w:color w:val="auto"/>
        </w:rPr>
      </w:pPr>
      <w:r>
        <w:rPr>
          <w:rFonts w:ascii="Arial" w:cs="Arial" w:eastAsia="Arial" w:hAnsi="Arial"/>
          <w:sz w:val="17"/>
          <w:szCs w:val="17"/>
          <w:color w:val="auto"/>
        </w:rPr>
        <w:t>Information required by Part I to be contained in the Section 10(a) prospectus is omitted from this Registration Statement on Form S-8 (this “Registration Statement”) in accordance with Rule 428 under the Securities Act and the Note to Part I of Form S-8. The documents containing information specified in this Part I will be separately provided to the participants in the Plans covered by this registration statement, as specified by Rule 428(b)(1) under the Securities Act. Such documents will not be filed with the U.S. Securities and Exchange Commission (the “Commission”) either as part of this registration statement or as prospectuses or prospectus supplements pursuant to Rule 424 under the Securities Act.</w:t>
      </w:r>
    </w:p>
    <w:p>
      <w:pPr>
        <w:spacing w:after="0" w:line="169"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incorporated herein by reference: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(a)(i) The Annual Report on Form 20-F for the year ended December 31, 2018, filed with the Commission on April 29, 2019.</w:t>
      </w:r>
    </w:p>
    <w:p>
      <w:pPr>
        <w:spacing w:after="0" w:line="225" w:lineRule="exact"/>
        <w:rPr>
          <w:sz w:val="20"/>
          <w:szCs w:val="20"/>
          <w:color w:val="auto"/>
        </w:rPr>
      </w:pPr>
    </w:p>
    <w:p>
      <w:pPr>
        <w:ind w:right="320" w:firstLine="332"/>
        <w:spacing w:after="0" w:line="277" w:lineRule="auto"/>
        <w:tabs>
          <w:tab w:leader="none" w:pos="579"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reports filed pursuant to Section 13(a) or 15(d) of the Securities Exchange Act of 1934, as amended (the “Exchange Act”) since the end of the fiscal year covered by the Registrant’s Form 20-F referred to in clause (a)(ii) above; and</w:t>
      </w:r>
    </w:p>
    <w:p>
      <w:pPr>
        <w:spacing w:after="0" w:line="170" w:lineRule="exact"/>
        <w:rPr>
          <w:rFonts w:ascii="Arial" w:cs="Arial" w:eastAsia="Arial" w:hAnsi="Arial"/>
          <w:sz w:val="18"/>
          <w:szCs w:val="18"/>
          <w:color w:val="auto"/>
        </w:rPr>
      </w:pPr>
    </w:p>
    <w:p>
      <w:pPr>
        <w:ind w:right="360" w:firstLine="332"/>
        <w:spacing w:after="0" w:line="277" w:lineRule="auto"/>
        <w:tabs>
          <w:tab w:leader="none" w:pos="56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the Registrant’s ordinary shares which is contained in the Registrant’s registration statement on Form 8-A, dated April 9, 2018 (Registration No. 001-38452), including any amendment or report filed for the purpose of updating such description.</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addition, all documents subsequently filed by the Registrant with the Commission pursuant to Sections 13(a), 13(c), 14 and 15(d) of the Exchange Act, prior to the filing of a post-effective amendment to this Registration Statement which indicates that all securities offered have been sold or which deregisters all securities then remaining unsold, including any Report of Foreign Private Issuer on Form 6-K submitted during such period (or portion thereof) that is identified in such form as being incorporated by reference into this Registration Statement, shall be deemed to be incorporated by reference in this Registration Statement and to be a part hereof from the date of the filing of such documents. The Registrant is not incorporating by reference any document or portion thereof, whether specifically listed above or to be filed in the future, that is not deemed “filed” with the Commission.</w:t>
      </w:r>
    </w:p>
    <w:p>
      <w:pPr>
        <w:spacing w:after="0" w:line="17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Articles of Association of the Registrant provide that the Registrant may indemnify the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 w:name="page4"/>
    <w:bookmarkEnd w:id="3"/>
    <w:p>
      <w:pPr>
        <w:ind w:right="140"/>
        <w:spacing w:after="0" w:line="277" w:lineRule="auto"/>
        <w:rPr>
          <w:sz w:val="20"/>
          <w:szCs w:val="20"/>
          <w:color w:val="auto"/>
        </w:rPr>
      </w:pPr>
      <w:r>
        <w:rPr>
          <w:rFonts w:ascii="Arial" w:cs="Arial" w:eastAsia="Arial" w:hAnsi="Arial"/>
          <w:sz w:val="18"/>
          <w:szCs w:val="18"/>
          <w:color w:val="auto"/>
        </w:rPr>
        <w:t>other officers of the Registrant in respect of any proceedings, whether civil or criminal, brought against them by reason of their being directors or officers of the Registrant and to the fullest extent permitted by the Companies Act 2006 of the United Kingdom (“CA 2006”).</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Generally, under CA 2006, any provision by which the Registrant directly or indirectly provides an indemnity (to any extent) for a director of the Registrant or of an “associated company” (i.e., a company that is a parent, subsidiary or sister company of the Registrant) against any liability attaching to him or her in connection with any negligence, default, breach of duty or breach of trust in relation to the company of which he or she is a director is (subject to certain exceptions specified under CA 2006) void.</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Registrant has entered into a deed of indemnity with each of its directors, the form of which was filed as Exhibit 10.26 to the Registrant’s registration statement on Form F-4 (Registration No. 333-229351), as originally filed by the Registrant on January 25, 2019 and subsequently amended. Except as prohibited by applicable law, these deeds of indemnity may require the Registrant, among other things, to indemnify its directors for certain expenses, including attorneys’ fees, costs and expenses incurred by such directors with the prior written consent of the Registrant in any action or proceeding arising out of their service as a director of the Registrant, or one of its subsidiaries.</w:t>
      </w:r>
    </w:p>
    <w:p>
      <w:pPr>
        <w:spacing w:after="0" w:line="188"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The Registrant maintains directors’ and officers’ insurance coverage, which, subject to policy terms and limitations, is expected to include coverage to reimburse the Registrant for amounts that it may be required or permitted by law to pay directors or officers of the Registrant.</w:t>
      </w:r>
    </w:p>
    <w:p>
      <w:pPr>
        <w:spacing w:after="0" w:line="14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exhibits listed below in the “Exhibit Index” are filed as a part of, or incorporated by reference into, this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460" w:hanging="480"/>
        <w:spacing w:after="0"/>
        <w:tabs>
          <w:tab w:leader="none" w:pos="146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660" w:right="20" w:firstLine="320"/>
        <w:spacing w:after="0" w:line="255" w:lineRule="auto"/>
        <w:tabs>
          <w:tab w:leader="none" w:pos="1516"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89" w:lineRule="exact"/>
        <w:rPr>
          <w:rFonts w:ascii="Arial" w:cs="Arial" w:eastAsia="Arial" w:hAnsi="Arial"/>
          <w:sz w:val="18"/>
          <w:szCs w:val="18"/>
          <w:color w:val="auto"/>
        </w:rPr>
      </w:pPr>
    </w:p>
    <w:p>
      <w:pPr>
        <w:ind w:left="660" w:right="320" w:firstLine="320"/>
        <w:spacing w:after="0" w:line="277" w:lineRule="auto"/>
        <w:tabs>
          <w:tab w:leader="none" w:pos="1566"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Plans not previously disclosed in this Registration Statement or any material change to such information in this Registration Statement;</w:t>
      </w:r>
    </w:p>
    <w:p>
      <w:pPr>
        <w:spacing w:after="0" w:line="170" w:lineRule="exact"/>
        <w:rPr>
          <w:sz w:val="20"/>
          <w:szCs w:val="20"/>
          <w:color w:val="auto"/>
        </w:rPr>
      </w:pPr>
    </w:p>
    <w:p>
      <w:pPr>
        <w:jc w:val="both"/>
        <w:ind w:left="660" w:right="160"/>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and (a)(1)(ii)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periodic reports filed with or furnished to the Commission by the Registrant pursuant to Section 13 or 15(d) of the Exchange Act that are incorporated by reference in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 w:name="page5"/>
    <w:bookmarkEnd w:id="4"/>
    <w:p>
      <w:pPr>
        <w:ind w:left="8" w:right="140" w:firstLine="316"/>
        <w:spacing w:after="0" w:line="264" w:lineRule="auto"/>
        <w:tabs>
          <w:tab w:leader="none" w:pos="854"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left="8" w:right="560" w:firstLine="316"/>
        <w:spacing w:after="0" w:line="277" w:lineRule="auto"/>
        <w:tabs>
          <w:tab w:leader="none" w:pos="854"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332" w:right="40" w:firstLine="332"/>
        <w:spacing w:after="0" w:line="302" w:lineRule="auto"/>
        <w:tabs>
          <w:tab w:leader="none" w:pos="514"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54" w:lineRule="exact"/>
        <w:rPr>
          <w:rFonts w:ascii="Arial" w:cs="Arial" w:eastAsia="Arial" w:hAnsi="Arial"/>
          <w:sz w:val="16"/>
          <w:szCs w:val="16"/>
          <w:color w:val="auto"/>
        </w:rPr>
      </w:pPr>
    </w:p>
    <w:p>
      <w:pPr>
        <w:ind w:left="-332" w:firstLine="332"/>
        <w:spacing w:after="0" w:line="291" w:lineRule="auto"/>
        <w:tabs>
          <w:tab w:leader="none" w:pos="507"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338455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58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460" w:type="dxa"/>
            <w:vAlign w:val="bottom"/>
            <w:gridSpan w:val="8"/>
          </w:tcPr>
          <w:p>
            <w:pPr>
              <w:ind w:left="6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Exhibit No.</w:t>
            </w:r>
          </w:p>
        </w:tc>
        <w:tc>
          <w:tcPr>
            <w:tcW w:w="60" w:type="dxa"/>
            <w:vAlign w:val="bottom"/>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gridSpan w:val="7"/>
          </w:tcPr>
          <w:p>
            <w:pPr>
              <w:ind w:left="38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220" w:type="dxa"/>
            <w:vAlign w:val="bottom"/>
            <w:tcBorders>
              <w:bottom w:val="single" w:sz="8" w:color="0000FF"/>
            </w:tcBorders>
          </w:tcPr>
          <w:p>
            <w:pPr>
              <w:spacing w:after="0" w:line="170" w:lineRule="exact"/>
              <w:rPr>
                <w:rFonts w:ascii="Arial" w:cs="Arial" w:eastAsia="Arial" w:hAnsi="Arial"/>
                <w:sz w:val="18"/>
                <w:szCs w:val="18"/>
                <w:color w:val="0000FF"/>
                <w:w w:val="79"/>
              </w:rPr>
            </w:pPr>
            <w:hyperlink r:id="rId16">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780" w:type="dxa"/>
            <w:vAlign w:val="bottom"/>
            <w:tcBorders>
              <w:bottom w:val="single" w:sz="8" w:color="0000FF"/>
            </w:tcBorders>
            <w:gridSpan w:val="8"/>
          </w:tcPr>
          <w:p>
            <w:pPr>
              <w:spacing w:after="0" w:line="170"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Articles of Association of the Registrant (incorporated herein by reference to the Registrant’s Registration Statement on Form F-4, filed</w:t>
              </w:r>
            </w:hyperlink>
          </w:p>
        </w:tc>
        <w:tc>
          <w:tcPr>
            <w:tcW w:w="2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8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with the Commission on January 25, 2019 (Registration No. 333-229351))</w:t>
              </w:r>
            </w:hyperlink>
          </w:p>
        </w:tc>
        <w:tc>
          <w:tcPr>
            <w:tcW w:w="4600" w:type="dxa"/>
            <w:vAlign w:val="bottom"/>
            <w:gridSpan w:val="5"/>
          </w:tcPr>
          <w:p>
            <w:pPr>
              <w:spacing w:after="0"/>
              <w:rPr>
                <w:sz w:val="17"/>
                <w:szCs w:val="17"/>
                <w:color w:val="auto"/>
              </w:rPr>
            </w:pPr>
          </w:p>
        </w:tc>
      </w:tr>
      <w:tr>
        <w:trPr>
          <w:trHeight w:val="196"/>
        </w:trPr>
        <w:tc>
          <w:tcPr>
            <w:tcW w:w="32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3"/>
              </w:rPr>
              <w:t>5.</w:t>
            </w:r>
            <w:r>
              <w:rPr>
                <w:rFonts w:ascii="Arial" w:cs="Arial" w:eastAsia="Arial" w:hAnsi="Arial"/>
                <w:sz w:val="18"/>
                <w:szCs w:val="18"/>
                <w:u w:val="single" w:color="auto"/>
                <w:color w:val="0000FF"/>
                <w:w w:val="93"/>
              </w:rPr>
              <w:t>1*</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2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4"/>
              </w:rPr>
              <w:t>Opinion of Davis Polk &amp; Wardwell London LLP</w:t>
            </w:r>
          </w:p>
        </w:tc>
        <w:tc>
          <w:tcPr>
            <w:tcW w:w="6460" w:type="dxa"/>
            <w:vAlign w:val="bottom"/>
            <w:gridSpan w:val="8"/>
          </w:tcPr>
          <w:p>
            <w:pPr>
              <w:spacing w:after="0"/>
              <w:rPr>
                <w:sz w:val="17"/>
                <w:szCs w:val="17"/>
                <w:color w:val="auto"/>
              </w:rPr>
            </w:pPr>
          </w:p>
        </w:tc>
      </w:tr>
      <w:tr>
        <w:trPr>
          <w:trHeight w:val="196"/>
        </w:trPr>
        <w:tc>
          <w:tcPr>
            <w:tcW w:w="32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4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3"/>
              </w:rPr>
              <w:t>Consent of Davis Polk &amp; Wardwell London LLP (included in Exhibit 5.1)</w:t>
            </w:r>
          </w:p>
        </w:tc>
        <w:tc>
          <w:tcPr>
            <w:tcW w:w="4640" w:type="dxa"/>
            <w:vAlign w:val="bottom"/>
            <w:gridSpan w:val="6"/>
          </w:tcPr>
          <w:p>
            <w:pPr>
              <w:spacing w:after="0"/>
              <w:rPr>
                <w:sz w:val="17"/>
                <w:szCs w:val="17"/>
                <w:color w:val="auto"/>
              </w:rPr>
            </w:pPr>
          </w:p>
        </w:tc>
      </w:tr>
      <w:tr>
        <w:trPr>
          <w:trHeight w:val="196"/>
        </w:trPr>
        <w:tc>
          <w:tcPr>
            <w:tcW w:w="420" w:type="dxa"/>
            <w:vAlign w:val="bottom"/>
            <w:gridSpan w:val="4"/>
          </w:tcPr>
          <w:p>
            <w:pPr>
              <w:spacing w:after="0" w:line="196" w:lineRule="exact"/>
              <w:rPr>
                <w:sz w:val="20"/>
                <w:szCs w:val="20"/>
                <w:color w:val="auto"/>
              </w:rPr>
            </w:pPr>
            <w:r>
              <w:rPr>
                <w:rFonts w:ascii="Arial" w:cs="Arial" w:eastAsia="Arial" w:hAnsi="Arial"/>
                <w:sz w:val="18"/>
                <w:szCs w:val="18"/>
                <w:color w:val="0000FF"/>
                <w:w w:val="95"/>
              </w:rPr>
              <w:t>23.</w:t>
            </w:r>
            <w:r>
              <w:rPr>
                <w:rFonts w:ascii="Arial" w:cs="Arial" w:eastAsia="Arial" w:hAnsi="Arial"/>
                <w:sz w:val="18"/>
                <w:szCs w:val="18"/>
                <w:u w:val="single" w:color="auto"/>
                <w:color w:val="0000FF"/>
                <w:w w:val="95"/>
              </w:rPr>
              <w:t>2*</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80" w:type="dxa"/>
            <w:vAlign w:val="bottom"/>
            <w:gridSpan w:val="9"/>
          </w:tcPr>
          <w:p>
            <w:pPr>
              <w:spacing w:after="0" w:line="196" w:lineRule="exact"/>
              <w:rPr>
                <w:sz w:val="20"/>
                <w:szCs w:val="20"/>
                <w:color w:val="auto"/>
              </w:rPr>
            </w:pPr>
            <w:r>
              <w:rPr>
                <w:rFonts w:ascii="Arial" w:cs="Arial" w:eastAsia="Arial" w:hAnsi="Arial"/>
                <w:sz w:val="18"/>
                <w:szCs w:val="18"/>
                <w:color w:val="0000FF"/>
              </w:rPr>
              <w:t>Consent of Ernst &amp; Young LLP, independent registered public accounting firm</w:t>
            </w:r>
          </w:p>
        </w:tc>
      </w:tr>
      <w:tr>
        <w:trPr>
          <w:trHeight w:val="196"/>
        </w:trPr>
        <w:tc>
          <w:tcPr>
            <w:tcW w:w="3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5"/>
              </w:rPr>
            </w:pPr>
            <w:hyperlink w:anchor="page8">
              <w:r>
                <w:rPr>
                  <w:rFonts w:ascii="Arial" w:cs="Arial" w:eastAsia="Arial" w:hAnsi="Arial"/>
                  <w:sz w:val="18"/>
                  <w:szCs w:val="18"/>
                  <w:color w:val="0000FF"/>
                  <w:w w:val="85"/>
                </w:rPr>
                <w:t>24.</w:t>
              </w:r>
              <w:r>
                <w:rPr>
                  <w:rFonts w:ascii="Arial" w:cs="Arial" w:eastAsia="Arial" w:hAnsi="Arial"/>
                  <w:sz w:val="18"/>
                  <w:szCs w:val="18"/>
                  <w:u w:val="single" w:color="auto"/>
                  <w:color w:val="0000FF"/>
                  <w:w w:val="85"/>
                </w:rPr>
                <w:t>1</w:t>
              </w:r>
            </w:hyperlink>
          </w:p>
        </w:tc>
        <w:tc>
          <w:tcPr>
            <w:tcW w:w="100" w:type="dxa"/>
            <w:vAlign w:val="bottom"/>
            <w:tcBorders>
              <w:top w:val="single" w:sz="8" w:color="0000FF"/>
            </w:tcBorders>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8">
              <w:r>
                <w:rPr>
                  <w:rFonts w:ascii="Arial" w:cs="Arial" w:eastAsia="Arial" w:hAnsi="Arial"/>
                  <w:sz w:val="18"/>
                  <w:szCs w:val="18"/>
                  <w:color w:val="0000FF"/>
                  <w:w w:val="90"/>
                </w:rPr>
                <w:t>Power of Attorney (included in the signature page hereto)</w:t>
              </w:r>
            </w:hyperlink>
          </w:p>
        </w:tc>
        <w:tc>
          <w:tcPr>
            <w:tcW w:w="1500" w:type="dxa"/>
            <w:vAlign w:val="bottom"/>
            <w:tcBorders>
              <w:top w:val="single" w:sz="8" w:color="0000FF"/>
            </w:tcBorders>
            <w:gridSpan w:val="3"/>
          </w:tcPr>
          <w:p>
            <w:pPr>
              <w:spacing w:after="0"/>
              <w:rPr>
                <w:sz w:val="17"/>
                <w:szCs w:val="17"/>
                <w:color w:val="auto"/>
              </w:rPr>
            </w:pPr>
          </w:p>
        </w:tc>
        <w:tc>
          <w:tcPr>
            <w:tcW w:w="4320" w:type="dxa"/>
            <w:vAlign w:val="bottom"/>
            <w:gridSpan w:val="4"/>
          </w:tcPr>
          <w:p>
            <w:pPr>
              <w:spacing w:after="0"/>
              <w:rPr>
                <w:sz w:val="17"/>
                <w:szCs w:val="17"/>
                <w:color w:val="auto"/>
              </w:rPr>
            </w:pPr>
          </w:p>
        </w:tc>
      </w:tr>
      <w:tr>
        <w:trPr>
          <w:trHeight w:val="196"/>
        </w:trPr>
        <w:tc>
          <w:tcPr>
            <w:tcW w:w="420" w:type="dxa"/>
            <w:vAlign w:val="bottom"/>
            <w:gridSpan w:val="4"/>
          </w:tcPr>
          <w:p>
            <w:pPr>
              <w:spacing w:after="0" w:line="196" w:lineRule="exact"/>
              <w:rPr>
                <w:sz w:val="20"/>
                <w:szCs w:val="20"/>
                <w:color w:val="auto"/>
              </w:rPr>
            </w:pPr>
            <w:r>
              <w:rPr>
                <w:rFonts w:ascii="Arial" w:cs="Arial" w:eastAsia="Arial" w:hAnsi="Arial"/>
                <w:sz w:val="18"/>
                <w:szCs w:val="18"/>
                <w:color w:val="0000FF"/>
                <w:w w:val="95"/>
              </w:rPr>
              <w:t>99.</w:t>
            </w:r>
            <w:r>
              <w:rPr>
                <w:rFonts w:ascii="Arial" w:cs="Arial" w:eastAsia="Arial" w:hAnsi="Arial"/>
                <w:sz w:val="18"/>
                <w:szCs w:val="18"/>
                <w:u w:val="single" w:color="auto"/>
                <w:color w:val="0000FF"/>
                <w:w w:val="95"/>
              </w:rPr>
              <w:t>1*</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80" w:type="dxa"/>
            <w:vAlign w:val="bottom"/>
            <w:gridSpan w:val="9"/>
          </w:tcPr>
          <w:p>
            <w:pPr>
              <w:spacing w:after="0" w:line="196" w:lineRule="exact"/>
              <w:rPr>
                <w:sz w:val="20"/>
                <w:szCs w:val="20"/>
                <w:color w:val="auto"/>
              </w:rPr>
            </w:pPr>
            <w:r>
              <w:rPr>
                <w:rFonts w:ascii="Arial" w:cs="Arial" w:eastAsia="Arial" w:hAnsi="Arial"/>
                <w:sz w:val="18"/>
                <w:szCs w:val="18"/>
                <w:color w:val="0000FF"/>
              </w:rPr>
              <w:t>Mereo Biopharma Group plc 2019 Equity Incentive Plan, as amended on May 16, 2019</w:t>
            </w:r>
          </w:p>
        </w:tc>
      </w:tr>
      <w:tr>
        <w:trPr>
          <w:trHeight w:val="20"/>
        </w:trPr>
        <w:tc>
          <w:tcPr>
            <w:tcW w:w="3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300" w:type="dxa"/>
            <w:vAlign w:val="bottom"/>
            <w:gridSpan w:val="6"/>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196"/>
        </w:trPr>
        <w:tc>
          <w:tcPr>
            <w:tcW w:w="32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2</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60" w:type="dxa"/>
            <w:vAlign w:val="bottom"/>
            <w:tcBorders>
              <w:bottom w:val="single" w:sz="8" w:color="0000FF"/>
            </w:tcBorders>
            <w:gridSpan w:val="7"/>
          </w:tcPr>
          <w:p>
            <w:pPr>
              <w:spacing w:after="0" w:line="196" w:lineRule="exact"/>
              <w:rPr>
                <w:sz w:val="20"/>
                <w:szCs w:val="20"/>
                <w:color w:val="auto"/>
              </w:rPr>
            </w:pPr>
            <w:r>
              <w:rPr>
                <w:rFonts w:ascii="Arial" w:cs="Arial" w:eastAsia="Arial" w:hAnsi="Arial"/>
                <w:sz w:val="18"/>
                <w:szCs w:val="18"/>
                <w:color w:val="0000FF"/>
                <w:w w:val="91"/>
              </w:rPr>
              <w:t>Mereo Biopharma Group plc 2019 Non-Employee Equity Incentive Plan, as amended on May 16, 2019 (included in Exhibit 99.1)</w:t>
            </w:r>
          </w:p>
        </w:tc>
        <w:tc>
          <w:tcPr>
            <w:tcW w:w="620" w:type="dxa"/>
            <w:vAlign w:val="bottom"/>
            <w:gridSpan w:val="2"/>
          </w:tcPr>
          <w:p>
            <w:pPr>
              <w:spacing w:after="0"/>
              <w:rPr>
                <w:sz w:val="17"/>
                <w:szCs w:val="17"/>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9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this Registration Statement and has duly caused this Registration Statement to be signed on its behalf by the undersigned, thereunto duly authorized, in London, United Kingdom, on this 21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day of May, 2019.</w:t>
      </w:r>
    </w:p>
    <w:p>
      <w:pPr>
        <w:spacing w:after="0" w:line="5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Mereo BioPharma Group plc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ind w:left="698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Denise Scots-Knight</w:t>
            </w:r>
          </w:p>
        </w:tc>
      </w:tr>
      <w:tr>
        <w:trPr>
          <w:trHeight w:val="195"/>
        </w:trPr>
        <w:tc>
          <w:tcPr>
            <w:tcW w:w="7540" w:type="dxa"/>
            <w:vAlign w:val="bottom"/>
          </w:tcPr>
          <w:p>
            <w:pPr>
              <w:ind w:left="6980"/>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Dr. Denise Scots-Knight</w:t>
            </w:r>
          </w:p>
        </w:tc>
      </w:tr>
      <w:tr>
        <w:trPr>
          <w:trHeight w:val="230"/>
        </w:trPr>
        <w:tc>
          <w:tcPr>
            <w:tcW w:w="7540" w:type="dxa"/>
            <w:vAlign w:val="bottom"/>
          </w:tcPr>
          <w:p>
            <w:pPr>
              <w:ind w:left="698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594"/>
        </w:trPr>
        <w:tc>
          <w:tcPr>
            <w:tcW w:w="75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772"/>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Dr. Denise Scots-Knight and Richard Jones and each of them, individually, as his or her true and lawful attorney-in-fact and agent,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U.S. Securities Act of 1933, as amended, and to file the same, with all exhibits thereto, and other documents in connection therewith, with the U.S. Securities and Exchange Commission, granting unto said attorneys-in-fact and agents full power and authority to do and perform each and every act and thing requisite and desirable to be done in and about the premises, as fully to all intents and purposes as he or she might or could do in person, hereby ratifying and confirming all that said attorney-in-fact and agent, or his or her substitute, may lawfully do or cause to be done by virtue hereof.</w:t>
      </w:r>
    </w:p>
    <w:p>
      <w:pPr>
        <w:spacing w:after="0" w:line="182" w:lineRule="exact"/>
        <w:rPr>
          <w:sz w:val="20"/>
          <w:szCs w:val="20"/>
          <w:color w:val="auto"/>
        </w:rPr>
      </w:pPr>
    </w:p>
    <w:p>
      <w:pPr>
        <w:ind w:right="20" w:firstLine="772"/>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2740" w:type="dxa"/>
            <w:vAlign w:val="bottom"/>
          </w:tcPr>
          <w:p>
            <w:pPr>
              <w:spacing w:after="0"/>
              <w:rPr>
                <w:sz w:val="17"/>
                <w:szCs w:val="17"/>
                <w:color w:val="auto"/>
              </w:rPr>
            </w:pPr>
          </w:p>
        </w:tc>
        <w:tc>
          <w:tcPr>
            <w:tcW w:w="3020" w:type="dxa"/>
            <w:vAlign w:val="bottom"/>
            <w:gridSpan w:val="2"/>
          </w:tcPr>
          <w:p>
            <w:pPr>
              <w:jc w:val="center"/>
              <w:ind w:right="2660"/>
              <w:spacing w:after="0"/>
              <w:rPr>
                <w:sz w:val="20"/>
                <w:szCs w:val="20"/>
                <w:color w:val="auto"/>
              </w:rPr>
            </w:pPr>
            <w:r>
              <w:rPr>
                <w:rFonts w:ascii="Arial" w:cs="Arial" w:eastAsia="Arial" w:hAnsi="Arial"/>
                <w:sz w:val="18"/>
                <w:szCs w:val="18"/>
                <w:b w:val="1"/>
                <w:bCs w:val="1"/>
                <w:color w:val="auto"/>
                <w:w w:val="97"/>
              </w:rPr>
              <w:t>Title</w:t>
            </w:r>
          </w:p>
        </w:tc>
        <w:tc>
          <w:tcPr>
            <w:tcW w:w="104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1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7"/>
        </w:trPr>
        <w:tc>
          <w:tcPr>
            <w:tcW w:w="3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Denise Scots-Knight</w:t>
            </w:r>
          </w:p>
        </w:tc>
        <w:tc>
          <w:tcPr>
            <w:tcW w:w="5760" w:type="dxa"/>
            <w:vAlign w:val="bottom"/>
            <w:gridSpan w:val="3"/>
          </w:tcPr>
          <w:p>
            <w:pPr>
              <w:jc w:val="center"/>
              <w:spacing w:after="0"/>
              <w:rPr>
                <w:sz w:val="20"/>
                <w:szCs w:val="20"/>
                <w:color w:val="auto"/>
              </w:rPr>
            </w:pPr>
            <w:r>
              <w:rPr>
                <w:rFonts w:ascii="Arial" w:cs="Arial" w:eastAsia="Arial" w:hAnsi="Arial"/>
                <w:sz w:val="18"/>
                <w:szCs w:val="18"/>
                <w:color w:val="auto"/>
                <w:w w:val="93"/>
              </w:rPr>
              <w:t>Chief Executive Officer</w:t>
            </w:r>
          </w:p>
        </w:tc>
        <w:tc>
          <w:tcPr>
            <w:tcW w:w="2460" w:type="dxa"/>
            <w:vAlign w:val="bottom"/>
            <w:gridSpan w:val="3"/>
          </w:tcPr>
          <w:p>
            <w:pPr>
              <w:ind w:left="960"/>
              <w:spacing w:after="0"/>
              <w:rPr>
                <w:sz w:val="20"/>
                <w:szCs w:val="20"/>
                <w:color w:val="auto"/>
              </w:rPr>
            </w:pPr>
            <w:r>
              <w:rPr>
                <w:rFonts w:ascii="Arial" w:cs="Arial" w:eastAsia="Arial" w:hAnsi="Arial"/>
                <w:sz w:val="18"/>
                <w:szCs w:val="18"/>
                <w:color w:val="auto"/>
              </w:rPr>
              <w:t>May 21, 2019</w:t>
            </w:r>
          </w:p>
        </w:tc>
      </w:tr>
      <w:tr>
        <w:trPr>
          <w:trHeight w:val="224"/>
        </w:trPr>
        <w:tc>
          <w:tcPr>
            <w:tcW w:w="3200" w:type="dxa"/>
            <w:vAlign w:val="bottom"/>
            <w:gridSpan w:val="3"/>
          </w:tcPr>
          <w:p>
            <w:pPr>
              <w:spacing w:after="0"/>
              <w:rPr>
                <w:sz w:val="20"/>
                <w:szCs w:val="20"/>
                <w:color w:val="auto"/>
              </w:rPr>
            </w:pPr>
            <w:r>
              <w:rPr>
                <w:rFonts w:ascii="Arial" w:cs="Arial" w:eastAsia="Arial" w:hAnsi="Arial"/>
                <w:sz w:val="18"/>
                <w:szCs w:val="18"/>
                <w:color w:val="auto"/>
              </w:rPr>
              <w:t>Dr. Denise Scots-Knight</w:t>
            </w:r>
          </w:p>
        </w:tc>
        <w:tc>
          <w:tcPr>
            <w:tcW w:w="5760" w:type="dxa"/>
            <w:vAlign w:val="bottom"/>
            <w:gridSpan w:val="3"/>
          </w:tcPr>
          <w:p>
            <w:pPr>
              <w:jc w:val="center"/>
              <w:spacing w:after="0"/>
              <w:rPr>
                <w:sz w:val="20"/>
                <w:szCs w:val="20"/>
                <w:color w:val="auto"/>
              </w:rPr>
            </w:pPr>
            <w:r>
              <w:rPr>
                <w:rFonts w:ascii="Arial" w:cs="Arial" w:eastAsia="Arial" w:hAnsi="Arial"/>
                <w:sz w:val="18"/>
                <w:szCs w:val="18"/>
                <w:color w:val="auto"/>
                <w:w w:val="93"/>
              </w:rPr>
              <w:t>(Principal Executive Officer) and Director</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18"/>
        </w:trPr>
        <w:tc>
          <w:tcPr>
            <w:tcW w:w="3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Richard Jones</w:t>
            </w:r>
          </w:p>
        </w:tc>
        <w:tc>
          <w:tcPr>
            <w:tcW w:w="5760" w:type="dxa"/>
            <w:vAlign w:val="bottom"/>
            <w:gridSpan w:val="3"/>
          </w:tcPr>
          <w:p>
            <w:pPr>
              <w:jc w:val="center"/>
              <w:spacing w:after="0"/>
              <w:rPr>
                <w:sz w:val="20"/>
                <w:szCs w:val="20"/>
                <w:color w:val="auto"/>
              </w:rPr>
            </w:pPr>
            <w:r>
              <w:rPr>
                <w:rFonts w:ascii="Arial" w:cs="Arial" w:eastAsia="Arial" w:hAnsi="Arial"/>
                <w:sz w:val="18"/>
                <w:szCs w:val="18"/>
                <w:color w:val="auto"/>
                <w:w w:val="94"/>
              </w:rPr>
              <w:t>Chief Financial Officer</w:t>
            </w:r>
          </w:p>
        </w:tc>
        <w:tc>
          <w:tcPr>
            <w:tcW w:w="2460" w:type="dxa"/>
            <w:vAlign w:val="bottom"/>
            <w:gridSpan w:val="3"/>
          </w:tcPr>
          <w:p>
            <w:pPr>
              <w:ind w:left="960"/>
              <w:spacing w:after="0"/>
              <w:rPr>
                <w:sz w:val="20"/>
                <w:szCs w:val="20"/>
                <w:color w:val="auto"/>
              </w:rPr>
            </w:pPr>
            <w:r>
              <w:rPr>
                <w:rFonts w:ascii="Arial" w:cs="Arial" w:eastAsia="Arial" w:hAnsi="Arial"/>
                <w:sz w:val="18"/>
                <w:szCs w:val="18"/>
                <w:color w:val="auto"/>
              </w:rPr>
              <w:t>May 21, 2019</w:t>
            </w:r>
          </w:p>
        </w:tc>
      </w:tr>
      <w:tr>
        <w:trPr>
          <w:trHeight w:val="224"/>
        </w:trPr>
        <w:tc>
          <w:tcPr>
            <w:tcW w:w="3200" w:type="dxa"/>
            <w:vAlign w:val="bottom"/>
            <w:gridSpan w:val="3"/>
          </w:tcPr>
          <w:p>
            <w:pPr>
              <w:spacing w:after="0"/>
              <w:rPr>
                <w:sz w:val="20"/>
                <w:szCs w:val="20"/>
                <w:color w:val="auto"/>
              </w:rPr>
            </w:pPr>
            <w:r>
              <w:rPr>
                <w:rFonts w:ascii="Arial" w:cs="Arial" w:eastAsia="Arial" w:hAnsi="Arial"/>
                <w:sz w:val="18"/>
                <w:szCs w:val="18"/>
                <w:color w:val="auto"/>
              </w:rPr>
              <w:t>Richard Jones</w:t>
            </w:r>
          </w:p>
        </w:tc>
        <w:tc>
          <w:tcPr>
            <w:tcW w:w="5760" w:type="dxa"/>
            <w:vAlign w:val="bottom"/>
            <w:gridSpan w:val="3"/>
          </w:tcPr>
          <w:p>
            <w:pPr>
              <w:jc w:val="center"/>
              <w:ind w:left="50"/>
              <w:spacing w:after="0"/>
              <w:rPr>
                <w:sz w:val="20"/>
                <w:szCs w:val="20"/>
                <w:color w:val="auto"/>
              </w:rPr>
            </w:pPr>
            <w:r>
              <w:rPr>
                <w:rFonts w:ascii="Arial" w:cs="Arial" w:eastAsia="Arial" w:hAnsi="Arial"/>
                <w:sz w:val="18"/>
                <w:szCs w:val="18"/>
                <w:color w:val="auto"/>
                <w:w w:val="93"/>
              </w:rPr>
              <w:t>(Principal Financial and Accounting Officer)</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18"/>
        </w:trPr>
        <w:tc>
          <w:tcPr>
            <w:tcW w:w="3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Peter Fellner</w:t>
            </w:r>
          </w:p>
        </w:tc>
        <w:tc>
          <w:tcPr>
            <w:tcW w:w="5760" w:type="dxa"/>
            <w:vAlign w:val="bottom"/>
            <w:gridSpan w:val="3"/>
          </w:tcPr>
          <w:p>
            <w:pPr>
              <w:jc w:val="center"/>
              <w:ind w:left="10"/>
              <w:spacing w:after="0"/>
              <w:rPr>
                <w:sz w:val="20"/>
                <w:szCs w:val="20"/>
                <w:color w:val="auto"/>
              </w:rPr>
            </w:pPr>
            <w:r>
              <w:rPr>
                <w:rFonts w:ascii="Arial" w:cs="Arial" w:eastAsia="Arial" w:hAnsi="Arial"/>
                <w:sz w:val="18"/>
                <w:szCs w:val="18"/>
                <w:color w:val="auto"/>
                <w:w w:val="91"/>
              </w:rPr>
              <w:t>Chairman (non-executive) of the Board of Directors</w:t>
            </w:r>
          </w:p>
        </w:tc>
        <w:tc>
          <w:tcPr>
            <w:tcW w:w="2460" w:type="dxa"/>
            <w:vAlign w:val="bottom"/>
            <w:gridSpan w:val="3"/>
          </w:tcPr>
          <w:p>
            <w:pPr>
              <w:ind w:left="960"/>
              <w:spacing w:after="0"/>
              <w:rPr>
                <w:sz w:val="20"/>
                <w:szCs w:val="20"/>
                <w:color w:val="auto"/>
              </w:rPr>
            </w:pPr>
            <w:r>
              <w:rPr>
                <w:rFonts w:ascii="Arial" w:cs="Arial" w:eastAsia="Arial" w:hAnsi="Arial"/>
                <w:sz w:val="18"/>
                <w:szCs w:val="18"/>
                <w:color w:val="auto"/>
              </w:rPr>
              <w:t>May 21, 2019</w:t>
            </w:r>
          </w:p>
        </w:tc>
      </w:tr>
      <w:tr>
        <w:trPr>
          <w:trHeight w:val="224"/>
        </w:trPr>
        <w:tc>
          <w:tcPr>
            <w:tcW w:w="3200" w:type="dxa"/>
            <w:vAlign w:val="bottom"/>
            <w:gridSpan w:val="3"/>
          </w:tcPr>
          <w:p>
            <w:pPr>
              <w:spacing w:after="0"/>
              <w:rPr>
                <w:sz w:val="20"/>
                <w:szCs w:val="20"/>
                <w:color w:val="auto"/>
              </w:rPr>
            </w:pPr>
            <w:r>
              <w:rPr>
                <w:rFonts w:ascii="Arial" w:cs="Arial" w:eastAsia="Arial" w:hAnsi="Arial"/>
                <w:sz w:val="18"/>
                <w:szCs w:val="18"/>
                <w:color w:val="auto"/>
              </w:rPr>
              <w:t>Dr. Peter Fellner</w:t>
            </w:r>
          </w:p>
        </w:tc>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18"/>
        </w:trPr>
        <w:tc>
          <w:tcPr>
            <w:tcW w:w="3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Peter Bains</w:t>
            </w:r>
          </w:p>
        </w:tc>
        <w:tc>
          <w:tcPr>
            <w:tcW w:w="576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Non-executive Director</w:t>
            </w:r>
          </w:p>
        </w:tc>
        <w:tc>
          <w:tcPr>
            <w:tcW w:w="2460" w:type="dxa"/>
            <w:vAlign w:val="bottom"/>
            <w:gridSpan w:val="3"/>
          </w:tcPr>
          <w:p>
            <w:pPr>
              <w:ind w:left="960"/>
              <w:spacing w:after="0"/>
              <w:rPr>
                <w:sz w:val="20"/>
                <w:szCs w:val="20"/>
                <w:color w:val="auto"/>
              </w:rPr>
            </w:pPr>
            <w:r>
              <w:rPr>
                <w:rFonts w:ascii="Arial" w:cs="Arial" w:eastAsia="Arial" w:hAnsi="Arial"/>
                <w:sz w:val="18"/>
                <w:szCs w:val="18"/>
                <w:color w:val="auto"/>
              </w:rPr>
              <w:t>May 21, 2019</w:t>
            </w:r>
          </w:p>
        </w:tc>
      </w:tr>
      <w:tr>
        <w:trPr>
          <w:trHeight w:val="224"/>
        </w:trPr>
        <w:tc>
          <w:tcPr>
            <w:tcW w:w="3200" w:type="dxa"/>
            <w:vAlign w:val="bottom"/>
            <w:gridSpan w:val="3"/>
          </w:tcPr>
          <w:p>
            <w:pPr>
              <w:spacing w:after="0"/>
              <w:rPr>
                <w:sz w:val="20"/>
                <w:szCs w:val="20"/>
                <w:color w:val="auto"/>
              </w:rPr>
            </w:pPr>
            <w:r>
              <w:rPr>
                <w:rFonts w:ascii="Arial" w:cs="Arial" w:eastAsia="Arial" w:hAnsi="Arial"/>
                <w:sz w:val="18"/>
                <w:szCs w:val="18"/>
                <w:color w:val="auto"/>
              </w:rPr>
              <w:t>Peter Bains</w:t>
            </w:r>
          </w:p>
        </w:tc>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18"/>
        </w:trPr>
        <w:tc>
          <w:tcPr>
            <w:tcW w:w="3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Paul Blackburn</w:t>
            </w:r>
          </w:p>
        </w:tc>
        <w:tc>
          <w:tcPr>
            <w:tcW w:w="576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Non-executive Director</w:t>
            </w:r>
          </w:p>
        </w:tc>
        <w:tc>
          <w:tcPr>
            <w:tcW w:w="2460" w:type="dxa"/>
            <w:vAlign w:val="bottom"/>
            <w:gridSpan w:val="3"/>
          </w:tcPr>
          <w:p>
            <w:pPr>
              <w:ind w:left="960"/>
              <w:spacing w:after="0"/>
              <w:rPr>
                <w:sz w:val="20"/>
                <w:szCs w:val="20"/>
                <w:color w:val="auto"/>
              </w:rPr>
            </w:pPr>
            <w:r>
              <w:rPr>
                <w:rFonts w:ascii="Arial" w:cs="Arial" w:eastAsia="Arial" w:hAnsi="Arial"/>
                <w:sz w:val="18"/>
                <w:szCs w:val="18"/>
                <w:color w:val="auto"/>
              </w:rPr>
              <w:t>May 21, 2019</w:t>
            </w:r>
          </w:p>
        </w:tc>
      </w:tr>
      <w:tr>
        <w:trPr>
          <w:trHeight w:val="224"/>
        </w:trPr>
        <w:tc>
          <w:tcPr>
            <w:tcW w:w="3200" w:type="dxa"/>
            <w:vAlign w:val="bottom"/>
            <w:gridSpan w:val="3"/>
          </w:tcPr>
          <w:p>
            <w:pPr>
              <w:spacing w:after="0"/>
              <w:rPr>
                <w:sz w:val="20"/>
                <w:szCs w:val="20"/>
                <w:color w:val="auto"/>
              </w:rPr>
            </w:pPr>
            <w:r>
              <w:rPr>
                <w:rFonts w:ascii="Arial" w:cs="Arial" w:eastAsia="Arial" w:hAnsi="Arial"/>
                <w:sz w:val="18"/>
                <w:szCs w:val="18"/>
                <w:color w:val="auto"/>
              </w:rPr>
              <w:t>Paul Blackburn</w:t>
            </w:r>
          </w:p>
        </w:tc>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45"/>
        </w:trPr>
        <w:tc>
          <w:tcPr>
            <w:tcW w:w="3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Anders Ekblom</w:t>
            </w:r>
          </w:p>
        </w:tc>
        <w:tc>
          <w:tcPr>
            <w:tcW w:w="576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Non-executive Director</w:t>
            </w:r>
          </w:p>
        </w:tc>
        <w:tc>
          <w:tcPr>
            <w:tcW w:w="2460" w:type="dxa"/>
            <w:vAlign w:val="bottom"/>
            <w:gridSpan w:val="3"/>
          </w:tcPr>
          <w:p>
            <w:pPr>
              <w:ind w:left="960"/>
              <w:spacing w:after="0"/>
              <w:rPr>
                <w:sz w:val="20"/>
                <w:szCs w:val="20"/>
                <w:color w:val="auto"/>
              </w:rPr>
            </w:pPr>
            <w:r>
              <w:rPr>
                <w:rFonts w:ascii="Arial" w:cs="Arial" w:eastAsia="Arial" w:hAnsi="Arial"/>
                <w:sz w:val="18"/>
                <w:szCs w:val="18"/>
                <w:color w:val="auto"/>
              </w:rPr>
              <w:t>May 21, 2019</w:t>
            </w:r>
          </w:p>
        </w:tc>
      </w:tr>
      <w:tr>
        <w:trPr>
          <w:trHeight w:val="224"/>
        </w:trPr>
        <w:tc>
          <w:tcPr>
            <w:tcW w:w="3200" w:type="dxa"/>
            <w:vAlign w:val="bottom"/>
            <w:gridSpan w:val="3"/>
          </w:tcPr>
          <w:p>
            <w:pPr>
              <w:spacing w:after="0"/>
              <w:rPr>
                <w:sz w:val="20"/>
                <w:szCs w:val="20"/>
                <w:color w:val="auto"/>
              </w:rPr>
            </w:pPr>
            <w:r>
              <w:rPr>
                <w:rFonts w:ascii="Arial" w:cs="Arial" w:eastAsia="Arial" w:hAnsi="Arial"/>
                <w:sz w:val="18"/>
                <w:szCs w:val="18"/>
                <w:color w:val="auto"/>
              </w:rPr>
              <w:t>Dr. Anders Ekblom</w:t>
            </w:r>
          </w:p>
        </w:tc>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18"/>
        </w:trPr>
        <w:tc>
          <w:tcPr>
            <w:tcW w:w="3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Kunal Kashyap</w:t>
            </w:r>
          </w:p>
        </w:tc>
        <w:tc>
          <w:tcPr>
            <w:tcW w:w="576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Non-executive Director</w:t>
            </w:r>
          </w:p>
        </w:tc>
        <w:tc>
          <w:tcPr>
            <w:tcW w:w="2460" w:type="dxa"/>
            <w:vAlign w:val="bottom"/>
            <w:gridSpan w:val="3"/>
          </w:tcPr>
          <w:p>
            <w:pPr>
              <w:ind w:left="960"/>
              <w:spacing w:after="0"/>
              <w:rPr>
                <w:sz w:val="20"/>
                <w:szCs w:val="20"/>
                <w:color w:val="auto"/>
              </w:rPr>
            </w:pPr>
            <w:r>
              <w:rPr>
                <w:rFonts w:ascii="Arial" w:cs="Arial" w:eastAsia="Arial" w:hAnsi="Arial"/>
                <w:sz w:val="18"/>
                <w:szCs w:val="18"/>
                <w:color w:val="auto"/>
              </w:rPr>
              <w:t>May 21, 2019</w:t>
            </w:r>
          </w:p>
        </w:tc>
      </w:tr>
      <w:tr>
        <w:trPr>
          <w:trHeight w:val="224"/>
        </w:trPr>
        <w:tc>
          <w:tcPr>
            <w:tcW w:w="3200" w:type="dxa"/>
            <w:vAlign w:val="bottom"/>
            <w:gridSpan w:val="3"/>
          </w:tcPr>
          <w:p>
            <w:pPr>
              <w:spacing w:after="0"/>
              <w:rPr>
                <w:sz w:val="20"/>
                <w:szCs w:val="20"/>
                <w:color w:val="auto"/>
              </w:rPr>
            </w:pPr>
            <w:r>
              <w:rPr>
                <w:rFonts w:ascii="Arial" w:cs="Arial" w:eastAsia="Arial" w:hAnsi="Arial"/>
                <w:sz w:val="18"/>
                <w:szCs w:val="18"/>
                <w:color w:val="auto"/>
              </w:rPr>
              <w:t>Kunal Kashyap</w:t>
            </w:r>
          </w:p>
        </w:tc>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45"/>
        </w:trPr>
        <w:tc>
          <w:tcPr>
            <w:tcW w:w="3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Deepika R. Pakianathan</w:t>
            </w:r>
          </w:p>
        </w:tc>
        <w:tc>
          <w:tcPr>
            <w:tcW w:w="576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Non-executive Director</w:t>
            </w:r>
          </w:p>
        </w:tc>
        <w:tc>
          <w:tcPr>
            <w:tcW w:w="2460" w:type="dxa"/>
            <w:vAlign w:val="bottom"/>
            <w:gridSpan w:val="3"/>
          </w:tcPr>
          <w:p>
            <w:pPr>
              <w:ind w:left="960"/>
              <w:spacing w:after="0"/>
              <w:rPr>
                <w:sz w:val="20"/>
                <w:szCs w:val="20"/>
                <w:color w:val="auto"/>
              </w:rPr>
            </w:pPr>
            <w:r>
              <w:rPr>
                <w:rFonts w:ascii="Arial" w:cs="Arial" w:eastAsia="Arial" w:hAnsi="Arial"/>
                <w:sz w:val="18"/>
                <w:szCs w:val="18"/>
                <w:color w:val="auto"/>
              </w:rPr>
              <w:t>May 21, 2019</w:t>
            </w:r>
          </w:p>
        </w:tc>
      </w:tr>
      <w:tr>
        <w:trPr>
          <w:trHeight w:val="224"/>
        </w:trPr>
        <w:tc>
          <w:tcPr>
            <w:tcW w:w="3200" w:type="dxa"/>
            <w:vAlign w:val="bottom"/>
            <w:gridSpan w:val="3"/>
          </w:tcPr>
          <w:p>
            <w:pPr>
              <w:spacing w:after="0"/>
              <w:rPr>
                <w:sz w:val="20"/>
                <w:szCs w:val="20"/>
                <w:color w:val="auto"/>
              </w:rPr>
            </w:pPr>
            <w:r>
              <w:rPr>
                <w:rFonts w:ascii="Arial" w:cs="Arial" w:eastAsia="Arial" w:hAnsi="Arial"/>
                <w:sz w:val="18"/>
                <w:szCs w:val="18"/>
                <w:color w:val="auto"/>
              </w:rPr>
              <w:t>Deepika R. Pakianathan</w:t>
            </w:r>
          </w:p>
        </w:tc>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45"/>
        </w:trPr>
        <w:tc>
          <w:tcPr>
            <w:tcW w:w="3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Michael S. Wyzga</w:t>
            </w:r>
          </w:p>
        </w:tc>
        <w:tc>
          <w:tcPr>
            <w:tcW w:w="576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Non-executive Director</w:t>
            </w:r>
          </w:p>
        </w:tc>
        <w:tc>
          <w:tcPr>
            <w:tcW w:w="2460" w:type="dxa"/>
            <w:vAlign w:val="bottom"/>
            <w:gridSpan w:val="3"/>
          </w:tcPr>
          <w:p>
            <w:pPr>
              <w:ind w:left="960"/>
              <w:spacing w:after="0"/>
              <w:rPr>
                <w:sz w:val="20"/>
                <w:szCs w:val="20"/>
                <w:color w:val="auto"/>
              </w:rPr>
            </w:pPr>
            <w:r>
              <w:rPr>
                <w:rFonts w:ascii="Arial" w:cs="Arial" w:eastAsia="Arial" w:hAnsi="Arial"/>
                <w:sz w:val="18"/>
                <w:szCs w:val="18"/>
                <w:color w:val="auto"/>
              </w:rPr>
              <w:t>May 21, 2019</w:t>
            </w:r>
          </w:p>
        </w:tc>
      </w:tr>
      <w:tr>
        <w:trPr>
          <w:trHeight w:val="224"/>
        </w:trPr>
        <w:tc>
          <w:tcPr>
            <w:tcW w:w="3200" w:type="dxa"/>
            <w:vAlign w:val="bottom"/>
            <w:gridSpan w:val="3"/>
          </w:tcPr>
          <w:p>
            <w:pPr>
              <w:spacing w:after="0"/>
              <w:rPr>
                <w:sz w:val="20"/>
                <w:szCs w:val="20"/>
                <w:color w:val="auto"/>
              </w:rPr>
            </w:pPr>
            <w:r>
              <w:rPr>
                <w:rFonts w:ascii="Arial" w:cs="Arial" w:eastAsia="Arial" w:hAnsi="Arial"/>
                <w:sz w:val="18"/>
                <w:szCs w:val="18"/>
                <w:color w:val="auto"/>
              </w:rPr>
              <w:t>Michael S. Wyzga</w:t>
            </w:r>
          </w:p>
        </w:tc>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823"/>
        </w:trPr>
        <w:tc>
          <w:tcPr>
            <w:tcW w:w="1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0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AUTHORIZED REPRESENTATIVE</w:t>
      </w:r>
    </w:p>
    <w:p>
      <w:pPr>
        <w:spacing w:after="0" w:line="229"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undersigned, the duly authorized representative in the United States of Mereo BioPharma Group plc, on May 21, 2019.</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Mereo US Holdings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0"/>
                <w:szCs w:val="20"/>
                <w:color w:val="auto"/>
              </w:rPr>
            </w:pPr>
          </w:p>
        </w:tc>
        <w:tc>
          <w:tcPr>
            <w:tcW w:w="3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Denise Scots-Knight</w:t>
            </w:r>
          </w:p>
        </w:tc>
        <w:tc>
          <w:tcPr>
            <w:tcW w:w="7780" w:type="dxa"/>
            <w:vAlign w:val="bottom"/>
          </w:tcPr>
          <w:p>
            <w:pPr>
              <w:spacing w:after="0"/>
              <w:rPr>
                <w:sz w:val="20"/>
                <w:szCs w:val="20"/>
                <w:color w:val="auto"/>
              </w:rPr>
            </w:pPr>
          </w:p>
        </w:tc>
      </w:tr>
      <w:tr>
        <w:trPr>
          <w:trHeight w:val="195"/>
        </w:trPr>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480" w:type="dxa"/>
            <w:vAlign w:val="bottom"/>
          </w:tcPr>
          <w:p>
            <w:pPr>
              <w:ind w:left="100"/>
              <w:spacing w:after="0" w:line="195" w:lineRule="exact"/>
              <w:rPr>
                <w:sz w:val="20"/>
                <w:szCs w:val="20"/>
                <w:color w:val="auto"/>
              </w:rPr>
            </w:pPr>
            <w:r>
              <w:rPr>
                <w:rFonts w:ascii="Arial" w:cs="Arial" w:eastAsia="Arial" w:hAnsi="Arial"/>
                <w:sz w:val="18"/>
                <w:szCs w:val="18"/>
                <w:color w:val="auto"/>
              </w:rPr>
              <w:t>Dr. Denise Scots-Knight</w:t>
            </w:r>
          </w:p>
        </w:tc>
        <w:tc>
          <w:tcPr>
            <w:tcW w:w="7780" w:type="dxa"/>
            <w:vAlign w:val="bottom"/>
          </w:tcPr>
          <w:p>
            <w:pPr>
              <w:spacing w:after="0"/>
              <w:rPr>
                <w:sz w:val="16"/>
                <w:szCs w:val="16"/>
                <w:color w:val="auto"/>
              </w:rPr>
            </w:pPr>
          </w:p>
        </w:tc>
      </w:tr>
      <w:tr>
        <w:trPr>
          <w:trHeight w:val="230"/>
        </w:trPr>
        <w:tc>
          <w:tcPr>
            <w:tcW w:w="420" w:type="dxa"/>
            <w:vAlign w:val="bottom"/>
          </w:tcPr>
          <w:p>
            <w:pPr>
              <w:spacing w:after="0"/>
              <w:rPr>
                <w:sz w:val="20"/>
                <w:szCs w:val="20"/>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Title:</w:t>
            </w:r>
          </w:p>
        </w:tc>
        <w:tc>
          <w:tcPr>
            <w:tcW w:w="2480" w:type="dxa"/>
            <w:vAlign w:val="bottom"/>
          </w:tcPr>
          <w:p>
            <w:pPr>
              <w:ind w:left="100"/>
              <w:spacing w:after="0"/>
              <w:rPr>
                <w:sz w:val="20"/>
                <w:szCs w:val="20"/>
                <w:color w:val="auto"/>
              </w:rPr>
            </w:pPr>
            <w:r>
              <w:rPr>
                <w:rFonts w:ascii="Arial" w:cs="Arial" w:eastAsia="Arial" w:hAnsi="Arial"/>
                <w:sz w:val="18"/>
                <w:szCs w:val="18"/>
                <w:color w:val="auto"/>
              </w:rPr>
              <w:t>President</w:t>
            </w:r>
          </w:p>
        </w:tc>
        <w:tc>
          <w:tcPr>
            <w:tcW w:w="7780" w:type="dxa"/>
            <w:vAlign w:val="bottom"/>
          </w:tcPr>
          <w:p>
            <w:pPr>
              <w:spacing w:after="0"/>
              <w:rPr>
                <w:sz w:val="20"/>
                <w:szCs w:val="20"/>
                <w:color w:val="auto"/>
              </w:rPr>
            </w:pPr>
          </w:p>
        </w:tc>
      </w:tr>
      <w:tr>
        <w:trPr>
          <w:trHeight w:val="837"/>
        </w:trPr>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ind w:left="10340"/>
        <w:spacing w:after="0"/>
        <w:rPr>
          <w:sz w:val="20"/>
          <w:szCs w:val="20"/>
          <w:color w:val="auto"/>
        </w:rPr>
      </w:pPr>
      <w:r>
        <w:rPr>
          <w:rFonts w:ascii="Arial" w:cs="Arial" w:eastAsia="Arial" w:hAnsi="Arial"/>
          <w:sz w:val="21"/>
          <w:szCs w:val="21"/>
          <w:b w:val="1"/>
          <w:bCs w:val="1"/>
          <w:color w:val="auto"/>
        </w:rPr>
        <w:t>Exhibit 5.1</w:t>
      </w:r>
    </w:p>
    <w:p>
      <w:pPr>
        <w:sectPr>
          <w:pgSz w:w="11900" w:h="16838" w:orient="portrait"/>
          <w:cols w:equalWidth="0" w:num="1">
            <w:col w:w="11420"/>
          </w:cols>
          <w:pgMar w:left="240" w:top="105" w:right="239" w:bottom="1440" w:gutter="0" w:footer="0" w:header="0"/>
        </w:sectPr>
      </w:pPr>
    </w:p>
    <w:p>
      <w:pPr>
        <w:spacing w:after="0" w:line="261" w:lineRule="exact"/>
        <w:rPr>
          <w:sz w:val="20"/>
          <w:szCs w:val="20"/>
          <w:color w:val="auto"/>
        </w:rPr>
      </w:pPr>
    </w:p>
    <w:p>
      <w:pPr>
        <w:ind w:left="8240"/>
        <w:spacing w:after="0"/>
        <w:rPr>
          <w:sz w:val="20"/>
          <w:szCs w:val="20"/>
          <w:color w:val="auto"/>
        </w:rPr>
      </w:pPr>
      <w:r>
        <w:rPr>
          <w:rFonts w:ascii="Arial" w:cs="Arial" w:eastAsia="Arial" w:hAnsi="Arial"/>
          <w:sz w:val="16"/>
          <w:szCs w:val="16"/>
          <w:b w:val="1"/>
          <w:bCs w:val="1"/>
          <w:color w:val="auto"/>
        </w:rPr>
        <w:t>New York</w:t>
      </w:r>
    </w:p>
    <w:p>
      <w:pPr>
        <w:spacing w:after="0" w:line="25" w:lineRule="exact"/>
        <w:rPr>
          <w:sz w:val="20"/>
          <w:szCs w:val="20"/>
          <w:color w:val="auto"/>
        </w:rPr>
      </w:pPr>
    </w:p>
    <w:p>
      <w:pPr>
        <w:ind w:left="8240"/>
        <w:spacing w:after="0"/>
        <w:rPr>
          <w:sz w:val="20"/>
          <w:szCs w:val="20"/>
          <w:color w:val="auto"/>
        </w:rPr>
      </w:pPr>
      <w:r>
        <w:rPr>
          <w:rFonts w:ascii="Arial" w:cs="Arial" w:eastAsia="Arial" w:hAnsi="Arial"/>
          <w:sz w:val="16"/>
          <w:szCs w:val="16"/>
          <w:b w:val="1"/>
          <w:bCs w:val="1"/>
          <w:color w:val="auto"/>
        </w:rPr>
        <w:t>Menlo Park</w:t>
      </w:r>
    </w:p>
    <w:p>
      <w:pPr>
        <w:spacing w:after="0" w:line="5" w:lineRule="exact"/>
        <w:rPr>
          <w:sz w:val="20"/>
          <w:szCs w:val="20"/>
          <w:color w:val="auto"/>
        </w:rPr>
      </w:pPr>
    </w:p>
    <w:p>
      <w:pPr>
        <w:ind w:left="8240"/>
        <w:spacing w:after="0"/>
        <w:rPr>
          <w:sz w:val="20"/>
          <w:szCs w:val="20"/>
          <w:color w:val="auto"/>
        </w:rPr>
      </w:pPr>
      <w:r>
        <w:rPr>
          <w:rFonts w:ascii="Arial" w:cs="Arial" w:eastAsia="Arial" w:hAnsi="Arial"/>
          <w:sz w:val="16"/>
          <w:szCs w:val="16"/>
          <w:b w:val="1"/>
          <w:bCs w:val="1"/>
          <w:color w:val="auto"/>
        </w:rPr>
        <w:t>Washington DC</w:t>
      </w:r>
    </w:p>
    <w:p>
      <w:pPr>
        <w:spacing w:after="0" w:line="5" w:lineRule="exact"/>
        <w:rPr>
          <w:sz w:val="20"/>
          <w:szCs w:val="20"/>
          <w:color w:val="auto"/>
        </w:rPr>
      </w:pPr>
    </w:p>
    <w:p>
      <w:pPr>
        <w:ind w:left="8240"/>
        <w:spacing w:after="0"/>
        <w:rPr>
          <w:sz w:val="20"/>
          <w:szCs w:val="20"/>
          <w:color w:val="auto"/>
        </w:rPr>
      </w:pPr>
      <w:r>
        <w:rPr>
          <w:rFonts w:ascii="Arial" w:cs="Arial" w:eastAsia="Arial" w:hAnsi="Arial"/>
          <w:sz w:val="16"/>
          <w:szCs w:val="16"/>
          <w:b w:val="1"/>
          <w:bCs w:val="1"/>
          <w:color w:val="auto"/>
        </w:rPr>
        <w:t>São Paulo</w:t>
      </w:r>
    </w:p>
    <w:p>
      <w:pPr>
        <w:spacing w:after="0" w:line="5" w:lineRule="exact"/>
        <w:rPr>
          <w:sz w:val="20"/>
          <w:szCs w:val="20"/>
          <w:color w:val="auto"/>
        </w:rPr>
      </w:pPr>
    </w:p>
    <w:p>
      <w:pPr>
        <w:ind w:left="8240"/>
        <w:spacing w:after="0"/>
        <w:rPr>
          <w:sz w:val="20"/>
          <w:szCs w:val="20"/>
          <w:color w:val="auto"/>
        </w:rPr>
      </w:pPr>
      <w:r>
        <w:rPr>
          <w:rFonts w:ascii="Arial" w:cs="Arial" w:eastAsia="Arial" w:hAnsi="Arial"/>
          <w:sz w:val="16"/>
          <w:szCs w:val="16"/>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329055"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329055"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Paris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Madrid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Tokyo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Beijing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00" w:lineRule="exact"/>
        <w:rPr>
          <w:sz w:val="20"/>
          <w:szCs w:val="20"/>
          <w:color w:val="auto"/>
        </w:rPr>
      </w:pPr>
    </w:p>
    <w:p>
      <w:pPr>
        <w:sectPr>
          <w:pgSz w:w="11900" w:h="16838" w:orient="portrait"/>
          <w:cols w:equalWidth="0" w:num="2">
            <w:col w:w="9460" w:space="720"/>
            <w:col w:w="1240"/>
          </w:cols>
          <w:pgMar w:left="240" w:top="10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00" w:type="dxa"/>
            <w:vAlign w:val="bottom"/>
          </w:tcPr>
          <w:p>
            <w:pPr>
              <w:spacing w:after="0"/>
              <w:rPr>
                <w:sz w:val="20"/>
                <w:szCs w:val="20"/>
                <w:color w:val="auto"/>
              </w:rPr>
            </w:pPr>
            <w:r>
              <w:rPr>
                <w:rFonts w:ascii="Arial" w:cs="Arial" w:eastAsia="Arial" w:hAnsi="Arial"/>
                <w:sz w:val="16"/>
                <w:szCs w:val="16"/>
                <w:color w:val="auto"/>
              </w:rPr>
              <w:t>Davis Polk &amp; Wardwell London LLP</w:t>
            </w:r>
          </w:p>
        </w:tc>
        <w:tc>
          <w:tcPr>
            <w:tcW w:w="1780" w:type="dxa"/>
            <w:vAlign w:val="bottom"/>
          </w:tcPr>
          <w:p>
            <w:pPr>
              <w:ind w:left="440"/>
              <w:spacing w:after="0"/>
              <w:rPr>
                <w:sz w:val="20"/>
                <w:szCs w:val="20"/>
                <w:color w:val="auto"/>
              </w:rPr>
            </w:pPr>
            <w:r>
              <w:rPr>
                <w:rFonts w:ascii="Arial" w:cs="Arial" w:eastAsia="Arial" w:hAnsi="Arial"/>
                <w:sz w:val="16"/>
                <w:szCs w:val="16"/>
                <w:color w:val="auto"/>
              </w:rPr>
              <w:t>020 7418 1300 tel</w:t>
            </w:r>
          </w:p>
        </w:tc>
      </w:tr>
      <w:tr>
        <w:trPr>
          <w:trHeight w:val="189"/>
        </w:trPr>
        <w:tc>
          <w:tcPr>
            <w:tcW w:w="3000" w:type="dxa"/>
            <w:vAlign w:val="bottom"/>
          </w:tcPr>
          <w:p>
            <w:pPr>
              <w:spacing w:after="0"/>
              <w:rPr>
                <w:sz w:val="20"/>
                <w:szCs w:val="20"/>
                <w:color w:val="auto"/>
              </w:rPr>
            </w:pPr>
            <w:r>
              <w:rPr>
                <w:rFonts w:ascii="Arial" w:cs="Arial" w:eastAsia="Arial" w:hAnsi="Arial"/>
                <w:sz w:val="16"/>
                <w:szCs w:val="16"/>
                <w:color w:val="auto"/>
              </w:rPr>
              <w:t>5 Aldermanbury Square</w:t>
            </w:r>
          </w:p>
        </w:tc>
        <w:tc>
          <w:tcPr>
            <w:tcW w:w="1780" w:type="dxa"/>
            <w:vAlign w:val="bottom"/>
          </w:tcPr>
          <w:p>
            <w:pPr>
              <w:ind w:left="440"/>
              <w:spacing w:after="0"/>
              <w:rPr>
                <w:sz w:val="20"/>
                <w:szCs w:val="20"/>
                <w:color w:val="auto"/>
              </w:rPr>
            </w:pPr>
            <w:r>
              <w:rPr>
                <w:rFonts w:ascii="Arial" w:cs="Arial" w:eastAsia="Arial" w:hAnsi="Arial"/>
                <w:sz w:val="16"/>
                <w:szCs w:val="16"/>
                <w:color w:val="auto"/>
                <w:w w:val="99"/>
              </w:rPr>
              <w:t>020 7418 1400 fax</w:t>
            </w:r>
          </w:p>
        </w:tc>
      </w:tr>
      <w:tr>
        <w:trPr>
          <w:trHeight w:val="195"/>
        </w:trPr>
        <w:tc>
          <w:tcPr>
            <w:tcW w:w="3000" w:type="dxa"/>
            <w:vAlign w:val="bottom"/>
          </w:tcPr>
          <w:p>
            <w:pPr>
              <w:spacing w:after="0"/>
              <w:rPr>
                <w:sz w:val="20"/>
                <w:szCs w:val="20"/>
                <w:color w:val="auto"/>
              </w:rPr>
            </w:pPr>
            <w:r>
              <w:rPr>
                <w:rFonts w:ascii="Arial" w:cs="Arial" w:eastAsia="Arial" w:hAnsi="Arial"/>
                <w:sz w:val="16"/>
                <w:szCs w:val="16"/>
                <w:color w:val="auto"/>
              </w:rPr>
              <w:t>London EC2V 7HR</w:t>
            </w:r>
          </w:p>
        </w:tc>
        <w:tc>
          <w:tcPr>
            <w:tcW w:w="1780" w:type="dxa"/>
            <w:vAlign w:val="bottom"/>
          </w:tcPr>
          <w:p>
            <w:pPr>
              <w:spacing w:after="0"/>
              <w:rPr>
                <w:sz w:val="16"/>
                <w:szCs w:val="16"/>
                <w:color w:val="auto"/>
              </w:rPr>
            </w:pPr>
          </w:p>
        </w:tc>
      </w:tr>
    </w:tbl>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21 May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Mereo BioPharma Group plc</w:t>
      </w:r>
    </w:p>
    <w:p>
      <w:pPr>
        <w:spacing w:after="0" w:line="181" w:lineRule="auto"/>
        <w:rPr>
          <w:sz w:val="20"/>
          <w:szCs w:val="20"/>
          <w:color w:val="auto"/>
        </w:rPr>
      </w:pPr>
      <w:r>
        <w:rPr>
          <w:rFonts w:ascii="Arial" w:cs="Arial" w:eastAsia="Arial" w:hAnsi="Arial"/>
          <w:sz w:val="17"/>
          <w:szCs w:val="17"/>
          <w:color w:val="auto"/>
        </w:rPr>
        <w:t>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p>
      <w:pPr>
        <w:spacing w:after="0" w:line="235" w:lineRule="auto"/>
        <w:rPr>
          <w:sz w:val="20"/>
          <w:szCs w:val="20"/>
          <w:color w:val="auto"/>
        </w:rPr>
      </w:pPr>
      <w:r>
        <w:rPr>
          <w:rFonts w:ascii="Arial" w:cs="Arial" w:eastAsia="Arial" w:hAnsi="Arial"/>
          <w:sz w:val="18"/>
          <w:szCs w:val="18"/>
          <w:color w:val="auto"/>
        </w:rPr>
        <w:t>One Cavendish Place</w:t>
      </w:r>
    </w:p>
    <w:p>
      <w:pPr>
        <w:spacing w:after="0" w:line="234" w:lineRule="auto"/>
        <w:rPr>
          <w:sz w:val="20"/>
          <w:szCs w:val="20"/>
          <w:color w:val="auto"/>
        </w:rPr>
      </w:pPr>
      <w:r>
        <w:rPr>
          <w:rFonts w:ascii="Arial" w:cs="Arial" w:eastAsia="Arial" w:hAnsi="Arial"/>
          <w:sz w:val="18"/>
          <w:szCs w:val="18"/>
          <w:color w:val="auto"/>
        </w:rPr>
        <w:t>London W1G 0QF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BioPharma Group plc - Registration Statement on Form S-8</w:t>
      </w:r>
    </w:p>
    <w:p>
      <w:pPr>
        <w:spacing w:after="0" w:line="2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acting as advisers as to English law to Mereo BioPharma Group plc, a public company limited by shares incorporated under the laws of England and Wales with company number 09481161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its preparation and filing of a Registration Statement on Form S-8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to be filed on 21 May 2019 with the Securities and Exchange Commission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with respect to up to 4,321,062 ordinary shares of £0.003 each of the Company (the “</w:t>
      </w:r>
      <w:r>
        <w:rPr>
          <w:rFonts w:ascii="Arial" w:cs="Arial" w:eastAsia="Arial" w:hAnsi="Arial"/>
          <w:sz w:val="18"/>
          <w:szCs w:val="18"/>
          <w:b w:val="1"/>
          <w:bCs w:val="1"/>
          <w:color w:val="auto"/>
        </w:rPr>
        <w:t>Ordinary Shares</w:t>
      </w:r>
      <w:r>
        <w:rPr>
          <w:rFonts w:ascii="Arial" w:cs="Arial" w:eastAsia="Arial" w:hAnsi="Arial"/>
          <w:sz w:val="18"/>
          <w:szCs w:val="18"/>
          <w:color w:val="auto"/>
        </w:rPr>
        <w:t>”) which may be issued from time to time pursuant to equity awards granted under the Mereo BioPharma Group plc 2019 Equity Incentive Plan (the “</w:t>
      </w:r>
      <w:r>
        <w:rPr>
          <w:rFonts w:ascii="Arial" w:cs="Arial" w:eastAsia="Arial" w:hAnsi="Arial"/>
          <w:sz w:val="18"/>
          <w:szCs w:val="18"/>
          <w:b w:val="1"/>
          <w:bCs w:val="1"/>
          <w:color w:val="auto"/>
        </w:rPr>
        <w:t>Employee Plan</w:t>
      </w:r>
      <w:r>
        <w:rPr>
          <w:rFonts w:ascii="Arial" w:cs="Arial" w:eastAsia="Arial" w:hAnsi="Arial"/>
          <w:sz w:val="18"/>
          <w:szCs w:val="18"/>
          <w:color w:val="auto"/>
        </w:rPr>
        <w:t>”) and the Mereo BioPharma Group plc 2019 Non-Employee Equity Incentive Plan (the “</w:t>
      </w:r>
      <w:r>
        <w:rPr>
          <w:rFonts w:ascii="Arial" w:cs="Arial" w:eastAsia="Arial" w:hAnsi="Arial"/>
          <w:sz w:val="18"/>
          <w:szCs w:val="18"/>
          <w:b w:val="1"/>
          <w:bCs w:val="1"/>
          <w:color w:val="auto"/>
        </w:rPr>
        <w:t>Non-Employee Plan</w:t>
      </w:r>
      <w:r>
        <w:rPr>
          <w:rFonts w:ascii="Arial" w:cs="Arial" w:eastAsia="Arial" w:hAnsi="Arial"/>
          <w:sz w:val="18"/>
          <w:szCs w:val="18"/>
          <w:color w:val="auto"/>
        </w:rPr>
        <w:t>” and, together with the Employee Plan, the “</w:t>
      </w:r>
      <w:r>
        <w:rPr>
          <w:rFonts w:ascii="Arial" w:cs="Arial" w:eastAsia="Arial" w:hAnsi="Arial"/>
          <w:sz w:val="18"/>
          <w:szCs w:val="18"/>
          <w:b w:val="1"/>
          <w:bCs w:val="1"/>
          <w:color w:val="auto"/>
        </w:rPr>
        <w:t>Plans</w:t>
      </w:r>
      <w:r>
        <w:rPr>
          <w:rFonts w:ascii="Arial" w:cs="Arial" w:eastAsia="Arial" w:hAnsi="Arial"/>
          <w:sz w:val="18"/>
          <w:szCs w:val="18"/>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Reviewed</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purposes of giving this opinion, we have examined the documents listed in Schedule 1 to this opinion. Terms defined in the Schedules have the same meaning where used in this opinion (including, for the avoidance of doubt, the Schedules).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Opinion and Observations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opinion is confined to matters of English law as at the date of this opinion and this opinion and any non-contractual obligations arising out of or in relation to it are governed by and shall be construed in accordance with English law. Accordingly, we express no opinion with regard to any system of law other than English law as currently applied by the English courts. In particular, we express no opinion on European Union law as it applies to any jurisdiction other than England and Wales. To the extent that the laws of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type w:val="continuous"/>
        </w:sectPr>
      </w:pPr>
    </w:p>
    <w:bookmarkStart w:id="10" w:name="page11"/>
    <w:bookmarkEnd w:id="10"/>
    <w:p>
      <w:pPr>
        <w:jc w:val="both"/>
        <w:spacing w:after="0" w:line="238" w:lineRule="auto"/>
        <w:rPr>
          <w:sz w:val="20"/>
          <w:szCs w:val="20"/>
          <w:color w:val="auto"/>
        </w:rPr>
      </w:pPr>
      <w:r>
        <w:rPr>
          <w:rFonts w:ascii="Arial" w:cs="Arial" w:eastAsia="Arial" w:hAnsi="Arial"/>
          <w:sz w:val="18"/>
          <w:szCs w:val="18"/>
          <w:color w:val="auto"/>
        </w:rPr>
        <w:t>jurisdiction (including, without limitation, the federal laws of the United States of America or the laws of the State of New York) may be relevant, we have made no independent investigation thereof and our opinion is subject to the effect of such laws. By accepting this opinion you irrevocably agree and accept that the courts of England shall have exclusive jurisdiction to hear and determine any dispute or claim arising out of or in connection with this opinion or its formation, including, without limitation, (i) the creation, effect or interpretation of, or the legal relationships established by, this opinion and (ii) any non-contractual obligations arising out of or in connection with this opinion.</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assume no obligation to notify you of any future changes in law, which may affect the opinions expressed herein, or otherwise to update this opinion in any respect.</w:t>
      </w:r>
    </w:p>
    <w:p>
      <w:pPr>
        <w:spacing w:after="0" w:line="18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have not been responsible for verifying whether statements of fact (including foreign law), opinion or intention in any documents referred to in this opinion or in any related documents are accurate, complete or reasonable.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the basis of our examination of the documents listed in Schedule 1 to this opinion and the other matters referred to above, and subject to the assumptions in Schedule 2 to this opinion, the qualifications in Schedule 3 to this opinion and any matters not disclosed to us, we are of the opinion that following (a) compliance by the Company with its obligations under the rules of the Plans; and (b) the due allotment and issue by the Company of such of the Ordinary Shares as will be issued as new shares pursuant to and in accordance with the rules of each of the Plans and against payment in full of the agreed “cash consideration” (as such term is defined in section 583(3) of the Companies Act 2006) of not less than the nominal value of each such Ordinary Share, and subject to the Company’s articles of association not being materially altered prior to the allotment and issue of any such Ordinary Shares, those new Ordinary Shares will be validly issued, fully paid and no further contribution in respect of such Ordinary Shares will be required to be made to the Company by the holders of such shares by reason solely of them being such 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This opinion is addressed to you in relation to the Registration Statement to be filed under the Act and may not be used or relied upon for any other purpose.</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this consent, we do not admit that we come within the category of persons whose consent is required under Section 7 of the Act or the rules and regulations of the SEC thereunder.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1" w:name="page12"/>
    <w:bookmarkEnd w:id="11"/>
    <w:p>
      <w:pPr>
        <w:ind w:left="5120"/>
        <w:spacing w:after="0"/>
        <w:rPr>
          <w:sz w:val="20"/>
          <w:szCs w:val="20"/>
          <w:color w:val="auto"/>
        </w:rPr>
      </w:pPr>
      <w:r>
        <w:rPr>
          <w:rFonts w:ascii="Arial" w:cs="Arial" w:eastAsia="Arial" w:hAnsi="Arial"/>
          <w:sz w:val="18"/>
          <w:szCs w:val="18"/>
          <w:b w:val="1"/>
          <w:bCs w:val="1"/>
          <w:color w:val="auto"/>
        </w:rPr>
        <w:t>SCHEDULE 1</w:t>
      </w:r>
    </w:p>
    <w:p>
      <w:pPr>
        <w:spacing w:after="0" w:line="198"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DOCUMENTS EXAMINED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opinion, we have examined the following documents:</w:t>
      </w:r>
    </w:p>
    <w:p>
      <w:pPr>
        <w:spacing w:after="0" w:line="198"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copy of the Registration Statement to be filed under the Act;</w:t>
      </w:r>
    </w:p>
    <w:p>
      <w:pPr>
        <w:spacing w:after="0" w:line="198"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copy of each of the Plans; and</w:t>
      </w:r>
    </w:p>
    <w:p>
      <w:pPr>
        <w:spacing w:after="0" w:line="198"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certificate from the general counsel and secretary of the Company dated 21 May 2019 and the documents annexed thereto (the “</w:t>
      </w:r>
      <w:r>
        <w:rPr>
          <w:rFonts w:ascii="Arial" w:cs="Arial" w:eastAsia="Arial" w:hAnsi="Arial"/>
          <w:sz w:val="18"/>
          <w:szCs w:val="18"/>
          <w:b w:val="1"/>
          <w:bCs w:val="1"/>
          <w:color w:val="auto"/>
        </w:rPr>
        <w:t>Certificate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2" w:name="page13"/>
    <w:bookmarkEnd w:id="12"/>
    <w:p>
      <w:pPr>
        <w:ind w:left="5140"/>
        <w:spacing w:after="0"/>
        <w:rPr>
          <w:sz w:val="20"/>
          <w:szCs w:val="20"/>
          <w:color w:val="auto"/>
        </w:rPr>
      </w:pPr>
      <w:r>
        <w:rPr>
          <w:rFonts w:ascii="Arial" w:cs="Arial" w:eastAsia="Arial" w:hAnsi="Arial"/>
          <w:sz w:val="18"/>
          <w:szCs w:val="18"/>
          <w:b w:val="1"/>
          <w:bCs w:val="1"/>
          <w:color w:val="auto"/>
        </w:rPr>
        <w:t>SCHEDULE 2</w:t>
      </w:r>
    </w:p>
    <w:p>
      <w:pPr>
        <w:spacing w:after="0" w:line="19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ASSUMPTIONS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opinion, we have (with your consent and without further enquiry) assumed:</w:t>
      </w:r>
    </w:p>
    <w:p>
      <w:pPr>
        <w:spacing w:after="0" w:line="19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documents submitted to us as originals are authentic and complete;</w:t>
      </w:r>
    </w:p>
    <w:p>
      <w:pPr>
        <w:spacing w:after="0" w:line="198"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documents submitted to us as copies, whether in physical or electronic form, conform to authentic, complete originals and, where a document has been examined by us in draft or specimen form, it will be or has been executed in the form of that draft or specimen;</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signatures, stamps and seals on all documents that we reviewed are genuine;</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of the statements contained in the Certificate is true and correct as at the date of the Certificate and as at the date hereof and will be as at the time of the allotment and issue of any Ordinary Shares or grant of rights to subscribe for, or convert any security into, Ordinary Shares;</w:t>
      </w:r>
    </w:p>
    <w:p>
      <w:pPr>
        <w:spacing w:after="0" w:line="189" w:lineRule="exact"/>
        <w:rPr>
          <w:rFonts w:ascii="Arial" w:cs="Arial" w:eastAsia="Arial" w:hAnsi="Arial"/>
          <w:sz w:val="18"/>
          <w:szCs w:val="18"/>
          <w:color w:val="auto"/>
        </w:rPr>
      </w:pPr>
    </w:p>
    <w:p>
      <w:pPr>
        <w:jc w:val="both"/>
        <w:ind w:left="660" w:hanging="652"/>
        <w:spacing w:after="0" w:line="23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the directors of the Company, in authorising any allotment of Ordinary Shares or grant of rights to subscribe for, or convert any security into, Ordinary Shares, have exercised and will exercise their powers in accordance with their duties under all applicable laws and the articles of association of the Company in force at the relevant time, and that all such further meetings of the board of directors of the Company or any duly authorised and constituted committee of the board of directors of the Company which may be required in order validly to allot and issue any Ordinary Shares or to grant any rights to subscribe for, or convert any security into, Ordinary Shares will be duly convened and held and the requisite resolutions to give effect to each such allotment, issue or grant will be duly passed;</w:t>
      </w:r>
    </w:p>
    <w:p>
      <w:pPr>
        <w:spacing w:after="0" w:line="191" w:lineRule="exact"/>
        <w:rPr>
          <w:rFonts w:ascii="Arial" w:cs="Arial" w:eastAsia="Arial" w:hAnsi="Arial"/>
          <w:sz w:val="18"/>
          <w:szCs w:val="18"/>
          <w:color w:val="auto"/>
        </w:rPr>
      </w:pPr>
    </w:p>
    <w:p>
      <w:pPr>
        <w:jc w:val="both"/>
        <w:ind w:left="660" w:hanging="652"/>
        <w:spacing w:after="0" w:line="23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immediately prior to each allotment of Ordinary Shares or grant of rights to subscribe for, or convert any security into, Ordinary Shares, the directors of the Company have sufficient authorities and powers conferred upon them under section 551 of the Companies Act 2006 and under section 570 or section 571 of the Companies Act 2006 to allot and issue such Ordinary Shares or grant such rights to subscribe for, or convert any security into, Ordinary Shares in each case in compliance with Part 17 of the Companies Act 2006, and the directors of the Company shall not allot or issue (or purport to allot or issue) Ordinary Shares and shall not grant rights (or purport to grant rights) to subscribe for, or convert any security into, Ordinary Shares in excess of such authorities and powers or in breach of any other limitation on their ability duly and properly to allot and issue Ordinary Shares or grant rights to subscribe for, or convert any security into, Ordinary Shares;</w:t>
      </w:r>
    </w:p>
    <w:p>
      <w:pPr>
        <w:spacing w:after="0" w:line="194"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there are no facts or circumstances which are not apparent from the face of the documents listed in Schedule 1, and no documents other than those referred to in this opinion or other arrangements, that could affect the opinions expressed in this opinion;</w:t>
      </w:r>
    </w:p>
    <w:p>
      <w:pPr>
        <w:spacing w:after="0" w:line="183" w:lineRule="exact"/>
        <w:rPr>
          <w:rFonts w:ascii="Arial" w:cs="Arial" w:eastAsia="Arial" w:hAnsi="Arial"/>
          <w:sz w:val="18"/>
          <w:szCs w:val="18"/>
          <w:color w:val="auto"/>
        </w:rPr>
      </w:pPr>
    </w:p>
    <w:p>
      <w:pPr>
        <w:jc w:val="both"/>
        <w:ind w:left="660" w:hanging="652"/>
        <w:spacing w:after="0" w:line="23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revealed by our search of the entries shown on the Companies House Direct online service on 20 May 2019 with respect to the Company (the “</w:t>
      </w:r>
      <w:r>
        <w:rPr>
          <w:rFonts w:ascii="Arial" w:cs="Arial" w:eastAsia="Arial" w:hAnsi="Arial"/>
          <w:sz w:val="18"/>
          <w:szCs w:val="18"/>
          <w:b w:val="1"/>
          <w:bCs w:val="1"/>
          <w:color w:val="auto"/>
        </w:rPr>
        <w:t>Company Search</w:t>
      </w:r>
      <w:r>
        <w:rPr>
          <w:rFonts w:ascii="Arial" w:cs="Arial" w:eastAsia="Arial" w:hAnsi="Arial"/>
          <w:sz w:val="18"/>
          <w:szCs w:val="18"/>
          <w:color w:val="auto"/>
        </w:rPr>
        <w:t>”) (i) was accurate in all respects and has not since the time of such search been altered, and (ii) was complete and included all relevant information which should properly have been submitted to the Registrar of Companies;</w:t>
      </w:r>
    </w:p>
    <w:p>
      <w:pPr>
        <w:spacing w:after="0" w:line="188" w:lineRule="exact"/>
        <w:rPr>
          <w:rFonts w:ascii="Arial" w:cs="Arial" w:eastAsia="Arial" w:hAnsi="Arial"/>
          <w:sz w:val="18"/>
          <w:szCs w:val="18"/>
          <w:color w:val="auto"/>
        </w:rPr>
      </w:pPr>
    </w:p>
    <w:p>
      <w:pPr>
        <w:jc w:val="both"/>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revealed by the results of a telephone search with the Companies Court in London of the Central Registry of Winding Up Petitions on 20 May 2019 with respect to the Company (the “</w:t>
      </w:r>
      <w:r>
        <w:rPr>
          <w:rFonts w:ascii="Arial" w:cs="Arial" w:eastAsia="Arial" w:hAnsi="Arial"/>
          <w:sz w:val="18"/>
          <w:szCs w:val="18"/>
          <w:b w:val="1"/>
          <w:bCs w:val="1"/>
          <w:color w:val="auto"/>
        </w:rPr>
        <w:t>Central Registry Search</w:t>
      </w:r>
      <w:r>
        <w:rPr>
          <w:rFonts w:ascii="Arial" w:cs="Arial" w:eastAsia="Arial" w:hAnsi="Arial"/>
          <w:sz w:val="18"/>
          <w:szCs w:val="18"/>
          <w:color w:val="auto"/>
        </w:rPr>
        <w:t>”) was accurate in all respects and has not since the time of such enquiry been altered;</w:t>
      </w:r>
    </w:p>
    <w:p>
      <w:pPr>
        <w:spacing w:after="0" w:line="189"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insofar as any obligation under either of the Plans is performed in, or is otherwise subject to, any jurisdiction other than England and Wales, its performance will not be illegal or ineffective by virtue of the law of that jurisdiction; and</w:t>
      </w:r>
    </w:p>
    <w:p>
      <w:pPr>
        <w:spacing w:after="0" w:line="183" w:lineRule="exact"/>
        <w:rPr>
          <w:rFonts w:ascii="Arial" w:cs="Arial" w:eastAsia="Arial" w:hAnsi="Arial"/>
          <w:sz w:val="18"/>
          <w:szCs w:val="18"/>
          <w:color w:val="auto"/>
        </w:rPr>
      </w:pPr>
    </w:p>
    <w:p>
      <w:pPr>
        <w:jc w:val="both"/>
        <w:ind w:left="660" w:right="2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the name of the relevant allottee and the Ordinary Shares allotted are duly entered in the register of members of the Company and all filings required to be filed with the Registrar of Companies or otherwise in connection therewith or in connection with any grant of rights to subscribe for, or convert any security into, Ordinary Shares will be filed within, in each such case, the relevant time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SCHEDULE 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QUALIFICATIONS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opinion is subject to the following qualifications:</w:t>
      </w:r>
    </w:p>
    <w:p>
      <w:pPr>
        <w:spacing w:after="0" w:line="198" w:lineRule="exact"/>
        <w:rPr>
          <w:sz w:val="20"/>
          <w:szCs w:val="20"/>
          <w:color w:val="auto"/>
        </w:rPr>
      </w:pPr>
    </w:p>
    <w:p>
      <w:pPr>
        <w:jc w:val="both"/>
        <w:ind w:left="660" w:hanging="652"/>
        <w:spacing w:after="0" w:line="23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Search is not capable of revealing conclusively whether or not, inter alia, (i) a winding-up order has been made or a resolution passed for the winding up of a company; or (ii) an administration order has been made; or (iii) a receiver, administrative receiver, administrator or liquidator has been appointed; or (iv) a court order has been made under the Cross-Border Insolvency Regulations 2006, since notice of these matters may not be filed with the Registrar of Companies immediately and, when filed, may not be entered on the electronic records of the relevant company immediately. In addition, the Company Search is not capable of revealing, prior to the making of the relevant order or the appointment of an administrator otherwise taking effect, whether or not a winding-up petition or an application for an administration order has been presented or notice of intention to appoint an administrator under paragraphs 14 or 22 of Schedule B1 to the Insolvency Act 1986 has been filed with the court;</w:t>
      </w:r>
    </w:p>
    <w:p>
      <w:pPr>
        <w:spacing w:after="0" w:line="194" w:lineRule="exact"/>
        <w:rPr>
          <w:rFonts w:ascii="Arial" w:cs="Arial" w:eastAsia="Arial" w:hAnsi="Arial"/>
          <w:sz w:val="18"/>
          <w:szCs w:val="18"/>
          <w:color w:val="auto"/>
        </w:rPr>
      </w:pPr>
    </w:p>
    <w:p>
      <w:pPr>
        <w:jc w:val="both"/>
        <w:ind w:left="660" w:hanging="652"/>
        <w:spacing w:after="0" w:line="23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Central Registry Search relates only to the presentation of (i) a petition for the making of a winding-up order or the making of a winding-up order by the Court; (ii) an application to the High Court of Justice in London for the making of an administration order and the making by such court of an administration order; and (iii) a notice of intention to appoint an administrator or a notice of appointment of an administrator filed at the High Court of Justice in London. It is not capable of revealing conclusively whether or not such a winding-up petition, application for an administration order, notice of intention or notice of appointment has been presented or winding-up or administration order granted; and</w:t>
      </w:r>
    </w:p>
    <w:p>
      <w:pPr>
        <w:spacing w:after="0" w:line="191" w:lineRule="exact"/>
        <w:rPr>
          <w:rFonts w:ascii="Arial" w:cs="Arial" w:eastAsia="Arial" w:hAnsi="Arial"/>
          <w:sz w:val="18"/>
          <w:szCs w:val="18"/>
          <w:color w:val="auto"/>
        </w:rPr>
      </w:pPr>
    </w:p>
    <w:p>
      <w:pPr>
        <w:jc w:val="both"/>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opinion is subject to all applicable laws relating to bankruptcy, insolvency, liquidation, administration, voluntary arrangement, scheme of arrangement, moratorium, reorganisation, rescheduling, fraudulent transfer, preference, transactions at undervalue or other laws of general application relating to or affecting the rights of creditors.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601345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Registration Statement (Form S-8 No. 333-____) pertaining to: i) Mereo Biopharma Group plc 2019</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Equity Incentive Plan; and ii) Mereo Biopharma Group plc 2019 Non-Employee Equity Incentive Plan, of our report dated April 29, 2019, with respect to the consolidated financial statements of Mereo Biopharma Group plc included in its Annual Report (Form 20-F) for the year ended December 31, 2018, filed with the Securities and Exchange Commission.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GROUP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EQUITY INCENTIVE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on May 16, 2019</w:t>
      </w:r>
    </w:p>
    <w:p>
      <w:pPr>
        <w:spacing w:after="0" w:line="221" w:lineRule="exact"/>
        <w:rPr>
          <w:sz w:val="20"/>
          <w:szCs w:val="20"/>
          <w:color w:val="auto"/>
        </w:rPr>
      </w:pPr>
    </w:p>
    <w:p>
      <w:pPr>
        <w:ind w:right="160" w:firstLine="648"/>
        <w:spacing w:after="0" w:line="281"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i w:val="1"/>
          <w:iCs w:val="1"/>
          <w:color w:val="auto"/>
        </w:rPr>
        <w:t>Purpose</w:t>
      </w:r>
      <w:r>
        <w:rPr>
          <w:rFonts w:ascii="Arial" w:cs="Arial" w:eastAsia="Arial" w:hAnsi="Arial"/>
          <w:sz w:val="17"/>
          <w:szCs w:val="17"/>
          <w:color w:val="auto"/>
        </w:rPr>
        <w:t>. The purpose of the Mereo Biopharma Group plc 2019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 is to motivate and reward those employees of Mereo Biopharma Group plc (the “</w:t>
      </w:r>
      <w:r>
        <w:rPr>
          <w:rFonts w:ascii="Arial" w:cs="Arial" w:eastAsia="Arial" w:hAnsi="Arial"/>
          <w:sz w:val="17"/>
          <w:szCs w:val="17"/>
          <w:b w:val="1"/>
          <w:bCs w:val="1"/>
          <w:color w:val="auto"/>
        </w:rPr>
        <w:t>Company</w:t>
      </w:r>
      <w:r>
        <w:rPr>
          <w:rFonts w:ascii="Arial" w:cs="Arial" w:eastAsia="Arial" w:hAnsi="Arial"/>
          <w:sz w:val="17"/>
          <w:szCs w:val="17"/>
          <w:color w:val="auto"/>
        </w:rPr>
        <w:t>”) and its subsidiaries to perform at the highest level and to further the best interests of the Company and its shareholders. The Plan (excluding any sub-plan of the Plan) is intended to be an employees’ share scheme for the purposes of section 1166 of the UK Companies Act 2006. Capitalized terms not otherwise defined herein are defined in Section 21.</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2</w:t>
      </w:r>
      <w:r>
        <w:rPr>
          <w:rFonts w:ascii="Arial" w:cs="Arial" w:eastAsia="Arial" w:hAnsi="Arial"/>
          <w:sz w:val="18"/>
          <w:szCs w:val="18"/>
          <w:i w:val="1"/>
          <w:iCs w:val="1"/>
          <w:color w:val="auto"/>
        </w:rPr>
        <w:t>. Eligibility.</w:t>
      </w:r>
    </w:p>
    <w:p>
      <w:pPr>
        <w:spacing w:after="0" w:line="225" w:lineRule="exact"/>
        <w:rPr>
          <w:sz w:val="20"/>
          <w:szCs w:val="20"/>
          <w:color w:val="auto"/>
        </w:rPr>
      </w:pPr>
    </w:p>
    <w:p>
      <w:pPr>
        <w:ind w:right="400" w:firstLine="1305"/>
        <w:spacing w:after="0" w:line="308" w:lineRule="auto"/>
        <w:tabs>
          <w:tab w:leader="none" w:pos="1991"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employee of the Company or any of its subsidiaries (which, for this purpose, must be a subsidiary within the meaning of section 1159 of the UK Companies Act 2006) of the Company) shall be eligible to be selected to receive an Award under the Plan.</w:t>
      </w:r>
    </w:p>
    <w:p>
      <w:pPr>
        <w:spacing w:after="0" w:line="146" w:lineRule="exact"/>
        <w:rPr>
          <w:rFonts w:ascii="Arial" w:cs="Arial" w:eastAsia="Arial" w:hAnsi="Arial"/>
          <w:sz w:val="17"/>
          <w:szCs w:val="17"/>
          <w:color w:val="auto"/>
        </w:rPr>
      </w:pPr>
    </w:p>
    <w:p>
      <w:pPr>
        <w:ind w:right="280" w:firstLine="1305"/>
        <w:spacing w:after="0" w:line="277" w:lineRule="auto"/>
        <w:tabs>
          <w:tab w:leader="none" w:pos="2001" w:val="left"/>
        </w:tabs>
        <w:numPr>
          <w:ilvl w:val="0"/>
          <w:numId w:val="12"/>
        </w:numPr>
        <w:rPr>
          <w:rFonts w:ascii="Arial" w:cs="Arial" w:eastAsia="Arial" w:hAnsi="Arial"/>
          <w:sz w:val="18"/>
          <w:szCs w:val="18"/>
          <w:color w:val="auto"/>
        </w:rPr>
      </w:pPr>
      <w:r>
        <w:rPr>
          <w:rFonts w:ascii="Arial" w:cs="Arial" w:eastAsia="Arial" w:hAnsi="Arial"/>
          <w:sz w:val="18"/>
          <w:szCs w:val="18"/>
          <w:color w:val="auto"/>
        </w:rPr>
        <w:t>Holders of equity compensation awards granted by a company acquired by the Company (or whose business is acquired by the Company) or with which the Company combines are eligible for grants of Replacement Awards under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3</w:t>
      </w:r>
      <w:r>
        <w:rPr>
          <w:rFonts w:ascii="Arial" w:cs="Arial" w:eastAsia="Arial" w:hAnsi="Arial"/>
          <w:sz w:val="18"/>
          <w:szCs w:val="18"/>
          <w:i w:val="1"/>
          <w:iCs w:val="1"/>
          <w:color w:val="auto"/>
        </w:rPr>
        <w:t>. Administration.</w:t>
      </w:r>
    </w:p>
    <w:p>
      <w:pPr>
        <w:spacing w:after="0" w:line="225" w:lineRule="exact"/>
        <w:rPr>
          <w:sz w:val="20"/>
          <w:szCs w:val="20"/>
          <w:color w:val="auto"/>
        </w:rPr>
      </w:pPr>
    </w:p>
    <w:p>
      <w:pPr>
        <w:jc w:val="both"/>
        <w:ind w:right="220" w:firstLine="1305"/>
        <w:spacing w:after="0" w:line="264" w:lineRule="auto"/>
        <w:tabs>
          <w:tab w:leader="none" w:pos="1991"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Plan shall be administered by the Committee. The Committee may designate one or more directors as a subcommittee who may act for the Committee if necessary to satisfy the requirements of this Section. The Committee may issue rules and regulations for administration of the Plan.</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Subject to the terms of the Plan and applicable law, the Committee (or its delegate) shall have full power and authority to:</w:t>
      </w:r>
    </w:p>
    <w:p>
      <w:pPr>
        <w:spacing w:after="0" w:line="34" w:lineRule="exact"/>
        <w:rPr>
          <w:rFonts w:ascii="Arial" w:cs="Arial" w:eastAsia="Arial" w:hAnsi="Arial"/>
          <w:sz w:val="17"/>
          <w:szCs w:val="17"/>
          <w:color w:val="auto"/>
        </w:rPr>
      </w:pPr>
    </w:p>
    <w:p>
      <w:pPr>
        <w:ind w:left="220" w:hanging="212"/>
        <w:spacing w:after="0"/>
        <w:tabs>
          <w:tab w:leader="none" w:pos="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designate Participants; (ii) determine the type or types of Awards (including Replacement Awards) to be granted to each Participant under the Plan;</w:t>
      </w:r>
    </w:p>
    <w:p>
      <w:pPr>
        <w:spacing w:after="0" w:line="21" w:lineRule="exact"/>
        <w:rPr>
          <w:sz w:val="20"/>
          <w:szCs w:val="20"/>
          <w:color w:val="auto"/>
        </w:rPr>
      </w:pPr>
    </w:p>
    <w:p>
      <w:pPr>
        <w:ind w:right="40" w:firstLine="8"/>
        <w:spacing w:after="0" w:line="273" w:lineRule="auto"/>
        <w:tabs>
          <w:tab w:leader="none" w:pos="3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Awards, other property, net settlement (including broker-assisted cashless exercise) or any combination thereof, or canceled, forfeited or suspended, and the method or methods by which Awards may be settled, exercised, canceled,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right="20"/>
        <w:spacing w:after="0" w:line="276" w:lineRule="auto"/>
        <w:rPr>
          <w:sz w:val="20"/>
          <w:szCs w:val="20"/>
          <w:color w:val="auto"/>
        </w:rPr>
      </w:pPr>
      <w:r>
        <w:rPr>
          <w:rFonts w:ascii="Arial" w:cs="Arial" w:eastAsia="Arial" w:hAnsi="Arial"/>
          <w:sz w:val="17"/>
          <w:szCs w:val="17"/>
          <w:color w:val="auto"/>
        </w:rPr>
        <w:t>forfeited or suspended; (vi) determine whether, to what extent and under what circumstances cash, Shares, other Awards, other property and other amounts payable with respect to an Award under the Plan shall be deferred either automatically or at the election of 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 of the Plan; and (ix) make any other determination and take any other action that the Committee deems necessary or desirable for the administration of the Plan.</w:t>
      </w:r>
    </w:p>
    <w:p>
      <w:pPr>
        <w:spacing w:after="0" w:line="173" w:lineRule="exact"/>
        <w:rPr>
          <w:sz w:val="20"/>
          <w:szCs w:val="20"/>
          <w:color w:val="auto"/>
        </w:rPr>
      </w:pPr>
    </w:p>
    <w:p>
      <w:pPr>
        <w:ind w:right="300" w:firstLine="1305"/>
        <w:spacing w:after="0" w:line="277" w:lineRule="auto"/>
        <w:tabs>
          <w:tab w:leader="none" w:pos="1991"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decisions of the Committee shall be final, conclusive and binding upon all parties, including the Company, its shareholders and Participants and any Beneficiaries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4</w:t>
      </w:r>
      <w:r>
        <w:rPr>
          <w:rFonts w:ascii="Arial" w:cs="Arial" w:eastAsia="Arial" w:hAnsi="Arial"/>
          <w:sz w:val="18"/>
          <w:szCs w:val="18"/>
          <w:i w:val="1"/>
          <w:iCs w:val="1"/>
          <w:color w:val="auto"/>
        </w:rPr>
        <w:t>. Shares Available for Awards.</w:t>
      </w:r>
    </w:p>
    <w:p>
      <w:pPr>
        <w:spacing w:after="0" w:line="225" w:lineRule="exact"/>
        <w:rPr>
          <w:sz w:val="20"/>
          <w:szCs w:val="20"/>
          <w:color w:val="auto"/>
        </w:rPr>
      </w:pPr>
    </w:p>
    <w:p>
      <w:pPr>
        <w:ind w:right="240" w:firstLine="1305"/>
        <w:spacing w:after="0" w:line="255" w:lineRule="auto"/>
        <w:tabs>
          <w:tab w:leader="none" w:pos="1991"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Subject to adjustment as provided in Section 4(c), the aggregate number of Shares available for issuance under the Plan and the Mereo Biopharma Group plc 2019 Non-Employee Equity Incentive Plan (which is a sub-plan of the Plan and is attached hereto as </w:t>
      </w:r>
      <w:r>
        <w:rPr>
          <w:rFonts w:ascii="Arial" w:cs="Arial" w:eastAsia="Arial" w:hAnsi="Arial"/>
          <w:sz w:val="18"/>
          <w:szCs w:val="18"/>
          <w:u w:val="single" w:color="auto"/>
          <w:color w:val="auto"/>
        </w:rPr>
        <w:t>Appendix A</w:t>
      </w:r>
      <w:r>
        <w:rPr>
          <w:rFonts w:ascii="Arial" w:cs="Arial" w:eastAsia="Arial" w:hAnsi="Arial"/>
          <w:sz w:val="18"/>
          <w:szCs w:val="18"/>
          <w:color w:val="auto"/>
        </w:rPr>
        <w:t>) shall not exceed 4.5% of the Company’s issued and outstanding Shares (which 4.5% limit shall be measured as of the date of grant of an Award hereunder). Shares underlying Replacement Awards and Shares remaining available for grant under a plan of an acquired company or of a company with which the Company combines, appropriately adjusted to reflect the acquisition or combination transaction, shall not reduce the number of Shares remaining available for grant hereunder.</w:t>
      </w:r>
    </w:p>
    <w:p>
      <w:pPr>
        <w:spacing w:after="0" w:line="193" w:lineRule="exact"/>
        <w:rPr>
          <w:rFonts w:ascii="Arial" w:cs="Arial" w:eastAsia="Arial" w:hAnsi="Arial"/>
          <w:sz w:val="18"/>
          <w:szCs w:val="18"/>
          <w:color w:val="auto"/>
        </w:rPr>
      </w:pPr>
    </w:p>
    <w:p>
      <w:pPr>
        <w:ind w:left="2000" w:hanging="695"/>
        <w:spacing w:after="0"/>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purposes of determining the number of Shares available for issuance under the Plan:</w:t>
      </w:r>
    </w:p>
    <w:p>
      <w:pPr>
        <w:spacing w:after="0" w:line="225" w:lineRule="exact"/>
        <w:rPr>
          <w:rFonts w:ascii="Arial" w:cs="Arial" w:eastAsia="Arial" w:hAnsi="Arial"/>
          <w:sz w:val="18"/>
          <w:szCs w:val="18"/>
          <w:color w:val="auto"/>
        </w:rPr>
      </w:pPr>
    </w:p>
    <w:p>
      <w:pPr>
        <w:ind w:left="660" w:right="120" w:firstLine="969"/>
        <w:spacing w:after="0" w:line="257" w:lineRule="auto"/>
        <w:tabs>
          <w:tab w:leader="none" w:pos="1982"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all Shares covered by SARs shall be counted against the number of Shares available for issuance under the Plan;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SARs that may be settled only in cash shall not be so counted and (B) if the Company grants a SAR in tandem with an Option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number of Shares and provides that only one such Award may be exercised (a “</w:t>
      </w:r>
      <w:r>
        <w:rPr>
          <w:rFonts w:ascii="Arial" w:cs="Arial" w:eastAsia="Arial" w:hAnsi="Arial"/>
          <w:sz w:val="18"/>
          <w:szCs w:val="18"/>
          <w:b w:val="1"/>
          <w:bCs w:val="1"/>
          <w:color w:val="auto"/>
        </w:rPr>
        <w:t>Tandem SAR</w:t>
      </w:r>
      <w:r>
        <w:rPr>
          <w:rFonts w:ascii="Arial" w:cs="Arial" w:eastAsia="Arial" w:hAnsi="Arial"/>
          <w:sz w:val="18"/>
          <w:szCs w:val="18"/>
          <w:color w:val="auto"/>
        </w:rPr>
        <w:t>”), only the Shares covered by the Option, and not the Shares covered by the Tandem SAR, shall be so counted, and the expiration of one in connection with the other’s exercise shall not restore Shares to the Plan;</w:t>
      </w:r>
    </w:p>
    <w:p>
      <w:pPr>
        <w:spacing w:after="0" w:line="188" w:lineRule="exact"/>
        <w:rPr>
          <w:rFonts w:ascii="Arial" w:cs="Arial" w:eastAsia="Arial" w:hAnsi="Arial"/>
          <w:sz w:val="18"/>
          <w:szCs w:val="18"/>
          <w:color w:val="auto"/>
        </w:rPr>
      </w:pPr>
    </w:p>
    <w:p>
      <w:pPr>
        <w:ind w:left="660" w:right="360" w:firstLine="969"/>
        <w:spacing w:after="0" w:line="277" w:lineRule="auto"/>
        <w:tabs>
          <w:tab w:leader="none" w:pos="203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the extent that an Award may be settled only in cash, no Shares shall be counted against the number of Shares available for issuance under the Plan;</w:t>
      </w:r>
    </w:p>
    <w:p>
      <w:pPr>
        <w:spacing w:after="0" w:line="170" w:lineRule="exact"/>
        <w:rPr>
          <w:rFonts w:ascii="Arial" w:cs="Arial" w:eastAsia="Arial" w:hAnsi="Arial"/>
          <w:sz w:val="18"/>
          <w:szCs w:val="18"/>
          <w:color w:val="auto"/>
        </w:rPr>
      </w:pPr>
    </w:p>
    <w:p>
      <w:pPr>
        <w:ind w:left="2080" w:hanging="451"/>
        <w:spacing w:after="0"/>
        <w:tabs>
          <w:tab w:leader="none" w:pos="20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if any Award (A) expires or is terminated, surrendered or cancelled without having been fully exercised or is forfeited in whole 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spacing w:after="0" w:line="272" w:lineRule="auto"/>
        <w:rPr>
          <w:sz w:val="20"/>
          <w:szCs w:val="20"/>
          <w:color w:val="auto"/>
        </w:rPr>
      </w:pPr>
      <w:r>
        <w:rPr>
          <w:rFonts w:ascii="Arial" w:cs="Arial" w:eastAsia="Arial" w:hAnsi="Arial"/>
          <w:sz w:val="17"/>
          <w:szCs w:val="17"/>
          <w:color w:val="auto"/>
        </w:rPr>
        <w:t xml:space="preserve">part (including as the result of Shares subject to such Award being repurchased by the Company at or below the original issuance price pursuant to a contractual repurchase right) or (B) results in any Shares not being issued (including as a result of an Award that was settleable either in cash or in Shares actually being settled in cash), the unused Shares covered by such Award shall again be available for issuance under the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(1) in the case of the exercise of a SAR, the number of Shares counted against the Shares available for issuance under the Plan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the full number of Shares subject to the SAR multiplied by the percentage of the SAR actually exercised, regardless of the number of Shares actually used to settle such SAR upon exercise and (2) the Shares covered by a Tandem SAR shall not again become available for issuance under the Plan upon the expiration or termination of such Tandem SAR;</w:t>
      </w:r>
    </w:p>
    <w:p>
      <w:pPr>
        <w:spacing w:after="0" w:line="178" w:lineRule="exact"/>
        <w:rPr>
          <w:sz w:val="20"/>
          <w:szCs w:val="20"/>
          <w:color w:val="auto"/>
        </w:rPr>
      </w:pPr>
    </w:p>
    <w:p>
      <w:pPr>
        <w:ind w:right="120" w:firstLine="969"/>
        <w:spacing w:after="0" w:line="286" w:lineRule="auto"/>
        <w:tabs>
          <w:tab w:leader="none" w:pos="1412" w:val="left"/>
        </w:tabs>
        <w:numPr>
          <w:ilvl w:val="1"/>
          <w:numId w:val="18"/>
        </w:numPr>
        <w:rPr>
          <w:rFonts w:ascii="Arial" w:cs="Arial" w:eastAsia="Arial" w:hAnsi="Arial"/>
          <w:sz w:val="17"/>
          <w:szCs w:val="17"/>
          <w:color w:val="auto"/>
        </w:rPr>
      </w:pPr>
      <w:r>
        <w:rPr>
          <w:rFonts w:ascii="Arial" w:cs="Arial" w:eastAsia="Arial" w:hAnsi="Arial"/>
          <w:sz w:val="17"/>
          <w:szCs w:val="17"/>
          <w:color w:val="auto"/>
        </w:rPr>
        <w:t>Shares delivered (either by actual delivery, attestation, or net exercise) to the Company by a Participant to (i) exercise an Award or (ii) satisfy tax withholding obligations with respect to Options or SARs (including Shares retained from the Option or SAR creating the tax obligation) shall not be added back to the number of Shares available for issuance under the Plan; and</w:t>
      </w:r>
    </w:p>
    <w:p>
      <w:pPr>
        <w:spacing w:after="0" w:line="165" w:lineRule="exact"/>
        <w:rPr>
          <w:rFonts w:ascii="Arial" w:cs="Arial" w:eastAsia="Arial" w:hAnsi="Arial"/>
          <w:sz w:val="17"/>
          <w:szCs w:val="17"/>
          <w:color w:val="auto"/>
        </w:rPr>
      </w:pPr>
    </w:p>
    <w:p>
      <w:pPr>
        <w:ind w:right="100" w:firstLine="969"/>
        <w:spacing w:after="0" w:line="277" w:lineRule="auto"/>
        <w:tabs>
          <w:tab w:leader="none" w:pos="1407"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Shares repurchased by the Company on the open market using the proceeds from the exercise of an Award shall not increase the number of Shares available for issuance under the Plan.</w:t>
      </w:r>
    </w:p>
    <w:p>
      <w:pPr>
        <w:spacing w:after="0" w:line="170" w:lineRule="exact"/>
        <w:rPr>
          <w:rFonts w:ascii="Arial" w:cs="Arial" w:eastAsia="Arial" w:hAnsi="Arial"/>
          <w:sz w:val="18"/>
          <w:szCs w:val="18"/>
          <w:color w:val="auto"/>
        </w:rPr>
      </w:pPr>
    </w:p>
    <w:p>
      <w:pPr>
        <w:ind w:left="-660" w:right="40" w:firstLine="1305"/>
        <w:spacing w:after="0" w:line="293" w:lineRule="auto"/>
        <w:tabs>
          <w:tab w:leader="none" w:pos="13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event that, as a result of any dividend or other distribution (whether in the form of cash, Shares or other securities), recapitalization, stock split, reverse stock split, reorganization, merger, consolidation,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the Plan (an “</w:t>
      </w:r>
      <w:r>
        <w:rPr>
          <w:rFonts w:ascii="Arial" w:cs="Arial" w:eastAsia="Arial" w:hAnsi="Arial"/>
          <w:sz w:val="16"/>
          <w:szCs w:val="16"/>
          <w:b w:val="1"/>
          <w:bCs w:val="1"/>
          <w:color w:val="auto"/>
        </w:rPr>
        <w:t>Adjustment Event</w:t>
      </w:r>
      <w:r>
        <w:rPr>
          <w:rFonts w:ascii="Arial" w:cs="Arial" w:eastAsia="Arial" w:hAnsi="Arial"/>
          <w:sz w:val="16"/>
          <w:szCs w:val="16"/>
          <w:color w:val="auto"/>
        </w:rPr>
        <w:t>”), then the Committee shall, subject to Section 18, adjust equitably any or all of:</w:t>
      </w:r>
    </w:p>
    <w:p>
      <w:pPr>
        <w:spacing w:after="0" w:line="164" w:lineRule="exact"/>
        <w:rPr>
          <w:rFonts w:ascii="Arial" w:cs="Arial" w:eastAsia="Arial" w:hAnsi="Arial"/>
          <w:sz w:val="16"/>
          <w:szCs w:val="16"/>
          <w:color w:val="auto"/>
        </w:rPr>
      </w:pPr>
    </w:p>
    <w:p>
      <w:pPr>
        <w:ind w:right="60" w:firstLine="969"/>
        <w:spacing w:after="0" w:line="277" w:lineRule="auto"/>
        <w:tabs>
          <w:tab w:leader="none" w:pos="1412"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number and type of Shares (or other securities) which thereafter may be made the subject of Awards, including the aggregate and individual limits specified in Section 4(a);</w:t>
      </w:r>
    </w:p>
    <w:p>
      <w:pPr>
        <w:spacing w:after="0" w:line="170" w:lineRule="exact"/>
        <w:rPr>
          <w:rFonts w:ascii="Arial" w:cs="Arial" w:eastAsia="Arial" w:hAnsi="Arial"/>
          <w:sz w:val="18"/>
          <w:szCs w:val="18"/>
          <w:color w:val="auto"/>
        </w:rPr>
      </w:pPr>
    </w:p>
    <w:p>
      <w:pPr>
        <w:ind w:left="1460" w:hanging="491"/>
        <w:spacing w:after="0"/>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number and type of Shares (or other securities) subject to outstanding Awards;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375285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0"/>
          </w:cols>
          <w:pgMar w:left="900" w:top="584" w:right="279" w:bottom="1440" w:gutter="0" w:footer="0" w:header="0"/>
        </w:sectPr>
      </w:pPr>
    </w:p>
    <w:bookmarkStart w:id="18" w:name="page19"/>
    <w:bookmarkEnd w:id="18"/>
    <w:p>
      <w:pPr>
        <w:ind w:left="660" w:right="40" w:firstLine="969"/>
        <w:spacing w:after="0" w:line="277" w:lineRule="auto"/>
        <w:tabs>
          <w:tab w:leader="none" w:pos="21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grant, acquisition, exercise price with respect to any Award or, if deemed appropriate, make provision for a cash payment to the holder of an outstanding Award;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the number of Shares subject to any Award denominated in Shares shall always be a whole number.</w:t>
      </w:r>
    </w:p>
    <w:p>
      <w:pPr>
        <w:spacing w:after="0" w:line="225" w:lineRule="exact"/>
        <w:rPr>
          <w:sz w:val="20"/>
          <w:szCs w:val="20"/>
          <w:color w:val="auto"/>
        </w:rPr>
      </w:pPr>
    </w:p>
    <w:p>
      <w:pPr>
        <w:ind w:left="2060" w:hanging="755"/>
        <w:spacing w:after="0"/>
        <w:tabs>
          <w:tab w:leader="none" w:pos="2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Shares delivered pursuant to an Award may consist, in whole or in part, of authorized and unissued Shares or Shares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acquired by the Company.</w:t>
      </w:r>
    </w:p>
    <w:p>
      <w:pPr>
        <w:spacing w:after="0" w:line="211"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Section 5</w:t>
      </w:r>
      <w:r>
        <w:rPr>
          <w:rFonts w:ascii="Arial" w:cs="Arial" w:eastAsia="Arial" w:hAnsi="Arial"/>
          <w:sz w:val="16"/>
          <w:szCs w:val="16"/>
          <w:i w:val="1"/>
          <w:iCs w:val="1"/>
          <w:color w:val="auto"/>
        </w:rPr>
        <w:t>. American Depositary Shares.</w:t>
      </w:r>
      <w:r>
        <w:rPr>
          <w:rFonts w:ascii="Arial" w:cs="Arial" w:eastAsia="Arial" w:hAnsi="Arial"/>
          <w:sz w:val="16"/>
          <w:szCs w:val="16"/>
          <w:color w:val="auto"/>
        </w:rPr>
        <w:t xml:space="preserve"> Notwithstanding anything herein to the contrary, the Committee may, in its discretion, make any Awards authorized hereunder subject to ADSs. In such cases, any applicable references hereunder to “Shares” shall be deemed references to “ADSs.”</w:t>
      </w:r>
    </w:p>
    <w:p>
      <w:pPr>
        <w:spacing w:after="0" w:line="12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Section 6</w:t>
      </w:r>
      <w:r>
        <w:rPr>
          <w:rFonts w:ascii="Arial" w:cs="Arial" w:eastAsia="Arial" w:hAnsi="Arial"/>
          <w:sz w:val="18"/>
          <w:szCs w:val="18"/>
          <w:i w:val="1"/>
          <w:iCs w:val="1"/>
          <w:color w:val="auto"/>
        </w:rPr>
        <w:t>. Options.</w:t>
      </w:r>
      <w:r>
        <w:rPr>
          <w:rFonts w:ascii="Arial" w:cs="Arial" w:eastAsia="Arial" w:hAnsi="Arial"/>
          <w:sz w:val="18"/>
          <w:szCs w:val="18"/>
          <w:color w:val="auto"/>
        </w:rPr>
        <w:t xml:space="preserve"> The Committee is authorized to grant Options to Participants with the following terms and conditions and with such additional terms and conditions, in either case not inconsistent with the provisions of the Plan, as the Committee shall determine.</w:t>
      </w:r>
    </w:p>
    <w:p>
      <w:pPr>
        <w:spacing w:after="0" w:line="170" w:lineRule="exact"/>
        <w:rPr>
          <w:sz w:val="20"/>
          <w:szCs w:val="20"/>
          <w:color w:val="auto"/>
        </w:rPr>
      </w:pPr>
    </w:p>
    <w:p>
      <w:pPr>
        <w:ind w:right="160" w:firstLine="1305"/>
        <w:spacing w:after="0" w:line="308" w:lineRule="auto"/>
        <w:tabs>
          <w:tab w:leader="none" w:pos="2036"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The exercise price per Share under an Option shall be determined by the Committee;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except in the case of Replacement Awards, such exercise price shall not be less than the Fair Market Value of a Share on the date of grant of such Option.</w:t>
      </w:r>
    </w:p>
    <w:p>
      <w:pPr>
        <w:spacing w:after="0" w:line="146" w:lineRule="exact"/>
        <w:rPr>
          <w:rFonts w:ascii="Arial" w:cs="Arial" w:eastAsia="Arial" w:hAnsi="Arial"/>
          <w:sz w:val="17"/>
          <w:szCs w:val="17"/>
          <w:color w:val="auto"/>
        </w:rPr>
      </w:pPr>
    </w:p>
    <w:p>
      <w:pPr>
        <w:ind w:left="2060" w:hanging="755"/>
        <w:spacing w:after="0"/>
        <w:tabs>
          <w:tab w:leader="none" w:pos="2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term of each Option shall be fixed by the Committee but shall not exceed 10 years from the date of grant of such Option.</w:t>
      </w:r>
    </w:p>
    <w:p>
      <w:pPr>
        <w:spacing w:after="0" w:line="248" w:lineRule="exact"/>
        <w:rPr>
          <w:rFonts w:ascii="Arial" w:cs="Arial" w:eastAsia="Arial" w:hAnsi="Arial"/>
          <w:sz w:val="16"/>
          <w:szCs w:val="16"/>
          <w:color w:val="auto"/>
        </w:rPr>
      </w:pPr>
    </w:p>
    <w:p>
      <w:pPr>
        <w:ind w:left="2040" w:hanging="735"/>
        <w:spacing w:after="0"/>
        <w:tabs>
          <w:tab w:leader="none" w:pos="2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Committee shall determine the time or times at which an Option may be exercised in whole or in part.</w:t>
      </w:r>
    </w:p>
    <w:p>
      <w:pPr>
        <w:spacing w:after="0" w:line="225" w:lineRule="exact"/>
        <w:rPr>
          <w:rFonts w:ascii="Arial" w:cs="Arial" w:eastAsia="Arial" w:hAnsi="Arial"/>
          <w:sz w:val="18"/>
          <w:szCs w:val="18"/>
          <w:color w:val="auto"/>
        </w:rPr>
      </w:pPr>
    </w:p>
    <w:p>
      <w:pPr>
        <w:jc w:val="both"/>
        <w:ind w:right="40" w:firstLine="1305"/>
        <w:spacing w:after="0" w:line="286" w:lineRule="auto"/>
        <w:tabs>
          <w:tab w:leader="none" w:pos="204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Committee shall determine the methods by which, and the forms in which payment of the exercise price with respect thereto may be made or deemed to have been made, including cash, Shares, other Awards, other property, net settlement (including broker-assisted cashless exercise) or any combination thereof, having a Fair Market Value on the exercise date equal to the relevant exercise price.</w:t>
      </w:r>
    </w:p>
    <w:p>
      <w:pPr>
        <w:spacing w:after="0" w:line="166"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Section 7</w:t>
      </w:r>
      <w:r>
        <w:rPr>
          <w:rFonts w:ascii="Arial" w:cs="Arial" w:eastAsia="Arial" w:hAnsi="Arial"/>
          <w:sz w:val="17"/>
          <w:szCs w:val="17"/>
          <w:i w:val="1"/>
          <w:iCs w:val="1"/>
          <w:color w:val="auto"/>
        </w:rPr>
        <w:t>. Stock Appreciation Rights.</w:t>
      </w:r>
      <w:r>
        <w:rPr>
          <w:rFonts w:ascii="Arial" w:cs="Arial" w:eastAsia="Arial" w:hAnsi="Arial"/>
          <w:sz w:val="17"/>
          <w:szCs w:val="17"/>
          <w:color w:val="auto"/>
        </w:rPr>
        <w:t xml:space="preserve"> The Committee is authorized to grant SARs to Participants with the following terms and conditions and with such additional terms and conditions, in either case not inconsistent with the provisions of the Plan, as the Committee shall determine.</w:t>
      </w:r>
    </w:p>
    <w:p>
      <w:pPr>
        <w:spacing w:after="0" w:line="147" w:lineRule="exact"/>
        <w:rPr>
          <w:sz w:val="20"/>
          <w:szCs w:val="20"/>
          <w:color w:val="auto"/>
        </w:rPr>
      </w:pPr>
    </w:p>
    <w:p>
      <w:pPr>
        <w:ind w:left="2040" w:hanging="735"/>
        <w:spacing w:after="0"/>
        <w:tabs>
          <w:tab w:leader="none" w:pos="2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SARs may be granted under the Plan to Participants either alone (“freestanding”) or in addition to other Awards granted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 (“tandem”).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9" w:name="page20"/>
    <w:bookmarkEnd w:id="19"/>
    <w:p>
      <w:pPr>
        <w:ind w:right="20" w:firstLine="1305"/>
        <w:spacing w:after="0" w:line="264" w:lineRule="auto"/>
        <w:tabs>
          <w:tab w:leader="none" w:pos="20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exercise price per Share under a SAR shall be determined by the Committee; </w:t>
      </w:r>
      <w:r>
        <w:rPr>
          <w:rFonts w:ascii="Arial" w:cs="Arial" w:eastAsia="Arial" w:hAnsi="Arial"/>
          <w:sz w:val="18"/>
          <w:szCs w:val="18"/>
          <w:i w:val="1"/>
          <w:iCs w:val="1"/>
          <w:color w:val="auto"/>
        </w:rPr>
        <w:t>provided, however</w:t>
      </w:r>
      <w:r>
        <w:rPr>
          <w:rFonts w:ascii="Arial" w:cs="Arial" w:eastAsia="Arial" w:hAnsi="Arial"/>
          <w:sz w:val="18"/>
          <w:szCs w:val="18"/>
          <w:color w:val="auto"/>
        </w:rPr>
        <w:t>, that, except in the case of Replacement Awards, such exercise price shall not be less than the Fair Market Value of a Share on the date of grant of such SAR (or if granted in connection with an Option, on the grant date of such Option).</w:t>
      </w:r>
    </w:p>
    <w:p>
      <w:pPr>
        <w:spacing w:after="0" w:line="181" w:lineRule="exact"/>
        <w:rPr>
          <w:rFonts w:ascii="Arial" w:cs="Arial" w:eastAsia="Arial" w:hAnsi="Arial"/>
          <w:sz w:val="18"/>
          <w:szCs w:val="18"/>
          <w:color w:val="auto"/>
        </w:rPr>
      </w:pPr>
    </w:p>
    <w:p>
      <w:pPr>
        <w:ind w:left="2040" w:hanging="735"/>
        <w:spacing w:after="0"/>
        <w:tabs>
          <w:tab w:leader="none" w:pos="2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term of each SAR shall be fixed by the Committee but shall not exceed 10 years from the date of grant of such SAR.</w:t>
      </w:r>
    </w:p>
    <w:p>
      <w:pPr>
        <w:spacing w:after="0" w:line="236" w:lineRule="exact"/>
        <w:rPr>
          <w:rFonts w:ascii="Arial" w:cs="Arial" w:eastAsia="Arial" w:hAnsi="Arial"/>
          <w:sz w:val="17"/>
          <w:szCs w:val="17"/>
          <w:color w:val="auto"/>
        </w:rPr>
      </w:pPr>
    </w:p>
    <w:p>
      <w:pPr>
        <w:ind w:left="2060" w:hanging="755"/>
        <w:spacing w:after="0"/>
        <w:tabs>
          <w:tab w:leader="none" w:pos="2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Committee shall determine the time or times at which a SAR may be exercised or settled in whole or in part.</w:t>
      </w:r>
    </w:p>
    <w:p>
      <w:pPr>
        <w:spacing w:after="0" w:line="225" w:lineRule="exact"/>
        <w:rPr>
          <w:rFonts w:ascii="Arial" w:cs="Arial" w:eastAsia="Arial" w:hAnsi="Arial"/>
          <w:sz w:val="18"/>
          <w:szCs w:val="18"/>
          <w:color w:val="auto"/>
        </w:rPr>
      </w:pPr>
    </w:p>
    <w:p>
      <w:pPr>
        <w:ind w:right="20" w:firstLine="1305"/>
        <w:spacing w:after="0" w:line="286" w:lineRule="auto"/>
        <w:tabs>
          <w:tab w:leader="none" w:pos="20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Upon the exercise of a SAR, the Company shall pay to the Participant an amount equal to the number of Shares subject to the SAR multiplied by the excess, if any, of the Fair Market Value of one Share on the exercise date over the exercise price of such SAR. The Company shall pay such excess in cash, in Shares valued at Fair Market Value, or any combination thereof, as determined by the Committee.</w:t>
      </w:r>
    </w:p>
    <w:p>
      <w:pPr>
        <w:spacing w:after="0" w:line="16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Restricted Stock and RSUs.</w:t>
      </w:r>
      <w:r>
        <w:rPr>
          <w:rFonts w:ascii="Arial" w:cs="Arial" w:eastAsia="Arial" w:hAnsi="Arial"/>
          <w:sz w:val="18"/>
          <w:szCs w:val="18"/>
          <w:color w:val="auto"/>
        </w:rPr>
        <w:t xml:space="preserve"> The Committee is authorized to grant Awards of Restricted Stock and RSUs to Participants with the following terms and conditions and with such additional terms and conditions, in either case not inconsistent with the provisions of the Plan, as the Committee shall determine.</w:t>
      </w:r>
    </w:p>
    <w:p>
      <w:pPr>
        <w:spacing w:after="0" w:line="181" w:lineRule="exact"/>
        <w:rPr>
          <w:sz w:val="20"/>
          <w:szCs w:val="20"/>
          <w:color w:val="auto"/>
        </w:rPr>
      </w:pPr>
    </w:p>
    <w:p>
      <w:pPr>
        <w:ind w:right="60" w:firstLine="1305"/>
        <w:spacing w:after="0" w:line="264" w:lineRule="auto"/>
        <w:tabs>
          <w:tab w:leader="none" w:pos="20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applicable Award Document shall specify the vesting schedule and, with respect to RSUs, the delivery schedule (which may include deferred delivery later than the vesting date) and whether the Award of Restricted Stock or RSUs is entitled to dividends or dividend equivalents, voting rights or any other rights.</w:t>
      </w:r>
    </w:p>
    <w:p>
      <w:pPr>
        <w:spacing w:after="0" w:line="181" w:lineRule="exact"/>
        <w:rPr>
          <w:rFonts w:ascii="Arial" w:cs="Arial" w:eastAsia="Arial" w:hAnsi="Arial"/>
          <w:sz w:val="18"/>
          <w:szCs w:val="18"/>
          <w:color w:val="auto"/>
        </w:rPr>
      </w:pPr>
    </w:p>
    <w:p>
      <w:pPr>
        <w:ind w:firstLine="1305"/>
        <w:spacing w:after="0" w:line="273" w:lineRule="auto"/>
        <w:tabs>
          <w:tab w:leader="none" w:pos="2046" w:val="left"/>
        </w:tabs>
        <w:numPr>
          <w:ilvl w:val="0"/>
          <w:numId w:val="25"/>
        </w:numPr>
        <w:rPr>
          <w:rFonts w:ascii="Arial" w:cs="Arial" w:eastAsia="Arial" w:hAnsi="Arial"/>
          <w:sz w:val="17"/>
          <w:szCs w:val="17"/>
          <w:color w:val="auto"/>
        </w:rPr>
      </w:pPr>
      <w:r>
        <w:rPr>
          <w:rFonts w:ascii="Arial" w:cs="Arial" w:eastAsia="Arial" w:hAnsi="Arial"/>
          <w:sz w:val="17"/>
          <w:szCs w:val="17"/>
          <w:color w:val="auto"/>
        </w:rPr>
        <w:t>Shares of Restricted Stock and RSUs shall be subject to such restrictions as the Committee may impose (including any limitation on the right to vote a Share of Restricted Stock or the right to receive any dividend, dividend equivalent or other right), which restrictions may lapse separately or in combination at such time or times, in such installments or otherwise, as the Committee may deem appropriate. Without limiting the generality of the foregoing, if the Award relates to Shares on which dividends are declared during the period that the Award is outstanding, the Award shall not provide for the payment of such dividend (or a dividend equivalent) to the Participant prior to the time at which such Award, or applicable portion thereof, becomes nonforfeitable, unless otherwise provided in the applicable Award Document.</w:t>
      </w:r>
    </w:p>
    <w:p>
      <w:pPr>
        <w:spacing w:after="0" w:line="178" w:lineRule="exact"/>
        <w:rPr>
          <w:rFonts w:ascii="Arial" w:cs="Arial" w:eastAsia="Arial" w:hAnsi="Arial"/>
          <w:sz w:val="17"/>
          <w:szCs w:val="17"/>
          <w:color w:val="auto"/>
        </w:rPr>
      </w:pPr>
    </w:p>
    <w:p>
      <w:pPr>
        <w:ind w:right="20" w:firstLine="1305"/>
        <w:spacing w:after="0" w:line="264" w:lineRule="auto"/>
        <w:tabs>
          <w:tab w:leader="none" w:pos="20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share of Restricted Stock granted under the Plan may be evidenced in such manner as the Committee may deem appropriate, including book-entry registration or issuance of a stock certificate or certificates. In the event that any stock certificate is issued in respect of shares of Restricted Stock granted under the Plan, such certificate shall be registered in the name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Participant and shall bear an appropriate legend referring to the terms, conditions and restrictions applicable to such Restricted Stock.</w:t>
      </w:r>
    </w:p>
    <w:p>
      <w:pPr>
        <w:spacing w:after="0" w:line="225" w:lineRule="exact"/>
        <w:rPr>
          <w:sz w:val="20"/>
          <w:szCs w:val="20"/>
          <w:color w:val="auto"/>
        </w:rPr>
      </w:pPr>
    </w:p>
    <w:p>
      <w:pPr>
        <w:ind w:right="480" w:firstLine="1305"/>
        <w:spacing w:after="0" w:line="277" w:lineRule="auto"/>
        <w:tabs>
          <w:tab w:leader="none" w:pos="20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Committee may determine the form or forms (including cash, Shares, other Awards, other property or any combination thereof) in which payment of the amount owing upon settlement of any RSU Award may be made.</w:t>
      </w:r>
    </w:p>
    <w:p>
      <w:pPr>
        <w:spacing w:after="0" w:line="17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i w:val="1"/>
          <w:iCs w:val="1"/>
          <w:color w:val="auto"/>
        </w:rPr>
        <w:t>Performance Awards.</w:t>
      </w:r>
      <w:r>
        <w:rPr>
          <w:rFonts w:ascii="Arial" w:cs="Arial" w:eastAsia="Arial" w:hAnsi="Arial"/>
          <w:sz w:val="16"/>
          <w:szCs w:val="16"/>
          <w:color w:val="auto"/>
        </w:rPr>
        <w:t xml:space="preserve"> The Committee is authorized to grant Performance Awards to Participants with the following terms and conditions and with such additional terms and conditions, in either case not inconsistent with the provisions of the Plan, as the Committee shall determine.</w:t>
      </w:r>
    </w:p>
    <w:p>
      <w:pPr>
        <w:spacing w:after="0" w:line="124" w:lineRule="exact"/>
        <w:rPr>
          <w:sz w:val="20"/>
          <w:szCs w:val="20"/>
          <w:color w:val="auto"/>
        </w:rPr>
      </w:pPr>
    </w:p>
    <w:p>
      <w:pPr>
        <w:ind w:firstLine="1305"/>
        <w:spacing w:after="0" w:line="289" w:lineRule="auto"/>
        <w:tabs>
          <w:tab w:leader="none" w:pos="20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Performance Awards may be denominated as a cash amount, a number of Shares or a combination thereof and are Awards which may be earned upon achievement or satisfaction of performance conditions specified by the Committee. In addition, the Committee may specify that any other Award shall constitute a Performance Award by conditioning the right of a Participant to exercise the Award or have it settled, and the timing thereof, upon achievement or satisfaction of such performance conditions as may be specified by the Committee. The Committee may use such business criteria and other measures of performance as it may deem appropriate in establishing any performance conditions. Subject to the terms of the Plan, the performance goals to be achieved during any Performance Period, the length of any Performance Period, the amount of any Performance Award granted and the amount of any payment or transfer to be made pursuant to any Performance Award shall be determined by the Committee. If the Performance Award relates to Shares on which dividends are declared during the Performance Period, the Performance Award shall not provide for the payment of such dividend (or dividend equivalent) to the Participant prior to the time at which such Performance Award, or the applicable portion thereof, is earned.</w:t>
      </w:r>
    </w:p>
    <w:p>
      <w:pPr>
        <w:spacing w:after="0" w:line="166" w:lineRule="exact"/>
        <w:rPr>
          <w:rFonts w:ascii="Arial" w:cs="Arial" w:eastAsia="Arial" w:hAnsi="Arial"/>
          <w:sz w:val="16"/>
          <w:szCs w:val="16"/>
          <w:color w:val="auto"/>
        </w:rPr>
      </w:pPr>
    </w:p>
    <w:p>
      <w:pPr>
        <w:ind w:right="60" w:firstLine="1305"/>
        <w:spacing w:after="0" w:line="271" w:lineRule="auto"/>
        <w:tabs>
          <w:tab w:leader="none" w:pos="2046"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Performance criteria may be measured on an absolute (</w:t>
      </w:r>
      <w:r>
        <w:rPr>
          <w:rFonts w:ascii="Arial" w:cs="Arial" w:eastAsia="Arial" w:hAnsi="Arial"/>
          <w:sz w:val="17"/>
          <w:szCs w:val="17"/>
          <w:i w:val="1"/>
          <w:iCs w:val="1"/>
          <w:color w:val="auto"/>
        </w:rPr>
        <w:t>e.g.</w:t>
      </w:r>
      <w:r>
        <w:rPr>
          <w:rFonts w:ascii="Arial" w:cs="Arial" w:eastAsia="Arial" w:hAnsi="Arial"/>
          <w:sz w:val="17"/>
          <w:szCs w:val="17"/>
          <w:color w:val="auto"/>
        </w:rPr>
        <w:t>, plan or budget) or relative basis, and may be established on a corporate-wide basis or with respect to one or more business units, divisions, subsidiaries or business segments. Relative performance may be measured against a group of peer companies, a financial market index or other acceptable objective and quantifiable indices. If the Committee determines that a change in the business, operations, corporate structure or capital structure of the Company, or the manner in which the Company conducts its business, or other events or circumstances render the performance objectives unsuitable, the Committee may modify the minimum acceptable level of achievement, in whole or in part, as the Committee deems appropriate and equitable. Performance objectives may be adjusted for material items not originally contemplated in establishing the performance target for items resulting from discontinued operations, extraordinary gains and losses, the effect of changes in accounting standards or principles, acquisitions or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620395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spacing w:after="0" w:line="257" w:lineRule="auto"/>
        <w:rPr>
          <w:sz w:val="20"/>
          <w:szCs w:val="20"/>
          <w:color w:val="auto"/>
        </w:rPr>
      </w:pPr>
      <w:r>
        <w:rPr>
          <w:rFonts w:ascii="Arial" w:cs="Arial" w:eastAsia="Arial" w:hAnsi="Arial"/>
          <w:sz w:val="18"/>
          <w:szCs w:val="18"/>
          <w:color w:val="auto"/>
        </w:rPr>
        <w:t>changes in tax rules or regulations, capital transactions, restructuring, nonrecurring gains or losses or unusual items. Performance measures may vary from Performance Award to Performance Award, and from Participant to Participant, and may be established on a stand-alone basis, in tandem or in the alternative. The Committee shall have the power to impose such other restrictions on Awards subject to this Section 9(b) as it may deem necessary or appropriate to ensure that such Awards satisfy all requirements of any applicable law, stock market or exchange rules and regulations or accounting or tax rules and regulations.</w:t>
      </w:r>
    </w:p>
    <w:p>
      <w:pPr>
        <w:spacing w:after="0" w:line="188" w:lineRule="exact"/>
        <w:rPr>
          <w:sz w:val="20"/>
          <w:szCs w:val="20"/>
          <w:color w:val="auto"/>
        </w:rPr>
      </w:pPr>
    </w:p>
    <w:p>
      <w:pPr>
        <w:ind w:firstLine="1305"/>
        <w:spacing w:after="0" w:line="259" w:lineRule="auto"/>
        <w:tabs>
          <w:tab w:leader="none" w:pos="2036"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Settlement of Performance Awards; Other Terms. </w:t>
      </w:r>
      <w:r>
        <w:rPr>
          <w:rFonts w:ascii="Arial" w:cs="Arial" w:eastAsia="Arial" w:hAnsi="Arial"/>
          <w:sz w:val="18"/>
          <w:szCs w:val="18"/>
          <w:color w:val="auto"/>
        </w:rPr>
        <w:t>Settlement of Performance Awards shall be in cash, Shares, other Awards,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net settlement or any combination thereof, as determined in the discretion of the Committee. Performance Awards will be settled only after the end of the relevant Performance Period. The Committee may, in its discretion, increase or reduce the amount of a settlement otherwise to be made in connection with a Performance Award.</w:t>
      </w:r>
    </w:p>
    <w:p>
      <w:pPr>
        <w:spacing w:after="0" w:line="18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Section 10</w:t>
      </w:r>
      <w:r>
        <w:rPr>
          <w:rFonts w:ascii="Arial" w:cs="Arial" w:eastAsia="Arial" w:hAnsi="Arial"/>
          <w:sz w:val="17"/>
          <w:szCs w:val="17"/>
          <w:i w:val="1"/>
          <w:iCs w:val="1"/>
          <w:color w:val="auto"/>
        </w:rPr>
        <w:t>. Other Share-Based Awards.</w:t>
      </w:r>
      <w:r>
        <w:rPr>
          <w:rFonts w:ascii="Arial" w:cs="Arial" w:eastAsia="Arial" w:hAnsi="Arial"/>
          <w:sz w:val="17"/>
          <w:szCs w:val="17"/>
          <w:color w:val="auto"/>
        </w:rPr>
        <w:t xml:space="preserve"> The Committee is authorized, subject to limitations under applicable law, to grant to Participants such other Awards that may be denominated or payable in, valued in whole or in part by reference to, or otherwise based on, or related to, Shares or factors that may influence the value of Shares, including convertible or exchangeable debt securities, other rights convertible or exchangeable into Shares, acquisition rights for Shares, Awards with value and payment contingent upon performance of the Company or business units thereof or any other factors designated by the Committee. The Committee shall determine the terms and conditions of such Awards.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11</w:t>
      </w:r>
      <w:r>
        <w:rPr>
          <w:rFonts w:ascii="Arial" w:cs="Arial" w:eastAsia="Arial" w:hAnsi="Arial"/>
          <w:sz w:val="18"/>
          <w:szCs w:val="18"/>
          <w:i w:val="1"/>
          <w:iCs w:val="1"/>
          <w:color w:val="auto"/>
        </w:rPr>
        <w:t>. Effect of Termination of Service or a Change in Control on Awards.</w:t>
      </w:r>
    </w:p>
    <w:p>
      <w:pPr>
        <w:spacing w:after="0" w:line="225" w:lineRule="exact"/>
        <w:rPr>
          <w:sz w:val="20"/>
          <w:szCs w:val="20"/>
          <w:color w:val="auto"/>
        </w:rPr>
      </w:pPr>
    </w:p>
    <w:p>
      <w:pPr>
        <w:ind w:right="200" w:firstLine="1305"/>
        <w:spacing w:after="0" w:line="264" w:lineRule="auto"/>
        <w:tabs>
          <w:tab w:leader="none" w:pos="20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Committee may provide, by rule or regulation or in any Award Document, or may determine in any individual case, the circumstances in which, and the extent to which, an Award may be exercised, settled, vested, paid or forfeited in the event of a Participant’s Termination of Service prior to the vesting, exercise or settlement of such Award or the end of a Performance Period.</w:t>
      </w:r>
    </w:p>
    <w:p>
      <w:pPr>
        <w:spacing w:after="0" w:line="181" w:lineRule="exact"/>
        <w:rPr>
          <w:rFonts w:ascii="Arial" w:cs="Arial" w:eastAsia="Arial" w:hAnsi="Arial"/>
          <w:sz w:val="18"/>
          <w:szCs w:val="18"/>
          <w:color w:val="auto"/>
        </w:rPr>
      </w:pPr>
    </w:p>
    <w:p>
      <w:pPr>
        <w:ind w:left="2060" w:hanging="755"/>
        <w:spacing w:after="0"/>
        <w:tabs>
          <w:tab w:leader="none" w:pos="2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event of a Change in Control, outstanding Awards shall be treated as described below.</w:t>
      </w:r>
    </w:p>
    <w:p>
      <w:pPr>
        <w:spacing w:after="0" w:line="225" w:lineRule="exact"/>
        <w:rPr>
          <w:rFonts w:ascii="Arial" w:cs="Arial" w:eastAsia="Arial" w:hAnsi="Arial"/>
          <w:sz w:val="18"/>
          <w:szCs w:val="18"/>
          <w:color w:val="auto"/>
        </w:rPr>
      </w:pPr>
    </w:p>
    <w:p>
      <w:pPr>
        <w:ind w:left="660" w:right="300" w:firstLine="969"/>
        <w:spacing w:after="0" w:line="342" w:lineRule="auto"/>
        <w:tabs>
          <w:tab w:leader="none" w:pos="2072" w:val="left"/>
        </w:tabs>
        <w:numPr>
          <w:ilvl w:val="1"/>
          <w:numId w:val="29"/>
        </w:numPr>
        <w:rPr>
          <w:rFonts w:ascii="Arial" w:cs="Arial" w:eastAsia="Arial" w:hAnsi="Arial"/>
          <w:sz w:val="16"/>
          <w:szCs w:val="16"/>
          <w:color w:val="auto"/>
        </w:rPr>
      </w:pPr>
      <w:r>
        <w:rPr>
          <w:rFonts w:ascii="Arial" w:cs="Arial" w:eastAsia="Arial" w:hAnsi="Arial"/>
          <w:sz w:val="16"/>
          <w:szCs w:val="16"/>
          <w:color w:val="auto"/>
        </w:rPr>
        <w:t>If in connection with the Change in Control, any outstanding Award is continued in effect or converted into an award or right with respect to stock of the successor or surviving corporation (or a parent or subsidiary thereof) (in the case of Options and SARs awarded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2" w:name="page23"/>
    <w:bookmarkEnd w:id="22"/>
    <w:p>
      <w:pPr>
        <w:ind w:left="660" w:right="160"/>
        <w:spacing w:after="0" w:line="279" w:lineRule="auto"/>
        <w:rPr>
          <w:sz w:val="20"/>
          <w:szCs w:val="20"/>
          <w:color w:val="auto"/>
        </w:rPr>
      </w:pPr>
      <w:r>
        <w:rPr>
          <w:rFonts w:ascii="Arial" w:cs="Arial" w:eastAsia="Arial" w:hAnsi="Arial"/>
          <w:sz w:val="17"/>
          <w:szCs w:val="17"/>
          <w:color w:val="auto"/>
        </w:rPr>
        <w:t>a Participant to whom Section 18 applies, in a manner that complies with Sections 424 and 409A of the Code if those sections apply to the Award), then upon the occurrence of a Termination of Service of a Participant by the Company without Cause within 24 months following the Change in Control, on the date of such Termination of Service, such Award held by such Participant shall immediately vest and settle, and with respect to Options and SARs, shall become exercisable and shall remain exercisable for one year.</w:t>
      </w:r>
    </w:p>
    <w:p>
      <w:pPr>
        <w:spacing w:after="0" w:line="171" w:lineRule="exact"/>
        <w:rPr>
          <w:sz w:val="20"/>
          <w:szCs w:val="20"/>
          <w:color w:val="auto"/>
        </w:rPr>
      </w:pPr>
    </w:p>
    <w:p>
      <w:pPr>
        <w:ind w:left="660" w:right="160" w:firstLine="969"/>
        <w:spacing w:after="0" w:line="277" w:lineRule="auto"/>
        <w:tabs>
          <w:tab w:leader="none" w:pos="212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outstanding Awards are not continued or converted as described in subsection (i) above, then on the Change in Control, such Awards shall immediately vest and settle and, in the case of Options and SARs, shall become fully exercisable.</w:t>
      </w:r>
    </w:p>
    <w:p>
      <w:pPr>
        <w:spacing w:after="0" w:line="170"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For purposes of subsections (i) and (ii) above, no Option, SAR, Restricted Stock or RSU shall be treated as “continued or converted” on a basis consistent with the requirements of subsection (i) or (ii), as applicable, unless the stock underlying such award after such continuation or conversion consists of securities of a class that is widely held and publicly traded on a recognized United States or International securities exchange.</w:t>
      </w:r>
    </w:p>
    <w:p>
      <w:pPr>
        <w:spacing w:after="0" w:line="166" w:lineRule="exact"/>
        <w:rPr>
          <w:sz w:val="20"/>
          <w:szCs w:val="20"/>
          <w:color w:val="auto"/>
        </w:rPr>
      </w:pPr>
    </w:p>
    <w:p>
      <w:pPr>
        <w:jc w:val="both"/>
        <w:ind w:right="60" w:firstLine="1305"/>
        <w:spacing w:after="0" w:line="255" w:lineRule="auto"/>
        <w:tabs>
          <w:tab w:leader="none" w:pos="20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addition, in the event of a Change in Control or other Adjustment Event and to the extent permitted under applicable law and not inconsistent with the provisions of Section 11(a) above or the applicable Award Document, the Committee, in its sole discretion, and on such terms and conditions as it deems appropriate, either by the terms of the Award or by action taken prior to the occurrence of such Change in Control or other Adjustment Event, may take any one or more of the following actions whenever the Committee determines that such action is appropriate or desirable in order to prevent the dilution or enlargement of the benefits intended to be made available under the Plan or to facilitate the Change in Control transaction or other Adjustment Event:</w:t>
      </w:r>
    </w:p>
    <w:p>
      <w:pPr>
        <w:spacing w:after="0" w:line="193" w:lineRule="exact"/>
        <w:rPr>
          <w:rFonts w:ascii="Arial" w:cs="Arial" w:eastAsia="Arial" w:hAnsi="Arial"/>
          <w:sz w:val="18"/>
          <w:szCs w:val="18"/>
          <w:color w:val="auto"/>
        </w:rPr>
      </w:pPr>
    </w:p>
    <w:p>
      <w:pPr>
        <w:ind w:left="660" w:firstLine="969"/>
        <w:spacing w:after="0" w:line="312" w:lineRule="auto"/>
        <w:tabs>
          <w:tab w:leader="none" w:pos="2072" w:val="left"/>
        </w:tabs>
        <w:numPr>
          <w:ilvl w:val="1"/>
          <w:numId w:val="31"/>
        </w:numPr>
        <w:rPr>
          <w:rFonts w:ascii="Arial" w:cs="Arial" w:eastAsia="Arial" w:hAnsi="Arial"/>
          <w:sz w:val="16"/>
          <w:szCs w:val="16"/>
          <w:color w:val="auto"/>
        </w:rPr>
      </w:pPr>
      <w:r>
        <w:rPr>
          <w:rFonts w:ascii="Arial" w:cs="Arial" w:eastAsia="Arial" w:hAnsi="Arial"/>
          <w:sz w:val="16"/>
          <w:szCs w:val="16"/>
          <w:color w:val="auto"/>
        </w:rPr>
        <w:t>to terminate or cancel any outstanding Award in exchange for a cash payment (and, for the avoidance of doubt, if as of the date of the Change in Control or other Adjustment Event, the Committee determines that no amount would have been realized upon the exercise of the Award or other realization of the Participant’s rights, then the Award may be cancelled by the Company without payment of consideration);</w:t>
      </w:r>
    </w:p>
    <w:p>
      <w:pPr>
        <w:spacing w:after="0" w:line="146" w:lineRule="exact"/>
        <w:rPr>
          <w:rFonts w:ascii="Arial" w:cs="Arial" w:eastAsia="Arial" w:hAnsi="Arial"/>
          <w:sz w:val="16"/>
          <w:szCs w:val="16"/>
          <w:color w:val="auto"/>
        </w:rPr>
      </w:pPr>
    </w:p>
    <w:p>
      <w:pPr>
        <w:ind w:left="660" w:firstLine="969"/>
        <w:spacing w:after="0" w:line="259" w:lineRule="auto"/>
        <w:tabs>
          <w:tab w:leader="none" w:pos="2122"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provide for the assumption, substitution, replacement or continuation of any Award by the successor or surviving corporation (or a parent or subsidiary thereof) with cash, securities, rights or other property to be paid or issued, as the case may be, by the successor or surviving corporation (or a parent or subsidiary thereof), and to provide for appropriate adjustments with respect to the number and type of securities (or other consideration) of the successor or surviving corporation (or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625475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3" w:name="page24"/>
    <w:bookmarkEnd w:id="23"/>
    <w:p>
      <w:pPr>
        <w:ind w:right="40"/>
        <w:spacing w:after="0" w:line="342" w:lineRule="auto"/>
        <w:rPr>
          <w:sz w:val="20"/>
          <w:szCs w:val="20"/>
          <w:color w:val="auto"/>
        </w:rPr>
      </w:pPr>
      <w:r>
        <w:rPr>
          <w:rFonts w:ascii="Arial" w:cs="Arial" w:eastAsia="Arial" w:hAnsi="Arial"/>
          <w:sz w:val="16"/>
          <w:szCs w:val="16"/>
          <w:color w:val="auto"/>
        </w:rPr>
        <w:t>parent or subsidiary thereof), subject to any replacement awards, the terms and conditions of the replacement awards (including, without limitation, any applicable performance targets or criteria with respect thereto) and the grant, exercise or purchase price per share for the replacement awards;</w:t>
      </w:r>
    </w:p>
    <w:p>
      <w:pPr>
        <w:spacing w:after="0" w:line="124" w:lineRule="exact"/>
        <w:rPr>
          <w:sz w:val="20"/>
          <w:szCs w:val="20"/>
          <w:color w:val="auto"/>
        </w:rPr>
      </w:pPr>
    </w:p>
    <w:p>
      <w:pPr>
        <w:jc w:val="both"/>
        <w:ind w:right="60" w:firstLine="969"/>
        <w:spacing w:after="0" w:line="264" w:lineRule="auto"/>
        <w:tabs>
          <w:tab w:leader="none" w:pos="15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make any other adjustments in the number and type of securities (or other consideration) subject to outstanding Awards and in the terms and conditions of outstanding Awards (including the grant or exercise price and performance criteria with respect thereto) and Awards that may be granted in the future;</w:t>
      </w:r>
    </w:p>
    <w:p>
      <w:pPr>
        <w:spacing w:after="0" w:line="181" w:lineRule="exact"/>
        <w:rPr>
          <w:rFonts w:ascii="Arial" w:cs="Arial" w:eastAsia="Arial" w:hAnsi="Arial"/>
          <w:sz w:val="18"/>
          <w:szCs w:val="18"/>
          <w:color w:val="auto"/>
        </w:rPr>
      </w:pPr>
    </w:p>
    <w:p>
      <w:pPr>
        <w:ind w:right="180" w:firstLine="969"/>
        <w:spacing w:after="0" w:line="277" w:lineRule="auto"/>
        <w:tabs>
          <w:tab w:leader="none" w:pos="150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provide that any Award shall be accelerated and become exercisable, payable and/or fully vested with respect to all Shares covered thereby, notwithstanding anything to the contrary in the Plan or the applicable Award Document; and</w:t>
      </w:r>
    </w:p>
    <w:p>
      <w:pPr>
        <w:spacing w:after="0" w:line="170" w:lineRule="exact"/>
        <w:rPr>
          <w:rFonts w:ascii="Arial" w:cs="Arial" w:eastAsia="Arial" w:hAnsi="Arial"/>
          <w:sz w:val="18"/>
          <w:szCs w:val="18"/>
          <w:color w:val="auto"/>
        </w:rPr>
      </w:pPr>
    </w:p>
    <w:p>
      <w:pPr>
        <w:ind w:left="1440" w:hanging="471"/>
        <w:spacing w:after="0"/>
        <w:tabs>
          <w:tab w:leader="none" w:pos="1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provide that any Award shall not vest, be exercised or become payable as a result of such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12</w:t>
      </w:r>
      <w:r>
        <w:rPr>
          <w:rFonts w:ascii="Arial" w:cs="Arial" w:eastAsia="Arial" w:hAnsi="Arial"/>
          <w:sz w:val="18"/>
          <w:szCs w:val="18"/>
          <w:i w:val="1"/>
          <w:iCs w:val="1"/>
          <w:color w:val="auto"/>
        </w:rPr>
        <w:t>. General Provisions Applicable to Awards.</w:t>
      </w:r>
    </w:p>
    <w:p>
      <w:pPr>
        <w:spacing w:after="0" w:line="225" w:lineRule="exact"/>
        <w:rPr>
          <w:sz w:val="20"/>
          <w:szCs w:val="20"/>
          <w:color w:val="auto"/>
        </w:rPr>
      </w:pPr>
    </w:p>
    <w:p>
      <w:pPr>
        <w:ind w:left="-660" w:right="120" w:firstLine="1305"/>
        <w:spacing w:after="0" w:line="277" w:lineRule="auto"/>
        <w:tabs>
          <w:tab w:leader="none" w:pos="13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Awards shall be granted for no cash consideration or for such minimal cash consideration as may be required by applicable law unless otherwise determined by the Committee.</w:t>
      </w:r>
    </w:p>
    <w:p>
      <w:pPr>
        <w:spacing w:after="0" w:line="170" w:lineRule="exact"/>
        <w:rPr>
          <w:rFonts w:ascii="Arial" w:cs="Arial" w:eastAsia="Arial" w:hAnsi="Arial"/>
          <w:sz w:val="18"/>
          <w:szCs w:val="18"/>
          <w:color w:val="auto"/>
        </w:rPr>
      </w:pPr>
    </w:p>
    <w:p>
      <w:pPr>
        <w:jc w:val="both"/>
        <w:ind w:left="-660" w:right="60" w:firstLine="1305"/>
        <w:spacing w:after="0" w:line="259" w:lineRule="auto"/>
        <w:tabs>
          <w:tab w:leader="none" w:pos="138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186" w:lineRule="exact"/>
        <w:rPr>
          <w:rFonts w:ascii="Arial" w:cs="Arial" w:eastAsia="Arial" w:hAnsi="Arial"/>
          <w:sz w:val="18"/>
          <w:szCs w:val="18"/>
          <w:color w:val="auto"/>
        </w:rPr>
      </w:pPr>
    </w:p>
    <w:p>
      <w:pPr>
        <w:ind w:left="-660" w:firstLine="1305"/>
        <w:spacing w:after="0" w:line="297" w:lineRule="auto"/>
        <w:tabs>
          <w:tab w:leader="none" w:pos="1376"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Subject to the terms of the Plan and Section 18, payments or transfers to be made by the Company upon the grant, exercise or settlement of an Award may be made in the form of cash, Shares, other Awards, other property, net settlement or any combination thereof, as determined by the Committee in its discretion, and may be made in a single payment or transfer, in installments or on a deferred basis, in each case in accordance with rules and procedures established by the Committee. Such rules and procedures may include provisions for the payment or crediting of reasonable interest on installment or deferred payments or the grant or crediting of dividend equivalents in respect of installment or deferred payments.</w:t>
      </w:r>
    </w:p>
    <w:p>
      <w:pPr>
        <w:spacing w:after="0" w:line="158" w:lineRule="exact"/>
        <w:rPr>
          <w:rFonts w:ascii="Arial" w:cs="Arial" w:eastAsia="Arial" w:hAnsi="Arial"/>
          <w:sz w:val="16"/>
          <w:szCs w:val="16"/>
          <w:color w:val="auto"/>
        </w:rPr>
      </w:pPr>
    </w:p>
    <w:p>
      <w:pPr>
        <w:ind w:left="-660" w:right="100" w:firstLine="1305"/>
        <w:spacing w:after="0" w:line="264" w:lineRule="auto"/>
        <w:tabs>
          <w:tab w:leader="none" w:pos="1386"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Except as may be permitted by the Committee or as specifically provided in an Award Document, (i) no Award and no right under any Award shall be assignable, alienable, saleable or transferable by a Participant otherwise than by will or pursuant to Section 12(e) and (ii) during a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347345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60"/>
          </w:cols>
          <w:pgMar w:left="900" w:top="584" w:right="3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lifetime, each Award, and each right under any Award, shall be exercisable only by the Participant or, if permissible under applicable law, by the Participant’s guardian or legal representative. The provisions of this Section 12(d) shall not apply to any Award that has been fully exercised or settled, as the case may be, and shall not preclude forfeiture of an Award in accordance with the terms thereof.</w:t>
      </w:r>
    </w:p>
    <w:p>
      <w:pPr>
        <w:spacing w:after="0" w:line="181" w:lineRule="exact"/>
        <w:rPr>
          <w:sz w:val="20"/>
          <w:szCs w:val="20"/>
          <w:color w:val="auto"/>
        </w:rPr>
      </w:pPr>
    </w:p>
    <w:p>
      <w:pPr>
        <w:ind w:right="700" w:firstLine="1305"/>
        <w:spacing w:after="0" w:line="277" w:lineRule="auto"/>
        <w:tabs>
          <w:tab w:leader="none" w:pos="203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Participant may designate a Beneficiary or change a previous Beneficiary designation at such times prescribed by the Committee by using forms and following procedures approved or accepted by the Committee for that purpose.</w:t>
      </w:r>
    </w:p>
    <w:p>
      <w:pPr>
        <w:spacing w:after="0" w:line="170" w:lineRule="exact"/>
        <w:rPr>
          <w:rFonts w:ascii="Arial" w:cs="Arial" w:eastAsia="Arial" w:hAnsi="Arial"/>
          <w:sz w:val="18"/>
          <w:szCs w:val="18"/>
          <w:color w:val="auto"/>
        </w:rPr>
      </w:pPr>
    </w:p>
    <w:p>
      <w:pPr>
        <w:ind w:right="80" w:firstLine="1305"/>
        <w:spacing w:after="0" w:line="257" w:lineRule="auto"/>
        <w:tabs>
          <w:tab w:leader="none" w:pos="206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certificates for Shares and/or other securities delivered under the Plan pursuant to any Award or the exercise thereof shall be subject to such stop transfer orders and other restrictions as the Committee may deem advisable under the Plan or the rules, regulations and other requirements of the Securities and Exchange Commission, any stock market or exchange upon which such Shares or other securities are then quoted, traded or listed, and any applicable securities laws, and the Committee may cause a legend or legends to be put on any such certificates to make appropriate reference to such restrictions.</w:t>
      </w:r>
    </w:p>
    <w:p>
      <w:pPr>
        <w:spacing w:after="0" w:line="188" w:lineRule="exact"/>
        <w:rPr>
          <w:rFonts w:ascii="Arial" w:cs="Arial" w:eastAsia="Arial" w:hAnsi="Arial"/>
          <w:sz w:val="18"/>
          <w:szCs w:val="18"/>
          <w:color w:val="auto"/>
        </w:rPr>
      </w:pPr>
    </w:p>
    <w:p>
      <w:pPr>
        <w:ind w:right="640" w:firstLine="1305"/>
        <w:spacing w:after="0" w:line="264" w:lineRule="auto"/>
        <w:tabs>
          <w:tab w:leader="none" w:pos="20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Without limiting the generality of Section 12(h), the Committee may impose restrictions on any Award with respect to noncompetition, confidentiality and other restrictive covenants, or requirements to comply with minimum stock ownership requirements, as it deems necessary or appropriate in its sole discretion.</w:t>
      </w:r>
    </w:p>
    <w:p>
      <w:pPr>
        <w:spacing w:after="0" w:line="181" w:lineRule="exact"/>
        <w:rPr>
          <w:rFonts w:ascii="Arial" w:cs="Arial" w:eastAsia="Arial" w:hAnsi="Arial"/>
          <w:sz w:val="18"/>
          <w:szCs w:val="18"/>
          <w:color w:val="auto"/>
        </w:rPr>
      </w:pPr>
    </w:p>
    <w:p>
      <w:pPr>
        <w:ind w:right="40" w:firstLine="1305"/>
        <w:spacing w:after="0" w:line="254" w:lineRule="auto"/>
        <w:tabs>
          <w:tab w:leader="none" w:pos="20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Committee may specify in an Award Document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a Termination of Service with or without Cause (and, in the case of any Cause that is resulting from an indictment or other non-final determination, the Committee may provide for such Award to be held in escrow or abeyance until a final resolution of the matters related to such event occurs, at which time the Award shall either be reduced, cancelled or forfeited (as provided in such Award Document) or remain in effect, depending on the outcome), violation of material policies, breach of noncompetition, confidentiality or other restrictive covenants that may apply to the Participant, or other conduct by the Participant that is detrimental to the business or reputation of the Company and/or its Affiliates.</w:t>
      </w:r>
    </w:p>
    <w:p>
      <w:pPr>
        <w:spacing w:after="0" w:line="192" w:lineRule="exact"/>
        <w:rPr>
          <w:rFonts w:ascii="Arial" w:cs="Arial" w:eastAsia="Arial" w:hAnsi="Arial"/>
          <w:sz w:val="18"/>
          <w:szCs w:val="18"/>
          <w:color w:val="auto"/>
        </w:rPr>
      </w:pPr>
    </w:p>
    <w:p>
      <w:pPr>
        <w:ind w:firstLine="1305"/>
        <w:spacing w:after="0" w:line="342" w:lineRule="auto"/>
        <w:tabs>
          <w:tab w:leader="none" w:pos="2051" w:val="left"/>
        </w:tabs>
        <w:numPr>
          <w:ilvl w:val="0"/>
          <w:numId w:val="34"/>
        </w:numPr>
        <w:rPr>
          <w:rFonts w:ascii="Arial" w:cs="Arial" w:eastAsia="Arial" w:hAnsi="Arial"/>
          <w:sz w:val="16"/>
          <w:szCs w:val="16"/>
          <w:color w:val="auto"/>
        </w:rPr>
      </w:pPr>
      <w:r>
        <w:rPr>
          <w:rFonts w:ascii="Arial" w:cs="Arial" w:eastAsia="Arial" w:hAnsi="Arial"/>
          <w:sz w:val="16"/>
          <w:szCs w:val="16"/>
          <w:color w:val="auto"/>
        </w:rPr>
        <w:t>Rights, payments and benefits under any Award shall be subject to repayment to or recoupment (“clawback”) by the Company in accordance with such policies and procedures as the Committee or Board may adopt from time to time, including policies and procedures to implement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applicable law, stock market or exchange rules and regulations or accounting or tax rules and regulations.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13</w:t>
      </w:r>
      <w:r>
        <w:rPr>
          <w:rFonts w:ascii="Arial" w:cs="Arial" w:eastAsia="Arial" w:hAnsi="Arial"/>
          <w:sz w:val="18"/>
          <w:szCs w:val="18"/>
          <w:i w:val="1"/>
          <w:iCs w:val="1"/>
          <w:color w:val="auto"/>
        </w:rPr>
        <w:t>. Amendments and Termination.</w:t>
      </w:r>
    </w:p>
    <w:p>
      <w:pPr>
        <w:spacing w:after="0" w:line="225" w:lineRule="exact"/>
        <w:rPr>
          <w:sz w:val="20"/>
          <w:szCs w:val="20"/>
          <w:color w:val="auto"/>
        </w:rPr>
      </w:pPr>
    </w:p>
    <w:p>
      <w:pPr>
        <w:ind w:right="60" w:firstLine="1305"/>
        <w:spacing w:after="0" w:line="270" w:lineRule="auto"/>
        <w:tabs>
          <w:tab w:leader="none" w:pos="20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Except to the extent prohibited by applicable law and unless otherwise expressly provided in an Award Document or in the Plan, the Board may amend, alter, suspend, discontinue or terminate the Plan or any portion thereof at any time;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such amendment, alteration, suspension, discontinuation or termination shall be made without (i) shareholder approval, if such approval is required by applicable law or the rules of the stock market or exchange, if any, on which the Shares are principally quoted or traded or (ii) the consent of the affected Participant, if such action would materially adversely affect the rights of such Participant under any outstanding Award, except to the extent any such amendment, alteration, suspension, discontinuance or termination is made to cause the Plan to comply with applicable law, stock market or exchange rules and regulations or accounting or tax rules and regulations, or to impose any recoupment provisions on any Awards in accordance with Section 12(i). Notwithstanding anything to the contrary in the Plan, the Committee may amend the Plan in such manner as may be necessary to enable the Plan to achieve its stated purposes in any jurisdiction in a tax-efficient manner and in compliance with local laws, rules and regulations.</w:t>
      </w:r>
    </w:p>
    <w:p>
      <w:pPr>
        <w:spacing w:after="0" w:line="181" w:lineRule="exact"/>
        <w:rPr>
          <w:rFonts w:ascii="Arial" w:cs="Arial" w:eastAsia="Arial" w:hAnsi="Arial"/>
          <w:sz w:val="17"/>
          <w:szCs w:val="17"/>
          <w:color w:val="auto"/>
        </w:rPr>
      </w:pPr>
    </w:p>
    <w:p>
      <w:pPr>
        <w:ind w:firstLine="1305"/>
        <w:spacing w:after="0" w:line="289" w:lineRule="auto"/>
        <w:tabs>
          <w:tab w:leader="none" w:pos="2046"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The Committee may waive any conditions or rights under, amend any terms of, or amend, alter, suspend, discontinue or terminate any Award theretofore granted, prospectively or retroactively, without the consent of any relevant Participant or holder or Beneficiary of an Award;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subject to Section 4(c) and Section 18, no such action shall materially adversely affect the rights of any affected Participant or holder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Beneficiary under any Award theretofore granted under the Plan, except to the extent any such action is made to cause the Plan to comply with applicable law, stock market or exchange rules and regulations or accounting or tax rules and regulations, or to impose any recoupment provisions on any Awards in accordance with Section 12(i);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except as provided in Section 4(c), the Committee shall not without the approval of the Company’s shareholders (a) lower the exercise price per Share of an Option or SAR after it is granted or take any other action that would be treated as a repricing of such Award under the rules of the principal stock market or exchange on which the Company’s Shares are quoted or traded, or (b) cancel an Option or SAR when the exercise price per Share exceeds the Fair Market Value in exchange for cash or another Award (other than in connection with a Change in Control).</w:t>
      </w:r>
    </w:p>
    <w:p>
      <w:pPr>
        <w:spacing w:after="0" w:line="166" w:lineRule="exact"/>
        <w:rPr>
          <w:rFonts w:ascii="Arial" w:cs="Arial" w:eastAsia="Arial" w:hAnsi="Arial"/>
          <w:sz w:val="16"/>
          <w:szCs w:val="16"/>
          <w:color w:val="auto"/>
        </w:rPr>
      </w:pPr>
    </w:p>
    <w:p>
      <w:pPr>
        <w:ind w:right="80" w:firstLine="1305"/>
        <w:spacing w:after="0" w:line="264" w:lineRule="auto"/>
        <w:tabs>
          <w:tab w:leader="none" w:pos="20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Except as provided in Section 9(b), the Committee shall be authorized to make adjustments in the terms and conditions of, and the criteria included in, Awards in recognition of events (including the events described in Section 4(c)) affecting the Company, or the financial statements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6" w:name="page27"/>
    <w:bookmarkEnd w:id="26"/>
    <w:p>
      <w:pPr>
        <w:ind w:right="20"/>
        <w:spacing w:after="0" w:line="264" w:lineRule="auto"/>
        <w:rPr>
          <w:sz w:val="20"/>
          <w:szCs w:val="20"/>
          <w:color w:val="auto"/>
        </w:rPr>
      </w:pPr>
      <w:r>
        <w:rPr>
          <w:rFonts w:ascii="Arial" w:cs="Arial" w:eastAsia="Arial" w:hAnsi="Arial"/>
          <w:sz w:val="18"/>
          <w:szCs w:val="18"/>
          <w:color w:val="auto"/>
        </w:rPr>
        <w:t>or of changes in applicable law, stock market or exchange rules and regulations or accounting or tax rules and regulations, whenever the Committee determines that such adjustments are appropriate in order to prevent dilution or enlargement of the benefits or potential benefits intended to be made available under the Plan.</w:t>
      </w:r>
    </w:p>
    <w:p>
      <w:pPr>
        <w:spacing w:after="0" w:line="181" w:lineRule="exact"/>
        <w:rPr>
          <w:sz w:val="20"/>
          <w:szCs w:val="20"/>
          <w:color w:val="auto"/>
        </w:rPr>
      </w:pPr>
    </w:p>
    <w:p>
      <w:pPr>
        <w:ind w:right="440" w:firstLine="1305"/>
        <w:spacing w:after="0" w:line="277" w:lineRule="auto"/>
        <w:tabs>
          <w:tab w:leader="none" w:pos="20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Committee may correct any defect, supply any omission or reconcile any inconsistency in the Plan or any Award in the manner and to the extent it shall deem desirable to carry the Plan into effect.</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i w:val="1"/>
          <w:iCs w:val="1"/>
          <w:color w:val="auto"/>
        </w:rPr>
        <w:t>Prohibition on Option and SAR Repricing.</w:t>
      </w:r>
      <w:r>
        <w:rPr>
          <w:rFonts w:ascii="Arial" w:cs="Arial" w:eastAsia="Arial" w:hAnsi="Arial"/>
          <w:sz w:val="18"/>
          <w:szCs w:val="18"/>
          <w:color w:val="auto"/>
        </w:rPr>
        <w:t xml:space="preserve"> Except as provided in Section 4(c), the Committee may not, without prior approval of the Company’s shareholders, seek to effect any re-pricing of any previously granted “underwater” Option or SAR by: (i) amending or modifying the terms of the Option or SAR to lower the exercise price; (ii) cancelling the underwater Option or SAR and granting either (A) replacement Options or SARs having a lower exercise price or (B) Restricted Stock, RSU, Performance Award or Other Stock-Based Award in exchange; or (iii) cancelling or repurchasing the underwater Options or SARs for cash or other securities. An Option or SAR will be deemed to be “underwater” at any time when the Fair Market Value of the Shares covered by such Award is less than the exercise price of the Award.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15</w:t>
      </w:r>
      <w:r>
        <w:rPr>
          <w:rFonts w:ascii="Arial" w:cs="Arial" w:eastAsia="Arial" w:hAnsi="Arial"/>
          <w:sz w:val="18"/>
          <w:szCs w:val="18"/>
          <w:i w:val="1"/>
          <w:iCs w:val="1"/>
          <w:color w:val="auto"/>
        </w:rPr>
        <w:t>. Miscellaneous.</w:t>
      </w:r>
    </w:p>
    <w:p>
      <w:pPr>
        <w:spacing w:after="0" w:line="225" w:lineRule="exact"/>
        <w:rPr>
          <w:sz w:val="20"/>
          <w:szCs w:val="20"/>
          <w:color w:val="auto"/>
        </w:rPr>
      </w:pPr>
    </w:p>
    <w:p>
      <w:pPr>
        <w:jc w:val="both"/>
        <w:ind w:right="60" w:firstLine="1305"/>
        <w:spacing w:after="0" w:line="279" w:lineRule="auto"/>
        <w:tabs>
          <w:tab w:leader="none" w:pos="2036"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 employee, Participant or other person shall have any claim to be granted any Award under the Plan, and there is no obligation for uniformity of treatment of employees, Participants or holders or Beneficiaries of Awards under the Plan. The terms and conditions of Awards need not be the same with respect to each recipient. Any Award granted under the Plan shall be a one-time Award that does not constitute a promise of future grants. The Company, in its sole discretion, maintains the right to make available future grants under the Plan.</w:t>
      </w:r>
    </w:p>
    <w:p>
      <w:pPr>
        <w:spacing w:after="0" w:line="171" w:lineRule="exact"/>
        <w:rPr>
          <w:rFonts w:ascii="Arial" w:cs="Arial" w:eastAsia="Arial" w:hAnsi="Arial"/>
          <w:sz w:val="17"/>
          <w:szCs w:val="17"/>
          <w:color w:val="auto"/>
        </w:rPr>
      </w:pPr>
    </w:p>
    <w:p>
      <w:pPr>
        <w:ind w:right="220" w:firstLine="1305"/>
        <w:spacing w:after="0" w:line="257" w:lineRule="auto"/>
        <w:tabs>
          <w:tab w:leader="none" w:pos="204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grant of an Award shall not be construed as giving a Participant the right to be retained in the employ of, or to continue to provide services to, the Company or any Affiliate. Further, the Company or the applicable subsidiary may at any time dismiss a Participant, free from any liability, or any claim under the Plan, unless otherwise expressly provided in the Plan or in any Award Document or in any other agreement binding the parties. The receipt of any Award under the Plan is not intended to confer any rights on the receiving Participant except as set forth in the applicable Award Document.</w:t>
      </w:r>
    </w:p>
    <w:p>
      <w:pPr>
        <w:spacing w:after="0" w:line="188" w:lineRule="exact"/>
        <w:rPr>
          <w:rFonts w:ascii="Arial" w:cs="Arial" w:eastAsia="Arial" w:hAnsi="Arial"/>
          <w:sz w:val="18"/>
          <w:szCs w:val="18"/>
          <w:color w:val="auto"/>
        </w:rPr>
      </w:pPr>
    </w:p>
    <w:p>
      <w:pPr>
        <w:ind w:right="100" w:firstLine="1305"/>
        <w:spacing w:after="0" w:line="277" w:lineRule="auto"/>
        <w:tabs>
          <w:tab w:leader="none" w:pos="20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7" w:name="page28"/>
    <w:bookmarkEnd w:id="27"/>
    <w:p>
      <w:pPr>
        <w:ind w:left="-660" w:right="100" w:firstLine="1305"/>
        <w:spacing w:after="0" w:line="273" w:lineRule="auto"/>
        <w:tabs>
          <w:tab w:leader="none" w:pos="1386"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Company shall be authorized to withhold from any Award granted or any payment due or transfer made under any Award or under the Plan or from any compensation or other amount owing to a Participant the amount (in cash, Shares, other Awards, other property, net settlement or any combination thereof) of applicable withholding taxes or par value amounts (to the extent required to be paid in cash) due in respect of an Award, its exercise or settlement or any payment or transfer under such Award or under the Plan and to take such other action (including providing for elective payment of such amounts in cash or Shares by the Participant) as may be necessary in the opinion of the Company to satisfy all obligations for the payment of such taxes or par value amounts (to the extent required to be paid in cash).</w:t>
      </w:r>
    </w:p>
    <w:p>
      <w:pPr>
        <w:spacing w:after="0" w:line="178" w:lineRule="exact"/>
        <w:rPr>
          <w:rFonts w:ascii="Arial" w:cs="Arial" w:eastAsia="Arial" w:hAnsi="Arial"/>
          <w:sz w:val="17"/>
          <w:szCs w:val="17"/>
          <w:color w:val="auto"/>
        </w:rPr>
      </w:pPr>
    </w:p>
    <w:p>
      <w:pPr>
        <w:ind w:left="-660" w:firstLine="1305"/>
        <w:spacing w:after="0" w:line="276" w:lineRule="auto"/>
        <w:tabs>
          <w:tab w:leader="none" w:pos="1376"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any provision of the Plan or any Award Document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Document, such provision shall be stricken as to such jurisdiction, person or Award, and the remainder of the Plan and any such Award Document shall remain in full force and effect.</w:t>
      </w:r>
    </w:p>
    <w:p>
      <w:pPr>
        <w:spacing w:after="0" w:line="172" w:lineRule="exact"/>
        <w:rPr>
          <w:rFonts w:ascii="Arial" w:cs="Arial" w:eastAsia="Arial" w:hAnsi="Arial"/>
          <w:sz w:val="17"/>
          <w:szCs w:val="17"/>
          <w:color w:val="auto"/>
        </w:rPr>
      </w:pPr>
    </w:p>
    <w:p>
      <w:pPr>
        <w:ind w:left="-660" w:right="740" w:firstLine="1305"/>
        <w:spacing w:after="0" w:line="312" w:lineRule="auto"/>
        <w:tabs>
          <w:tab w:leader="none" w:pos="1401" w:val="left"/>
        </w:tabs>
        <w:numPr>
          <w:ilvl w:val="0"/>
          <w:numId w:val="38"/>
        </w:numPr>
        <w:rPr>
          <w:rFonts w:ascii="Arial" w:cs="Arial" w:eastAsia="Arial" w:hAnsi="Arial"/>
          <w:sz w:val="16"/>
          <w:szCs w:val="16"/>
          <w:color w:val="auto"/>
        </w:rPr>
      </w:pPr>
      <w:r>
        <w:rPr>
          <w:rFonts w:ascii="Arial" w:cs="Arial" w:eastAsia="Arial" w:hAnsi="Arial"/>
          <w:sz w:val="16"/>
          <w:szCs w:val="16"/>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46" w:lineRule="exact"/>
        <w:rPr>
          <w:rFonts w:ascii="Arial" w:cs="Arial" w:eastAsia="Arial" w:hAnsi="Arial"/>
          <w:sz w:val="16"/>
          <w:szCs w:val="16"/>
          <w:color w:val="auto"/>
        </w:rPr>
      </w:pPr>
    </w:p>
    <w:p>
      <w:pPr>
        <w:jc w:val="both"/>
        <w:ind w:left="-660" w:right="140" w:firstLine="1305"/>
        <w:spacing w:after="0" w:line="264" w:lineRule="auto"/>
        <w:tabs>
          <w:tab w:leader="none" w:pos="1386"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fractional Shares shall be issued or delivered pursuant to the Plan or any Award, and the Committee shall determine whether cash or other securities shall be paid or transferred in lieu of any fractional Shares, or whether such fractional Shares or any rights thereto shall be canceled, terminated or otherwise eliminated.</w:t>
      </w:r>
    </w:p>
    <w:p>
      <w:pPr>
        <w:spacing w:after="0" w:line="181" w:lineRule="exact"/>
        <w:rPr>
          <w:rFonts w:ascii="Arial" w:cs="Arial" w:eastAsia="Arial" w:hAnsi="Arial"/>
          <w:sz w:val="18"/>
          <w:szCs w:val="18"/>
          <w:color w:val="auto"/>
        </w:rPr>
      </w:pPr>
    </w:p>
    <w:p>
      <w:pPr>
        <w:ind w:left="-660" w:right="20" w:firstLine="1305"/>
        <w:spacing w:after="0" w:line="302" w:lineRule="auto"/>
        <w:tabs>
          <w:tab w:leader="none" w:pos="1386" w:val="left"/>
        </w:tabs>
        <w:numPr>
          <w:ilvl w:val="0"/>
          <w:numId w:val="38"/>
        </w:numPr>
        <w:rPr>
          <w:rFonts w:ascii="Arial" w:cs="Arial" w:eastAsia="Arial" w:hAnsi="Arial"/>
          <w:sz w:val="16"/>
          <w:szCs w:val="16"/>
          <w:color w:val="auto"/>
        </w:rPr>
      </w:pPr>
      <w:r>
        <w:rPr>
          <w:rFonts w:ascii="Arial" w:cs="Arial" w:eastAsia="Arial" w:hAnsi="Arial"/>
          <w:sz w:val="16"/>
          <w:szCs w:val="16"/>
          <w:color w:val="auto"/>
        </w:rPr>
        <w:t>Awards may be granted to Participants who are non-US nationals or employed outside the US, or both, on such terms and conditions different from those applicable to Awards to Participants who are employed in the US as may, in the judgment of the Committee, be necessary or desirable to recognize differences in local law, tax policy or custom. The Committee also may impose conditions on the exercise or vesting of Awards in order to minimize the Company’s obligation with respect to tax equalization for Participants on assignments outside their home country.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Section 16</w:t>
      </w:r>
      <w:r>
        <w:rPr>
          <w:rFonts w:ascii="Arial" w:cs="Arial" w:eastAsia="Arial" w:hAnsi="Arial"/>
          <w:sz w:val="18"/>
          <w:szCs w:val="18"/>
          <w:i w:val="1"/>
          <w:iCs w:val="1"/>
          <w:color w:val="auto"/>
        </w:rPr>
        <w:t>. Effective Date of the Plan.</w:t>
      </w:r>
      <w:r>
        <w:rPr>
          <w:rFonts w:ascii="Arial" w:cs="Arial" w:eastAsia="Arial" w:hAnsi="Arial"/>
          <w:sz w:val="18"/>
          <w:szCs w:val="18"/>
          <w:color w:val="auto"/>
        </w:rPr>
        <w:t xml:space="preserve"> The Plan is effective as of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375285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584" w:right="239" w:bottom="1440" w:gutter="0" w:footer="0" w:header="0"/>
        </w:sectPr>
      </w:pPr>
    </w:p>
    <w:bookmarkStart w:id="28" w:name="page29"/>
    <w:bookmarkEnd w:id="28"/>
    <w:p>
      <w:pPr>
        <w:ind w:right="200" w:firstLine="648"/>
        <w:spacing w:after="0" w:line="272" w:lineRule="auto"/>
        <w:rPr>
          <w:sz w:val="20"/>
          <w:szCs w:val="20"/>
          <w:color w:val="auto"/>
        </w:rPr>
      </w:pPr>
      <w:r>
        <w:rPr>
          <w:rFonts w:ascii="Arial" w:cs="Arial" w:eastAsia="Arial" w:hAnsi="Arial"/>
          <w:sz w:val="17"/>
          <w:szCs w:val="17"/>
          <w:color w:val="auto"/>
        </w:rPr>
        <w:t>Section 17</w:t>
      </w:r>
      <w:r>
        <w:rPr>
          <w:rFonts w:ascii="Arial" w:cs="Arial" w:eastAsia="Arial" w:hAnsi="Arial"/>
          <w:sz w:val="17"/>
          <w:szCs w:val="17"/>
          <w:i w:val="1"/>
          <w:iCs w:val="1"/>
          <w:color w:val="auto"/>
        </w:rPr>
        <w:t>. Term of the Plan.</w:t>
      </w:r>
      <w:r>
        <w:rPr>
          <w:rFonts w:ascii="Arial" w:cs="Arial" w:eastAsia="Arial" w:hAnsi="Arial"/>
          <w:sz w:val="17"/>
          <w:szCs w:val="17"/>
          <w:color w:val="auto"/>
        </w:rPr>
        <w:t xml:space="preserve"> No Award shall be granted under the Plan after the earliest to occur of (i) the ten-year anniversary of the Effective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permitted by the listing rules of any stock exchanges on which the Company is listed, such ten-year term may be extended indefinitely so long as the maximum number of Shares available for issuance under the Plan have not been issued, (ii) the maximum number of Shares available for issuance under the Plan have been issued or (iii) the Board terminates the Plan in accordance with Section 13(a). However, unless otherwise expressly provided in the Plan or in an applicable Award Document,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pacing w:after="0" w:line="17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i w:val="1"/>
          <w:iCs w:val="1"/>
          <w:color w:val="auto"/>
        </w:rPr>
        <w:t>Section 409A of the Code.</w:t>
      </w:r>
      <w:r>
        <w:rPr>
          <w:rFonts w:ascii="Arial" w:cs="Arial" w:eastAsia="Arial" w:hAnsi="Arial"/>
          <w:sz w:val="16"/>
          <w:szCs w:val="16"/>
          <w:color w:val="auto"/>
        </w:rPr>
        <w:t xml:space="preserve"> With respect to Awards subject to Section 409A of the Code, the Plan is intended to comply with the requirements of Section 409A of the Code, and the provisions of the Plan and any Award Document shall be interpreted in a manner that satisfies the requirements of Section 409A of the Code, and the Plan shall be operated accordingly. If any provision of the Plan or any term or condition of any Award would otherwise frustrate or conflict with this intent, the provision, term or condition will be interpreted and deemed amended so as to avoid this conflict. If an amount payable under an Award as a result of the Participant’s Termination of Service (other than due to death) occurring while the Participant is a “specified employee” under Section 409A of the Code constitutes a deferral of compensation subject to Section 409A of the Code, then payment of such amount shall not occur until six months and one day after the date of the Participant’s Termination of Service, except as permitted under Section 409A of the Code. If the Award includes a “series of installment payments” (within the meaning of Section 1.409A-2(b)(2)(iii) of the Treasury Regulations), the Participant’s right to the series of installment payments shall be treated as a right to a series of separate payments and not as a right to a single payment, and if the Award includes “dividend equivalents” (within the meaning of Section 1.409A-3(e) of the Treasury Regulations), the Participant’s right to the dividend equivalents shall be treated separately from the right to other amounts under the Award. Notwithstanding the foregoing, the tax treatment of the benefits provided under the Plan or any Award Document is not warranted or guaranteed, and in no event shall the Company be liable for all or any portion of any taxes, penalties, interest or other expenses that may be incurred by the Participant on account of non-compliance with Section 409A of the Code.</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i w:val="1"/>
          <w:iCs w:val="1"/>
          <w:color w:val="auto"/>
        </w:rPr>
        <w:t>Data Protection.</w:t>
      </w:r>
      <w:r>
        <w:rPr>
          <w:rFonts w:ascii="Arial" w:cs="Arial" w:eastAsia="Arial" w:hAnsi="Arial"/>
          <w:sz w:val="18"/>
          <w:szCs w:val="18"/>
          <w:color w:val="auto"/>
        </w:rPr>
        <w:t xml:space="preserve"> By participating in the Plan, the Participant consents to the holding and processing of personal information provided by the Participant to the Company or any Affiliate, trustee or third party service provider, for all purposes relating to the operation of the Plan. These include, but are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Section 20</w:t>
      </w:r>
    </w:p>
    <w:p>
      <w:pPr>
        <w:spacing w:after="0" w:line="225" w:lineRule="exact"/>
        <w:rPr>
          <w:sz w:val="20"/>
          <w:szCs w:val="20"/>
          <w:color w:val="auto"/>
        </w:rPr>
      </w:pPr>
    </w:p>
    <w:p>
      <w:pPr>
        <w:ind w:left="1140" w:hanging="484"/>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administering and maintaining Participant records;</w:t>
      </w:r>
    </w:p>
    <w:p>
      <w:pPr>
        <w:spacing w:after="0" w:line="225" w:lineRule="exact"/>
        <w:rPr>
          <w:rFonts w:ascii="Arial" w:cs="Arial" w:eastAsia="Arial" w:hAnsi="Arial"/>
          <w:sz w:val="18"/>
          <w:szCs w:val="18"/>
          <w:color w:val="auto"/>
        </w:rPr>
      </w:pPr>
    </w:p>
    <w:p>
      <w:pPr>
        <w:ind w:left="1200" w:hanging="544"/>
        <w:spacing w:after="0"/>
        <w:tabs>
          <w:tab w:leader="none" w:pos="12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providing information to the Company, Affiliates, trustees of any employee benefit trust, registrars, brokers or third party administrators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211" w:lineRule="exact"/>
        <w:rPr>
          <w:sz w:val="20"/>
          <w:szCs w:val="20"/>
          <w:color w:val="auto"/>
        </w:rPr>
      </w:pPr>
    </w:p>
    <w:p>
      <w:pPr>
        <w:ind w:left="1240" w:hanging="584"/>
        <w:spacing w:after="0"/>
        <w:tabs>
          <w:tab w:leader="none" w:pos="1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providing information to future purchasers or merger partners of the Company or any Affiliate, or the business in which the Participant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works; and</w:t>
      </w:r>
    </w:p>
    <w:p>
      <w:pPr>
        <w:spacing w:after="0" w:line="210" w:lineRule="exact"/>
        <w:rPr>
          <w:rFonts w:ascii="Arial" w:cs="Arial" w:eastAsia="Arial" w:hAnsi="Arial"/>
          <w:sz w:val="17"/>
          <w:szCs w:val="17"/>
          <w:color w:val="auto"/>
        </w:rPr>
      </w:pPr>
    </w:p>
    <w:p>
      <w:pPr>
        <w:ind w:right="100" w:firstLine="656"/>
        <w:spacing w:after="0" w:line="277" w:lineRule="auto"/>
        <w:tabs>
          <w:tab w:leader="none" w:pos="122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transferring information about the Participant to any country or territory that may not provide the same protection for the information as the Participant’s home country.</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Section 21</w:t>
      </w:r>
      <w:r>
        <w:rPr>
          <w:rFonts w:ascii="Arial" w:cs="Arial" w:eastAsia="Arial" w:hAnsi="Arial"/>
          <w:sz w:val="18"/>
          <w:szCs w:val="18"/>
          <w:i w:val="1"/>
          <w:iCs w:val="1"/>
          <w:color w:val="auto"/>
        </w:rPr>
        <w:t>. Governing Law.</w:t>
      </w:r>
      <w:r>
        <w:rPr>
          <w:rFonts w:ascii="Arial" w:cs="Arial" w:eastAsia="Arial" w:hAnsi="Arial"/>
          <w:sz w:val="18"/>
          <w:szCs w:val="18"/>
          <w:color w:val="auto"/>
        </w:rPr>
        <w:t xml:space="preserve"> The Plan and each Award Document shall be governed by the laws of England and Wales. The Company, its Affiliates and each Participant (by acceptance of an Award) irrevocably submit, in respect of any suit, action or proceeding related to the implementation or enforcement of the Plan, to the exclusive jurisdiction of the competent courts in England and Wales.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Definitions</w:t>
      </w:r>
      <w:r>
        <w:rPr>
          <w:rFonts w:ascii="Arial" w:cs="Arial" w:eastAsia="Arial" w:hAnsi="Arial"/>
          <w:sz w:val="18"/>
          <w:szCs w:val="18"/>
          <w:color w:val="auto"/>
        </w:rPr>
        <w:t>. As used in the Plan, the following terms shall have the meanings set forth below:</w:t>
      </w:r>
    </w:p>
    <w:p>
      <w:pPr>
        <w:spacing w:after="0" w:line="221" w:lineRule="exact"/>
        <w:rPr>
          <w:sz w:val="20"/>
          <w:szCs w:val="20"/>
          <w:color w:val="auto"/>
        </w:rPr>
      </w:pPr>
    </w:p>
    <w:p>
      <w:pPr>
        <w:ind w:left="2040" w:hanging="735"/>
        <w:spacing w:after="0"/>
        <w:tabs>
          <w:tab w:leader="none" w:pos="2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ADS</w:t>
      </w:r>
      <w:r>
        <w:rPr>
          <w:rFonts w:ascii="Arial" w:cs="Arial" w:eastAsia="Arial" w:hAnsi="Arial"/>
          <w:sz w:val="18"/>
          <w:szCs w:val="18"/>
          <w:color w:val="auto"/>
        </w:rPr>
        <w:t>” means an American Depositary Share, representing five (5) Shares.</w:t>
      </w:r>
    </w:p>
    <w:p>
      <w:pPr>
        <w:spacing w:after="0" w:line="225" w:lineRule="exact"/>
        <w:rPr>
          <w:rFonts w:ascii="Arial" w:cs="Arial" w:eastAsia="Arial" w:hAnsi="Arial"/>
          <w:sz w:val="18"/>
          <w:szCs w:val="18"/>
          <w:color w:val="auto"/>
        </w:rPr>
      </w:pPr>
    </w:p>
    <w:p>
      <w:pPr>
        <w:ind w:firstLine="1305"/>
        <w:spacing w:after="0" w:line="266" w:lineRule="auto"/>
        <w:tabs>
          <w:tab w:leader="none" w:pos="20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 any entity that, directly or indirectly, is controlled by the Company, (ii) any entity in which the Company, directly or indirectly, has a significant equity interest, in each case as determined by the Committee and (iii) any other entity which the Committee determines should be treated as an “Affiliate.”</w:t>
      </w:r>
    </w:p>
    <w:p>
      <w:pPr>
        <w:spacing w:after="0" w:line="176" w:lineRule="exact"/>
        <w:rPr>
          <w:rFonts w:ascii="Arial" w:cs="Arial" w:eastAsia="Arial" w:hAnsi="Arial"/>
          <w:sz w:val="18"/>
          <w:szCs w:val="18"/>
          <w:color w:val="auto"/>
        </w:rPr>
      </w:pPr>
    </w:p>
    <w:p>
      <w:pPr>
        <w:ind w:left="2040" w:hanging="735"/>
        <w:spacing w:after="0"/>
        <w:tabs>
          <w:tab w:leader="none" w:pos="2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Award</w:t>
      </w:r>
      <w:r>
        <w:rPr>
          <w:rFonts w:ascii="Arial" w:cs="Arial" w:eastAsia="Arial" w:hAnsi="Arial"/>
          <w:sz w:val="16"/>
          <w:szCs w:val="16"/>
          <w:color w:val="auto"/>
        </w:rPr>
        <w:t>” means any Option, SAR, Restricted Stock, RSU, Performance Award or Other Share-Based Award granted under the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06" w:lineRule="exact"/>
        <w:rPr>
          <w:rFonts w:ascii="Arial" w:cs="Arial" w:eastAsia="Arial" w:hAnsi="Arial"/>
          <w:sz w:val="16"/>
          <w:szCs w:val="16"/>
          <w:color w:val="auto"/>
        </w:rPr>
      </w:pPr>
    </w:p>
    <w:p>
      <w:pPr>
        <w:ind w:right="560" w:firstLine="1305"/>
        <w:spacing w:after="0" w:line="313" w:lineRule="auto"/>
        <w:tabs>
          <w:tab w:leader="none" w:pos="2046" w:val="left"/>
        </w:tabs>
        <w:numPr>
          <w:ilvl w:val="0"/>
          <w:numId w:val="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Award Document</w:t>
      </w:r>
      <w:r>
        <w:rPr>
          <w:rFonts w:ascii="Arial" w:cs="Arial" w:eastAsia="Arial" w:hAnsi="Arial"/>
          <w:sz w:val="17"/>
          <w:szCs w:val="17"/>
          <w:color w:val="auto"/>
        </w:rPr>
        <w:t>” means any agreement, contract or other instrument or document, which may be in electronic format, evidencing any Award granted under the Plan, which may, but need not, be executed or acknowledged by a Participant.</w:t>
      </w:r>
    </w:p>
    <w:p>
      <w:pPr>
        <w:spacing w:after="0" w:line="138" w:lineRule="exact"/>
        <w:rPr>
          <w:rFonts w:ascii="Arial" w:cs="Arial" w:eastAsia="Arial" w:hAnsi="Arial"/>
          <w:sz w:val="17"/>
          <w:szCs w:val="17"/>
          <w:color w:val="auto"/>
        </w:rPr>
      </w:pPr>
    </w:p>
    <w:p>
      <w:pPr>
        <w:ind w:right="20" w:firstLine="1305"/>
        <w:spacing w:after="0" w:line="261" w:lineRule="auto"/>
        <w:tabs>
          <w:tab w:leader="none" w:pos="20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Beneficiary</w:t>
      </w:r>
      <w:r>
        <w:rPr>
          <w:rFonts w:ascii="Arial" w:cs="Arial" w:eastAsia="Arial" w:hAnsi="Arial"/>
          <w:sz w:val="18"/>
          <w:szCs w:val="18"/>
          <w:color w:val="auto"/>
        </w:rPr>
        <w:t>” means a person entitled to receive payments or other benefits or exercise rights that are available under the Plan in the event of the Participant’s death. If no such person is named by a Participant, or if no Beneficiary designated by the Participant is eligible to receive payments or other benefits or exercise rights that are available under the Plan at the Participant’s death, such Participant’s Beneficiary shall be such Participant’s estate.</w:t>
      </w:r>
    </w:p>
    <w:p>
      <w:pPr>
        <w:spacing w:after="0" w:line="180" w:lineRule="exact"/>
        <w:rPr>
          <w:rFonts w:ascii="Arial" w:cs="Arial" w:eastAsia="Arial" w:hAnsi="Arial"/>
          <w:sz w:val="18"/>
          <w:szCs w:val="18"/>
          <w:color w:val="auto"/>
        </w:rPr>
      </w:pPr>
    </w:p>
    <w:p>
      <w:pPr>
        <w:ind w:left="2060" w:hanging="755"/>
        <w:spacing w:after="0"/>
        <w:tabs>
          <w:tab w:leader="none" w:pos="2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0" w:name="page31"/>
    <w:bookmarkEnd w:id="30"/>
    <w:p>
      <w:pPr>
        <w:ind w:left="1400" w:hanging="755"/>
        <w:spacing w:after="0"/>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except as otherwise provided in such Participant’s Award Document, such Participant’s:</w:t>
      </w:r>
    </w:p>
    <w:p>
      <w:pPr>
        <w:spacing w:after="0" w:line="229" w:lineRule="exact"/>
        <w:rPr>
          <w:sz w:val="20"/>
          <w:szCs w:val="20"/>
          <w:color w:val="auto"/>
        </w:rPr>
      </w:pPr>
    </w:p>
    <w:p>
      <w:pPr>
        <w:jc w:val="both"/>
        <w:ind w:right="40" w:firstLine="645"/>
        <w:spacing w:after="0" w:line="264" w:lineRule="auto"/>
        <w:tabs>
          <w:tab w:leader="none" w:pos="1133"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indictment for any crime (A) constituting a felony, or (B) that has, or could reasonably be expected to result in, an adverse impact on the performance of a Participant’s duties to the Company or any of its subsidiaries, or otherwise has, or could reasonably be expected to result in, an adverse impact to the business or reputation of the Company or any of its subsidiaries;</w:t>
      </w:r>
    </w:p>
    <w:p>
      <w:pPr>
        <w:spacing w:after="0" w:line="181" w:lineRule="exact"/>
        <w:rPr>
          <w:rFonts w:ascii="Arial" w:cs="Arial" w:eastAsia="Arial" w:hAnsi="Arial"/>
          <w:sz w:val="18"/>
          <w:szCs w:val="18"/>
          <w:color w:val="auto"/>
        </w:rPr>
      </w:pPr>
    </w:p>
    <w:p>
      <w:pPr>
        <w:jc w:val="both"/>
        <w:ind w:right="40" w:firstLine="645"/>
        <w:spacing w:after="0" w:line="264" w:lineRule="auto"/>
        <w:tabs>
          <w:tab w:leader="none" w:pos="12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having been the subject of any order, judicial or administrative, obtained or issued by the Securities and Exchange Commission (or any other competent authority) for any securities violation involving fraud, including, for example, any such order consented to by the Participant in which findings of facts or any legal conclusions establishing liability are neither admitted nor denied;</w:t>
      </w:r>
    </w:p>
    <w:p>
      <w:pPr>
        <w:spacing w:after="0" w:line="181" w:lineRule="exact"/>
        <w:rPr>
          <w:rFonts w:ascii="Arial" w:cs="Arial" w:eastAsia="Arial" w:hAnsi="Arial"/>
          <w:sz w:val="18"/>
          <w:szCs w:val="18"/>
          <w:color w:val="auto"/>
        </w:rPr>
      </w:pPr>
    </w:p>
    <w:p>
      <w:pPr>
        <w:ind w:right="260" w:firstLine="645"/>
        <w:spacing w:after="0" w:line="277" w:lineRule="auto"/>
        <w:tabs>
          <w:tab w:leader="none" w:pos="1233"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conduct, in connection with his or her employment, which is not taken in good faith and has, or could reasonably be expected to result in, material injury to the business or reputation of the Company or any of its subsidiaries;</w:t>
      </w:r>
    </w:p>
    <w:p>
      <w:pPr>
        <w:spacing w:after="0" w:line="170" w:lineRule="exact"/>
        <w:rPr>
          <w:rFonts w:ascii="Arial" w:cs="Arial" w:eastAsia="Arial" w:hAnsi="Arial"/>
          <w:sz w:val="18"/>
          <w:szCs w:val="18"/>
          <w:color w:val="auto"/>
        </w:rPr>
      </w:pPr>
    </w:p>
    <w:p>
      <w:pPr>
        <w:ind w:right="80" w:firstLine="645"/>
        <w:spacing w:after="0" w:line="277" w:lineRule="auto"/>
        <w:tabs>
          <w:tab w:leader="none" w:pos="1223"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willful violation of the Company’s code of conduct or other material policies set forth in the manuals or statements of policy of the Company or any of its subsidiaries;</w:t>
      </w:r>
    </w:p>
    <w:p>
      <w:pPr>
        <w:spacing w:after="0" w:line="170" w:lineRule="exact"/>
        <w:rPr>
          <w:rFonts w:ascii="Arial" w:cs="Arial" w:eastAsia="Arial" w:hAnsi="Arial"/>
          <w:sz w:val="18"/>
          <w:szCs w:val="18"/>
          <w:color w:val="auto"/>
        </w:rPr>
      </w:pPr>
    </w:p>
    <w:p>
      <w:pPr>
        <w:ind w:right="20" w:firstLine="645"/>
        <w:spacing w:after="0" w:line="277" w:lineRule="auto"/>
        <w:tabs>
          <w:tab w:leader="none" w:pos="1173"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willful neglect in the performance of a Participant’s duties for the Company or any of its subsidiaries or willful or repeated failure or refusal to perform such duties;</w:t>
      </w:r>
    </w:p>
    <w:p>
      <w:pPr>
        <w:spacing w:after="0" w:line="170" w:lineRule="exact"/>
        <w:rPr>
          <w:rFonts w:ascii="Arial" w:cs="Arial" w:eastAsia="Arial" w:hAnsi="Arial"/>
          <w:sz w:val="18"/>
          <w:szCs w:val="18"/>
          <w:color w:val="auto"/>
        </w:rPr>
      </w:pPr>
    </w:p>
    <w:p>
      <w:pPr>
        <w:ind w:left="1220" w:hanging="575"/>
        <w:spacing w:after="0"/>
        <w:tabs>
          <w:tab w:leader="none" w:pos="12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material breach of any applicable employment agreement or other agreement with the Company or any of its subsidiaries; or</w:t>
      </w:r>
    </w:p>
    <w:p>
      <w:pPr>
        <w:spacing w:after="0" w:line="236" w:lineRule="exact"/>
        <w:rPr>
          <w:rFonts w:ascii="Arial" w:cs="Arial" w:eastAsia="Arial" w:hAnsi="Arial"/>
          <w:sz w:val="17"/>
          <w:szCs w:val="17"/>
          <w:color w:val="auto"/>
        </w:rPr>
      </w:pPr>
    </w:p>
    <w:p>
      <w:pPr>
        <w:ind w:left="1260" w:hanging="615"/>
        <w:spacing w:after="0"/>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conduct, in connection with his or her employment.</w:t>
      </w:r>
    </w:p>
    <w:p>
      <w:pPr>
        <w:spacing w:after="0" w:line="225"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occurrence of any such event described in clauses (ii) through (v) that is susceptible to cure or remedy shall not constitute Cause if such Participant cures or remedies such event within 30 (thirty) days after the Company provides notice to such Participant.</w:t>
      </w:r>
    </w:p>
    <w:p>
      <w:pPr>
        <w:spacing w:after="0" w:line="143" w:lineRule="exact"/>
        <w:rPr>
          <w:sz w:val="20"/>
          <w:szCs w:val="20"/>
          <w:color w:val="auto"/>
        </w:rPr>
      </w:pPr>
    </w:p>
    <w:p>
      <w:pPr>
        <w:ind w:left="1400" w:hanging="756"/>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the occurrence of any one or more of the following events:</w:t>
      </w:r>
    </w:p>
    <w:p>
      <w:pPr>
        <w:spacing w:after="0" w:line="229" w:lineRule="exact"/>
        <w:rPr>
          <w:rFonts w:ascii="Arial" w:cs="Arial" w:eastAsia="Arial" w:hAnsi="Arial"/>
          <w:sz w:val="18"/>
          <w:szCs w:val="18"/>
          <w:color w:val="auto"/>
        </w:rPr>
      </w:pPr>
    </w:p>
    <w:p>
      <w:pPr>
        <w:ind w:firstLine="645"/>
        <w:spacing w:after="0" w:line="308" w:lineRule="auto"/>
        <w:tabs>
          <w:tab w:leader="none" w:pos="1133"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direct or indirect change in ownership or control of the Company effected through one transaction or a series of related transactions within a 12-month period, whereby any Person other than the Company, directly or indirectly acquires or maintains beneficial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325120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0"/>
          </w:cols>
          <w:pgMar w:left="900" w:top="580" w:right="279" w:bottom="1440" w:gutter="0" w:footer="0" w:header="0"/>
        </w:sectPr>
      </w:pPr>
    </w:p>
    <w:bookmarkStart w:id="31" w:name="page32"/>
    <w:bookmarkEnd w:id="31"/>
    <w:p>
      <w:pPr>
        <w:ind w:left="660" w:right="720"/>
        <w:spacing w:after="0" w:line="277" w:lineRule="auto"/>
        <w:rPr>
          <w:sz w:val="20"/>
          <w:szCs w:val="20"/>
          <w:color w:val="auto"/>
        </w:rPr>
      </w:pPr>
      <w:r>
        <w:rPr>
          <w:rFonts w:ascii="Arial" w:cs="Arial" w:eastAsia="Arial" w:hAnsi="Arial"/>
          <w:sz w:val="18"/>
          <w:szCs w:val="18"/>
          <w:color w:val="auto"/>
        </w:rPr>
        <w:t>ownership of securities of the Company constituting more than 50% of the total combined voting power of the Company’s equity securities outstanding immediately after such acquisition;</w:t>
      </w:r>
    </w:p>
    <w:p>
      <w:pPr>
        <w:spacing w:after="0" w:line="170" w:lineRule="exact"/>
        <w:rPr>
          <w:sz w:val="20"/>
          <w:szCs w:val="20"/>
          <w:color w:val="auto"/>
        </w:rPr>
      </w:pPr>
    </w:p>
    <w:p>
      <w:pPr>
        <w:ind w:left="660" w:firstLine="645"/>
        <w:spacing w:after="0" w:line="255" w:lineRule="auto"/>
        <w:tabs>
          <w:tab w:leader="none" w:pos="18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at any time during a period of 12 consecutive months, individuals who at the beginning of such period constituted the Board cease for any reason to constitute a majority of members of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new member of the Board whose election or nomination for election was approved by a vote of at least a majority of the directors then still in office who either were directors at the beginning of such period or whose election or nomination for election was so approved, shall be considered as though such individual were a member of the Board at the beginning of the period,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89" w:lineRule="exact"/>
        <w:rPr>
          <w:rFonts w:ascii="Arial" w:cs="Arial" w:eastAsia="Arial" w:hAnsi="Arial"/>
          <w:sz w:val="18"/>
          <w:szCs w:val="18"/>
          <w:color w:val="auto"/>
        </w:rPr>
      </w:pPr>
    </w:p>
    <w:p>
      <w:pPr>
        <w:ind w:left="660" w:right="60" w:firstLine="645"/>
        <w:spacing w:after="0" w:line="257" w:lineRule="auto"/>
        <w:tabs>
          <w:tab w:leader="none" w:pos="189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consummation of a merger or consolidation of the Company or any of its subsidiaries with any other corporation or entity, other than a merger or consolidation which would result in the voting securities of the Company outstanding immediately prior to such merger or consolidation continuing to represent (either by remaining outstanding or being converted into voting securities of the surviving entity or, if applicable, the ultimate parent thereof) at least 50% of the combined voting power and total fair market value of the securities of the Company or such surviving entity or parent outstanding immediately after such merger or consolidation; or</w:t>
      </w:r>
    </w:p>
    <w:p>
      <w:pPr>
        <w:spacing w:after="0" w:line="188" w:lineRule="exact"/>
        <w:rPr>
          <w:rFonts w:ascii="Arial" w:cs="Arial" w:eastAsia="Arial" w:hAnsi="Arial"/>
          <w:sz w:val="18"/>
          <w:szCs w:val="18"/>
          <w:color w:val="auto"/>
        </w:rPr>
      </w:pPr>
    </w:p>
    <w:p>
      <w:pPr>
        <w:ind w:left="660" w:right="260" w:firstLine="645"/>
        <w:spacing w:after="0" w:line="342" w:lineRule="auto"/>
        <w:tabs>
          <w:tab w:leader="none" w:pos="18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consummation of any sale, lease, exchange or other transfer to any Person (other than an Affiliate of the Company), in one transaction or a series of related transactions within a 12-month period, of all or substantially all of the assets of the Company and its subsidiaries.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the foregoing or any provision of any Award Document to the contrary, for any Award to which Section 18 applies that provides for accelerated distribution on a Change in Control of amounts that constitute “deferred compensation” (as defined in Section 409A of the Code), if the event that constitutes such Change in Control does not also constitute a change in the ownership or effective control of the Company, or in the ownership of a substantial portion of the Company’s assets (in either case, as defined in Section 409A of the Code), such amount shall not be distributed on such Change in Control but instead shall vest as of the date of such Change in Control and shall be paid on the scheduled payment date specified in the applicable Award Document, except to the extent that earlier distribution would not result in the Participant who holds such Award incurring any additional tax, penalty, interest or other expense under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ind w:left="640" w:right="180" w:firstLine="664"/>
        <w:spacing w:after="0" w:line="282" w:lineRule="auto"/>
        <w:tabs>
          <w:tab w:leader="none" w:pos="20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 from time to time, and the rules, regulations and guidance thereunder. Any reference to a provision in the Code shall include any successor provision thereto.</w:t>
      </w:r>
    </w:p>
    <w:p>
      <w:pPr>
        <w:spacing w:after="0" w:line="161" w:lineRule="exact"/>
        <w:rPr>
          <w:rFonts w:ascii="Arial" w:cs="Arial" w:eastAsia="Arial" w:hAnsi="Arial"/>
          <w:sz w:val="18"/>
          <w:szCs w:val="18"/>
          <w:color w:val="auto"/>
        </w:rPr>
      </w:pPr>
    </w:p>
    <w:p>
      <w:pPr>
        <w:ind w:right="100" w:firstLine="1305"/>
        <w:spacing w:after="0" w:line="282" w:lineRule="auto"/>
        <w:tabs>
          <w:tab w:leader="none" w:pos="2051"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Remuneration Committee of the Board or such other committee as may be designated by the Board. If the Board does not designate the Committee, references herein to the “Committee” shall refer to the Board.</w:t>
      </w:r>
    </w:p>
    <w:p>
      <w:pPr>
        <w:spacing w:after="0" w:line="161" w:lineRule="exact"/>
        <w:rPr>
          <w:rFonts w:ascii="Arial" w:cs="Arial" w:eastAsia="Arial" w:hAnsi="Arial"/>
          <w:sz w:val="18"/>
          <w:szCs w:val="18"/>
          <w:color w:val="auto"/>
        </w:rPr>
      </w:pPr>
    </w:p>
    <w:p>
      <w:pPr>
        <w:ind w:right="120" w:firstLine="1305"/>
        <w:spacing w:after="0" w:line="313" w:lineRule="auto"/>
        <w:tabs>
          <w:tab w:leader="none" w:pos="2046" w:val="left"/>
        </w:tabs>
        <w:numPr>
          <w:ilvl w:val="0"/>
          <w:numId w:val="4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Disability</w:t>
      </w:r>
      <w:r>
        <w:rPr>
          <w:rFonts w:ascii="Arial" w:cs="Arial" w:eastAsia="Arial" w:hAnsi="Arial"/>
          <w:sz w:val="17"/>
          <w:szCs w:val="17"/>
          <w:color w:val="auto"/>
        </w:rPr>
        <w:t>” means total and permanent disability as determined by the Committee in its discretion in accordance with uniform and non-discriminatory standards adopted by the Committee from time to time, or such other definition as is required under applicable law.</w:t>
      </w:r>
    </w:p>
    <w:p>
      <w:pPr>
        <w:spacing w:after="0" w:line="138" w:lineRule="exact"/>
        <w:rPr>
          <w:rFonts w:ascii="Arial" w:cs="Arial" w:eastAsia="Arial" w:hAnsi="Arial"/>
          <w:sz w:val="17"/>
          <w:szCs w:val="17"/>
          <w:color w:val="auto"/>
        </w:rPr>
      </w:pPr>
    </w:p>
    <w:p>
      <w:pPr>
        <w:ind w:left="2060" w:hanging="755"/>
        <w:spacing w:after="0"/>
        <w:tabs>
          <w:tab w:leader="none" w:pos="2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April 4, 2019.</w:t>
      </w:r>
    </w:p>
    <w:p>
      <w:pPr>
        <w:spacing w:after="0" w:line="225" w:lineRule="exact"/>
        <w:rPr>
          <w:rFonts w:ascii="Arial" w:cs="Arial" w:eastAsia="Arial" w:hAnsi="Arial"/>
          <w:sz w:val="18"/>
          <w:szCs w:val="18"/>
          <w:color w:val="auto"/>
        </w:rPr>
      </w:pPr>
    </w:p>
    <w:p>
      <w:pPr>
        <w:ind w:right="560" w:firstLine="1305"/>
        <w:spacing w:after="0" w:line="313" w:lineRule="auto"/>
        <w:tabs>
          <w:tab w:leader="none" w:pos="2051" w:val="left"/>
        </w:tabs>
        <w:numPr>
          <w:ilvl w:val="0"/>
          <w:numId w:val="4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United States Securities Exchange Act of 1934, as amended from time to time, and the rules, regulations and guidance thereunder. Any reference to a provision in the Exchange Act shall include any successor provision thereto.</w:t>
      </w:r>
    </w:p>
    <w:p>
      <w:pPr>
        <w:spacing w:after="0" w:line="138" w:lineRule="exact"/>
        <w:rPr>
          <w:rFonts w:ascii="Arial" w:cs="Arial" w:eastAsia="Arial" w:hAnsi="Arial"/>
          <w:sz w:val="17"/>
          <w:szCs w:val="17"/>
          <w:color w:val="auto"/>
        </w:rPr>
      </w:pPr>
    </w:p>
    <w:p>
      <w:pPr>
        <w:ind w:right="80" w:firstLine="1305"/>
        <w:spacing w:after="0" w:line="258" w:lineRule="auto"/>
        <w:tabs>
          <w:tab w:leader="none" w:pos="20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on a date means (i) with respect to a Share or ADS, as applicable, the closing price of a Share or ADS, as applicable, on the last preceding date on which there was a reported sale on the principal stock market or exchange on which the Shares or ADSs, as applicable, are quoted or traded, or if Shares or ADSs, as applicable, are not so quoted or traded, the fair market value of a Share or ADS, as applicable, as determined by the Committee, and (ii) with respect to any property other than Shares or ADSs, the fair market value of such property determined by such methods or procedures as shall be established from time to time by the Committee.</w:t>
      </w:r>
    </w:p>
    <w:p>
      <w:pPr>
        <w:spacing w:after="0" w:line="183" w:lineRule="exact"/>
        <w:rPr>
          <w:rFonts w:ascii="Arial" w:cs="Arial" w:eastAsia="Arial" w:hAnsi="Arial"/>
          <w:sz w:val="18"/>
          <w:szCs w:val="18"/>
          <w:color w:val="auto"/>
        </w:rPr>
      </w:pPr>
    </w:p>
    <w:p>
      <w:pPr>
        <w:ind w:left="2060" w:hanging="755"/>
        <w:spacing w:after="0"/>
        <w:tabs>
          <w:tab w:leader="none" w:pos="20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means an option representing the right to acquire Shares from the Company, granted in accordance with the provisions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Section 6.</w:t>
      </w:r>
    </w:p>
    <w:p>
      <w:pPr>
        <w:spacing w:after="0" w:line="206" w:lineRule="exact"/>
        <w:rPr>
          <w:rFonts w:ascii="Arial" w:cs="Arial" w:eastAsia="Arial" w:hAnsi="Arial"/>
          <w:sz w:val="16"/>
          <w:szCs w:val="16"/>
          <w:color w:val="auto"/>
        </w:rPr>
      </w:pPr>
    </w:p>
    <w:p>
      <w:pPr>
        <w:ind w:left="2060" w:hanging="755"/>
        <w:spacing w:after="0"/>
        <w:tabs>
          <w:tab w:leader="none" w:pos="2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Share-Based Award</w:t>
      </w:r>
      <w:r>
        <w:rPr>
          <w:rFonts w:ascii="Arial" w:cs="Arial" w:eastAsia="Arial" w:hAnsi="Arial"/>
          <w:sz w:val="18"/>
          <w:szCs w:val="18"/>
          <w:color w:val="auto"/>
        </w:rPr>
        <w:t>” means an Award granted in accordance with the provisions of Section 10.</w:t>
      </w:r>
    </w:p>
    <w:p>
      <w:pPr>
        <w:spacing w:after="0" w:line="225" w:lineRule="exact"/>
        <w:rPr>
          <w:rFonts w:ascii="Arial" w:cs="Arial" w:eastAsia="Arial" w:hAnsi="Arial"/>
          <w:sz w:val="18"/>
          <w:szCs w:val="18"/>
          <w:color w:val="auto"/>
        </w:rPr>
      </w:pPr>
    </w:p>
    <w:p>
      <w:pPr>
        <w:ind w:left="2060" w:hanging="755"/>
        <w:spacing w:after="0"/>
        <w:tabs>
          <w:tab w:leader="none" w:pos="2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the recipient of an Award granted under the Plan.</w:t>
      </w:r>
    </w:p>
    <w:p>
      <w:pPr>
        <w:spacing w:after="0" w:line="225" w:lineRule="exact"/>
        <w:rPr>
          <w:rFonts w:ascii="Arial" w:cs="Arial" w:eastAsia="Arial" w:hAnsi="Arial"/>
          <w:sz w:val="18"/>
          <w:szCs w:val="18"/>
          <w:color w:val="auto"/>
        </w:rPr>
      </w:pPr>
    </w:p>
    <w:p>
      <w:pPr>
        <w:ind w:left="2060" w:hanging="755"/>
        <w:spacing w:after="0"/>
        <w:tabs>
          <w:tab w:leader="none" w:pos="2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Award</w:t>
      </w:r>
      <w:r>
        <w:rPr>
          <w:rFonts w:ascii="Arial" w:cs="Arial" w:eastAsia="Arial" w:hAnsi="Arial"/>
          <w:sz w:val="18"/>
          <w:szCs w:val="18"/>
          <w:color w:val="auto"/>
        </w:rPr>
        <w:t>” means an Award granted in accordance with the provisions of Section 9.</w:t>
      </w:r>
    </w:p>
    <w:p>
      <w:pPr>
        <w:spacing w:after="0" w:line="225" w:lineRule="exact"/>
        <w:rPr>
          <w:rFonts w:ascii="Arial" w:cs="Arial" w:eastAsia="Arial" w:hAnsi="Arial"/>
          <w:sz w:val="18"/>
          <w:szCs w:val="18"/>
          <w:color w:val="auto"/>
        </w:rPr>
      </w:pPr>
    </w:p>
    <w:p>
      <w:pPr>
        <w:ind w:left="2040" w:hanging="735"/>
        <w:spacing w:after="0"/>
        <w:tabs>
          <w:tab w:leader="none" w:pos="2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Period</w:t>
      </w:r>
      <w:r>
        <w:rPr>
          <w:rFonts w:ascii="Arial" w:cs="Arial" w:eastAsia="Arial" w:hAnsi="Arial"/>
          <w:sz w:val="18"/>
          <w:szCs w:val="18"/>
          <w:color w:val="auto"/>
        </w:rPr>
        <w:t>” means the period established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33" w:name="page34"/>
    <w:bookmarkEnd w:id="33"/>
    <w:p>
      <w:pPr>
        <w:ind w:right="160"/>
        <w:spacing w:after="0" w:line="277" w:lineRule="auto"/>
        <w:rPr>
          <w:sz w:val="20"/>
          <w:szCs w:val="20"/>
          <w:color w:val="auto"/>
        </w:rPr>
      </w:pPr>
      <w:r>
        <w:rPr>
          <w:rFonts w:ascii="Arial" w:cs="Arial" w:eastAsia="Arial" w:hAnsi="Arial"/>
          <w:sz w:val="18"/>
          <w:szCs w:val="18"/>
          <w:color w:val="auto"/>
        </w:rPr>
        <w:t>the Committee at the time any Performance Award is granted or at any time thereafter during which any performance goals specified by the Committee with respect to such Award are measured.</w:t>
      </w:r>
    </w:p>
    <w:p>
      <w:pPr>
        <w:spacing w:after="0" w:line="166" w:lineRule="exact"/>
        <w:rPr>
          <w:sz w:val="20"/>
          <w:szCs w:val="20"/>
          <w:color w:val="auto"/>
        </w:rPr>
      </w:pPr>
    </w:p>
    <w:p>
      <w:pPr>
        <w:ind w:firstLine="1305"/>
        <w:spacing w:after="0" w:line="282" w:lineRule="auto"/>
        <w:tabs>
          <w:tab w:leader="none" w:pos="2051"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natural person or a partnership, company, association, cooperative, mutual insurance society, foundation or any other body which operates externally as an independent unit or organisation.</w:t>
      </w:r>
    </w:p>
    <w:p>
      <w:pPr>
        <w:spacing w:after="0" w:line="161" w:lineRule="exact"/>
        <w:rPr>
          <w:rFonts w:ascii="Arial" w:cs="Arial" w:eastAsia="Arial" w:hAnsi="Arial"/>
          <w:sz w:val="18"/>
          <w:szCs w:val="18"/>
          <w:color w:val="auto"/>
        </w:rPr>
      </w:pPr>
    </w:p>
    <w:p>
      <w:pPr>
        <w:ind w:right="580" w:firstLine="1305"/>
        <w:spacing w:after="0" w:line="282" w:lineRule="auto"/>
        <w:tabs>
          <w:tab w:leader="none" w:pos="2046"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Award</w:t>
      </w:r>
      <w:r>
        <w:rPr>
          <w:rFonts w:ascii="Arial" w:cs="Arial" w:eastAsia="Arial" w:hAnsi="Arial"/>
          <w:sz w:val="18"/>
          <w:szCs w:val="18"/>
          <w:color w:val="auto"/>
        </w:rPr>
        <w:t>” means an Award granted in assumption of, or in substitution for, an outstanding award previously granted by a company or business acquired by the Company or with which the Company, directly or indirectly, combines.</w:t>
      </w:r>
    </w:p>
    <w:p>
      <w:pPr>
        <w:spacing w:after="0" w:line="161" w:lineRule="exact"/>
        <w:rPr>
          <w:rFonts w:ascii="Arial" w:cs="Arial" w:eastAsia="Arial" w:hAnsi="Arial"/>
          <w:sz w:val="18"/>
          <w:szCs w:val="18"/>
          <w:color w:val="auto"/>
        </w:rPr>
      </w:pPr>
    </w:p>
    <w:p>
      <w:pPr>
        <w:ind w:left="2060" w:hanging="755"/>
        <w:spacing w:after="0"/>
        <w:tabs>
          <w:tab w:leader="none" w:pos="2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w:t>
      </w:r>
      <w:r>
        <w:rPr>
          <w:rFonts w:ascii="Arial" w:cs="Arial" w:eastAsia="Arial" w:hAnsi="Arial"/>
          <w:sz w:val="18"/>
          <w:szCs w:val="18"/>
          <w:color w:val="auto"/>
        </w:rPr>
        <w:t>” means any Share granted in accordance with the relevant provisions of Section 8.</w:t>
      </w:r>
    </w:p>
    <w:p>
      <w:pPr>
        <w:spacing w:after="0" w:line="225" w:lineRule="exact"/>
        <w:rPr>
          <w:rFonts w:ascii="Arial" w:cs="Arial" w:eastAsia="Arial" w:hAnsi="Arial"/>
          <w:sz w:val="18"/>
          <w:szCs w:val="18"/>
          <w:color w:val="auto"/>
        </w:rPr>
      </w:pPr>
    </w:p>
    <w:p>
      <w:pPr>
        <w:ind w:right="200" w:firstLine="1305"/>
        <w:spacing w:after="0" w:line="313" w:lineRule="auto"/>
        <w:tabs>
          <w:tab w:leader="none" w:pos="2041" w:val="left"/>
        </w:tabs>
        <w:numPr>
          <w:ilvl w:val="0"/>
          <w:numId w:val="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RSU</w:t>
      </w:r>
      <w:r>
        <w:rPr>
          <w:rFonts w:ascii="Arial" w:cs="Arial" w:eastAsia="Arial" w:hAnsi="Arial"/>
          <w:sz w:val="17"/>
          <w:szCs w:val="17"/>
          <w:color w:val="auto"/>
        </w:rPr>
        <w:t>” means a contractual right granted in accordance with the relevant provisions of Section 8 that is denominated in Shares. Each RSU represents a right to receive the value of one Share. Awards of RSUs may include the right to receive dividend equivalents.</w:t>
      </w:r>
    </w:p>
    <w:p>
      <w:pPr>
        <w:spacing w:after="0" w:line="138" w:lineRule="exact"/>
        <w:rPr>
          <w:rFonts w:ascii="Arial" w:cs="Arial" w:eastAsia="Arial" w:hAnsi="Arial"/>
          <w:sz w:val="17"/>
          <w:szCs w:val="17"/>
          <w:color w:val="auto"/>
        </w:rPr>
      </w:pPr>
    </w:p>
    <w:p>
      <w:pPr>
        <w:ind w:right="460" w:firstLine="1305"/>
        <w:spacing w:after="0" w:line="266" w:lineRule="auto"/>
        <w:tabs>
          <w:tab w:leader="none" w:pos="2046"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SAR</w:t>
      </w:r>
      <w:r>
        <w:rPr>
          <w:rFonts w:ascii="Arial" w:cs="Arial" w:eastAsia="Arial" w:hAnsi="Arial"/>
          <w:sz w:val="18"/>
          <w:szCs w:val="18"/>
          <w:color w:val="auto"/>
        </w:rPr>
        <w:t>” means any right granted in accordance with the provisions of Section 7 to receive upon exercise by a Participant or settlement the excess of (i) the Fair Market Value of one Share on the date of exercise or settlement over (ii) the exercise price of the right on the date of grant, or if granted in connection with an Option, on the date of grant of the Option.</w:t>
      </w:r>
    </w:p>
    <w:p>
      <w:pPr>
        <w:spacing w:after="0" w:line="176" w:lineRule="exact"/>
        <w:rPr>
          <w:rFonts w:ascii="Arial" w:cs="Arial" w:eastAsia="Arial" w:hAnsi="Arial"/>
          <w:sz w:val="18"/>
          <w:szCs w:val="18"/>
          <w:color w:val="auto"/>
        </w:rPr>
      </w:pPr>
    </w:p>
    <w:p>
      <w:pPr>
        <w:ind w:left="2000" w:hanging="695"/>
        <w:spacing w:after="0"/>
        <w:tabs>
          <w:tab w:leader="none" w:pos="2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an ordinary share, £0.003 par value, of the Company.</w:t>
      </w:r>
    </w:p>
    <w:p>
      <w:pPr>
        <w:spacing w:after="0" w:line="225" w:lineRule="exact"/>
        <w:rPr>
          <w:rFonts w:ascii="Arial" w:cs="Arial" w:eastAsia="Arial" w:hAnsi="Arial"/>
          <w:sz w:val="18"/>
          <w:szCs w:val="18"/>
          <w:color w:val="auto"/>
        </w:rPr>
      </w:pPr>
    </w:p>
    <w:p>
      <w:pPr>
        <w:ind w:firstLine="1305"/>
        <w:spacing w:after="0" w:line="255" w:lineRule="auto"/>
        <w:tabs>
          <w:tab w:leader="none" w:pos="20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of Service</w:t>
      </w:r>
      <w:r>
        <w:rPr>
          <w:rFonts w:ascii="Arial" w:cs="Arial" w:eastAsia="Arial" w:hAnsi="Arial"/>
          <w:sz w:val="18"/>
          <w:szCs w:val="18"/>
          <w:color w:val="auto"/>
        </w:rPr>
        <w:t xml:space="preserve">” means a cessation of the employment relationship such that the Participant is no longer an employee of the Company or one of its subsidiaries;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transfer of employment from the Company to a subsidiary, from a subsidiary to the Company or from one subsidiary to another subsidiary shall not be deemed a cessation of service that would constitute a Termination of Service;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a Termination of Service will be deemed to occur for a Participant employed by a subsidiary when a subsidiary ceases to be a subsidiary, unless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Participant’s employment continues with the Company or another subsidiary;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for these purposes, a Participant who holds an office with the Company or one of its subsidiaries shall be deemed to be an employee of that Company whether or not he or she is otherwise such an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629285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GROUP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NON-EMPLOYEE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“NON-EMPLOYEE PLAN”)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on May 16, 2019</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Introduction</w:t>
      </w:r>
      <w:r>
        <w:rPr>
          <w:rFonts w:ascii="Arial" w:cs="Arial" w:eastAsia="Arial" w:hAnsi="Arial"/>
          <w:sz w:val="18"/>
          <w:szCs w:val="18"/>
          <w:color w:val="auto"/>
        </w:rPr>
        <w:t>.</w:t>
      </w:r>
    </w:p>
    <w:p>
      <w:pPr>
        <w:spacing w:after="0" w:line="221" w:lineRule="exact"/>
        <w:rPr>
          <w:sz w:val="20"/>
          <w:szCs w:val="20"/>
          <w:color w:val="auto"/>
        </w:rPr>
      </w:pPr>
    </w:p>
    <w:p>
      <w:pPr>
        <w:ind w:right="200" w:firstLine="1305"/>
        <w:spacing w:after="0" w:line="266" w:lineRule="auto"/>
        <w:tabs>
          <w:tab w:leader="none" w:pos="203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Non-Employee Plan is a sub-plan of the Mereo Biopharma Group plc 2019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and permits the grant of Awards to officers of the Company or any subsidiary of the Company who are not employees (as at the time of the relevant grant) of any such company.</w:t>
      </w:r>
    </w:p>
    <w:p>
      <w:pPr>
        <w:spacing w:after="0" w:line="180" w:lineRule="exact"/>
        <w:rPr>
          <w:rFonts w:ascii="Arial" w:cs="Arial" w:eastAsia="Arial" w:hAnsi="Arial"/>
          <w:sz w:val="18"/>
          <w:szCs w:val="18"/>
          <w:color w:val="auto"/>
        </w:rPr>
      </w:pPr>
    </w:p>
    <w:p>
      <w:pPr>
        <w:ind w:right="200" w:firstLine="1305"/>
        <w:spacing w:after="0" w:line="277" w:lineRule="auto"/>
        <w:tabs>
          <w:tab w:leader="none" w:pos="2046"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the avoidance of doubt, the Non-Employee Plan (i) shall not prejudice the status of the Plan as an employees’ share scheme within the meaning of section 1166 of the UK Companies Act 2006 and (ii) operates separately from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Definitions and Interpretation</w:t>
      </w:r>
    </w:p>
    <w:p>
      <w:pPr>
        <w:spacing w:after="0" w:line="225" w:lineRule="exact"/>
        <w:rPr>
          <w:sz w:val="20"/>
          <w:szCs w:val="20"/>
          <w:color w:val="auto"/>
        </w:rPr>
      </w:pPr>
    </w:p>
    <w:p>
      <w:pPr>
        <w:ind w:right="240" w:firstLine="1305"/>
        <w:spacing w:after="0" w:line="277" w:lineRule="auto"/>
        <w:tabs>
          <w:tab w:leader="none" w:pos="20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Non-Employee Plan, words and expressions used in the Plan shall, unless otherwise specified below, apply in relation to Awards granted under the Non-Employee Plan.</w:t>
      </w:r>
    </w:p>
    <w:p>
      <w:pPr>
        <w:spacing w:after="0" w:line="170" w:lineRule="exact"/>
        <w:rPr>
          <w:rFonts w:ascii="Arial" w:cs="Arial" w:eastAsia="Arial" w:hAnsi="Arial"/>
          <w:sz w:val="18"/>
          <w:szCs w:val="18"/>
          <w:color w:val="auto"/>
        </w:rPr>
      </w:pPr>
    </w:p>
    <w:p>
      <w:pPr>
        <w:ind w:right="60" w:firstLine="1305"/>
        <w:spacing w:after="0" w:line="277" w:lineRule="auto"/>
        <w:tabs>
          <w:tab w:leader="none" w:pos="2046"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Save as modified in the Non-Employee Plan, all the provisions of the Plan relevant to Awards shall be incorporated into the Non-Employee Plan as if fully set out herein so as to be part of the Non-Employee Plan.</w:t>
      </w:r>
    </w:p>
    <w:p>
      <w:pPr>
        <w:spacing w:after="0" w:line="170" w:lineRule="exact"/>
        <w:rPr>
          <w:rFonts w:ascii="Arial" w:cs="Arial" w:eastAsia="Arial" w:hAnsi="Arial"/>
          <w:sz w:val="18"/>
          <w:szCs w:val="18"/>
          <w:color w:val="auto"/>
        </w:rPr>
      </w:pPr>
    </w:p>
    <w:p>
      <w:pPr>
        <w:ind w:left="2040" w:hanging="735"/>
        <w:spacing w:after="0"/>
        <w:tabs>
          <w:tab w:leader="none" w:pos="20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These rules of the Non-Employee Plan take precedence if there is any inconsistency between them and the rules of the Plan.</w:t>
      </w:r>
    </w:p>
    <w:p>
      <w:pPr>
        <w:spacing w:after="0" w:line="244" w:lineRule="exact"/>
        <w:rPr>
          <w:rFonts w:ascii="Arial" w:cs="Arial" w:eastAsia="Arial" w:hAnsi="Arial"/>
          <w:sz w:val="16"/>
          <w:szCs w:val="16"/>
          <w:color w:val="auto"/>
        </w:rPr>
      </w:pPr>
    </w:p>
    <w:p>
      <w:pPr>
        <w:ind w:right="280" w:firstLine="1305"/>
        <w:spacing w:after="0" w:line="281" w:lineRule="auto"/>
        <w:tabs>
          <w:tab w:leader="none" w:pos="2046"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these rules of the Non-Employee Plan, “</w:t>
      </w:r>
      <w:r>
        <w:rPr>
          <w:rFonts w:ascii="Arial" w:cs="Arial" w:eastAsia="Arial" w:hAnsi="Arial"/>
          <w:sz w:val="17"/>
          <w:szCs w:val="17"/>
          <w:b w:val="1"/>
          <w:bCs w:val="1"/>
          <w:color w:val="auto"/>
        </w:rPr>
        <w:t>Termination of Service</w:t>
      </w:r>
      <w:r>
        <w:rPr>
          <w:rFonts w:ascii="Arial" w:cs="Arial" w:eastAsia="Arial" w:hAnsi="Arial"/>
          <w:sz w:val="17"/>
          <w:szCs w:val="17"/>
          <w:color w:val="auto"/>
        </w:rPr>
        <w:t>” means the Participant ceasing to be an officeholder or employee of the Company or one of its subsidiaries such that they are no longer an officeholder or employee of any such company; provided that, for avoidance of doubt, a Termination of Service will be deemed to occur if a subsidiary of which the Participant is an officeholder or employee ceases to be a subsidiary, unless they remain an officeholder or employee of the Company or another subsidiary.</w:t>
      </w:r>
    </w:p>
    <w:p>
      <w:pPr>
        <w:spacing w:after="0" w:line="164" w:lineRule="exact"/>
        <w:rPr>
          <w:rFonts w:ascii="Arial" w:cs="Arial" w:eastAsia="Arial" w:hAnsi="Arial"/>
          <w:sz w:val="17"/>
          <w:szCs w:val="17"/>
          <w:color w:val="auto"/>
        </w:rPr>
      </w:pPr>
    </w:p>
    <w:p>
      <w:pPr>
        <w:ind w:right="60" w:firstLine="1305"/>
        <w:spacing w:after="0" w:line="282" w:lineRule="auto"/>
        <w:tabs>
          <w:tab w:leader="none" w:pos="20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these rules of the Non-Employee Plan, whenever the terms “</w:t>
      </w:r>
      <w:r>
        <w:rPr>
          <w:rFonts w:ascii="Arial" w:cs="Arial" w:eastAsia="Arial" w:hAnsi="Arial"/>
          <w:sz w:val="18"/>
          <w:szCs w:val="18"/>
          <w:b w:val="1"/>
          <w:bCs w:val="1"/>
          <w:color w:val="auto"/>
        </w:rPr>
        <w:t>employee</w:t>
      </w:r>
      <w:r>
        <w:rPr>
          <w:rFonts w:ascii="Arial" w:cs="Arial" w:eastAsia="Arial" w:hAnsi="Arial"/>
          <w:sz w:val="18"/>
          <w:szCs w:val="18"/>
          <w:color w:val="auto"/>
        </w:rPr>
        <w:t>” or “</w:t>
      </w:r>
      <w:r>
        <w:rPr>
          <w:rFonts w:ascii="Arial" w:cs="Arial" w:eastAsia="Arial" w:hAnsi="Arial"/>
          <w:sz w:val="18"/>
          <w:szCs w:val="18"/>
          <w:b w:val="1"/>
          <w:bCs w:val="1"/>
          <w:color w:val="auto"/>
        </w:rPr>
        <w:t>employment</w:t>
      </w:r>
      <w:r>
        <w:rPr>
          <w:rFonts w:ascii="Arial" w:cs="Arial" w:eastAsia="Arial" w:hAnsi="Arial"/>
          <w:sz w:val="18"/>
          <w:szCs w:val="18"/>
          <w:color w:val="auto"/>
        </w:rPr>
        <w:t>” are otherwise used in the context of matters following the grant of an Award, they shall be construed in the context of that person being an officeholder.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611505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1)"/>
      <w:numFmt w:val="decimal"/>
      <w:start w:val="5"/>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lowerLetter"/>
      <w:start w:val="2"/>
    </w:lvl>
  </w:abstractNum>
  <w:abstractNum w:abstractNumId="4">
    <w:nsid w:val="54E49EB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71F32454"/>
    <w:multiLevelType w:val="hybridMultilevel"/>
    <w:lvl w:ilvl="0">
      <w:lvlJc w:val="left"/>
      <w:lvlText w:val="%1"/>
      <w:numFmt w:val="lowerLetter"/>
      <w:start w:val="1"/>
    </w:lvl>
    <w:lvl w:ilvl="1">
      <w:lvlJc w:val="left"/>
      <w:lvlText w:val="(%2)"/>
      <w:numFmt w:val="decimal"/>
      <w:start w:val="2"/>
    </w:lvl>
  </w:abstractNum>
  <w:abstractNum w:abstractNumId="6">
    <w:nsid w:val="2CA88611"/>
    <w:multiLevelType w:val="hybridMultilevel"/>
    <w:lvl w:ilvl="0">
      <w:lvlJc w:val="left"/>
      <w:lvlText w:val="(%1)"/>
      <w:numFmt w:val="lowerLetter"/>
      <w:start w:val="2"/>
    </w:lvl>
    <w:lvl w:ilvl="1">
      <w:lvlJc w:val="left"/>
      <w:lvlText w:val="%2"/>
      <w:numFmt w:val="decimal"/>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lowerLetter"/>
      <w:start w:val="1"/>
    </w:lvl>
  </w:abstractNum>
  <w:abstractNum w:abstractNumId="12">
    <w:nsid w:val="7C3DBD3D"/>
    <w:multiLevelType w:val="hybridMultilevel"/>
    <w:lvl w:ilvl="0">
      <w:lvlJc w:val="left"/>
      <w:lvlText w:val="%1"/>
      <w:numFmt w:val="lowerLetter"/>
      <w:start w:val="1"/>
    </w:lvl>
    <w:lvl w:ilvl="1">
      <w:lvlJc w:val="left"/>
      <w:lvlText w:val="(%2)"/>
      <w:numFmt w:val="lowerLetter"/>
      <w:start w:val="1"/>
    </w:lvl>
  </w:abstractNum>
  <w:abstractNum w:abstractNumId="13">
    <w:nsid w:val="737B8DDC"/>
    <w:multiLevelType w:val="hybridMultilevel"/>
    <w:lvl w:ilvl="0">
      <w:lvlJc w:val="left"/>
      <w:lvlText w:val="(%1)"/>
      <w:numFmt w:val="lowerLetter"/>
      <w:start w:val="9"/>
    </w:lvl>
    <w:lvl w:ilvl="1">
      <w:lvlJc w:val="left"/>
      <w:lvlText w:val="%2"/>
      <w:numFmt w:val="lowerLetter"/>
      <w:start w:val="1"/>
    </w:lvl>
  </w:abstractNum>
  <w:abstractNum w:abstractNumId="14">
    <w:nsid w:val="6CEAF087"/>
    <w:multiLevelType w:val="hybridMultilevel"/>
    <w:lvl w:ilvl="0">
      <w:lvlJc w:val="left"/>
      <w:lvlText w:val="(%1)"/>
      <w:numFmt w:val="lowerRoman"/>
      <w:start w:val="3"/>
    </w:lvl>
  </w:abstractNum>
  <w:abstractNum w:abstractNumId="15">
    <w:nsid w:val="22221A70"/>
    <w:multiLevelType w:val="hybridMultilevel"/>
    <w:lvl w:ilvl="0">
      <w:lvlJc w:val="left"/>
      <w:lvlText w:val="(%1)"/>
      <w:numFmt w:val="lowerLetter"/>
      <w:start w:val="3"/>
    </w:lvl>
  </w:abstractNum>
  <w:abstractNum w:abstractNumId="16">
    <w:nsid w:val="4516DDE9"/>
    <w:multiLevelType w:val="hybridMultilevel"/>
    <w:lvl w:ilvl="0">
      <w:lvlJc w:val="left"/>
      <w:lvlText w:val="(%1)"/>
      <w:numFmt w:val="lowerLetter"/>
      <w:start w:val="1"/>
    </w:lvl>
    <w:lvl w:ilvl="1">
      <w:lvlJc w:val="left"/>
      <w:lvlText w:val="(%2)"/>
      <w:numFmt w:val="lowerRoman"/>
      <w:start w:val="1"/>
    </w:lvl>
  </w:abstractNum>
  <w:abstractNum w:abstractNumId="17">
    <w:nsid w:val="3006C83E"/>
    <w:multiLevelType w:val="hybridMultilevel"/>
    <w:lvl w:ilvl="0">
      <w:lvlJc w:val="left"/>
      <w:lvlText w:val="%1"/>
      <w:numFmt w:val="lowerLetter"/>
      <w:start w:val="1"/>
    </w:lvl>
    <w:lvl w:ilvl="1">
      <w:lvlJc w:val="left"/>
      <w:lvlText w:val="(%2)"/>
      <w:numFmt w:val="lowerRoman"/>
      <w:start w:val="4"/>
    </w:lvl>
  </w:abstractNum>
  <w:abstractNum w:abstractNumId="18">
    <w:nsid w:val="614FD4A1"/>
    <w:multiLevelType w:val="hybridMultilevel"/>
    <w:lvl w:ilvl="0">
      <w:lvlJc w:val="left"/>
      <w:lvlText w:val="(%1)"/>
      <w:numFmt w:val="lowerLetter"/>
      <w:start w:val="3"/>
    </w:lvl>
    <w:lvl w:ilvl="1">
      <w:lvlJc w:val="left"/>
      <w:lvlText w:val="(%2)"/>
      <w:numFmt w:val="lowerRoman"/>
      <w:start w:val="1"/>
    </w:lvl>
  </w:abstractNum>
  <w:abstractNum w:abstractNumId="19">
    <w:nsid w:val="419AC241"/>
    <w:multiLevelType w:val="hybridMultilevel"/>
    <w:lvl w:ilvl="0">
      <w:lvlJc w:val="left"/>
      <w:lvlText w:val="(%1)"/>
      <w:numFmt w:val="lowerRoman"/>
      <w:start w:val="3"/>
    </w:lvl>
  </w:abstractNum>
  <w:abstractNum w:abstractNumId="20">
    <w:nsid w:val="5577F8E1"/>
    <w:multiLevelType w:val="hybridMultilevel"/>
    <w:lvl w:ilvl="0">
      <w:lvlJc w:val="left"/>
      <w:lvlText w:val="(%1)"/>
      <w:numFmt w:val="lowerLetter"/>
      <w:start w:val="4"/>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1)"/>
      <w:numFmt w:val="lowerLetter"/>
      <w:start w:val="1"/>
    </w:lvl>
  </w:abstractNum>
  <w:abstractNum w:abstractNumId="23">
    <w:nsid w:val="3804823E"/>
    <w:multiLevelType w:val="hybridMultilevel"/>
    <w:lvl w:ilvl="0">
      <w:lvlJc w:val="left"/>
      <w:lvlText w:val="(%1)"/>
      <w:numFmt w:val="lowerLetter"/>
      <w:start w:val="2"/>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1)"/>
      <w:numFmt w:val="lowerLetter"/>
      <w:start w:val="4"/>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lowerLetter"/>
      <w:start w:val="3"/>
    </w:lvl>
  </w:abstractNum>
  <w:abstractNum w:abstractNumId="28">
    <w:nsid w:val="5E884ADC"/>
    <w:multiLevelType w:val="hybridMultilevel"/>
    <w:lvl w:ilvl="0">
      <w:lvlJc w:val="left"/>
      <w:lvlText w:val="(%1)"/>
      <w:numFmt w:val="lowerLetter"/>
      <w:start w:val="1"/>
    </w:lvl>
    <w:lvl w:ilvl="1">
      <w:lvlJc w:val="left"/>
      <w:lvlText w:val="(%2)"/>
      <w:numFmt w:val="lowerLetter"/>
      <w:start w:val="9"/>
    </w:lvl>
  </w:abstractNum>
  <w:abstractNum w:abstractNumId="29">
    <w:nsid w:val="51EAD36B"/>
    <w:multiLevelType w:val="hybridMultilevel"/>
    <w:lvl w:ilvl="0">
      <w:lvlJc w:val="left"/>
      <w:lvlText w:val="(%1)"/>
      <w:numFmt w:val="lowerRoman"/>
      <w:start w:val="2"/>
    </w:lvl>
  </w:abstractNum>
  <w:abstractNum w:abstractNumId="30">
    <w:nsid w:val="2D517796"/>
    <w:multiLevelType w:val="hybridMultilevel"/>
    <w:lvl w:ilvl="0">
      <w:lvlJc w:val="left"/>
      <w:lvlText w:val="(%1)"/>
      <w:numFmt w:val="lowerLetter"/>
      <w:start w:val="3"/>
    </w:lvl>
    <w:lvl w:ilvl="1">
      <w:lvlJc w:val="left"/>
      <w:lvlText w:val="(%2)"/>
      <w:numFmt w:val="lowerRoman"/>
      <w:start w:val="1"/>
    </w:lvl>
  </w:abstractNum>
  <w:abstractNum w:abstractNumId="31">
    <w:nsid w:val="580BD78F"/>
    <w:multiLevelType w:val="hybridMultilevel"/>
    <w:lvl w:ilvl="0">
      <w:lvlJc w:val="left"/>
      <w:lvlText w:val="(%1)"/>
      <w:numFmt w:val="lowerRoman"/>
      <w:start w:val="3"/>
    </w:lvl>
  </w:abstractNum>
  <w:abstractNum w:abstractNumId="32">
    <w:nsid w:val="153EA438"/>
    <w:multiLevelType w:val="hybridMultilevel"/>
    <w:lvl w:ilvl="0">
      <w:lvlJc w:val="left"/>
      <w:lvlText w:val="(%1)"/>
      <w:numFmt w:val="lowerLetter"/>
      <w:start w:val="1"/>
    </w:lvl>
  </w:abstractNum>
  <w:abstractNum w:abstractNumId="33">
    <w:nsid w:val="3855585C"/>
    <w:multiLevelType w:val="hybridMultilevel"/>
    <w:lvl w:ilvl="0">
      <w:lvlJc w:val="left"/>
      <w:lvlText w:val="(%1)"/>
      <w:numFmt w:val="lowerLetter"/>
      <w:start w:val="5"/>
    </w:lvl>
  </w:abstractNum>
  <w:abstractNum w:abstractNumId="34">
    <w:nsid w:val="70A64E2A"/>
    <w:multiLevelType w:val="hybridMultilevel"/>
    <w:lvl w:ilvl="0">
      <w:lvlJc w:val="left"/>
      <w:lvlText w:val="(%1)"/>
      <w:numFmt w:val="lowerLetter"/>
      <w:start w:val="1"/>
    </w:lvl>
  </w:abstractNum>
  <w:abstractNum w:abstractNumId="35">
    <w:nsid w:val="6A2342EC"/>
    <w:multiLevelType w:val="hybridMultilevel"/>
    <w:lvl w:ilvl="0">
      <w:lvlJc w:val="left"/>
      <w:lvlText w:val="(%1)"/>
      <w:numFmt w:val="lowerLetter"/>
      <w:start w:val="4"/>
    </w:lvl>
  </w:abstractNum>
  <w:abstractNum w:abstractNumId="36">
    <w:nsid w:val="2A487CB0"/>
    <w:multiLevelType w:val="hybridMultilevel"/>
    <w:lvl w:ilvl="0">
      <w:lvlJc w:val="left"/>
      <w:lvlText w:val="(%1)"/>
      <w:numFmt w:val="lowerLetter"/>
      <w:start w:val="1"/>
    </w:lvl>
  </w:abstractNum>
  <w:abstractNum w:abstractNumId="37">
    <w:nsid w:val="1D4ED43B"/>
    <w:multiLevelType w:val="hybridMultilevel"/>
    <w:lvl w:ilvl="0">
      <w:lvlJc w:val="left"/>
      <w:lvlText w:val="(%1)"/>
      <w:numFmt w:val="lowerLetter"/>
      <w:start w:val="4"/>
    </w:lvl>
  </w:abstractNum>
  <w:abstractNum w:abstractNumId="38">
    <w:nsid w:val="725A06FB"/>
    <w:multiLevelType w:val="hybridMultilevel"/>
    <w:lvl w:ilvl="0">
      <w:lvlJc w:val="left"/>
      <w:lvlText w:val="(%1)"/>
      <w:numFmt w:val="lowerRoman"/>
      <w:start w:val="1"/>
    </w:lvl>
  </w:abstractNum>
  <w:abstractNum w:abstractNumId="39">
    <w:nsid w:val="2CD89A32"/>
    <w:multiLevelType w:val="hybridMultilevel"/>
    <w:lvl w:ilvl="0">
      <w:lvlJc w:val="left"/>
      <w:lvlText w:val="(%1)"/>
      <w:numFmt w:val="lowerRoman"/>
      <w:start w:val="3"/>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lowerLetter"/>
      <w:start w:val="7"/>
    </w:lvl>
  </w:abstractNum>
  <w:abstractNum w:abstractNumId="42">
    <w:nsid w:val="4B588F54"/>
    <w:multiLevelType w:val="hybridMultilevel"/>
    <w:lvl w:ilvl="0">
      <w:lvlJc w:val="left"/>
      <w:lvlText w:val="(%1)"/>
      <w:numFmt w:val="lowerRoman"/>
      <w:start w:val="1"/>
    </w:lvl>
  </w:abstractNum>
  <w:abstractNum w:abstractNumId="43">
    <w:nsid w:val="542289EC"/>
    <w:multiLevelType w:val="hybridMultilevel"/>
    <w:lvl w:ilvl="0">
      <w:lvlJc w:val="left"/>
      <w:lvlText w:val="(%1)"/>
      <w:numFmt w:val="lowerLetter"/>
      <w:start w:val="8"/>
    </w:lvl>
  </w:abstractNum>
  <w:abstractNum w:abstractNumId="44">
    <w:nsid w:val="6DE91B18"/>
    <w:multiLevelType w:val="hybridMultilevel"/>
    <w:lvl w:ilvl="0">
      <w:lvlJc w:val="left"/>
      <w:lvlText w:val="(%1)"/>
      <w:numFmt w:val="lowerRoman"/>
      <w:start w:val="2"/>
    </w:lvl>
  </w:abstractNum>
  <w:abstractNum w:abstractNumId="45">
    <w:nsid w:val="38437FDB"/>
    <w:multiLevelType w:val="hybridMultilevel"/>
    <w:lvl w:ilvl="0">
      <w:lvlJc w:val="left"/>
      <w:lvlText w:val="(%1)"/>
      <w:numFmt w:val="lowerLetter"/>
      <w:start w:val="9"/>
    </w:lvl>
  </w:abstractNum>
  <w:abstractNum w:abstractNumId="46">
    <w:nsid w:val="7644A45C"/>
    <w:multiLevelType w:val="hybridMultilevel"/>
    <w:lvl w:ilvl="0">
      <w:lvlJc w:val="left"/>
      <w:lvlText w:val="(%1)"/>
      <w:numFmt w:val="lowerLetter"/>
      <w:start w:val="20"/>
    </w:lvl>
  </w:abstractNum>
  <w:abstractNum w:abstractNumId="47">
    <w:nsid w:val="32FFF902"/>
    <w:multiLevelType w:val="hybridMultilevel"/>
    <w:lvl w:ilvl="0">
      <w:lvlJc w:val="left"/>
      <w:lvlText w:val="(%1)"/>
      <w:numFmt w:val="lowerLetter"/>
      <w:start w:val="1"/>
    </w:lvl>
  </w:abstractNum>
  <w:abstractNum w:abstractNumId="48">
    <w:nsid w:val="684A481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jpe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16" Type="http://schemas.openxmlformats.org/officeDocument/2006/relationships/hyperlink" Target="http://www.sec.gov/Archives/edgar/data/1719714/000119312519016112/d680874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2019-12-02T17:51:21Z</dcterms:created>
  <dcterms:modified xsi:type="dcterms:W3CDTF">2019-12-02T17:51:21Z</dcterms:modified>
</cp:coreProperties>
</file>