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center"/>
        <w:rPr/>
      </w:pPr>
      <w:bookmarkStart w:id="0" w:name="mreo-20231231.htm"/>
      <w:bookmarkStart w:id="1" w:name="ksmreo2023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FORM 10-K</w:t>
      </w:r>
    </w:p>
    <w:p>
      <w:pPr>
        <w:pStyle w:val="TextBody"/>
        <w:bidi w:val="0"/>
        <w:jc w:val="center"/>
        <w:rPr/>
      </w:pPr>
      <w:r>
        <w:rPr/>
        <w:t> </w:t>
      </w:r>
    </w:p>
    <w:tbl>
      <w:tblPr>
        <w:tblW w:w="9917" w:type="dxa"/>
        <w:jc w:val="left"/>
        <w:tblInd w:w="0" w:type="dxa"/>
        <w:tblLayout w:type="fixed"/>
        <w:tblCellMar>
          <w:top w:w="28" w:type="dxa"/>
          <w:left w:w="28" w:type="dxa"/>
          <w:bottom w:w="28" w:type="dxa"/>
          <w:right w:w="28" w:type="dxa"/>
        </w:tblCellMar>
      </w:tblPr>
      <w:tblGrid>
        <w:gridCol w:w="331"/>
        <w:gridCol w:w="9586"/>
      </w:tblGrid>
      <w:tr>
        <w:trPr/>
        <w:tc>
          <w:tcPr>
            <w:tcW w:w="331" w:type="dxa"/>
            <w:tcBorders/>
            <w:vAlign w:val="center"/>
          </w:tcPr>
          <w:p>
            <w:pPr>
              <w:pStyle w:val="TableContents"/>
              <w:bidi w:val="0"/>
              <w:spacing w:before="0" w:after="283"/>
              <w:jc w:val="left"/>
              <w:rPr>
                <w:sz w:val="4"/>
                <w:szCs w:val="4"/>
              </w:rPr>
            </w:pPr>
            <w:r>
              <w:rPr>
                <w:sz w:val="4"/>
                <w:szCs w:val="4"/>
              </w:rPr>
            </w:r>
          </w:p>
        </w:tc>
        <w:tc>
          <w:tcPr>
            <w:tcW w:w="958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ANNUAL REPORT PURSUANT TO SECTION 13 OR 15(d) OF THE SECURITIES EXCHANGE ACT OF 1934</w:t>
            </w:r>
          </w:p>
        </w:tc>
      </w:tr>
    </w:tbl>
    <w:p>
      <w:pPr>
        <w:pStyle w:val="TextBody"/>
        <w:bidi w:val="0"/>
        <w:jc w:val="left"/>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For the fiscal year ended December 31, 2023</w:t>
      </w:r>
    </w:p>
    <w:p>
      <w:pPr>
        <w:pStyle w:val="TextBody"/>
        <w:bidi w:val="0"/>
        <w:spacing w:before="40" w:after="283"/>
        <w:jc w:val="center"/>
        <w:rPr>
          <w:rFonts w:ascii="Times New Roman" w:hAnsi="Times New Roman"/>
          <w:b/>
          <w:color w:val="000000"/>
          <w:sz w:val="19"/>
        </w:rPr>
      </w:pPr>
      <w:r>
        <w:rPr>
          <w:rFonts w:ascii="Times New Roman" w:hAnsi="Times New Roman"/>
          <w:b/>
          <w:color w:val="000000"/>
          <w:sz w:val="19"/>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TRANSITION REPORT PURSUANT TO SECTION 13 OR 15(d) OF THE SECURITIES EXCHANGE ACT OF 1934</w:t>
            </w:r>
          </w:p>
        </w:tc>
      </w:tr>
    </w:tbl>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19"/>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b/>
          <w:color w:val="000000"/>
          <w:sz w:val="19"/>
        </w:rPr>
      </w:pPr>
      <w:r>
        <w:rPr>
          <w:rFonts w:ascii="Times New Roman" w:hAnsi="Times New Roman"/>
          <w:b/>
          <w:color w:val="000000"/>
          <w:sz w:val="19"/>
        </w:rPr>
        <w:t>Commission File Number 001-38452</w:t>
      </w:r>
    </w:p>
    <w:p>
      <w:pPr>
        <w:pStyle w:val="TextBody"/>
        <w:bidi w:val="0"/>
        <w:spacing w:before="40" w:after="283"/>
        <w:jc w:val="center"/>
        <w:rPr>
          <w:rFonts w:ascii="Times New Roman" w:hAnsi="Times New Roman"/>
          <w:b/>
          <w:color w:val="000000"/>
          <w:sz w:val="28"/>
        </w:rPr>
      </w:pPr>
      <w:r>
        <w:rPr>
          <w:rFonts w:ascii="Times New Roman" w:hAnsi="Times New Roman"/>
          <w:b/>
          <w:color w:val="000000"/>
          <w:sz w:val="28"/>
        </w:rPr>
        <w:t>MEREO BIOPHARMA GROUP PLC</w:t>
      </w:r>
    </w:p>
    <w:p>
      <w:pPr>
        <w:pStyle w:val="TextBody"/>
        <w:bidi w:val="0"/>
        <w:jc w:val="center"/>
        <w:rPr>
          <w:rFonts w:ascii="Times New Roman" w:hAnsi="Times New Roman"/>
          <w:color w:val="000000"/>
          <w:sz w:val="19"/>
        </w:rPr>
      </w:pPr>
      <w:r>
        <w:rPr>
          <w:rFonts w:ascii="Times New Roman" w:hAnsi="Times New Roman"/>
          <w:color w:val="000000"/>
          <w:sz w:val="19"/>
        </w:rPr>
        <w:t>(Exact name of Registrant as specified in its charter)</w:t>
      </w:r>
    </w:p>
    <w:p>
      <w:pPr>
        <w:pStyle w:val="TextBody"/>
        <w:bidi w:val="0"/>
        <w:jc w:val="left"/>
        <w:rPr/>
      </w:pPr>
      <w:r>
        <w:rPr/>
        <w:t> </w:t>
      </w:r>
    </w:p>
    <w:tbl>
      <w:tblPr>
        <w:tblW w:w="8278" w:type="dxa"/>
        <w:jc w:val="left"/>
        <w:tblInd w:w="0" w:type="dxa"/>
        <w:tblLayout w:type="fixed"/>
        <w:tblCellMar>
          <w:top w:w="28" w:type="dxa"/>
          <w:left w:w="28" w:type="dxa"/>
          <w:bottom w:w="28" w:type="dxa"/>
          <w:right w:w="28" w:type="dxa"/>
        </w:tblCellMar>
      </w:tblPr>
      <w:tblGrid>
        <w:gridCol w:w="4291"/>
        <w:gridCol w:w="146"/>
        <w:gridCol w:w="384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England and Wales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Not Applicable</w:t>
            </w:r>
          </w:p>
        </w:tc>
      </w:tr>
      <w:tr>
        <w:trPr/>
        <w:tc>
          <w:tcPr>
            <w:tcW w:w="429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(State or other jurisdiction of incorporation or organization)</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(I.R.S. Employer Identification No.)</w:t>
            </w:r>
          </w:p>
        </w:tc>
      </w:tr>
      <w:tr>
        <w:trPr/>
        <w:tc>
          <w:tcPr>
            <w:tcW w:w="4291"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pPr>
            <w:r>
              <w:rPr/>
              <w:t> </w:t>
            </w:r>
          </w:p>
        </w:tc>
      </w:tr>
      <w:tr>
        <w:trPr/>
        <w:tc>
          <w:tcPr>
            <w:tcW w:w="4291" w:type="dxa"/>
            <w:tcBorders/>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One Cavendish Place, 4</w:t>
            </w:r>
            <w:r>
              <w:rPr>
                <w:rFonts w:ascii="Times New Roman" w:hAnsi="Times New Roman"/>
                <w:b/>
                <w:color w:val="000000"/>
                <w:sz w:val="12"/>
              </w:rPr>
              <w:t>th</w:t>
            </w:r>
            <w:r>
              <w:rPr>
                <w:rFonts w:ascii="Times New Roman" w:hAnsi="Times New Roman"/>
                <w:color w:val="000000"/>
                <w:sz w:val="18"/>
              </w:rPr>
              <w:t xml:space="preserve"> </w:t>
            </w:r>
            <w:r>
              <w:rPr>
                <w:rFonts w:ascii="Times New Roman" w:hAnsi="Times New Roman"/>
                <w:b/>
                <w:color w:val="000000"/>
                <w:sz w:val="18"/>
              </w:rPr>
              <w:t>Floor</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pPr>
            <w:r>
              <w:rPr/>
              <w:t> </w:t>
            </w:r>
          </w:p>
        </w:tc>
      </w:tr>
      <w:tr>
        <w:trPr/>
        <w:tc>
          <w:tcPr>
            <w:tcW w:w="429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London, W1G 0QF</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pPr>
            <w:r>
              <w:rPr/>
              <w:t> </w:t>
            </w:r>
          </w:p>
        </w:tc>
      </w:tr>
      <w:tr>
        <w:trPr/>
        <w:tc>
          <w:tcPr>
            <w:tcW w:w="4291" w:type="dxa"/>
            <w:tcBorders/>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United Kingdom</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+44-333-023-7300</w:t>
            </w:r>
            <w:r>
              <w:rPr>
                <w:rFonts w:ascii="Times New Roman" w:hAnsi="Times New Roman"/>
                <w:color w:val="000000"/>
                <w:sz w:val="20"/>
              </w:rPr>
              <w:t xml:space="preserve"> </w:t>
            </w:r>
          </w:p>
        </w:tc>
      </w:tr>
      <w:tr>
        <w:trPr/>
        <w:tc>
          <w:tcPr>
            <w:tcW w:w="429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(Address of principal executive offices)</w:t>
            </w:r>
          </w:p>
        </w:tc>
        <w:tc>
          <w:tcPr>
            <w:tcW w:w="146" w:type="dxa"/>
            <w:tcBorders/>
            <w:vAlign w:val="center"/>
          </w:tcPr>
          <w:p>
            <w:pPr>
              <w:pStyle w:val="TableContents"/>
              <w:bidi w:val="0"/>
              <w:spacing w:before="0" w:after="283"/>
              <w:jc w:val="center"/>
              <w:rPr/>
            </w:pPr>
            <w:r>
              <w:rPr/>
              <w:t> </w:t>
            </w:r>
          </w:p>
        </w:tc>
        <w:tc>
          <w:tcPr>
            <w:tcW w:w="3841" w:type="dxa"/>
            <w:tcBorders/>
            <w:vAlign w:val="center"/>
          </w:tcPr>
          <w:p>
            <w:pPr>
              <w:pStyle w:val="TableContents"/>
              <w:bidi w:val="0"/>
              <w:spacing w:before="0" w:after="283"/>
              <w:jc w:val="center"/>
              <w:rPr>
                <w:rFonts w:ascii="Times New Roman" w:hAnsi="Times New Roman"/>
                <w:color w:val="000000"/>
                <w:sz w:val="17"/>
              </w:rPr>
            </w:pPr>
            <w:r>
              <w:rPr>
                <w:rFonts w:ascii="Times New Roman" w:hAnsi="Times New Roman"/>
                <w:color w:val="000000"/>
                <w:sz w:val="17"/>
              </w:rPr>
              <w:t>(Registrant’s telephone number, including area code)</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902"/>
        <w:gridCol w:w="146"/>
        <w:gridCol w:w="1277"/>
        <w:gridCol w:w="146"/>
        <w:gridCol w:w="2734"/>
      </w:tblGrid>
      <w:tr>
        <w:trPr/>
        <w:tc>
          <w:tcPr>
            <w:tcW w:w="59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r>
      <w:tr>
        <w:trPr/>
        <w:tc>
          <w:tcPr>
            <w:tcW w:w="5902"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5902"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American Depositary Shares, each representing five ordinary shares, nominal value of £0.003 per share</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 xml:space="preserve">Ordinary Shares, nominal value of £0.003 per share </w:t>
            </w:r>
          </w:p>
        </w:tc>
        <w:tc>
          <w:tcPr>
            <w:tcW w:w="146" w:type="dxa"/>
            <w:tcBorders/>
            <w:vAlign w:val="center"/>
          </w:tcPr>
          <w:p>
            <w:pPr>
              <w:pStyle w:val="TableContents"/>
              <w:bidi w:val="0"/>
              <w:spacing w:before="0" w:after="283"/>
              <w:jc w:val="center"/>
              <w:rPr/>
            </w:pPr>
            <w:r>
              <w:rPr/>
              <w:t> </w:t>
            </w:r>
          </w:p>
        </w:tc>
        <w:tc>
          <w:tcPr>
            <w:tcW w:w="1277" w:type="dxa"/>
            <w:tcBorders/>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MREO</w:t>
            </w:r>
          </w:p>
        </w:tc>
        <w:tc>
          <w:tcPr>
            <w:tcW w:w="146" w:type="dxa"/>
            <w:tcBorders/>
            <w:vAlign w:val="center"/>
          </w:tcPr>
          <w:p>
            <w:pPr>
              <w:pStyle w:val="TableContents"/>
              <w:bidi w:val="0"/>
              <w:spacing w:before="0" w:after="283"/>
              <w:jc w:val="center"/>
              <w:rPr/>
            </w:pPr>
            <w:r>
              <w:rPr/>
              <w:t> </w:t>
            </w:r>
          </w:p>
        </w:tc>
        <w:tc>
          <w:tcPr>
            <w:tcW w:w="2734" w:type="dxa"/>
            <w:tcBorders/>
            <w:vAlign w:val="center"/>
          </w:tcPr>
          <w:p>
            <w:pPr>
              <w:pStyle w:val="TableContents"/>
              <w:bidi w:val="0"/>
              <w:jc w:val="center"/>
              <w:rPr>
                <w:rFonts w:ascii="Times New Roman" w:hAnsi="Times New Roman"/>
                <w:color w:val="000000"/>
                <w:sz w:val="18"/>
              </w:rPr>
            </w:pPr>
            <w:r>
              <w:rPr>
                <w:rFonts w:ascii="Times New Roman" w:hAnsi="Times New Roman"/>
                <w:color w:val="000000"/>
                <w:sz w:val="18"/>
              </w:rPr>
              <w:t xml:space="preserve">The Nasdaq Stock Market LLC </w:t>
            </w:r>
          </w:p>
          <w:p>
            <w:pPr>
              <w:pStyle w:val="TableContents"/>
              <w:bidi w:val="0"/>
              <w:jc w:val="center"/>
              <w:rPr/>
            </w:pPr>
            <w:r>
              <w:rPr/>
              <w:t> </w:t>
            </w:r>
          </w:p>
          <w:p>
            <w:pPr>
              <w:pStyle w:val="TableContents"/>
              <w:bidi w:val="0"/>
              <w:jc w:val="center"/>
              <w:rPr/>
            </w:pPr>
            <w:r>
              <w:rPr/>
              <w:t> </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 Not for trading, but only in connection with the registration of American Depositary Shares representing such Ordinary Shares pursuant to the requirements of the U.S. Securities and Exchange Commission.</w:t>
      </w:r>
    </w:p>
    <w:p>
      <w:pPr>
        <w:pStyle w:val="TextBody"/>
        <w:bidi w:val="0"/>
        <w:jc w:val="center"/>
        <w:rPr>
          <w:rFonts w:ascii="Times New Roman" w:hAnsi="Times New Roman"/>
          <w:color w:val="000000"/>
          <w:sz w:val="19"/>
        </w:rPr>
      </w:pPr>
      <w:r>
        <w:rPr>
          <w:rFonts w:ascii="Times New Roman" w:hAnsi="Times New Roman"/>
          <w:color w:val="000000"/>
          <w:sz w:val="19"/>
        </w:rPr>
        <w:t>Securities registered pursuant to Section 12(g) of the Act:</w:t>
      </w:r>
    </w:p>
    <w:p>
      <w:pPr>
        <w:pStyle w:val="TextBody"/>
        <w:bidi w:val="0"/>
        <w:jc w:val="center"/>
        <w:rPr>
          <w:rFonts w:ascii="Times New Roman" w:hAnsi="Times New Roman"/>
          <w:b/>
          <w:color w:val="000000"/>
          <w:sz w:val="19"/>
        </w:rPr>
      </w:pPr>
      <w:r>
        <w:rPr>
          <w:rFonts w:ascii="Times New Roman" w:hAnsi="Times New Roman"/>
          <w:b/>
          <w:color w:val="000000"/>
          <w:sz w:val="19"/>
        </w:rPr>
        <w:t>None</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if the registrant is a well-known seasoned issuer, as defined in Rule 405 of the Securities Act. </w:t>
      </w:r>
      <w:r>
        <w:rPr>
          <w:rFonts w:ascii="Times New Roman" w:hAnsi="Times New Roman"/>
          <w:color w:val="000000"/>
          <w:sz w:val="20"/>
        </w:rPr>
        <w:t xml:space="preserve"> </w:t>
      </w:r>
      <w:r>
        <w:rPr>
          <w:rFonts w:ascii="Times New Roman" w:hAnsi="Times New Roman"/>
          <w:color w:val="000000"/>
          <w:sz w:val="19"/>
        </w:rPr>
        <w:t xml:space="preserve">Yes </w:t>
      </w:r>
      <w:r>
        <w:rPr>
          <w:rFonts w:ascii="Times New Roman" w:hAnsi="Times New Roman"/>
          <w:color w:val="000000"/>
          <w:sz w:val="20"/>
        </w:rPr>
        <w:t xml:space="preserve">☒ </w:t>
      </w:r>
      <w:r>
        <w:rPr>
          <w:rFonts w:ascii="Times New Roman" w:hAnsi="Times New Roman"/>
          <w:color w:val="000000"/>
          <w:sz w:val="19"/>
        </w:rPr>
        <w:t>No</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if the registrant is not required to file reports pursuant to Section 13 or Section 15(d) of the Act. </w:t>
      </w:r>
      <w:r>
        <w:rPr>
          <w:rFonts w:ascii="Times New Roman" w:hAnsi="Times New Roman"/>
          <w:color w:val="000000"/>
          <w:sz w:val="20"/>
        </w:rPr>
        <w:t xml:space="preserve"> </w:t>
      </w:r>
      <w:r>
        <w:rPr>
          <w:rFonts w:ascii="Times New Roman" w:hAnsi="Times New Roman"/>
          <w:color w:val="000000"/>
          <w:sz w:val="19"/>
        </w:rPr>
        <w:t xml:space="preserve">Yes </w:t>
      </w:r>
      <w:r>
        <w:rPr>
          <w:rFonts w:ascii="Times New Roman" w:hAnsi="Times New Roman"/>
          <w:color w:val="000000"/>
          <w:sz w:val="20"/>
        </w:rPr>
        <w:t xml:space="preserve">☒ </w:t>
      </w:r>
      <w:r>
        <w:rPr>
          <w:rFonts w:ascii="Times New Roman" w:hAnsi="Times New Roman"/>
          <w:color w:val="000000"/>
          <w:sz w:val="19"/>
        </w:rPr>
        <w:t>No</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Times New Roman" w:hAnsi="Times New Roman"/>
          <w:color w:val="000000"/>
          <w:sz w:val="20"/>
        </w:rPr>
        <w:t xml:space="preserve">☒ </w:t>
      </w:r>
      <w:r>
        <w:rPr>
          <w:rFonts w:ascii="Times New Roman" w:hAnsi="Times New Roman"/>
          <w:color w:val="000000"/>
          <w:sz w:val="19"/>
        </w:rPr>
        <w:t>Yes</w:t>
      </w:r>
      <w:r>
        <w:rPr>
          <w:rFonts w:ascii="Times New Roman" w:hAnsi="Times New Roman"/>
          <w:color w:val="000000"/>
          <w:sz w:val="20"/>
        </w:rPr>
        <w:t xml:space="preserve">  </w:t>
      </w:r>
      <w:r>
        <w:rPr>
          <w:rFonts w:ascii="Times New Roman" w:hAnsi="Times New Roman"/>
          <w:color w:val="000000"/>
          <w:sz w:val="19"/>
        </w:rPr>
        <w:t>No</w:t>
      </w:r>
    </w:p>
    <w:p>
      <w:pPr>
        <w:pStyle w:val="TextBody"/>
        <w:bidi w:val="0"/>
        <w:spacing w:before="40" w:after="283"/>
        <w:jc w:val="left"/>
        <w:rPr>
          <w:rFonts w:ascii="Times New Roman" w:hAnsi="Times New Roman"/>
          <w:sz w:val="20"/>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8419" w:type="dxa"/>
        <w:jc w:val="left"/>
        <w:tblInd w:w="0" w:type="dxa"/>
        <w:tblLayout w:type="fixed"/>
        <w:tblCellMar>
          <w:top w:w="28" w:type="dxa"/>
          <w:left w:w="28" w:type="dxa"/>
          <w:bottom w:w="28" w:type="dxa"/>
          <w:right w:w="28" w:type="dxa"/>
        </w:tblCellMar>
      </w:tblPr>
      <w:tblGrid>
        <w:gridCol w:w="2146"/>
        <w:gridCol w:w="1666"/>
        <w:gridCol w:w="2026"/>
        <w:gridCol w:w="2581"/>
      </w:tblGrid>
      <w:tr>
        <w:trPr/>
        <w:tc>
          <w:tcPr>
            <w:tcW w:w="2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2146" w:type="dxa"/>
            <w:tcBorders/>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 </w:t>
            </w:r>
          </w:p>
        </w:tc>
        <w:tc>
          <w:tcPr>
            <w:tcW w:w="166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Accelerated filer </w:t>
            </w:r>
          </w:p>
        </w:tc>
        <w:tc>
          <w:tcPr>
            <w:tcW w:w="2026" w:type="dxa"/>
            <w:tcBorders/>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Non-accelerated filer ☒</w:t>
            </w:r>
          </w:p>
        </w:tc>
        <w:tc>
          <w:tcPr>
            <w:tcW w:w="258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Smaller reporting company ☒</w:t>
            </w:r>
          </w:p>
        </w:tc>
      </w:tr>
      <w:tr>
        <w:trPr/>
        <w:tc>
          <w:tcPr>
            <w:tcW w:w="2146"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center"/>
              <w:rPr/>
            </w:pPr>
            <w:r>
              <w:rPr/>
              <w:t> </w:t>
            </w:r>
          </w:p>
        </w:tc>
        <w:tc>
          <w:tcPr>
            <w:tcW w:w="2026" w:type="dxa"/>
            <w:tcBorders/>
            <w:vAlign w:val="center"/>
          </w:tcPr>
          <w:p>
            <w:pPr>
              <w:pStyle w:val="TableContents"/>
              <w:bidi w:val="0"/>
              <w:spacing w:before="0" w:after="283"/>
              <w:jc w:val="center"/>
              <w:rPr/>
            </w:pPr>
            <w:r>
              <w:rPr/>
              <w:t> </w:t>
            </w:r>
          </w:p>
        </w:tc>
        <w:tc>
          <w:tcPr>
            <w:tcW w:w="2581" w:type="dxa"/>
            <w:tcBorders/>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Emerging growth company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Times New Roman" w:hAnsi="Times New Roman"/>
          <w:color w:val="000000"/>
          <w:sz w:val="20"/>
        </w:rPr>
        <w:t>☐</w:t>
      </w:r>
    </w:p>
    <w:p>
      <w:pPr>
        <w:pStyle w:val="TextBody"/>
        <w:bidi w:val="0"/>
        <w:spacing w:before="4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Act). </w:t>
      </w:r>
      <w:r>
        <w:rPr>
          <w:rFonts w:ascii="Times New Roman" w:hAnsi="Times New Roman"/>
          <w:color w:val="000000"/>
          <w:sz w:val="20"/>
        </w:rPr>
        <w:t xml:space="preserve">☐ </w:t>
      </w:r>
      <w:r>
        <w:rPr>
          <w:rFonts w:ascii="Times New Roman" w:hAnsi="Times New Roman"/>
          <w:color w:val="000000"/>
          <w:sz w:val="19"/>
        </w:rPr>
        <w:t xml:space="preserve">Yes </w:t>
      </w:r>
      <w:r>
        <w:rPr>
          <w:rFonts w:ascii="Times New Roman" w:hAnsi="Times New Roman"/>
          <w:color w:val="000000"/>
          <w:sz w:val="20"/>
        </w:rPr>
        <w:t xml:space="preserve">☒ </w:t>
      </w:r>
      <w:r>
        <w:rPr>
          <w:rFonts w:ascii="Times New Roman" w:hAnsi="Times New Roman"/>
          <w:color w:val="000000"/>
          <w:sz w:val="19"/>
        </w:rPr>
        <w:t>No</w:t>
      </w:r>
    </w:p>
    <w:p>
      <w:pPr>
        <w:pStyle w:val="TextBody"/>
        <w:bidi w:val="0"/>
        <w:spacing w:before="40" w:after="283"/>
        <w:jc w:val="left"/>
        <w:rPr>
          <w:rFonts w:ascii="Times New Roman" w:hAnsi="Times New Roman"/>
          <w:color w:val="000000"/>
          <w:sz w:val="19"/>
        </w:rPr>
      </w:pPr>
      <w:r>
        <w:rPr>
          <w:rFonts w:ascii="Times New Roman" w:hAnsi="Times New Roman"/>
          <w:color w:val="000000"/>
          <w:sz w:val="19"/>
        </w:rPr>
        <w:t>The aggregate market value of the voting and non-voting common equity held by non-affiliates of the registrant as of June 30, 2023, the last business day of the registrant’s most recently completed second fiscal quarter, was approximately $143,781,100.</w:t>
      </w:r>
    </w:p>
    <w:p>
      <w:pPr>
        <w:pStyle w:val="TextBody"/>
        <w:bidi w:val="0"/>
        <w:spacing w:before="40" w:after="283"/>
        <w:jc w:val="left"/>
        <w:rPr>
          <w:rFonts w:ascii="Times New Roman" w:hAnsi="Times New Roman"/>
          <w:sz w:val="20"/>
        </w:rPr>
      </w:pPr>
      <w:r>
        <w:rPr>
          <w:rFonts w:ascii="Times New Roman" w:hAnsi="Times New Roman"/>
          <w:color w:val="000000"/>
          <w:sz w:val="19"/>
        </w:rPr>
        <w:t>As of February 29, 2024 the number of outstanding ordinary shares, par value £0.003 per share, of the registrant was 701,287,029.</w:t>
      </w:r>
      <w:r>
        <w:rPr>
          <w:rFonts w:ascii="Times New Roman" w:hAnsi="Times New Roman"/>
          <w:color w:val="000000"/>
          <w:sz w:val="20"/>
        </w:rPr>
        <w:t xml:space="preserve"> </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31"/>
        <w:gridCol w:w="8617"/>
        <w:gridCol w:w="146"/>
        <w:gridCol w:w="611"/>
      </w:tblGrid>
      <w:tr>
        <w:trPr/>
        <w:tc>
          <w:tcPr>
            <w:tcW w:w="831" w:type="dxa"/>
            <w:tcBorders/>
            <w:vAlign w:val="center"/>
          </w:tcPr>
          <w:p>
            <w:pPr>
              <w:pStyle w:val="TableContents"/>
              <w:bidi w:val="0"/>
              <w:spacing w:before="0" w:after="283"/>
              <w:jc w:val="left"/>
              <w:rPr>
                <w:sz w:val="4"/>
                <w:szCs w:val="4"/>
              </w:rPr>
            </w:pPr>
            <w:r>
              <w:rPr>
                <w:sz w:val="4"/>
                <w:szCs w:val="4"/>
              </w:rPr>
            </w:r>
          </w:p>
        </w:tc>
        <w:tc>
          <w:tcPr>
            <w:tcW w:w="8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left"/>
              <w:rPr>
                <w:sz w:val="4"/>
                <w:szCs w:val="4"/>
              </w:rPr>
            </w:pPr>
            <w:r>
              <w:rPr>
                <w:sz w:val="4"/>
                <w:szCs w:val="4"/>
              </w:rPr>
            </w:r>
          </w:p>
        </w:tc>
      </w:tr>
      <w:tr>
        <w:trPr/>
        <w:tc>
          <w:tcPr>
            <w:tcW w:w="831" w:type="dxa"/>
            <w:tcBorders/>
            <w:vAlign w:val="center"/>
          </w:tcPr>
          <w:p>
            <w:pPr>
              <w:pStyle w:val="TableContents"/>
              <w:pBdr/>
              <w:bidi w:val="0"/>
              <w:spacing w:before="0" w:after="283"/>
              <w:ind w:left="0" w:right="0" w:hanging="144"/>
              <w:jc w:val="left"/>
              <w:rPr/>
            </w:pPr>
            <w:hyperlink w:anchor="item_1_business">
              <w:r>
                <w:rPr>
                  <w:rStyle w:val="InternetLink"/>
                  <w:rFonts w:ascii="Times New Roman" w:hAnsi="Times New Roman"/>
                  <w:color w:val="0000FF"/>
                  <w:sz w:val="20"/>
                  <w:u w:val="single"/>
                </w:rPr>
                <w:t>PART I</w:t>
              </w:r>
            </w:hyperlink>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r>
        <w:trPr/>
        <w:tc>
          <w:tcPr>
            <w:tcW w:w="8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617" w:type="dxa"/>
            <w:tcBorders/>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1A.</w:t>
            </w:r>
          </w:p>
        </w:tc>
        <w:tc>
          <w:tcPr>
            <w:tcW w:w="8617" w:type="dxa"/>
            <w:tcBorders/>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35</w:t>
            </w:r>
          </w:p>
        </w:tc>
      </w:tr>
      <w:tr>
        <w:trPr/>
        <w:tc>
          <w:tcPr>
            <w:tcW w:w="831" w:type="dxa"/>
            <w:tcBorders/>
            <w:vAlign w:val="center"/>
          </w:tcPr>
          <w:p>
            <w:pPr>
              <w:pStyle w:val="TableContents"/>
              <w:pBdr/>
              <w:bidi w:val="0"/>
              <w:spacing w:before="0" w:after="283"/>
              <w:ind w:left="0" w:right="0" w:hanging="144"/>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1B.</w:t>
            </w:r>
          </w:p>
        </w:tc>
        <w:tc>
          <w:tcPr>
            <w:tcW w:w="8617" w:type="dxa"/>
            <w:tcBorders/>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84</w:t>
            </w:r>
          </w:p>
        </w:tc>
      </w:tr>
      <w:tr>
        <w:trPr/>
        <w:tc>
          <w:tcPr>
            <w:tcW w:w="831" w:type="dxa"/>
            <w:tcBorders/>
            <w:vAlign w:val="center"/>
          </w:tcPr>
          <w:p>
            <w:pPr>
              <w:pStyle w:val="TableContents"/>
              <w:pBdr/>
              <w:bidi w:val="0"/>
              <w:spacing w:before="0" w:after="283"/>
              <w:ind w:left="0" w:right="0" w:hanging="144"/>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1C.</w:t>
            </w:r>
          </w:p>
        </w:tc>
        <w:tc>
          <w:tcPr>
            <w:tcW w:w="8617" w:type="dxa"/>
            <w:tcBorders/>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84</w:t>
            </w:r>
          </w:p>
        </w:tc>
      </w:tr>
      <w:tr>
        <w:trPr/>
        <w:tc>
          <w:tcPr>
            <w:tcW w:w="831" w:type="dxa"/>
            <w:tcBorders/>
            <w:vAlign w:val="center"/>
          </w:tcPr>
          <w:p>
            <w:pPr>
              <w:pStyle w:val="TableContents"/>
              <w:pBdr/>
              <w:bidi w:val="0"/>
              <w:spacing w:before="0" w:after="283"/>
              <w:ind w:left="0" w:right="0" w:hanging="144"/>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2.</w:t>
            </w:r>
          </w:p>
        </w:tc>
        <w:tc>
          <w:tcPr>
            <w:tcW w:w="8617" w:type="dxa"/>
            <w:tcBorders/>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3.</w:t>
            </w:r>
          </w:p>
        </w:tc>
        <w:tc>
          <w:tcPr>
            <w:tcW w:w="8617" w:type="dxa"/>
            <w:tcBorders/>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4.</w:t>
            </w:r>
          </w:p>
        </w:tc>
        <w:tc>
          <w:tcPr>
            <w:tcW w:w="8617" w:type="dxa"/>
            <w:tcBorders/>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pPr>
            <w:hyperlink w:anchor="part_ii">
              <w:r>
                <w:rPr>
                  <w:rStyle w:val="InternetLink"/>
                  <w:rFonts w:ascii="Times New Roman" w:hAnsi="Times New Roman"/>
                  <w:color w:val="0000FF"/>
                  <w:sz w:val="20"/>
                  <w:u w:val="single"/>
                </w:rPr>
                <w:t>PART II</w:t>
              </w:r>
            </w:hyperlink>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5.</w:t>
            </w:r>
          </w:p>
        </w:tc>
        <w:tc>
          <w:tcPr>
            <w:tcW w:w="8617" w:type="dxa"/>
            <w:tcBorders/>
            <w:vAlign w:val="center"/>
          </w:tcPr>
          <w:p>
            <w:pPr>
              <w:pStyle w:val="TableContents"/>
              <w:bidi w:val="0"/>
              <w:spacing w:before="0" w:after="283"/>
              <w:jc w:val="left"/>
              <w:rPr/>
            </w:pPr>
            <w:hyperlink w:anchor="item_5_market_for_registrant">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6.</w:t>
            </w:r>
          </w:p>
        </w:tc>
        <w:tc>
          <w:tcPr>
            <w:tcW w:w="8617" w:type="dxa"/>
            <w:tcBorders/>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7.</w:t>
            </w:r>
          </w:p>
        </w:tc>
        <w:tc>
          <w:tcPr>
            <w:tcW w:w="8617" w:type="dxa"/>
            <w:tcBorders/>
            <w:vAlign w:val="center"/>
          </w:tcPr>
          <w:p>
            <w:pPr>
              <w:pStyle w:val="TableContents"/>
              <w:bidi w:val="0"/>
              <w:spacing w:before="0" w:after="283"/>
              <w:jc w:val="left"/>
              <w:rPr/>
            </w:pPr>
            <w:hyperlink w:anchor="item_7_managements_discussion">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7A.</w:t>
            </w:r>
          </w:p>
        </w:tc>
        <w:tc>
          <w:tcPr>
            <w:tcW w:w="8617" w:type="dxa"/>
            <w:tcBorders/>
            <w:vAlign w:val="center"/>
          </w:tcPr>
          <w:p>
            <w:pPr>
              <w:pStyle w:val="TableContents"/>
              <w:bidi w:val="0"/>
              <w:spacing w:before="0" w:after="283"/>
              <w:jc w:val="left"/>
              <w:rPr/>
            </w:pPr>
            <w:hyperlink w:anchor="item_7a_quantitative_and_qualitativ">
              <w:r>
                <w:rPr>
                  <w:rStyle w:val="InternetLink"/>
                  <w:rFonts w:ascii="Times New Roman" w:hAnsi="Times New Roman"/>
                  <w:color w:val="0000FF"/>
                  <w:sz w:val="20"/>
                  <w:u w:val="single"/>
                </w:rPr>
                <w:t>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8.</w:t>
            </w:r>
          </w:p>
        </w:tc>
        <w:tc>
          <w:tcPr>
            <w:tcW w:w="8617" w:type="dxa"/>
            <w:tcBorders/>
            <w:vAlign w:val="center"/>
          </w:tcPr>
          <w:p>
            <w:pPr>
              <w:pStyle w:val="TableContents"/>
              <w:bidi w:val="0"/>
              <w:spacing w:before="0" w:after="283"/>
              <w:jc w:val="left"/>
              <w:rPr/>
            </w:pPr>
            <w:hyperlink w:anchor="item_8_financial_statements_and_sup">
              <w:r>
                <w:rPr>
                  <w:rStyle w:val="InternetLink"/>
                  <w:rFonts w:ascii="Times New Roman" w:hAnsi="Times New Roman"/>
                  <w:color w:val="0000FF"/>
                  <w:sz w:val="20"/>
                  <w:u w:val="single"/>
                </w:rPr>
                <w:t>Financial Statements and Supplementary Data</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9.</w:t>
            </w:r>
          </w:p>
        </w:tc>
        <w:tc>
          <w:tcPr>
            <w:tcW w:w="8617" w:type="dxa"/>
            <w:tcBorders/>
            <w:vAlign w:val="center"/>
          </w:tcPr>
          <w:p>
            <w:pPr>
              <w:pStyle w:val="TableContents"/>
              <w:bidi w:val="0"/>
              <w:spacing w:before="0" w:after="283"/>
              <w:jc w:val="left"/>
              <w:rPr/>
            </w:pPr>
            <w:hyperlink w:anchor="item_9_changes_in_and_disagreements_wit">
              <w:r>
                <w:rPr>
                  <w:rStyle w:val="InternetLink"/>
                  <w:rFonts w:ascii="Times New Roman" w:hAnsi="Times New Roman"/>
                  <w:color w:val="0000FF"/>
                  <w:sz w:val="20"/>
                  <w:u w:val="single"/>
                </w:rPr>
                <w:t>Changes in and Disagreements with Accountants on Accounting and Financial Disclosure</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9A.</w:t>
            </w:r>
          </w:p>
        </w:tc>
        <w:tc>
          <w:tcPr>
            <w:tcW w:w="8617" w:type="dxa"/>
            <w:tcBorders/>
            <w:vAlign w:val="center"/>
          </w:tcPr>
          <w:p>
            <w:pPr>
              <w:pStyle w:val="TableContents"/>
              <w:bidi w:val="0"/>
              <w:spacing w:before="0" w:after="283"/>
              <w:jc w:val="left"/>
              <w:rPr/>
            </w:pPr>
            <w:hyperlink w:anchor="item_9a_controls_and_procedures">
              <w:r>
                <w:rPr>
                  <w:rStyle w:val="InternetLink"/>
                  <w:rFonts w:ascii="Times New Roman" w:hAnsi="Times New Roman"/>
                  <w:color w:val="0000FF"/>
                  <w:sz w:val="20"/>
                  <w:u w:val="single"/>
                </w:rPr>
                <w:t>Controls and Procedures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9B.</w:t>
            </w:r>
          </w:p>
        </w:tc>
        <w:tc>
          <w:tcPr>
            <w:tcW w:w="8617" w:type="dxa"/>
            <w:tcBorders/>
            <w:vAlign w:val="center"/>
          </w:tcPr>
          <w:p>
            <w:pPr>
              <w:pStyle w:val="TableContents"/>
              <w:bidi w:val="0"/>
              <w:spacing w:before="0" w:after="283"/>
              <w:jc w:val="left"/>
              <w:rPr/>
            </w:pPr>
            <w:hyperlink w:anchor="item_9b_other_information">
              <w:r>
                <w:rPr>
                  <w:rStyle w:val="InternetLink"/>
                  <w:rFonts w:ascii="Times New Roman" w:hAnsi="Times New Roman"/>
                  <w:color w:val="0000FF"/>
                  <w:sz w:val="20"/>
                  <w:u w:val="single"/>
                </w:rPr>
                <w:t>Other Information</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rFonts w:ascii="Times New Roman" w:hAnsi="Times New Roman"/>
                <w:color w:val="000000"/>
                <w:sz w:val="20"/>
              </w:rPr>
            </w:pPr>
            <w:r>
              <w:rPr>
                <w:rFonts w:ascii="Times New Roman" w:hAnsi="Times New Roman"/>
                <w:color w:val="000000"/>
                <w:sz w:val="20"/>
              </w:rPr>
              <w:t>100</w:t>
            </w:r>
          </w:p>
        </w:tc>
      </w:tr>
      <w:tr>
        <w:trPr/>
        <w:tc>
          <w:tcPr>
            <w:tcW w:w="831" w:type="dxa"/>
            <w:tcBorders/>
            <w:vAlign w:val="center"/>
          </w:tcPr>
          <w:p>
            <w:pPr>
              <w:pStyle w:val="TableContents"/>
              <w:pBdr/>
              <w:bidi w:val="0"/>
              <w:spacing w:before="0" w:after="283"/>
              <w:ind w:left="0" w:right="0" w:hanging="144"/>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9C.</w:t>
            </w:r>
          </w:p>
        </w:tc>
        <w:tc>
          <w:tcPr>
            <w:tcW w:w="8617" w:type="dxa"/>
            <w:tcBorders/>
            <w:vAlign w:val="center"/>
          </w:tcPr>
          <w:p>
            <w:pPr>
              <w:pStyle w:val="TableContents"/>
              <w:bidi w:val="0"/>
              <w:spacing w:before="0" w:after="283"/>
              <w:jc w:val="left"/>
              <w:rPr/>
            </w:pPr>
            <w:hyperlink w:anchor="item_9c_disclosure_regarding_foreign">
              <w:r>
                <w:rPr>
                  <w:rStyle w:val="InternetLink"/>
                  <w:rFonts w:ascii="Times New Roman" w:hAnsi="Times New Roman"/>
                  <w:color w:val="0000FF"/>
                  <w:sz w:val="20"/>
                  <w:u w:val="single"/>
                </w:rPr>
                <w:t>Disclosure Regarding Foreign Jurisdictions that Prevent Inspections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pPr>
            <w:hyperlink w:anchor="part_iii">
              <w:r>
                <w:rPr>
                  <w:rStyle w:val="InternetLink"/>
                  <w:rFonts w:ascii="Times New Roman" w:hAnsi="Times New Roman"/>
                  <w:color w:val="0000FF"/>
                  <w:sz w:val="20"/>
                  <w:u w:val="single"/>
                </w:rPr>
                <w:t>PART III</w:t>
              </w:r>
            </w:hyperlink>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10.</w:t>
            </w:r>
          </w:p>
        </w:tc>
        <w:tc>
          <w:tcPr>
            <w:tcW w:w="8617" w:type="dxa"/>
            <w:tcBorders/>
            <w:vAlign w:val="center"/>
          </w:tcPr>
          <w:p>
            <w:pPr>
              <w:pStyle w:val="TableContents"/>
              <w:bidi w:val="0"/>
              <w:spacing w:before="0" w:after="283"/>
              <w:jc w:val="left"/>
              <w:rPr/>
            </w:pPr>
            <w:hyperlink w:anchor="item_10_directors_executive_officer">
              <w:r>
                <w:rPr>
                  <w:rStyle w:val="InternetLink"/>
                  <w:rFonts w:ascii="Times New Roman" w:hAnsi="Times New Roman"/>
                  <w:color w:val="0000FF"/>
                  <w:sz w:val="20"/>
                  <w:u w:val="single"/>
                </w:rPr>
                <w:t>Directors, Executive Officers and Corporate Governance</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11.</w:t>
            </w:r>
          </w:p>
        </w:tc>
        <w:tc>
          <w:tcPr>
            <w:tcW w:w="8617" w:type="dxa"/>
            <w:tcBorders/>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12.</w:t>
            </w:r>
          </w:p>
        </w:tc>
        <w:tc>
          <w:tcPr>
            <w:tcW w:w="8617" w:type="dxa"/>
            <w:tcBorders/>
            <w:vAlign w:val="center"/>
          </w:tcPr>
          <w:p>
            <w:pPr>
              <w:pStyle w:val="TableContents"/>
              <w:bidi w:val="0"/>
              <w:spacing w:before="0" w:after="283"/>
              <w:jc w:val="left"/>
              <w:rPr/>
            </w:pPr>
            <w:hyperlink w:anchor="item_12_security_ownership_certain">
              <w:r>
                <w:rPr>
                  <w:rStyle w:val="InternetLink"/>
                  <w:rFonts w:ascii="Times New Roman" w:hAnsi="Times New Roman"/>
                  <w:color w:val="0000FF"/>
                  <w:sz w:val="20"/>
                  <w:u w:val="single"/>
                </w:rPr>
                <w:t>Security Ownership of Certain Beneficial Owners and Management and Related Stockholder Matters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13.</w:t>
            </w:r>
          </w:p>
        </w:tc>
        <w:tc>
          <w:tcPr>
            <w:tcW w:w="8617" w:type="dxa"/>
            <w:tcBorders/>
            <w:vAlign w:val="center"/>
          </w:tcPr>
          <w:p>
            <w:pPr>
              <w:pStyle w:val="TableContents"/>
              <w:bidi w:val="0"/>
              <w:spacing w:before="0" w:after="283"/>
              <w:jc w:val="left"/>
              <w:rPr/>
            </w:pPr>
            <w:hyperlink w:anchor="item_13_certain_relationships_and_rela">
              <w:r>
                <w:rPr>
                  <w:rStyle w:val="InternetLink"/>
                  <w:rFonts w:ascii="Times New Roman" w:hAnsi="Times New Roman"/>
                  <w:color w:val="0000FF"/>
                  <w:sz w:val="20"/>
                  <w:u w:val="single"/>
                </w:rPr>
                <w:t>Certain Relationships and Related Transactions, and Director Independence</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14.</w:t>
            </w:r>
          </w:p>
        </w:tc>
        <w:tc>
          <w:tcPr>
            <w:tcW w:w="8617" w:type="dxa"/>
            <w:tcBorders/>
            <w:vAlign w:val="center"/>
          </w:tcPr>
          <w:p>
            <w:pPr>
              <w:pStyle w:val="TableContents"/>
              <w:bidi w:val="0"/>
              <w:spacing w:before="0" w:after="283"/>
              <w:jc w:val="left"/>
              <w:rPr/>
            </w:pPr>
            <w:hyperlink w:anchor="item_14_principal_accounting_fees_and">
              <w:r>
                <w:rPr>
                  <w:rStyle w:val="InternetLink"/>
                  <w:rFonts w:ascii="Times New Roman" w:hAnsi="Times New Roman"/>
                  <w:color w:val="0000FF"/>
                  <w:sz w:val="20"/>
                  <w:u w:val="single"/>
                </w:rPr>
                <w:t>Principal Accountant Fees and Services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pPr>
            <w:hyperlink w:anchor="part_iv">
              <w:r>
                <w:rPr>
                  <w:rStyle w:val="InternetLink"/>
                  <w:rFonts w:ascii="Times New Roman" w:hAnsi="Times New Roman"/>
                  <w:color w:val="0000FF"/>
                  <w:sz w:val="20"/>
                  <w:u w:val="single"/>
                </w:rPr>
                <w:t>PART IV</w:t>
              </w:r>
            </w:hyperlink>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15.</w:t>
            </w:r>
          </w:p>
        </w:tc>
        <w:tc>
          <w:tcPr>
            <w:tcW w:w="8617" w:type="dxa"/>
            <w:tcBorders/>
            <w:vAlign w:val="center"/>
          </w:tcPr>
          <w:p>
            <w:pPr>
              <w:pStyle w:val="TableContents"/>
              <w:bidi w:val="0"/>
              <w:spacing w:before="0" w:after="283"/>
              <w:jc w:val="left"/>
              <w:rPr/>
            </w:pPr>
            <w:hyperlink w:anchor="item_15_exhibits_and_financial_state">
              <w:r>
                <w:rPr>
                  <w:rStyle w:val="InternetLink"/>
                  <w:rFonts w:ascii="Times New Roman" w:hAnsi="Times New Roman"/>
                  <w:color w:val="0000FF"/>
                  <w:sz w:val="20"/>
                  <w:u w:val="single"/>
                </w:rPr>
                <w:t>Exhibit and Financial Statement Schedules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144"/>
              <w:jc w:val="right"/>
              <w:rPr/>
            </w:pPr>
            <w:r>
              <w:rPr/>
              <w:t> </w:t>
            </w:r>
          </w:p>
        </w:tc>
      </w:tr>
      <w:tr>
        <w:trPr/>
        <w:tc>
          <w:tcPr>
            <w:tcW w:w="831" w:type="dxa"/>
            <w:tcBorders/>
            <w:vAlign w:val="center"/>
          </w:tcPr>
          <w:p>
            <w:pPr>
              <w:pStyle w:val="TableContents"/>
              <w:pBdr/>
              <w:bidi w:val="0"/>
              <w:spacing w:before="0" w:after="283"/>
              <w:ind w:left="0" w:right="0" w:hanging="144"/>
              <w:jc w:val="left"/>
              <w:rPr>
                <w:rFonts w:ascii="Times New Roman" w:hAnsi="Times New Roman"/>
                <w:color w:val="000000"/>
                <w:sz w:val="20"/>
              </w:rPr>
            </w:pPr>
            <w:r>
              <w:rPr>
                <w:rFonts w:ascii="Times New Roman" w:hAnsi="Times New Roman"/>
                <w:color w:val="000000"/>
                <w:sz w:val="20"/>
              </w:rPr>
              <w:t>Item 16.</w:t>
            </w:r>
          </w:p>
        </w:tc>
        <w:tc>
          <w:tcPr>
            <w:tcW w:w="8617" w:type="dxa"/>
            <w:tcBorders/>
            <w:vAlign w:val="center"/>
          </w:tcPr>
          <w:p>
            <w:pPr>
              <w:pStyle w:val="TableContents"/>
              <w:bidi w:val="0"/>
              <w:spacing w:before="0" w:after="283"/>
              <w:jc w:val="left"/>
              <w:rPr/>
            </w:pPr>
            <w:hyperlink w:anchor="item_16_form_10_k_summa">
              <w:r>
                <w:rPr>
                  <w:rStyle w:val="InternetLink"/>
                  <w:rFonts w:ascii="Times New Roman" w:hAnsi="Times New Roman"/>
                  <w:color w:val="0000FF"/>
                  <w:sz w:val="20"/>
                  <w:u w:val="single"/>
                </w:rPr>
                <w:t>Form 10-K Summary</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r>
      <w:tr>
        <w:trPr/>
        <w:tc>
          <w:tcPr>
            <w:tcW w:w="831" w:type="dxa"/>
            <w:tcBorders/>
            <w:vAlign w:val="center"/>
          </w:tcPr>
          <w:p>
            <w:pPr>
              <w:pStyle w:val="TableContents"/>
              <w:bidi w:val="0"/>
              <w:spacing w:before="0" w:after="283"/>
              <w:jc w:val="left"/>
              <w:rPr/>
            </w:pPr>
            <w:r>
              <w:rPr/>
              <w:t> </w:t>
            </w:r>
          </w:p>
        </w:tc>
        <w:tc>
          <w:tcPr>
            <w:tcW w:w="8617"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ind w:left="0" w:right="0" w:firstLine="200"/>
              <w:jc w:val="right"/>
              <w:rPr/>
            </w:pPr>
            <w:r>
              <w:rPr/>
              <w:t> </w:t>
            </w:r>
          </w:p>
        </w:tc>
      </w:tr>
      <w:tr>
        <w:trPr/>
        <w:tc>
          <w:tcPr>
            <w:tcW w:w="9448" w:type="dxa"/>
            <w:gridSpan w:val="2"/>
            <w:tcBorders/>
            <w:vAlign w:val="center"/>
          </w:tcPr>
          <w:p>
            <w:pPr>
              <w:pStyle w:val="TableContents"/>
              <w:pBdr/>
              <w:bidi w:val="0"/>
              <w:spacing w:before="0" w:after="283"/>
              <w:ind w:left="0" w:right="0" w:hanging="200"/>
              <w:jc w:val="left"/>
              <w:rPr/>
            </w:pPr>
            <w:hyperlink w:anchor="signatures">
              <w:r>
                <w:rPr>
                  <w:rStyle w:val="InternetLink"/>
                  <w:rFonts w:ascii="Times New Roman" w:hAnsi="Times New Roman"/>
                  <w:color w:val="0000FF"/>
                  <w:sz w:val="20"/>
                  <w:u w:val="single"/>
                </w:rPr>
                <w:t>Signatures</w:t>
              </w:r>
            </w:hyperlink>
          </w:p>
        </w:tc>
        <w:tc>
          <w:tcPr>
            <w:tcW w:w="146" w:type="dxa"/>
            <w:tcBorders/>
            <w:vAlign w:val="center"/>
          </w:tcPr>
          <w:p>
            <w:pPr>
              <w:pStyle w:val="TableContents"/>
              <w:bidi w:val="0"/>
              <w:spacing w:before="0" w:after="283"/>
              <w:jc w:val="left"/>
              <w:rPr/>
            </w:pPr>
            <w:r>
              <w:rPr/>
              <w:t> </w:t>
            </w:r>
          </w:p>
        </w:tc>
        <w:tc>
          <w:tcPr>
            <w:tcW w:w="611" w:type="dxa"/>
            <w:tcBorders/>
            <w:vAlign w:val="center"/>
          </w:tcPr>
          <w:p>
            <w:pPr>
              <w:pStyle w:val="TableContents"/>
              <w:bidi w:val="0"/>
              <w:spacing w:before="0" w:after="283"/>
              <w:jc w:val="right"/>
              <w:rPr/>
            </w:pPr>
            <w:r>
              <w:rPr/>
              <w:t> </w:t>
            </w:r>
          </w:p>
        </w:tc>
      </w:tr>
    </w:tbl>
    <w:p>
      <w:pPr>
        <w:pStyle w:val="TextBody"/>
        <w:bidi w:val="0"/>
        <w:spacing w:before="40" w:after="283"/>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CERTAIN DEFINITIONS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Unless otherwise indicated and except where the context otherwise requires, references in this Annual Report on Form 10-K (defined below)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AATD” are to alpha-1 antitrypsin deficiency, a lack of alpha 1 anti-trypsin protein, a protein made by the liver that’s released into the bloodstream to protect the body from neutrophil serine proteases damaging the lungs;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Acumapimod” are to an oral p38 MAP kinase inhibitor for potential treatment of AECOPD;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Alvelestat” are to an oral neutrophil elastase inhibitor for potential treatment of AATD;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ADSs” are to our American Depositary Shares, each of which represents five ordinary shares of Mereo BioPharma Group plc;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ADRs” are to the American Depositary Receipts that evidence our ADSs;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AECOPD” are to acute exacerbation of chronic obstructive pulmonary disease;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BLA” are to Biologics License Application;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CMA” are to Conditional Marketing Authorization;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CMO” are to contract manufacturing organization;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COPD” are to chronic obstructive pulmonary disease, the name for a group of lung conditions that cause breathing difficulties;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CRO” are to contract research organization;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DTC” are to Depository Trust Company;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EMA” are to European Medicines Agency;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Etigilimab” are to an anti-TIGIT designed to activate the immune system through multiple mechanisms and enable anti-tumor activity;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"Exchange Act" are to the United States Securities and Exchange Act of 1934;</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Feng Biosciences” are to Feng Biosciences, Inc. In 2023, OncXerna Therapeutics, Inc. (“OncXerna”) was renamed as Feng Biosciences, Inc.;</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FDA” are to the United States Food and Drug Administration;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HH” are to hypogonadotropic hypogonadism, a condition in which the male testes or the female ovaries produce little or no sex hormones;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Leflutrozole” are to an oral aromatase inhibitor for potential treatment of male infertility associated with HH;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MAA” are to Marketing Authorization Application;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Mereo,” the “Company,” the “Group,” “we,” “our,” “ours,” “us” or similar terms are to Mereo BioPharma Group plc, together with its subsidiaries;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“Merger” are to the merger of Mereo MergerCo One Inc. and OncoMed Pharmaceuticals, Inc. (“OncoMed”), with OncoMed surviving as a wholly-owned subsidiary of Mereo US Holdings Inc., and as an indirect wholly-owned subsidiary of Mereo BioPharma Group plc, and in 2020 OncoMed was renamed as Mereo BioPharma 5, Inc. (“Mereo BioPharma 5”);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“Merger Agreement” are to the Agreement and Plan of Merger and Reorganization, dated December 5, 2018, by and among Mereo BioPharma Group plc, Mereo US Holdings Inc., Mereo MergerCo One Inc. and OncoMed;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Navi” are to Navicixizumab;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NDA” are to New Drug Application;</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NE” neutrophil elastase, a serine protease and a major constituent of lung elastoytic activity;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OI” are to osteogenesis imperfecta a rare genetic bone disorder characterized by fragile bones that break easily, also known as brittle bone disease;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ordinary shares” are to our ordinary shares, each of £0.003 nominal value;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SEC” are to the United States Securities and Exchange Commission;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Setrusumab” are to a fully human monoclonal antibody for potential treatment of OI;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 “USD,” “US$” and “U.S. dollar” are to the United States dollar;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TIGIT” are to T-cell immunoreceptor with Ig and ITIM domains;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Ultragenyx” are to Ultragenyx Pharmaceutical, Inc.;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xml:space="preserve">U.S. GAAP” are to accounting principles generally accepted in the United States of America; and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r>
        <w:rPr>
          <w:rFonts w:ascii="Times New Roman" w:hAnsi="Times New Roman"/>
          <w:color w:val="000000"/>
          <w:sz w:val="20"/>
        </w:rPr>
        <w:t>£,” “GBP,” “pound sterling,” “pence” and “p” are to the British pound sterling (or units thereof).</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GENERAL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this Annual Report on Form 10</w:t>
        <w:noBreakHyphen/>
        <w:t>K (“Annual Report”), “Mereo,” the “Group,” the “Company,” “we,” “us” and “our” refer to Mereo BioPharma Group plc and its consolidated subsidiaries, except where the context otherwise requires. “Mereo,” the Mereo logo and other trademarks, trade names or service marks of Mereo appearing in this Annual Report are the property of Mereo.</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contains forward-looking statements that involve risks and uncertainties, as well as assumptions that, if they never materialize or prove incorrect, could cause our results to differ materially from those expressed or implied by such forward-looking statements. We make such forward-looking statements pursuant to the safe harbor provisions of the Private Securities Litigation Reform Act of 1995 and other federal securities laws. All statements other than statements of historical facts contained in this Annual Report are forward-looking statements. In some cases, you can identify forward-looking statements by words such as “believe,” “may,” “will,” “estimate,” “continue,” “anticipate,” “intend,” “expect” or the negative of these words or other comparable terminology.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forward-looking statements in this Annual Report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 Item 1A. Risk Factors and elsewhere in this Annual Report.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w:t>
      </w:r>
    </w:p>
    <w:p>
      <w:pPr>
        <w:pStyle w:val="TextBody"/>
        <w:bidi w:val="0"/>
        <w:spacing w:before="240" w:after="283"/>
        <w:jc w:val="center"/>
        <w:rPr>
          <w:rFonts w:ascii="Times New Roman" w:hAnsi="Times New Roman"/>
          <w:sz w:val="20"/>
        </w:rPr>
      </w:pPr>
      <w:r>
        <w:rPr>
          <w:rFonts w:ascii="Times New Roman" w:hAnsi="Times New Roman"/>
          <w:b/>
          <w:color w:val="000000"/>
          <w:sz w:val="20"/>
        </w:rPr>
        <w:t>SUMMARY RISK FACTORS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You should carefully consider the risks and uncertainties described below, together with the other information contained in this Annual Report, before making any investment decision. Any of the following risks and uncertainties could have a material adverse effect on our business, prospects, results of operations and financial condition. The market price of our ADSs could decline due to any of these risks and uncertainties, and you could lose all or part of your investment. The risks described below are those that we currently believe may materially affect us. We may face additional risks and uncertainties not currently known to us or that we currently deem to be immaterial.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limited operating history and have never generated any revenue from product sales.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heavily on the success of setrusumab, alvelestat and etigilimab. We cannot give any assurance that any of these product candidates will receive regulatory approval, which is necessary before they can be commercialized. If we are unable to commercialize setrusumab, alvelestat and etigilimab, whether on our own or through agreements with third parties, or experience significant delays in doing so, our ability to generate revenue and our financial condition will be adversely affected.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growth and ability to compete depends on retaining our key personnel and recruiting additional qualified personnel.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become exposed to costly and damaging liability claims, either when testing our product candidates in the clinic or at the commercial stage, and our product liability insurance may not cover all damages from such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Enacted and future healthcare legislation may increase the difficulty and cost for us to obtain marketing approval of and commercialize our product candidates and may affect the prices we may set.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operate in a highly competitive and rapidly changing industry, which may result in others acquiring, developing, or commercializing competing product candidates before or more successfully than we do.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existing and future product candidates may not gain market acceptance, in which case our ability to generate revenues from product sales will be compromised.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and operations may suffer, and proprietary information may be lost, in the event of information technology system failures, cyberattacks or deficiencies in our cybersecurity.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Unlike in prior years, as of January 1, 2024,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establish and maintain effective internal controls could have a material adverse effect on our business and stock price.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 w:name="item_1_business"/>
      <w:bookmarkEnd w:id="2"/>
      <w:r>
        <w:rPr>
          <w:rFonts w:ascii="Times New Roman" w:hAnsi="Times New Roman"/>
          <w:b/>
          <w:color w:val="000000"/>
          <w:sz w:val="20"/>
        </w:rPr>
        <w:t>Item 1. Business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 biopharmaceutical company focused on the development of innovative therapeutics for rare diseases. We have developed a portfolio of late-stage clinical product candidates. Our two rare disease product candidates are setrusumab for the treatment of osteogenesis imperfecta (OI) and alvelestat primarily for the treatment of severe alpha-1 antitrypsin deficiency-associated lung disease (AATD-LD). Setrusumab has received orphan designation for OI from the European Medicines Agency (EMA) and the U.S. Food and Drug Administration (FDA), PRIME designation from the EMA and has rare pediatric disease designation from the FDA. Alvelestat has received U.S. Orphan Drug Designation for the treatment of AATD and Fast Track designation for the treatment of AATD-LD.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strategy is to selectively acquire and develop product candidates for rare diseases that have already received significant investment from large pharmaceutical and biotechnology companies and that have substantial pre-clinical, clinical and manufacturing data packages. Since our formation in March 2015, we have successfully executed on this strategy by acquiring six clinical-stage product candidates of which four were in rare diseases and oncology. Four of our six clinical-stage product candidates were acquired from large pharmaceutical companies and two were acquired in the Merger. We have successfully completed large, randomized Phase 2 clinical trials for four of our product candidates and the Phase 1b portion of a Phase 1b/2 for a fifth product candidate.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Rare diseases represent an attractive development and, in some cases, commercialization opportunity for us since they typically have high unmet medical need and can utilize regulatory pathways that facilitate acceleration to approval and to the potential market. Development of products for rare diseases involve close collaboration with key opinion leaders and investigators, and close coordination with patient organizations. Rare disease patients are typically treated at a limited number of specialized sites which helps identification of the patient population and enables a small, targeted sales infrastructure to commercialize the products in key markets. </w:t>
      </w:r>
    </w:p>
    <w:p>
      <w:pPr>
        <w:pStyle w:val="TextBody"/>
        <w:bidi w:val="0"/>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intend to become a leading biopharmaceutical company developing innovative therapeutics that aim to improve outcomes for patients with rare diseases. The key elements of our strategy to achieve this goal include: </w:t>
      </w:r>
    </w:p>
    <w:p>
      <w:pPr>
        <w:pStyle w:val="TextBody"/>
        <w:bidi w:val="0"/>
        <w:spacing w:before="120" w:after="283"/>
        <w:jc w:val="left"/>
        <w:rPr>
          <w:color w:val="000000"/>
        </w:rPr>
      </w:pPr>
      <w:r>
        <w:rPr>
          <w:color w:val="000000"/>
        </w:rPr>
        <w:t>•</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Rapidly develop and potentially commercialize our rare disease product candidates. </w:t>
      </w:r>
      <w:r>
        <w:rPr>
          <w:rFonts w:ascii="Times New Roman" w:hAnsi="Times New Roman"/>
          <w:color w:val="000000"/>
          <w:sz w:val="20"/>
        </w:rPr>
        <w:t xml:space="preserve">Our rare disease product candidates setrusumab and alvelestat have been acquired or in-licensed from pharmaceutical companies following strategic de-prioritization. Prior to this they have received significant investment in preclinical, toxicology, clinical studies and CMC. We have built expertise in the areas of patient identification, clinical study design and regulatory strategy. This combination of prior investment and our expertise has allowed us to rapidly develop our two rare disease product candidates. For example, setrusumab has completed a Phase 2 in adult OI patients and our partner Ultragenyx is now enrolling two Phase 3 studies in pediatric and young adult OI patients, and alvelestat has completed two Phase 2 studies and is now progressing into Phase 3. We may seek to partner our rare disease product candidates for further development where it makes strategic sense to do so. However, as commercialization of rare disease products requires a highly specialized and focused infrastructure, we may seek to commercialize our rare disease product candidates, once approved, in select markets. For example, as part of our partnership with Ultragenyx, we have the retained the commercial rights to setrusumab in Europe and the U.K.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 xml:space="preserve">Explore out-licensing or sale opportunities with third parties for further clinical development and/or commercialization of our non-core and non-rare disease programs. </w:t>
      </w:r>
      <w:r>
        <w:rPr>
          <w:rFonts w:ascii="Times New Roman" w:hAnsi="Times New Roman"/>
          <w:color w:val="000000"/>
          <w:sz w:val="20"/>
        </w:rPr>
        <w:t xml:space="preserve">Based on the results from the Phase 1b portion of the Phase 1b/2 clinical trial for etigilimab in select solid tumor types and the Phase 2 clinical trial for acumapimod, we plan to enter into one or more strategic relationships with third parties for etigilimab and acumapimod to undertake the next phase of clinical development and, if approved, commercialization. Our second oncology product, navicixizumab, for the treatment of late line ovarian cancer, has completed a Phase 1 study and has been partnered on a global basis with Feng Biosciences. In March 2018, we reported top-line Phase 2b data for leflutrozole for the treatment of HH and in December 2018, we reported positive results from the safety extension study for leflutrozole. In December 2023 we entered into an exclusive global license agreement with ReproNovo for the development and commercialization of leflutrozole.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Continue to be a partner of choice for pharmaceutical and biotechnology companies.</w:t>
      </w:r>
      <w:r>
        <w:rPr>
          <w:color w:val="000000"/>
        </w:rPr>
        <w:t xml:space="preserve"> </w:t>
      </w:r>
      <w:r>
        <w:rPr>
          <w:rFonts w:ascii="Times New Roman" w:hAnsi="Times New Roman"/>
          <w:color w:val="000000"/>
          <w:sz w:val="20"/>
        </w:rPr>
        <w:t xml:space="preserve">We believe that we are a preferred partner for pharmaceutical and biotechnology companies as they seek to unlock the potential in their development pipelines and deliver therapeutics to patients in areas of high unmet medical need. We have strong relationships with these companies, as evidenced by our agreements with Novartis and AstraZeneca, as well as our partnership with Ultragenyx, and a track record of structuring transactions that enable us to leverage our core capabilities while creating value for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stakeholders. We intend to continue to enter into strategic relationships that align our interests with those of pharmaceutical and biotechnology companies and that we believe to be mutually beneficial.</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i/>
          <w:color w:val="000000"/>
          <w:sz w:val="20"/>
        </w:rPr>
        <w:t>Leverage our expertise in business development.</w:t>
      </w:r>
      <w:r>
        <w:rPr>
          <w:color w:val="000000"/>
        </w:rPr>
        <w:t xml:space="preserve"> </w:t>
      </w:r>
      <w:r>
        <w:rPr>
          <w:rFonts w:ascii="Times New Roman" w:hAnsi="Times New Roman"/>
          <w:color w:val="000000"/>
          <w:sz w:val="20"/>
        </w:rPr>
        <w:t xml:space="preserve">Our senior management team has extensive relationships with large pharmaceutical and biotechnology companies. These relationships are important to us as we seek to form strategic partnerships on our product candidates and as appropriate, to grow our pipeline of product candidates in rare diseases. </w:t>
      </w:r>
    </w:p>
    <w:p>
      <w:pPr>
        <w:pStyle w:val="TextBody"/>
        <w:bidi w:val="0"/>
        <w:spacing w:before="240" w:after="283"/>
        <w:jc w:val="left"/>
        <w:rPr>
          <w:rFonts w:ascii="Times New Roman" w:hAnsi="Times New Roman"/>
          <w:sz w:val="20"/>
        </w:rPr>
      </w:pPr>
      <w:r>
        <w:rPr>
          <w:rFonts w:ascii="Times New Roman" w:hAnsi="Times New Roman"/>
          <w:b/>
          <w:color w:val="000000"/>
          <w:sz w:val="20"/>
        </w:rPr>
        <w:t>Our Pipeline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pipeline for our product candidates. We have global commercial rights to alvelestat, etigilimab and acumapimod and commercial rights to setrusumab in Europe and the U.K. We granted Ultragenyx an exclusive license to develop and commercialize setrusumab in the U.S. and rest of the world, and we have licensed global rights for navicixizumab to Feng Biosciences (formerly OncXerna) and global rights for leflutrozole to ReproNovo.</w:t>
      </w:r>
    </w:p>
    <w:p>
      <w:pPr>
        <w:pStyle w:val="TextBody"/>
        <w:bidi w:val="0"/>
        <w:jc w:val="left"/>
        <w:rPr/>
      </w:pPr>
      <w:r>
        <w:rPr/>
        <w:t> </w:t>
      </w:r>
    </w:p>
    <w:p>
      <w:pPr>
        <w:pStyle w:val="TextBody"/>
        <w:bidi w:val="0"/>
        <w:jc w:val="center"/>
        <w:rPr/>
      </w:pPr>
      <w:r>
        <w:rPr/>
        <w:drawing>
          <wp:inline distT="0" distB="0" distL="0" distR="0">
            <wp:extent cx="5924550" cy="2619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2619375"/>
                    </a:xfrm>
                    <a:prstGeom prst="rect">
                      <a:avLst/>
                    </a:prstGeom>
                  </pic:spPr>
                </pic:pic>
              </a:graphicData>
            </a:graphic>
          </wp:inline>
        </w:drawing>
      </w: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Core Rare Disease Product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Setrusumab (BPS-804/UX143) for the Treatment of Osteogenesis Imperfecta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collaboration with Ultragenyx, we are developing setrusumab for the treatment of OI, a rare genetic disease, which is caused by variants in the COL1A1 or COL1A2 genes, which results in bones that can break easily and is commonly known as brittle bone disease. Setrusumab is a novel, intravenously administered antibody that is designed to inhibit sclerostin, a protein that inhibits the activity of bone-forming cells, known as osteoblasts. We believe that by blocking sclerostin, setrusumab has the potential to induce or increase osteoblast function and maturation of these cells, and to inhibit bone-resorption through osteoclasts, increasing overall bone mass and thereby reducing fractures in OI patients.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Background of Osteogenesis Imperfecta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OI is a genetic disorder characterized by fragile bones and reduced bone mass, resulting in bones that break easily, loose joints and weakened teeth. In severe cases, patients may experience hundreds of fractures in a lifetime. In addition, people with OI often suffer from muscle weakness, early hearing loss, fatigue, curved bones, scoliosis (curved spine), brittle teeth, respiratory problems and short stature. The disease can be extremely debilitating and even fatal in newborn infants with a severe form of the disease. OI is a rare condition that affects an estimated 60,000 people in the U.S. and Europe, according to estimates by Orphanet.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eight recognized forms of OI, designated type I through type VIII. Type I is cited to be the least severe form, although patients can still have many fractures and other physical manifestations of the disease, while Type II is the most severe and frequently causes death at or shortly after birth. OI Type I is the most prevalent and estimated to occur in approximately 50% to 60% of OI patients. Type III and Type IV patients may be wheelchair bound and typically have many fractures through their lifetime. Type III and Type IV patients may also have short stature, scoliosis and hearing loss by the time they are young adults. OI is typically diagnosed at birth with most patients being born with a blue or gray tint to the sclera, the part of the eye that is usually white.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Current Treatment Landscape for Osteogenesis Imperfecta</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are no therapies approved by the FDA or EMA for the treatment of OI. The only treatments available to OI patients are the acute management of fractures as they occur and drugs such as bisphosphonates which are typically used to treat osteoporosis and are not approved for OI but are commonly used off-label in children. Bisphosphonates slow down the rate at which osteoclasts resorb bone. These anti-resorptives include Aredia (pamidronate), Fosamax (alendronate) and Reclast (zoledronic acid). Bisphosphonates have not consistently been shown to reduce fractures in OI adult patients and the effect of long-term therapy with these drugs remains unclear in both adults and children.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Current treatment of OI is directed towards management of fractures with casting or surgical fixation. Following either of these, physical therapy will often be required. Preventative surgeries, such as intramedullary, or in-bone, rodding fixation are also undertaken. Supportive care for the disease involves surgery to correct deformities, internal splinting of bones with metal rods, bracing to support weak limbs and decrease pain, physical therapy and muscle strengthening and aerobic conditioning to improve bone mass and strength.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Approach</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product for treating OI is setrusumab, a fully human monoclonal antibody that is designed to inhibit sclerostin. Sclerostin is produced in osteocytes, which are mature bone cells that are thought to be the mechanoreceptor cells that regulate the activity of bone-building osteoblasts and bone-resorbing osteoclasts. Sclerostin inhibits the activity of osteoblasts. We believe that by blocking sclerostin, setrusumab has the potential to induce or increase osteoblast activity and maturation of these cells, increasing overall bone mass, and thereby reducing fractures in OI patients.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2016, we obtained orphan drug designation in OI for setrusumab in the U.S. and the EU and, in November 2017, the program was accepted into the Priority Medicines scheme (“PRIME”) of the EMA. In September 2020 we received rare pediatric disease designation for setrusumab in OI from the FDA. See “—Government Regulation—Foreign Government Regulation.”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Clinical Development of Setrusumab</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our acquisition of setrusumab, Novartis conducted four clinical trials in 106 patients and healthy volunteers. In 2019 we completed a Phase 2b dose-finding study (ASTEROID) study of setrusumab in 112 adult patients with Type I, III and IV OI. Following the 12-month dosing part of the trial, patients were followed for a further twelve months to examine the off-effects of setrusumab. The results of this Phase 2b trial supported the progression of setrusumab into a pivotal study in OI. Setrusumab was safe and well-tolerated in the study. There were no cardiac-related safety concerns observed in the study.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Top-line Data from Setrusumab Phase 2 Portion of Phase 2/3 Orbit Study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2023, we along with our partner, Ultragenyx, announced successful completion of the Phase 2 portion of the pivotal Phase 2/3 Orbit study in 24 pediatric and young adult patients (5 to &lt;26 years old) for setrusumab in OI, which compared two different doses of setrusumab, 20 and 40 mg/kg, to determine the optimal dose for the Phase 3. The primary endpoint of the Phase 2 study was circulating levels of P1NP, a biomarker reflective of bone formation. The study also evaluated numerous other endpoints, including bone mineral density (“BMD”) and annualized fracture rates, PK and safety. Across all patients evaluated at both doses, these data showed statistically significant increases in levels of serum P1NP, a sensitive marker of bone formation, and substantial and significant improvement in BMD by three months. An increase in lumbar spine BMD from baseline of 9.4% at 20 mg/kg (n=10) was observed, with a substantial mean change in the Z-score of +0.65 from -2.12 (n=11) at baseline. There was no significant difference between the two doses tested, accordingly, the 20 mg/kg was selected as the Phase 3 dose. The changes observed in BMD in these younger patients at 3 months are equivalent to the changes following 12 months treatment with setrusumab in adult patients reported from the Phase 2b ASTEROID study. The 24 patients from the Phase 2 portion of the ORBIT study are continuing to receive setrusumab treatment in an open-label extension study.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Additional data from the Phase 2 portion of the Phase 2/3 Orbit study were reported at the annual ASBMR meeting in October 2023 and demonstrated that treatment with setrusumab significantly reduced incidence of fractures in patients with OI with at least 6 months of follow-up and continued to demonstrate ongoing and meaningful improvements in lumbar spine bone BMD. As of the cut-off date and following at least six months of treatment with setrusumab, the annualized fracture rate across all 24 patients in the Phase 2 portion of the study was reduced by 67%. The median annualized fracture rate of 0.72 in the two years prior to treatment was reduced to 0.00 (n=24, p=0.042) during the mean treatment duration period of nine months. These fractures excluded fractures of the fingers, toes, skull and face consistent with the Phase 3 study design. In the two years prior to treatment with setrusumab all patients experienced at least one fracture. Following initiation of treatment with setrusumab, 20 patients experienced no radiographic-confirmed fractures, and 4 patients experienced 7 radiographic-confirmed fractures in 5 separate events. Two of these fractures occurred within the first two months of treatment, a time in which setrusumab-induced increases in BMD may have been suboptimal in reducing fractures.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the six-month timepoint, treatment with setrusumab resulted in a mean increase in lumbar spine BMD from baseline of 13% at 20 mg/kg (n=11) and 16% at 40 mg/kg (n=8), which represented the same substantial mean improvement in Z-score of +0.85 for both dose groups at 6 months compared to a combined mean baseline Z-score of –1.68. The small apparent difference in BMD change from baseline is likely related to differences in patients assigned to the two treated groups. There was no statistically significant difference in BMD percent change or Z-score change from baseline between the 20 and 40 mg/kg dosing cohorts. As of the data cut-off for our October 2023 announcement, there were no treatment-related serious adverse events observed in the study.</w:t>
      </w:r>
    </w:p>
    <w:p>
      <w:pPr>
        <w:pStyle w:val="TextBody"/>
        <w:bidi w:val="0"/>
        <w:jc w:val="left"/>
        <w:rPr>
          <w:rFonts w:ascii="Times New Roman" w:hAnsi="Times New Roman"/>
          <w:color w:val="000000"/>
          <w:sz w:val="20"/>
        </w:rPr>
      </w:pPr>
      <w:r>
        <w:rPr>
          <w:rFonts w:ascii="Times New Roman" w:hAnsi="Times New Roman"/>
          <w:color w:val="000000"/>
          <w:sz w:val="20"/>
        </w:rPr>
        <w:t xml:space="preserve">The 24 patients from the Phase 2 portion of the Orbit study are continuing to receive setrusumab treatment at 20 mg/kg in an open label extension study. Additional longer-term Phase 2 data from the Orbit study are expected in the second half of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Phase 3 Orbit and Cosmic Studies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Phase 3 portion of the Orbit study is enrolling approximately 150 patients (aged 5 - &lt;26 years old) at 50 sites across 12 countries and is expected to complete enrollment around the end of the first quarter of 2024. Patients are randomized 2:1 to receive setrusumab (20 mg/kg) or placebo, respectively, with a primary efficacy endpoint of a reduction in annualized clinical fracture rate, excluding fingers, toes, skull and face.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second study, Cosmic, a Phase 3 open-label study in younger children (aged 2 - &lt; 7 years old) is enrolling approximately 60 patients, with enrollment expected to complete around the end of the first quarter of 2024. The Cosmic study is an active-controlled study evaluating the effect of setrusumab compared to intravenous bisphosphonates (IV-BP) therapy (randomized 1:1) on annualized total fracture 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believe the Orbit and Cosmic trials, if successful, will support U.S. and European regulatory filings for the potential approval of setrusumab for the treatment of osteogenesis imperfecta.</w:t>
      </w:r>
    </w:p>
    <w:p>
      <w:pPr>
        <w:pStyle w:val="TextBody"/>
        <w:bidi w:val="0"/>
        <w:spacing w:before="240" w:after="283"/>
        <w:jc w:val="left"/>
        <w:rPr>
          <w:rFonts w:ascii="Times New Roman" w:hAnsi="Times New Roman"/>
          <w:sz w:val="20"/>
        </w:rPr>
      </w:pPr>
      <w:r>
        <w:rPr>
          <w:rFonts w:ascii="Times New Roman" w:hAnsi="Times New Roman"/>
          <w:b/>
          <w:color w:val="000000"/>
          <w:sz w:val="20"/>
        </w:rPr>
        <w:t>Alvelestat (MPH-966) for the Treatment of Severe Alpha-1 Antitrypsin Deficiency (AATD)-Associated Lung Disease: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developing alvelestat for the treatment of severe AATD-associated Lung Disease (AATD-LD). AATD-LD is a potentially life-threatening rare, genetic condition that results in severe debilitating diseases, including early-onset pulmonary emphysema. Alvelestat is a novel, oral small molecule designed to inhibit neutrophil elastase (NE). Scientific data indicate that the increased risk of lung tissue injury in patient with AATD may be due to inadequately controlled NE caused by insufficient alpha-1 antitrypsin (AAT). We believe that by inhibiting NE, alvelestat has the potential to reduce the destruction of lung tissue and stabilize clinical deterioration in patients with severe AATD-LD patients.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Background of Alpha-1-Antitrypsin Deficiency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AATD is a genetic disease. There are estimated to be 50,000 people in North America and 60,000 in Europe with severe AATD, which we define as AATD in patients with serum AAT levels &lt;11</w:t>
      </w:r>
      <w:r>
        <w:rPr>
          <w:rFonts w:ascii="Symbol;serif" w:hAnsi="Symbol;serif"/>
          <w:color w:val="000000"/>
          <w:sz w:val="20"/>
        </w:rPr>
        <w:t>m</w:t>
      </w:r>
      <w:r>
        <w:rPr>
          <w:rFonts w:ascii="Times New Roman" w:hAnsi="Times New Roman"/>
          <w:color w:val="000000"/>
          <w:sz w:val="20"/>
        </w:rPr>
        <w:t xml:space="preserve">M, (most commonly either a PiZZ genotype or Null/Null genotype). although there are approximately only 10,000 people diagnosed in North America. The major function of AAT in the lungs is to protect the connective tissue from NE released from triggered neutrophils. The lungs are normally defended from NE attack by AAT, which is a highly effective inhibitor of NE. Severe AATD patients produce ineffective or no AAT and are, therefore, unable to defend against NE attack. As a result, severe AATD patients commonly experience degeneration of lung function, such as early-onset pulmonary emphysema, which significantly affects quality of life and life expectancy. They may require oxygen therapy in order to continue their daily lives and the most severe patients may require lung transplantation.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AATD is the result of a mutation of the SERPINA1 gene. Most people with severe AATD inherit two copies of the defective PiZ allele, or gene variant, of the SERPINA1 gene, resulting in a PiZZ genotype. Patients with a PiZZ genotype have approximately 15% of normal AAT levels. Individuals who inherit two copies of the Null allele, resulting in a Null/Null genotype, do not produce any AAT. These two groups are at very high risk of developing lung disease. AATD patients with the PiZZ genotype experience loss of lung tissue as measured by lung density on computed tomographic (CT) scanning, a decline in FEV1, a standard measure of exhalation and poor quality of life. Respiratory disease can progress to need for chronic oxygen therapy, lung transplant and death. The annual mortality rate in this genotype estimated to be 4%. Given that individuals with the Null/Null genotype do not produce any AAT, we believe that they are likely to experience an even greater annual decline in FEV1.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Current Treatment Landscape for Alpha-1 Antitrypsin Deficiency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AATD patients are monitored by pulmonary functions tests, including spirometry. Treatment involves bronchodilators and inhaled corticosteroid medications and pulmonary rehabilitation, with increased intensity of therapy guided by disease severity. Surgical options include lung volume reduction surgery and lung transplantation. Both are highly invasive, and transplantation is only an option for a portion of patients with end-stage disease despite optimal therapy.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Augmentation therapy is available for AATD, using a partially purified plasma preparation highly enriched for AAT that is administered weekly by intravenous infusion. This therapy was first approved by the FDA in the 1980s based on its biochemical efficacy, meaning its ability to raise blood levels of AAT, but not based on clinical outcome data. Several observational studies have suggested that AAT augmentation therapy may slow the rate of decline in lung function in a subgroup of AATD patients with moderate-to-severe airflow obstruction, but not for those with earlier stages of lung disease. In a randomized, controlled trial of augmentation therapy, patients had some reduction in the progression of emphysema, as assessed by measuring lung density using computed tomography. The study did not show significant slowing in the decline in FEV</w:t>
      </w:r>
      <w:r>
        <w:rPr>
          <w:rFonts w:ascii="Times New Roman" w:hAnsi="Times New Roman"/>
          <w:color w:val="000000"/>
          <w:sz w:val="13"/>
        </w:rPr>
        <w:t>1</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believe that current therapies for AATD are inadequate. Surgical options are limited to a few patients, are highly invasive, have variable results, and do not address the underlying pathology of AATD. AAT augmentation therapy, while FDA approved, was not approved on the basis of clinical outcome data. Benefit has not been demonstrated in patients with earlier stages of lung disease where there is an unmet need to reduce progression of irreversible lung tissue loss. In Europe Regulatory approval was on efficacy based on slowing of CT density decline, without effects on other measures such as FEV</w:t>
      </w:r>
      <w:r>
        <w:rPr>
          <w:rFonts w:ascii="Times New Roman" w:hAnsi="Times New Roman"/>
          <w:color w:val="000000"/>
          <w:sz w:val="13"/>
        </w:rPr>
        <w:t>1</w:t>
      </w:r>
      <w:r>
        <w:rPr>
          <w:rFonts w:ascii="Times New Roman" w:hAnsi="Times New Roman"/>
          <w:color w:val="000000"/>
          <w:sz w:val="20"/>
        </w:rPr>
        <w:t xml:space="preserve"> or patient-reported outcomes. Further, AAT augmentation therapy is generally not reimbursed and thus is not currently available to patients in several jurisdictions, including some key European markets. In addition, AAT augmentation therapy requires potentially inconvenient weekly intravenous infusions.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 xml:space="preserve">Our Approach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product candidate for treating severe AATD is alvelestat, a potent, specific oral small molecule that is designed to inhibit NE. We believe that by inhibiting NE, alvelestat has the potential to reduce the enzymatic destruction of lung tissue. Furthermore, we believe that convenient oral dosing of alvelestat could provide a significant advantage compared to the current treatments for AATD of surgery or weekly intravenous AAT augmentation therapy. Alvelestat is not being investigated for treatment of the hepatic disease which is due to the damaging effect of accumulated abnormal ZZ protein in the liver, rather than the protein deficiency. Liver disease occurs in approximately 10% cases of severe AATD, predominantly in children.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Alvelestat has received U.S. Orphan Drug Designation for the treatment of AATD and Fast Track designation in AATD-LD.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Clinical Development of Alvelestat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Prior to our license of alvelestat, AstraZeneca conducted 12 clinical trials involving 1,776 subjects, including trials in COPD, bronchiectasis and cystic fibrosis. Although these trials were conducted in diseases other than AATD, we believe the data demonstrated potential clinical benefit and biomarker evidence of treatment effect for AATD patients. These trials created a safety database of 1,149 subjects treated with alvelestat.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Phase 2 Clinical Trials in AATD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May 2022, we successfully completed a Phase 2, placebo-controlled, 12-week, dose-ranging, proof-of-concept clinical trial (ASTRAEUS) in 99 patients with AATD-LD in the U.S and the EU which demonstrated statistically significant changes in neutrophil elastase activity and biomarkers of disease severity at different time points up to 12 weeks. We enrolled only adult patients with PiZZ or Null/Null genotypes or rare genotypes with severe deficiency of alpha-1 antitrypsin (&lt;11 microMolar) with confirmed emphysema, who had not received AAT augmentation therapy or had undergone a wash-out period following AAT augmentation therapy. The study examined two doses of alvelestat (120 mg and 240 mg) compared to placebo with three primary endpoints along the pathogenic pathway of lung disease in AATD patients. These primary endpoints were plasma desmosine (a biomarker of protease-driven elastin breakdown), Aα-Val360, a specific biomarker of NE proteolytic activity, and neutrophil elastase activity in blood. Secondary endpoints were safety, exacerbation frequency, and pharmacokinetics. Exploratory endpoints were St. Georges Respiratory Questionnaire (SGRQ) which is a patient-reported outcome of Respiratory Health Status and lung function tests, including FEV1.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subsequently announced additional Phase 2 data from this study in October 2022 demonstrating the association of biomarker responders in alvelestat-treated patients to improvement in the activity domain of the St George’s Respiratory Questionnaire, but not in patients treated with placebo.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new safety signals were detected in patients with AATD-LD compared to the previous studies conducted by AstraZeneca. The most frequent adverse event was headache which was more frequently observed at the higher doses of alvelestat (120 mg and 240 mg) used in AATD-LD than at the lower doses used in previous studies in COPD, bronchiectasis and cystic fibrosis. There was evidence of tolerance to headache being induced, and we intend to use a dose-escalation regime for initiation of treatment in future trials. Monitoring for Adverse Events of Special Interest (AESIs) documented a single treatment-emergent adverse event (TEAE) of liver function abnormality (raised hepatic transaminases, without meeting Hy’s Law) and one AESI of prolonged QTc, in which study-drug stopping criteria were met were reported in the ASTRAEUS trial. Both events fully resolved on study drug cessation.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October 2023, the University of Alabama at Birmingham (UAB) and Mereo reported on the ATALANTa study, a multi-center, double-blind, placebo-controlled, proof-of-concept investigator-led study run by Professor Mark Dransfield, Director of the Division of Pulmonary, Allergy and Critical Care, UAB, in collaboration with Mereo. ATALANTa investigated the safety and efficacy of alvelestat 120 mg, or matched placebo, twice daily, for 12 weeks in a broad range of individuals with AATD-LD, including those with less severe phenotypes (Pi*SZ) and earlier stage patients than were enrolled in the Company-sponsored ASTRAEUS Phase 2 study, and those receiving augmentation therapy. The study randomized 63 patients, 32 in the 120 mg alvelestat arm (44% on augmentation therapy) and 31 in the placebo arm (48% on augmentation therapy). The results demonstrated with the 120 mg dose of alvelestat (the lower dose used in the Phase 2 ASTRAEUS study) are consistent with those observed in ASTRAEUS on blood neutrophil elastase activity and changes in the disease-activity biomarkers, desmosine and Aα-val360. The data demonstrate that the 120 mg dose of alvelestat is safe on top of augmentation and support Mereo’s selection of the 240 mg dose to be studied in the planned Phase 3 pivotal trial. Exploratory endpoints in ATALANTa demonstrated statistically significant improvement in SGRQ Activity score (p=0.0106 versus placebo) and a trend to improvement in SGRQ Total score at 12 weeks in patients not receiving augmentation therapy and having earlier stage lung disease (based on their FEV</w:t>
      </w:r>
      <w:r>
        <w:rPr>
          <w:rFonts w:ascii="Times New Roman" w:hAnsi="Times New Roman"/>
          <w:color w:val="000000"/>
          <w:sz w:val="13"/>
        </w:rPr>
        <w:t>1</w:t>
      </w:r>
      <w:r>
        <w:rPr>
          <w:rFonts w:ascii="Times New Roman" w:hAnsi="Times New Roman"/>
          <w:color w:val="000000"/>
          <w:sz w:val="20"/>
        </w:rPr>
        <w:t>). The ATALANTa and ASTRAEUS data support the use of the SGRQ Total score in the planed Phase 3 pivotal trial and inclusion of patients with earlier stages of lung disease. Safety in ATALANTa was consistent with the known alvelestat profile and there were no liver or QTc AESIs documented.</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Planned Phase 3 Clinical Trial in AATD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2023, we announced the outcome of the end-of-Phase 2 discussions with the FDA and the EMA (Scientific Advice) and the guidance on the Phase 3 endpoints received from both Regulatory Agencies. In the EU, the Company received guidance that lung density by computed tomography (CT) scan with a relaxed p value (p&lt;0.1) may be sufficient for full regulatory approval. In the U.S., following additional FDA interactions in the second half of 2023, the Company has aligned on St George’s Respiratory questionnaire Total score as the primary endpoint, with a functional assessment as a key secondary endpoint, which, if successful, is expected to support submissions for full regulatory approval in the U.S. Inclusion of patients with earlier and later stage lung disease progression in the planned registrational study could increase the addressable patient population for alvelestat. Based on the guidance from the FDA and the EMA, the Company is designing a single, global, Phase 3 study evaluating the 240 mg dose of alvelestat versus placebo in approximately 220 patients with AATD-LD with two independent primary endpoints to support applications for full marketing approvals in both the U.S. and EU.</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continues to evaluate non-dilutive financing options for the development and potential commercialization of alvelestat in AATD-LD while continuing to progress the program to maintain the planned Phase 3 timelines.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Phase 1b/2 Clinical Trial in Bronchiolitis Obliterans Syndrome (“BOS”)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BOS is a rare progressive, fibrosing disease of the lungs affecting approximately 6% of the estimated 12,000 stem cell transplants a year in the U.S., often as part of graft versus host disease. For lung transplants, approximately 50% of the patients develop BOS by 5 years, which is the leading cause of retransplant and mortality. There are an estimated 10,000 people living with lung transplant and BOS in the U.S. and Europe. BOS is characterized by neutrophil infiltration in the lung, excess neutrophil elastase and inflammation. The pathology of BOS in stem cell transplant and lung transplant is overlapping.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BOS is driven by elevated neutrophils in the lung and excess NE activity, leading to lung damage through elastin breakdown in the tissue and progressive fibrosis, and ultimately respiratory failure we believe our approach using alvelestat to inhibit NE has significant advantages. By inhibiting NE, we believe alvelestat will reduce the accelerating effects of NE-driven inflammation on BOS leading to increased success rate of SCT and lung transplant. The investigator-led clinical program is designed to generate data on clinical endpoints that would potentially support registration and reimbursement in SCT.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An investigator-sponsored open-label Phase1b/2 study in Bronchiolitis Obliterans Syndrome (BOS) following allogeneic stem cell transplant is being conducted. The study uses within patient dose escalation from 60 mg BID up to 240 mg BID, over the initial 8 weeks of study, with treatment continued for up to 6 months. Interim results from 7 patients enrolled in the Phase 1b study were reported in December 2021 showing stabilization or improvement in lung function measured by Forced Expiratory Volume in 1 second, (FEV1) in 6 of 7 patients, and supportive biomarker responses. Evaluation of the clinical and safety data from 10 patients in the Phase 1b supported the dose to be progressed and expansion into the Phase 2 portion of the study which was initiated in the second half of 2022. No safety signals have been detected in this study.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Etigilimab (MPH-313) for the Treatment of Advanced Solid Tumors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Etigilimab is an antibody against TIGIT (T-cell immunoreceptor with Ig and ITIM domains). TIGIT is a next generation checkpoint receptor shown to block T-cell activation and the body’s natural anti-cancer immune response. Etigilimab is an IgG1 monoclonal antibody which binds to the human TIGIT receptor on immune cells with a goal of improving the activation and effectiveness of T-cell and NK cell anti-tumor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acquired etigilimab in the Merger with Mereo BioPharma 5 (formerly OncoMed Pharmaceuticals, Inc.) in 2019.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Clinical Development of Etigilimab</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oncology product candidate, etigilimab (an anti-TIGIT antibody), has completed a Phase 1a dose escalation clinical trial in 23 patients with advanced solid tumors and has been evaluated in a Phase 1b study in combination with nivolumab in select tumor types.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2023, we completed the Phase 1b portion of an open label Phase1b/2 basket study (the ACTIVATE study) evaluating etigilimab in combination with nivolumab in three rare tumors, two specific subtypes of soft-tissue sarcomas, uveal melanoma and testicular germ cell cancer, three gynecological carcinomas, cervical, endometrial and ovarian carcinomas and any solid tumor with high mutation burden, all in the recurrent/metastatic setting.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Phase 1b portion of the ACTIVATE study enrolled 76 patients in total. Data from this study were presented at several major medical conferences (ASCO, 2022; ESMO, 2023). The trial evaluated objective response rate as a primary endpoint and safety, duration of response, pharmacokinetics, anti-drug antibodies, progression-free disease and other endpoints as secondary endpoints. Objective responses were reported for patients with gynecological cancers, rare tumors, and soft-tissue sarcoma with 7 patients remaining on study for at least 335 days. The combination of etigilimab and nivolumab was generally well tolerated with a safety profile qualitatively similar to that of nivolumab alone. The main drug-related safety findings included rash, pruritis, fatigue and headache and the number of Grade 3 events was seven. No Grade 4 or Grade 5 events were reported. Additionally, we have found several intratumoral biomarkers (PVR, TIGIT, and CD226+/CD8 T cells) that, with further testing, might be predictive of response to treatment. At this time, the Company has no plans to conduct and directly fund further clinical studies of etigilimab.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April 2021, the Company entered into partnership with Cancer Focus Fund for a Phase 1b/2 study of etigilimab in Clear Cell Ovarian Cancer to be conducted at The University of Texas MD Anderson Cancer Center. The Phase 1b/2 study is being financed by Cancer Focus Fund. Clear cell ovarian cancer is a rare cancer that accounts for approximately 5 to 10% of all ovarian carcinomas in North America. Enrollment is continuing in this investigator-led Phase 1b/2 study of etigilimab plus nivolumab (the EON study) and based on encouraging data from the first 10 patients enrolled, the study has been expanded to enroll an additional 10 patients in the Phase 2 portion of the study.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Non-Core Partnered Programs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completion of successful Phase 1b or Phase 2 studies the products below are programs which we have successfully partnered.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Navicixizumab (OMP-305B83) for Treatment of Ovarian Cancer</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Navicixizumab (“Navi”) is a bispecific antibody that inhibits delta-like ligand 4 (DLL4) and vascular endothelial growth factor (VEGF).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acquired Navi in the Merger. In January 2020, we out-licensed Navi to Feng Biosciences (formerly OncXerna). See “- Material Agreements-Licensing Agreement for Navicixizumab.” In addition, Navi is the subject of the CVR Agreement which sets forth certain rights and obligations of us with respect to Navi. See “—Material Agreements—CVR Agreement Between Us and Computershare—The NAVI Milestones.”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Leflutrozole (BGS-649)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Leflutrozole is an oral inhibitor of aromatase. Excess aromatase in fat tissue reduces testosterone, LH and FSH, leading to HH. In Phase 2 trials, leflutrozole normalized testosterone, increased LH and FSH, improved total sperm count, and was reported to be well-tolerated.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2023, we entered into an exclusive global license agreement with ReproNovo for the development and commercialization of leflutrozole, a non-steroidal aromatase inhibitor. See "—Material Agreements—Licensing Agreement for Leflutrozole". Under the terms of the License Agreement, ReproNovo, a reproductive medicine company, is responsible for all future development and commercialization of leflutrozole. Mereo received an upfront payment and will be eligible to receive up to $64.3</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million in future clinical, regulatory and commercial milestones as well as tiered mid-single digit royalties on global annual net sales of leflutrozole.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Our Non-Core Programs Available for Partnering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Following completion of a successful Phase 2 study, we intend to out-license or sell the following program.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Acumapimod (BCT-197) for the Treatment of AECOPD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Acumapimod is a p38 MAP kinase inhibitor therapy for treatment during severe acute exacerbations of COPD (AECOPD). In a Phase 2 trial, acumapimod given over 5 days in patients hospitalized with AECOPD demonstrated a statistically significant reduction in re-hospitalization for treatment failure and recurrent exacerbations. Acumapimod was reported to be safe and well tolerated. Following meetings with FDA and EMA a global Phase 3 registrational program has been designed.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intend to out-license or sell acumapimod to third parties for the further development of acumapimod recognizing the need for greater resources to take this product candidate to market.</w:t>
      </w:r>
    </w:p>
    <w:p>
      <w:pPr>
        <w:pStyle w:val="TextBody"/>
        <w:bidi w:val="0"/>
        <w:spacing w:before="240" w:after="283"/>
        <w:jc w:val="left"/>
        <w:rPr>
          <w:rFonts w:ascii="Times New Roman" w:hAnsi="Times New Roman"/>
          <w:sz w:val="20"/>
        </w:rPr>
      </w:pPr>
      <w:r>
        <w:rPr>
          <w:rFonts w:ascii="Times New Roman" w:hAnsi="Times New Roman"/>
          <w:b/>
          <w:color w:val="000000"/>
          <w:sz w:val="20"/>
        </w:rPr>
        <w:t>Material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Licensing Agreement with Ultragenyx for setrusumab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17, 2020, we announced that we entered into a license and collaboration agreement with Ultragenyx, for setrusumab for OI. Under the terms of the agreement, Ultragenyx will lead future global development of setrusumab in both pediatric and adult patients. We granted Ultragenyx an exclusive license to develop and commercialize setrusumab in the U.S. and rest of the world, excluding Europe, where we retain commercial rights. Each party will be responsible for post-marketing commitments in their respective territories. Under the terms of the agreement, Ultragenyx made an upfront payment of $50 million to Mereo and a $9.0 million payment during the year ended December 31, 2023 upon achievement of a clinical milestone. Ultragenyx will pay up to $254 million in additional development, regulatory and commercial milestones and tiered double digit percentage royalties to us on net sales outside of Europe and we will pay a fixed double digit percentage royalty to Ultragenyx on net sales in Europe. Under the terms of our 2015 agreement with Novartis, we will pay Novartis a percentage of proceeds, subject to certain deductions, and we will receive a substantial majority of the payments from Ultragenyx. </w:t>
      </w:r>
    </w:p>
    <w:p>
      <w:pPr>
        <w:pStyle w:val="TextBody"/>
        <w:bidi w:val="0"/>
        <w:spacing w:before="240" w:after="283"/>
        <w:jc w:val="left"/>
        <w:rPr>
          <w:rFonts w:ascii="Times New Roman" w:hAnsi="Times New Roman"/>
          <w:sz w:val="20"/>
        </w:rPr>
      </w:pPr>
      <w:r>
        <w:rPr>
          <w:rFonts w:ascii="Times New Roman" w:hAnsi="Times New Roman"/>
          <w:b/>
          <w:i/>
          <w:color w:val="000000"/>
          <w:sz w:val="20"/>
        </w:rPr>
        <w:t>Licensing Agreement with AstraZeneca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October 2017, we announced that we entered into an exclusive license and option agreement (the “License Agreement”), to obtain from AstraZeneca an exclusive worldwide, sub-licensable license under AstraZeneca’s intellectual property rights relating to certain product candidates containing a NE inhibitor, including product candidates that contain alvelestat, with an option to acquire such intellectual property rights following commencement of a pivotal trial and payment of related milestone payments (the “Option”), together with the acquisition of certain related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entering into the License Agreement, we made a payment of $3.0 million and issued 490,798 ordinary shares to AstraZeneca, for an aggregate upfront payment equal to $5.0 million. In connection with certain development and regulatory milestones, we have agreed to make payments of up to $115.5 million in the aggregate and issue additional ordinary shares (or ADS equivalent) to AstraZeneca for licensed product candidates containing alvelestat. In addition, we have agreed to make payments to AstraZeneca based on specified commercial milestones of the product candidate. In the event that we sub-license alvelestat, we have also agreed to pay a specified percentage of sublicensing revenue to AstraZeneca. Otherwise, we have agreed to make royalty payments to AstraZeneca equal to ascending specified percentages of tiered annual worldwide net sales by us or our affiliates of licensed product candidates (subject to certain reductions), ranging from the high single digits to low double digits. Royalties will be payable on a licensed product-by-licensed product and country-by-country basis until the later of ten years after the first commercial sale of such licensed product in such country and expiration of the last patent covering such licensed product in such country that would be sufficient to prevent generic entry. Under the License Agreement, we may freely grant sub-licenses to affiliates upon notice to AstraZeneca and we must obtain AstraZeneca’s consent, not be unreasonably withheld, to grant sub-licenses to a third party. We have agreed to use commercially reasonable efforts to develop and commercialize at least one licensed product. In addition, we are generally responsible for costs related to the development and commercialization of the licensed products under the License Agreement.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License Agreement will expire on the expiry of the last-to-expire royalty term with respect to all licensed product candidates. Upon the expiration of the royalty term for a licensed product in a particular country, the licenses to us for such product in such country will become fully paid and irrevocable. Prior to exercise of the Option, if at all, we may terminate the License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Agreement upon prior written notice. Either party may terminate the agreement upon prior written notice for the other party’s material breach that remains uncured for a specified period of time or insolvency. AstraZeneca agreed not to assert any AstraZeneca intellectual property rights that were included in the scope of the License Agreement against us. </w:t>
      </w:r>
    </w:p>
    <w:p>
      <w:pPr>
        <w:pStyle w:val="TextBody"/>
        <w:bidi w:val="0"/>
        <w:spacing w:before="240" w:after="283"/>
        <w:jc w:val="left"/>
        <w:rPr>
          <w:rFonts w:ascii="Times New Roman" w:hAnsi="Times New Roman"/>
          <w:sz w:val="20"/>
        </w:rPr>
      </w:pPr>
      <w:r>
        <w:rPr>
          <w:rFonts w:ascii="Times New Roman" w:hAnsi="Times New Roman"/>
          <w:b/>
          <w:i/>
          <w:color w:val="000000"/>
          <w:sz w:val="20"/>
        </w:rPr>
        <w:t>Licensing Agreement for Navicixizumab</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13, 2020, we entered into a global license agreement with Feng Biosciences (formerly OncXerna) for the development and commercialization of navicixizumab, an anti-DLL4/VEGF bispecific antibody, which, at the time, was being evaluated in a Phase 1b study in combination with paclitaxel in patients with advanced heavily pretreated ovarian cancer. Navicixizumab previously completed a Phase 1a monotherapy study in patients with various types of refractory solid tumors and is one of two product candidates we acquired through the Merger.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license agreement, Feng Biosciences received an exclusive worldwide license to develop and commercialize Navi. We received an upfront payment of $4.0 million and in February 2022 we received an additional payment of $2.0 million, following satisfaction of a milestone. Feng Biosciences will be responsible for all future research, development and commercialization of Navi. Additionally, we will be eligible to receive up to $300 million in future clinical, regulatory and commercial milestones, tiered royalties ranging from the mid-single-digit to sub-teen percentages on global annual net sales of Navi, as well as a negotiated percentage of sublicensing revenues from certain sublicensees.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consequence of the license agreement with Feng Biosciences, and in accordance with the terms and conditions of the CVR Agreement, holders of CVRs pursuant to the CVR Agreement will be entitled to receive certain eligible cash milestone payments made to us under the license agreement relating to the development and commercialization of Navi. See “—CVR Agreement Between Us and Computershare.”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2022, we received a milestone payment of $2.0 million (£1.5 million) under the Navi License Agreement with Feng Biosciences. An associated payment was made to the former shareholders of Mereo BioPharma 5, Inc. under the CVR Agreement of a total of $0.9 million (£0.7 million), after deductions of costs, charges and expenditures. </w:t>
      </w:r>
    </w:p>
    <w:p>
      <w:pPr>
        <w:pStyle w:val="TextBody"/>
        <w:bidi w:val="0"/>
        <w:spacing w:before="240" w:after="283"/>
        <w:jc w:val="left"/>
        <w:rPr>
          <w:rFonts w:ascii="Times New Roman" w:hAnsi="Times New Roman"/>
          <w:sz w:val="20"/>
        </w:rPr>
      </w:pPr>
      <w:r>
        <w:rPr>
          <w:rFonts w:ascii="Times New Roman" w:hAnsi="Times New Roman"/>
          <w:color w:val="000000"/>
          <w:sz w:val="20"/>
        </w:rPr>
        <w:t>In the fourth quarter of 2023, Feng Biosciences completed a restructuring, recapitalization and closed on a refinancing. Feng Biosciences is a clinical stage therapeutics company advancing precision medicine for people with cancer. The company will continue to utilize its Xerna</w:t>
      </w:r>
      <w:r>
        <w:rPr>
          <w:rFonts w:ascii="Calibri;sans-serif" w:hAnsi="Calibri;sans-serif"/>
          <w:color w:val="000000"/>
          <w:sz w:val="15"/>
        </w:rPr>
        <w:t>TM</w:t>
      </w:r>
      <w:r>
        <w:rPr>
          <w:rFonts w:ascii="Times New Roman" w:hAnsi="Times New Roman"/>
          <w:color w:val="000000"/>
          <w:sz w:val="20"/>
        </w:rPr>
        <w:t xml:space="preserve"> platform to progress navicixizumab.</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Licensing Agreement for Leflutrozole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w:t>
      </w:r>
    </w:p>
    <w:p>
      <w:pPr>
        <w:pStyle w:val="TextBody"/>
        <w:bidi w:val="0"/>
        <w:spacing w:before="240" w:after="283"/>
        <w:jc w:val="left"/>
        <w:rPr>
          <w:rFonts w:ascii="Times New Roman" w:hAnsi="Times New Roman"/>
          <w:sz w:val="20"/>
        </w:rPr>
      </w:pPr>
      <w:r>
        <w:rPr>
          <w:rFonts w:ascii="Times New Roman" w:hAnsi="Times New Roman"/>
          <w:b/>
          <w:i/>
          <w:color w:val="000000"/>
          <w:sz w:val="20"/>
        </w:rPr>
        <w:t>CVR Agreement Between Us and Computershare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Following the closing of the Merger, OncoMed’s stockholders received, in exchange for each outstanding share of OncoMed common stock owned immediately prior to the closing of the Merger (except for any dissenting shares): (1) a number of our ADSs determined by reference to an exchange ratio, and (2) one CVR, representing the right to receive contingent payments if specified milestones are achieved within agreed time periods, subject to and in accordance with the terms and conditions of the Contingent Value Rights Agreement (the Mereo “CVR Agreement”), dated April 23, 2019, by and among Computershare, as rights agent, and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Except in limited circumstances, the CVRs may not be transferred, pledged, hypothecated, encumbered, assigned or otherwise disposed of. </w:t>
      </w:r>
    </w:p>
    <w:p>
      <w:pPr>
        <w:pStyle w:val="TextBody"/>
        <w:bidi w:val="0"/>
        <w:spacing w:before="240" w:after="283"/>
        <w:jc w:val="left"/>
        <w:rPr>
          <w:rFonts w:ascii="Times New Roman" w:hAnsi="Times New Roman"/>
          <w:sz w:val="20"/>
        </w:rPr>
      </w:pPr>
      <w:r>
        <w:rPr>
          <w:rFonts w:ascii="Times New Roman" w:hAnsi="Times New Roman"/>
          <w:i/>
          <w:color w:val="000000"/>
          <w:sz w:val="20"/>
        </w:rPr>
        <w:t>Milestone Events and Payments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CVR milestones relate to Mereo BioPharma 5 (formerly OncoMed)’s etigilimab and navicixizumab product candidates, though the milestone relevant to etigilimab can no longer be achieved and no payments will become due or payable to CVR holders in relation to etigilimab.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contingent payments would become payable to the rights agent, for subsequent distribution to the holders of the CVRs, upon the achievement of a milestone relating to NAVI. If a milestone relating to NAVI occurs at any time prior to the fifth anniversary of the closing of the Merger, being April 23, 2024, and on each such occurrence, then, thirty days following the achievement thereof,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obligated to notify the rights agent and pay the amounts owed pursuant to the NAVI Agreement (as defined in the CVR Agreement). </w:t>
      </w:r>
    </w:p>
    <w:p>
      <w:pPr>
        <w:pStyle w:val="TextBody"/>
        <w:bidi w:val="0"/>
        <w:spacing w:before="240" w:after="283"/>
        <w:jc w:val="left"/>
        <w:rPr>
          <w:rFonts w:ascii="Times New Roman" w:hAnsi="Times New Roman"/>
          <w:sz w:val="20"/>
        </w:rPr>
      </w:pPr>
      <w:r>
        <w:rPr>
          <w:rFonts w:ascii="Times New Roman" w:hAnsi="Times New Roman"/>
          <w:color w:val="000000"/>
          <w:sz w:val="20"/>
          <w:u w:val="single"/>
        </w:rPr>
        <w:t>The NAVI Milestones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receipt of the upfront milestone payment of $4.0 million by us under the Navi License Agreement with Feng Biosciences (formerly OncXerna) in January 2020 resulted in a payment to CVR holders of approximately 1.2 cents per CVR, a total of approximately $0.5 million, after deductions of costs, charges and expenditures.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receipt of the milestone payment of $2.0 million by us under the Navi License Agreement with Feng Biosciences (formerly OncXerna) in February 2022 resulted in a payment to CVR holders of approximately 2.3 cents per CVR, a total of approximately $0.9 million, after deductions of costs, charges and expenditures. </w:t>
      </w:r>
    </w:p>
    <w:p>
      <w:pPr>
        <w:pStyle w:val="TextBody"/>
        <w:bidi w:val="0"/>
        <w:spacing w:before="240" w:after="283"/>
        <w:jc w:val="left"/>
        <w:rPr>
          <w:rFonts w:ascii="Times New Roman" w:hAnsi="Times New Roman"/>
          <w:sz w:val="20"/>
        </w:rPr>
      </w:pPr>
      <w:r>
        <w:rPr>
          <w:rFonts w:ascii="Times New Roman" w:hAnsi="Times New Roman"/>
          <w:b/>
          <w:i/>
          <w:color w:val="000000"/>
          <w:sz w:val="20"/>
        </w:rPr>
        <w:t>Novartis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July 2015, three of our wholly-owned subsidiaries, Mereo BioPharma 3 Limited, Mereo BioPharma 2 Limited, and Mereo BioPharma 1 Limited (the “Subsidiaries”), entered into asset purchase agreements (the “Purchase Agreements”), to acquire from Novartis rights to setrusumab, acumapimod, and leflutrozole (the “Compounds”), respectively, and certain related assets (together with the Compounds, the “Novartis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Purchase Agreements, we have agreed to make tiered royalty payments to Novartis based on annual worldwide net sales of product candidates that include the Compounds (the “Acquired Novartis Product Candidates”), at percentages ranging from the high single digits to low double digits. In the event that the parties agree or it is otherwise determined in accordance with the Purchase Agreements that we require third-party intellectual property rights to exploit the Acquired Novartis Product Candidates, we are entitled to offset a specified percentage of amounts paid to such third parties in consideration for such intellectual property rights against the royalties due to Novartis. The royalty payments are payable for a period of ten years after the first commercial sale of an Acquired Novartis Product. We further agreed that in the event of a change in control that involves the transfer, license, assignment or lease of all or substantially all of a Subsidiary’s assets, including a Compound and related assets, we will pay Novartis a percentage of the proceeds of such transaction, with the majority of the proceeds being retained by us. No payment, however, is required with respect to any transaction of Mereo BioPharma Group plc involving its equity interests, a merger or consolidation of it, or a sale of any of its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entered into a sublicense agreement with Novartis (the “Sublicense Agreement”), pursuant to which Novartis granted us an exclusive, worldwide, royalty-bearing sublicense for certain therapeutic antibody product candidates directed against sclerostin (the “Antibody Product Candidates”), including setrusumab. Under the Sublicense Agreement, we have agreed to pay Novartis royalties in the low single digits on worldwide net sales of Antibody Product Candidates. Royalties will be payable on a country-by-country basis until the later of expiration of the last valid claim of the licensed patents covering the Antibody Product Candidates in a country and ten years after the first commercial sale of the Antibody Product Candidates in such country, with a maximum royalty term of 12 years after the first commercial sale of the Antibody Product Candidates in such country. We have also agreed to pay Novartis up to $3.25 million in development and regulatory milestones, of which $0.8 million was paid in 2023, and to use commercially reasonable efforts to develop and commercialize an Antibody Product. The Sublicense Agreement will expire on the earlier of the termination of the agreement under which Novartis is granting us a sublicense (the “Original License Agreement”) and, on a product-by-product and country-by-country basis, the expiration of the royalty term with respect to such Antibody Product Candidate in such country. The Original License Agreement has a perpetual term and may be terminated for breach or upon a change in control of the licensing party. We may terminate the Sublicense Agreement upon written notice to Novartis and either party may terminate the Sublicense Agreement for the other party’s uncured material breach or bankruptcy. </w:t>
      </w:r>
    </w:p>
    <w:p>
      <w:pPr>
        <w:pStyle w:val="TextBody"/>
        <w:bidi w:val="0"/>
        <w:spacing w:before="240" w:after="283"/>
        <w:jc w:val="left"/>
        <w:rPr>
          <w:rFonts w:ascii="Times New Roman" w:hAnsi="Times New Roman"/>
          <w:sz w:val="20"/>
        </w:rPr>
      </w:pPr>
      <w:r>
        <w:rPr>
          <w:rFonts w:ascii="Times New Roman" w:hAnsi="Times New Roman"/>
          <w:b/>
          <w:i/>
          <w:color w:val="000000"/>
          <w:sz w:val="20"/>
        </w:rPr>
        <w:t>Novartis Loan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2020, we entered into a £3.8 million convertible loan note instrument with Novartis pursuant to which we issued 3,841,479 unsecured convertible loan notes (the “Novartis Loan Note”) with a maturity date of February 10, 2023, and warrants to purchase 1,449,614 ordinary shares, exercisable until February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2023, we amended the Novartis Loan Note, extending the maturity date to February 10, 2025. Pursuant to the amendment and a new warrant instrument, interest accrued to the amendment date was paid in cash, and warrants to purchase 2,000,000 ordinary shares at an exercise price of £0.150 per ordinary share were issued and are exercisable until February 10, 2028. </w:t>
      </w:r>
    </w:p>
    <w:p>
      <w:pPr>
        <w:pStyle w:val="TextBody"/>
        <w:bidi w:val="0"/>
        <w:spacing w:before="240" w:after="283"/>
        <w:jc w:val="left"/>
        <w:rPr>
          <w:rFonts w:ascii="Times New Roman" w:hAnsi="Times New Roman"/>
          <w:sz w:val="20"/>
        </w:rPr>
      </w:pPr>
      <w:r>
        <w:rPr>
          <w:rFonts w:ascii="Times New Roman" w:hAnsi="Times New Roman"/>
          <w:b/>
          <w:i/>
          <w:color w:val="000000"/>
          <w:sz w:val="20"/>
        </w:rPr>
        <w:t>Cooperation Agreement with Rubric Capital Management LP</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October 28, 2022, Mereo entered into a cooperation agreement (the “Cooperation Agreement”) with Rubric Capital Management LP, the Company’s largest shareholder. Pursuant to the Cooperation Agreement, four new directors, Dr. Annalisa Jenkins, Dr. Daniel Shames, Mr. Marc Yoskowitz and Mr. Justin Roberts, were subsequently appointed to the Company’s Board of Directors on November 10, 2022. Concurrent with these appointments taking effect, directors Dr. Peter Fellner, Dr. Brian Schwartz, Dr. Abdul Mullick and Ms. Anne Hyland resigned from the Board. </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our product candidates, nor do we have plans to develop our own manufacturing operations in the foreseeable future. We have entered into manufacturing agreements with a number of drug substance, drug product, and other manufacturers and suppliers for alvelestat, etigilimab and acumapimod and we intend to enter into additional manufacturing agreements as necessary. Following our license of alvelestat, we acquired certain clinical trial materials and we subsequently outsourced production of further clinical supplies to our own manufacturing suppliers. We also outsource certain product formulation trials. We expect that drug product pre- validation and validation batches will be manufactured to satisfy regulatory requirements where we progress product candidates to late-stage trials.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intend to enter into contractual relationships for the manufacture of commercial supplies for setrusumab, alvelestat and etigilimab, if approved for commercial sale. Any batches of product candidates for commercialization will need to be manufactured in facilities, and by processes, that comply with the requirements of the FDA, the EMA, and the regulatory agencies of other jurisdictions in which we are seeking approval. We employ internal resources to manage our manufacturing contractors and ensure they are compliant with current good manufacturing practices. </w:t>
      </w:r>
    </w:p>
    <w:p>
      <w:pPr>
        <w:pStyle w:val="TextBody"/>
        <w:bidi w:val="0"/>
        <w:spacing w:before="240" w:after="283"/>
        <w:jc w:val="left"/>
        <w:rPr>
          <w:rFonts w:ascii="Times New Roman" w:hAnsi="Times New Roman"/>
          <w:sz w:val="20"/>
        </w:rPr>
      </w:pPr>
      <w:r>
        <w:rPr>
          <w:rFonts w:ascii="Times New Roman" w:hAnsi="Times New Roman"/>
          <w:b/>
          <w:color w:val="000000"/>
          <w:sz w:val="20"/>
        </w:rPr>
        <w:t>Commercialization, Sales and Marketing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our own marketing, sales, or distribution capabilities. In order to commercialize our product candidates, if approved for commercial sale, we must either develop a sales and marketing infrastructure or collaborate with third parties that have sales and marketing experience. In December 2020, we entered into a license and collaboration agreement with Ultragenyx for setrusumab. For our other current and future product candidates we intend to take strategic decisions on whether to further develop them, potentially through to approval, directly commercializing globally or in certain territories, or to seek a partner for further development, co-development and/or commercialization. For product candidates we intend to commercialize or co-commercialize, we must either establish a sales and marketing organization with technical expertise and supporting distribution capabilities in major markets or potentially outsource aspects of these functions to third parties or partners. </w:t>
      </w:r>
    </w:p>
    <w:p>
      <w:pPr>
        <w:pStyle w:val="TextBody"/>
        <w:bidi w:val="0"/>
        <w:spacing w:before="240" w:after="283"/>
        <w:jc w:val="left"/>
        <w:rPr>
          <w:rFonts w:ascii="Times New Roman" w:hAnsi="Times New Roman"/>
          <w:sz w:val="20"/>
        </w:rPr>
      </w:pPr>
      <w:r>
        <w:rPr>
          <w:rFonts w:ascii="Times New Roman" w:hAnsi="Times New Roman"/>
          <w:b/>
          <w:color w:val="000000"/>
          <w:sz w:val="20"/>
        </w:rPr>
        <w:t>Competition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compete directly with other biopharmaceutical and pharmaceutical companies that focus on the treatment of OI, AATD, solid tumors and AECOPD. We may also face competition from academic research institutions, governmental agencies and other various public and private research institutions. We expect to face increasingly intense competition as new technologies become available. Any product candidates, including setrusumab, alvelestat, etigilimab and acumapimod that we or our partners successfully develop and commercialize will compete with existing therapies and new therapies that may become available in the future.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Eli Lilly and Company (“Lilly”) and plans to develop it for osteoporosis. Baylor College of Medicine has conducted a Phase 1 open label trial of fresolimumab, a TGF-B inhibitor, in adult OI patients, and Sanofi is conducting a Phase 1 trial of SAR439459, a related TGF-B inhibitor, in adult OI patients. Amgen has also terminated a Phase 3 study and an open label extension study of denosumab (Prolia) an anti-resorptive agent in pediatric patients with OI.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S.A. (“Grifols”), Aralast from Shire plc, now a subsidiary of Takeda Pharmaceutical Company Ltd (“Shire”), Zemaira from CSL Limited (“CSL”), and Glassia from Kamada Ltd. (“Kamada”). Kamada is also developing an inhaled version of augmentation therapy which is in Phase 3 and has a recombinant alpha-1 antitrypsin in early development. InhibRx, Inc. (“InhibRx”) (pending acquisition by Sanofi) has initiated a Phase 2 registrational trial of INBRX-101, a recombinant human alpha-1 antitrypsin Fc fusion protein (rhAAT-Fc) for replacement therapy. Apic Bio, Inc. (“Apic Bio”) is in the early stages of developing a dual function vector (df-AAV) gene-therapy approach for AATD silencing the mutant Z-AAT protein and augmenting wildtype M-AAT production. Wave Life Sciences has initiated a Phase 1 study of RNA base-editing oligonucleotide (WVE-0006)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restore wild-type protein in lung and liver disease, a program that has been recently partnered with GSK. Intellia Therapeutics has initiated a Phase 1 study with a CRISPR/Cas9 -based insertion of normal SERPINA1 gene, targeting lung disease (NTLA-3001). Peak Bio acquired an oral NE inhibitor, PHP-303 from Ph Pharma in March 2022 and recently announced a merger with Akari Pharmaceuticals. Vertex Pharmaceuticals Inc. (“Vertex”) has two small molecule corrector programs for AATD in Phase 1 trials following Phase 2 trials with two other molecules with the same mechanism of action that were discontinued due to toxicity and efficacy. Biomarin Pharmaceutical Inc. is in early stages of development of a small molecule corrector (BMN 349). 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Dysfunction (CLAD) in Phase 1 (NCT02709343 ); and liposomal inhaled cyclosporin-A (Zambon) in Phase 2 in BOS following SCT and in Phase 3 global pivotal trials in BOS associated with lung transplant.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consider etigilimab’s current closest potential competitors to include other anti-TIGIT agents being developed by companies including Roche, Merck, iTeos and GSK, Beigene, Arcus/Gilead and Compugen amongst others. In addition, there are other combinations of existing cancer therapies available commercially for example, Yervoy and Opdivo and Opdivo or Keytruda in combination with chemotherapeutic targeted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 Pharma’s (“Verona”) nebulized and inhaled ensifentrine (RPL554), a PDE3 / PDE4 dual inhibitor that is currently being developed as a bronchodilator and anti-inflammatory agent for COPD, Asthma and Cystic Fibrosis patients. In 2022, Verona announced positive results (FEV1 and AECOPD exacerbation frequency) from two Phase 3 trials (ENHANCE-1 and ENHANCE-2) in COPD. The FDA has assigned a Prescription Drug User Fee Act (“PDUFA”) target action date for ensifentrine of June 26, 2024. Pulmatrix, Inc. (“Pulmatrix”) has PUR1800, a narrow-spectrum kinase inhibitor (NSKI) that completed a Phase 1b trial in COPD. In addition to Pulmatrix, there are several compounds, which directly or indirectly target the p38 MAP Kinase pathway in clinical development by Poolbeg Pharma Plc (“Poolbeg), Fulcrum Therapeutics Inc (“Fulcrum”), GEn1E Lifesciences Inc (“GEn1E Lifesciences”), CervoMed Inc (“CervoMed”), Kinarus AG (“Kinarus”), Neurokine Therapeutics (“Neurokine”), and Inovio Pharmaceuticals Inc (“Inovio”), among others, for therapeutic indications outside the COPD setting.</w:t>
      </w:r>
    </w:p>
    <w:p>
      <w:pPr>
        <w:pStyle w:val="TextBody"/>
        <w:bidi w:val="0"/>
        <w:jc w:val="left"/>
        <w:rPr>
          <w:rFonts w:ascii="Times New Roman" w:hAnsi="Times New Roman"/>
          <w:color w:val="000000"/>
          <w:sz w:val="20"/>
        </w:rPr>
      </w:pPr>
      <w:r>
        <w:rPr>
          <w:rFonts w:ascii="Times New Roman" w:hAnsi="Times New Roman"/>
          <w:color w:val="000000"/>
          <w:sz w:val="20"/>
        </w:rPr>
        <w:br/>
        <w:t xml:space="preserve">We may face increasing competition for additional new product acquisitions from pharmaceutical companies as new companies emerge with a similar business model and other more established companies focus on acquiring product candidates to develop their pipelines. Many of our competitors have significantly greater name recognition, financial, manufacturing, marketing, drug development, technical and human resources than we do. Mergers and acquisitions in the biopharmaceutical and pharmaceutical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top qualified scientific and management personnel, establishing clinical trial sites and patient registration for clinical trials and in acquiring technologies complementary to, or necessary for, our programs.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key competitive factors affecting the success of setrusumab, alvelestat, etigilimab and acumapimod, if approved, are likely to be their efficacy, safety, dosing convenience, price, the effectiveness of companion diagnostics in guiding the use of related therapeutics, the level of generic competition and the availability of reimbursement from government and other third-party payors. </w:t>
      </w:r>
    </w:p>
    <w:p>
      <w:pPr>
        <w:pStyle w:val="TextBody"/>
        <w:bidi w:val="0"/>
        <w:jc w:val="left"/>
        <w:rPr>
          <w:rFonts w:ascii="Times New Roman" w:hAnsi="Times New Roman"/>
          <w:color w:val="000000"/>
          <w:sz w:val="20"/>
        </w:rPr>
      </w:pPr>
      <w:r>
        <w:rPr>
          <w:rFonts w:ascii="Times New Roman" w:hAnsi="Times New Roman"/>
          <w:color w:val="000000"/>
          <w:sz w:val="20"/>
        </w:rPr>
        <w:t>Our commercial opportunity could be reduced or eliminated if our competitors develop and commercialize product candidates that are safer, more effective, less expensive, more convenient or easier to administer or have fewer or less severe side effects than any product candidates that we may develop. Our competitors may also obtain FDA, EMA or other regulatory approval for their product candidates more rapidly than we may obtain approval for our own product candidates, which could result in our competitors establishing a strong market position before we are able to enter the market. Even if setrusumab, alvelestat, etigilimab, or acumapimod achieve marketing approval, they may be priced at a significant premium over competing product candidates if any have been approved by then, potentially reducing our market opportunity. For more information, see “Item 1A. Risk Factors—Risks Related to Commercialization—We operate in a highly competitive and rapidly changing industry, which may result in others acquiring, developing, or commercializing competing product candidates before or more successfully than we or our partners do.”</w:t>
      </w:r>
    </w:p>
    <w:p>
      <w:pPr>
        <w:pStyle w:val="TextBody"/>
        <w:bidi w:val="0"/>
        <w:spacing w:before="240" w:after="283"/>
        <w:jc w:val="left"/>
        <w:rPr>
          <w:rFonts w:ascii="Times New Roman" w:hAnsi="Times New Roman"/>
          <w:sz w:val="20"/>
        </w:rPr>
      </w:pPr>
      <w:r>
        <w:rPr>
          <w:rFonts w:ascii="Times New Roman" w:hAnsi="Times New Roman"/>
          <w:b/>
          <w:color w:val="000000"/>
          <w:sz w:val="20"/>
        </w:rPr>
        <w:t>Intellectual Property</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acquired or exclusively licensed our intellectual property portfolio from Mereo BioPharma 5 (formerly OncoMed), Novartis and AstraZeneca. We strive to protect and enhance the proprietary technologies, inventions and improvements that we believe are important to our business, including seeking, maintaining and defending patent rights, whether developed internally or acquired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intellectual property is held by our wholly owned subsidiaries. As of December 31, 2023, our patent portfolio comprises approximately 607 issued patents and approximately 92 pending patent applications on a global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non-provisional filing date. In addition, in certain instances, a patent term can be extended to recapture a portion of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the duration of foreign issued patents is also 20 years from the earliest effective filing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actual protection afforded by a given patent varies on a product-by-product basis and from country to country, dependent on many factors, including the type of patent, the scope of its coverage, the availability of regulatory-related extensions, the availability of legal remedies in a particular country and the validity and enforceability of the patent.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upon trademarks, trade secrets and know-how,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know-how and inventions.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commercial success will also depend in part on not infringing upon the proprietary rights of third parties. It is uncertain whether the issuance of any third-party patent would require us to alter our development or commercial strategies, or our product candidates or processes, obtain licenses or cease certain activities. Our breach of any license agreements or failure to obtain a license to proprietary rights that we may require to develop or commercialize our product candidates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Factors—Risks Related to Intellectual Property.”</w:t>
      </w:r>
    </w:p>
    <w:p>
      <w:pPr>
        <w:pStyle w:val="TextBody"/>
        <w:bidi w:val="0"/>
        <w:spacing w:before="240" w:after="283"/>
        <w:jc w:val="left"/>
        <w:rPr>
          <w:rFonts w:ascii="Times New Roman" w:hAnsi="Times New Roman"/>
          <w:sz w:val="20"/>
        </w:rPr>
      </w:pPr>
      <w:r>
        <w:rPr>
          <w:rFonts w:ascii="Times New Roman" w:hAnsi="Times New Roman"/>
          <w:b/>
          <w:i/>
          <w:color w:val="000000"/>
          <w:sz w:val="20"/>
        </w:rPr>
        <w:t>Setrusumab (BPS-804/UX143)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have 127 patents globally (including four issued U.S. patents) and 24 patent applications globally (including a pending U.S. patent application) relating to setrusumab and its use for the treatment of OI. A first patent family includes three issued U.S. patents and 86 corresponding issued foreign patents that relate to the setrusumab antibody, nucleic acids encoding setrusumab, processes for producing setrusumab, and setrusumab’s use as a medicament. Patents emanating from this first patent family expire in 2028 (not accounting for any available patent term extension). We also have two additional patent families, including an issued U.S. patent and 37 issued foreign patents that relate to methods of using anti-sclerostin antibodies, including setrusumab, for the treatment of OI. Patents emanating from these additional patent families expire in 2037 (not accounting for any available patent term extension). Beyond these patents and patent applications, we jointly own with Ultragenyx one additional patent family relating to dosing regimens for the use of anti-sclerostin antibodies, including setrusumab, in the treatment of OI; we expect any patents emanating from this patent family to expire in 2042 (not accounting for any available patent term extension). In December 2020, we entered into a license and collaboration agreement with Ultragenyx for setrusumab for OI, under which Ultragenyx have exclusive rights under all setrusumab patent families outside of Europe. See “—Licensing Agreement with Ultragenyx for setrusumab.”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0"/>
        </w:rPr>
        <w:t>On February 3, 2023, Ultragenyx, Mereo BioPharma 3 Limited, UCB Pharma SA (“</w:t>
      </w:r>
      <w:r>
        <w:rPr>
          <w:rFonts w:ascii="Times New Roman" w:hAnsi="Times New Roman"/>
          <w:color w:val="000000"/>
          <w:sz w:val="20"/>
          <w:u w:val="single"/>
        </w:rPr>
        <w:t>UCB</w:t>
      </w:r>
      <w:r>
        <w:rPr>
          <w:rFonts w:ascii="Times New Roman" w:hAnsi="Times New Roman"/>
          <w:color w:val="000000"/>
          <w:sz w:val="20"/>
        </w:rPr>
        <w:t>”) and Amgen Inc. (“</w:t>
      </w:r>
      <w:r>
        <w:rPr>
          <w:rFonts w:ascii="Times New Roman" w:hAnsi="Times New Roman"/>
          <w:color w:val="000000"/>
          <w:sz w:val="20"/>
          <w:u w:val="single"/>
        </w:rPr>
        <w:t>Amgen</w:t>
      </w:r>
      <w:r>
        <w:rPr>
          <w:rFonts w:ascii="Times New Roman" w:hAnsi="Times New Roman"/>
          <w:color w:val="000000"/>
          <w:sz w:val="20"/>
        </w:rPr>
        <w:t xml:space="preserve">”) entered into a non-exclusive worldwide, royalty-free license to research, develop, and commercialize setrusumab in osteogenesis imperfecta under certain UCB/Amgen-owned patent rights related to anti-sclerostin compounds and their uses. </w:t>
      </w:r>
    </w:p>
    <w:p>
      <w:pPr>
        <w:pStyle w:val="TextBody"/>
        <w:bidi w:val="0"/>
        <w:spacing w:before="240" w:after="283"/>
        <w:jc w:val="left"/>
        <w:rPr>
          <w:rFonts w:ascii="Times New Roman" w:hAnsi="Times New Roman"/>
          <w:sz w:val="20"/>
        </w:rPr>
      </w:pPr>
      <w:r>
        <w:rPr>
          <w:rFonts w:ascii="Times New Roman" w:hAnsi="Times New Roman"/>
          <w:b/>
          <w:i/>
          <w:color w:val="000000"/>
          <w:sz w:val="20"/>
        </w:rPr>
        <w:t>Alvelestat (MPH-966)</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patent portfolio relating to our product candidate alvelestat consisted of three issued U.S. patents, no pending U.S. patent applications, 36 issued or allowed foreign patents and two pending foreign patent applications. These patents have all been licensed under our agreement with AstraZeneca. See “—Material Agreements—Licensing Agreement with AstraZeneca.” These issued patents and patent applications, if issued, include claims directed to 2-pyridone derivatives as NE inhibitors and their uses as well as claims to polymorphs of the tosylate salt of a 5-pyrazolyl-2-pyridone derivative, with expected expiry dates between 2024 and 2030.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patent portfolio relating to our product candidate alvelestat also includes one pending international patent application filed under the PCT, three pending U.S. patent applications, two U.S. provisional patent applications, two granted foreign patents and sixteen pending foreign patent applications which have been filed subsequent to the license agreement with AstraZeneca. These patent applications, if issued, include claims directed to dosing regimens of alvelestat, methods of treatment using alvelestat, and dosage forms of alvelestat with expected expiry dates between 2040 and 2044. </w:t>
      </w:r>
    </w:p>
    <w:p>
      <w:pPr>
        <w:pStyle w:val="TextBody"/>
        <w:bidi w:val="0"/>
        <w:spacing w:before="240" w:after="283"/>
        <w:jc w:val="left"/>
        <w:rPr>
          <w:rFonts w:ascii="Times New Roman" w:hAnsi="Times New Roman"/>
          <w:sz w:val="20"/>
        </w:rPr>
      </w:pPr>
      <w:r>
        <w:rPr>
          <w:rFonts w:ascii="Times New Roman" w:hAnsi="Times New Roman"/>
          <w:b/>
          <w:i/>
          <w:color w:val="000000"/>
          <w:sz w:val="20"/>
        </w:rPr>
        <w:t>Etigilimab (MPH-313)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patent portfolio relating to our product candidate etigilimab consisted of four granted U.S. patents and two pending U.S. patent applications, as well as corresponding patent applications in major foreign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portfolio relating to our product candidate etigilimab contains one core patent family that covers the product per se as well as medical uses thereof. This patent family currently consists of two granted U.S. patents, sixty-one granted or allowed foreign patents and twelve pending foreign patent applications. Patents that issue from this core family are generally expected to expire in 2036.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portfolio also includes a second patent family that relates to specific methods of treatment using etigilimab. This patent family currently consists of two granted U.S. patents, one U.S. pending patent application, and 8 granted or allowed foreign patents and 5 pending foreign patent applications. Any patents that issue from this family are generally expected to expire in 2037.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portfolio also includes two PCT patent applications. Any patents that issue from these families are generally expected to expire in 2042.</w:t>
      </w:r>
    </w:p>
    <w:p>
      <w:pPr>
        <w:pStyle w:val="TextBody"/>
        <w:bidi w:val="0"/>
        <w:spacing w:before="240" w:after="283"/>
        <w:jc w:val="left"/>
        <w:rPr>
          <w:rFonts w:ascii="Times New Roman" w:hAnsi="Times New Roman"/>
          <w:sz w:val="20"/>
        </w:rPr>
      </w:pPr>
      <w:r>
        <w:rPr>
          <w:rFonts w:ascii="Times New Roman" w:hAnsi="Times New Roman"/>
          <w:b/>
          <w:i/>
          <w:color w:val="000000"/>
          <w:sz w:val="20"/>
        </w:rPr>
        <w:t>Navicixizumab (OMP-305B83)</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patent portfolio relating to Navi consisted of 21 issued or allowed U.S. patents and two pending U.S. patent applications, as well as corresponding patents or patent applications in major foreign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portfolio relating to Navi contains two core patent families, both of which cover the product per se as well as medical uses thereof. Patents and patent applications, if issued, in these core families are expected to expire between 2030 and 2032.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portfolio also includes several other patent families including issued U.S. and foreign patents and pending applications that relate to specific methods of treatment using Navi. Patents and patent applications, if issued, in these families are expected to expire between 2030 and 2039. Navi was licensed by the Group to Feng Biosciences (formerly OncXerna Inc.) in January 2020 pursuant to the terms of a global licensing agreement. See “—Material Agreements—Licensing Agreement for Navicixizumab.” </w:t>
      </w:r>
    </w:p>
    <w:p>
      <w:pPr>
        <w:pStyle w:val="TextBody"/>
        <w:bidi w:val="0"/>
        <w:spacing w:before="240" w:after="283"/>
        <w:jc w:val="left"/>
        <w:rPr>
          <w:rFonts w:ascii="Times New Roman" w:hAnsi="Times New Roman"/>
          <w:sz w:val="20"/>
        </w:rPr>
      </w:pPr>
      <w:r>
        <w:rPr>
          <w:rFonts w:ascii="Times New Roman" w:hAnsi="Times New Roman"/>
          <w:b/>
          <w:i/>
          <w:color w:val="000000"/>
          <w:sz w:val="20"/>
        </w:rPr>
        <w:t>Acumapimod (BCT-197)</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our patent portfolio relating to our product acumapimod consisted of 13 issued or allowed U.S. patents, 1 pending U.S. patent applications, 236 issued or allowed foreign patents and 19 pending foreign applications. These issued patents and patent applications, if issued, include claims directed to 5-membered heterocycle-based p38 kinase inhibitors, the use of a pyrazole derivative in the treatment of AECOPD, dosage regimens of acumapimod, the use of acumapimod in the treatment of specific patient subpopulations, methods of producing specific polymorphs of acumapimod and synthetic methods of production of acumapimod with expected expiry dates between 2024 and 2039. </w:t>
      </w:r>
    </w:p>
    <w:p>
      <w:pPr>
        <w:pStyle w:val="TextBody"/>
        <w:bidi w:val="0"/>
        <w:spacing w:before="240" w:after="283"/>
        <w:jc w:val="left"/>
        <w:rPr>
          <w:rFonts w:ascii="Times New Roman" w:hAnsi="Times New Roman"/>
          <w:sz w:val="20"/>
        </w:rPr>
      </w:pPr>
      <w:r>
        <w:rPr>
          <w:rFonts w:ascii="Times New Roman" w:hAnsi="Times New Roman"/>
          <w:b/>
          <w:i/>
          <w:color w:val="000000"/>
          <w:sz w:val="20"/>
        </w:rPr>
        <w:t>Leflutrozole (BGS-649)</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our patent portfolio relating to our product leflutrozole consisted of four issued U.S. patents and 92 issued foreign patents. These issued patents and patent applications, if issued, include claims directed to leflutrozole formulations and the use of leflutrozole in treating hypogonadism according to a specific dosing regimen, with expected expiry dates between 2032 and 2037. Leflutrozole was licensed by the Group to ReproNovo in December 2023 pursuant to the terms of global licensing agreement. See "—Material Agreements—Licensing Agreement for Leflutrozole".</w:t>
      </w:r>
    </w:p>
    <w:p>
      <w:pPr>
        <w:pStyle w:val="TextBody"/>
        <w:bidi w:val="0"/>
        <w:spacing w:before="240" w:after="283"/>
        <w:jc w:val="left"/>
        <w:rPr>
          <w:rFonts w:ascii="Times New Roman" w:hAnsi="Times New Roman"/>
          <w:sz w:val="20"/>
        </w:rPr>
      </w:pPr>
      <w:r>
        <w:rPr>
          <w:rFonts w:ascii="Times New Roman" w:hAnsi="Times New Roman"/>
          <w:b/>
          <w:color w:val="000000"/>
          <w:sz w:val="20"/>
        </w:rPr>
        <w:t>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others, the FDA, U.S. Department of Health and Human Services Office of Inspector General, CMS and comparable regulatory authorities in state, local and foreign jurisdictions and in other countries impose substantial and burdensome requirements upon companies involved in the clinical development, manufacture, marketing and distribution of drugs such as those we are developing. These agencies and other federal, state and local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U.S.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the FDA regulates drugs under the Federal Food, Drug, and Cosmetic Act ("FDCA") and its implementing regulations, and biological product candidates (“biologics”), under both the FDCA and the Public Health Service Act ("PHSA") and its implementing regulations.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approve pending applications,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process required by the FDA before a drug or biologic may be marketed in the U.S. generally involves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completion of pre-clinical laboratory tests, animal studies and formulation studies, certain of which must be conducted in compliance with the FDA’s Good Laboratory Practice (“GLP”) regulations and other applicable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submission to the FDA of an investigational new drug application (an “IND”), which must become effective before human clinical trials may begin;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by an independent Institutional Review Board (“IRB”) or ethics committee at each clinical site before each trial may be initiated;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Good Clinical Practice (“GCP”) requirements to evaluate the safety, purity, potency and/or efficacy of the product candidate for its intended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submission to the FDA of an NDA or BLA after completion of all pivotal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satisfactory completion of an FDA advisory committee review, if applicable;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product’s identity, strength, quality and purity;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satisfactory completion of potential FDA audits of clinical trials sites and the sponsor’s clinical trial records to assure compliance with GCPs and the integrity of the clinical data;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user fees, if applicable, and FDA review and approval of the NDA or BLA; </w:t>
      </w:r>
    </w:p>
    <w:p>
      <w:pPr>
        <w:pStyle w:val="TextBody"/>
        <w:bidi w:val="0"/>
        <w:spacing w:before="240" w:after="283"/>
        <w:jc w:val="left"/>
        <w:rPr>
          <w:rFonts w:ascii="Times New Roman" w:hAnsi="Times New Roman"/>
          <w:sz w:val="20"/>
        </w:rPr>
      </w:pPr>
      <w:r>
        <w:rPr>
          <w:rFonts w:ascii="Times New Roman" w:hAnsi="Times New Roman"/>
          <w:b/>
          <w:i/>
          <w:color w:val="000000"/>
          <w:sz w:val="20"/>
        </w:rPr>
        <w:t>Pre-clinical Studies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 product candidate is identified for development, it enters the preclinical testing stage. Pre-clinical studies include laboratory evaluation of product chemistry, toxicity and formulation, as well as animal studies to assess potential safety and efficacy. An IND sponsor must submit the results of the pre-clinical tests, together with manufacturing information, analytical data and any available clinical data or literature, among other things, to the FDA as part of an IND. An IND is a request for authorization from the FDA to administer an investigational drug product to humans. An IND will also include a protocol detailing, among other things, the objectives of the clinical trial, the parameters to be used in monitoring safety, and the effectiveness criteria to be evaluated, if the trial includes an efficacy evaluation. Some pre-clinical testing may continue even after the IND is submitted.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 Clinical holds also may be imposed by the FDA at any time before or during clinical trials due to safety concerns about on-going or proposed clinical trials or non-compliance with specific FDA requirements, and the trials may not begin or continue until the FDA notifies the sponsor that the hold has been lifted.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involve the administration of the investigational new drug or biologic to human subjects under the supervision of qualified investigators in accordance with GCP requirements, which among other things, include the requirement that all research subjects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 </w:t>
      </w:r>
    </w:p>
    <w:p>
      <w:pPr>
        <w:pStyle w:val="TextBody"/>
        <w:bidi w:val="0"/>
        <w:spacing w:before="240" w:after="283"/>
        <w:jc w:val="left"/>
        <w:rPr>
          <w:rFonts w:ascii="Times New Roman" w:hAnsi="Times New Roman"/>
          <w:sz w:val="20"/>
        </w:rPr>
      </w:pPr>
      <w:r>
        <w:rPr>
          <w:rFonts w:ascii="Times New Roman" w:hAnsi="Times New Roman"/>
          <w:color w:val="000000"/>
          <w:sz w:val="20"/>
        </w:rPr>
        <w:t>In addition, an IRB must review and approve the plan for a clinical trial. This can be a central or local IRB. In the case of a central IRB a single IRB will be the source of record for all sites in a trial; otherwise, a local IRB at each institution participating in the clinical trial must review and approve the plan for any clinical trial before it commences at that institution. 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 Information about certain clinical trials must also be submitted within specific timeframes to the National Institutes of Health for public dissemination on their website,</w:t>
      </w:r>
      <w:r>
        <w:rPr>
          <w:rFonts w:ascii="Times New Roman" w:hAnsi="Times New Roman"/>
          <w:color w:val="000000"/>
          <w:sz w:val="20"/>
          <w:u w:val="single"/>
        </w:rPr>
        <w:t xml:space="preserve"> www.clinicaltrials.gov.</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which may overlap or be combined: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1: The product candidate is initially introduced into healthy human subjects or patients with the target disease or condition and tested for safety, dosage tolerance, absorption, metabolism, distribution, excretion and, if possible, to gain an early indication of its effectiveness.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2: The product candidate is administered to a limited patient population to identify possible adverse effects and safety risks, to preliminarily evaluate the efficacy of the product for specific targeted diseases and to determine dosage tolerance and optimal dosage.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Phase 3: The product candidate is administered to an expanded patient population, generally at geographically dispersed clinical trial sites, in well- controlled clinical trials to generate enough data to statistically evaluate the efficacy and safety of the product for approval, to establish the overall risk-benefit profile of the product, and to provide adequate information for the labeling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 BLA or NDA.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cGMPs. The manufacturing process must be capable of consistently producing quality batches of the product candidate and, among other things, the manufacturer must develop methods for testing the identity, strength, quality and purity of the final product. In addition, appropriate packaging must be selected and tested, and stability studies must be conducted to demonstrate that the product candidate does not undergo unacceptable deterioration over its shelf life. </w:t>
      </w:r>
    </w:p>
    <w:p>
      <w:pPr>
        <w:pStyle w:val="TextBody"/>
        <w:bidi w:val="0"/>
        <w:spacing w:before="240" w:after="283"/>
        <w:jc w:val="left"/>
        <w:rPr>
          <w:rFonts w:ascii="Times New Roman" w:hAnsi="Times New Roman"/>
          <w:sz w:val="20"/>
        </w:rPr>
      </w:pPr>
      <w:r>
        <w:rPr>
          <w:rFonts w:ascii="Times New Roman" w:hAnsi="Times New Roman"/>
          <w:b/>
          <w:i/>
          <w:color w:val="000000"/>
          <w:sz w:val="20"/>
        </w:rPr>
        <w:t>Rare Pediatric Disease Priority Review Voucher Program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may qualify for a voucher that can be redeemed to receive a priority review of a subsequent marketing application for a different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purposes of this program, a “rare pediatric disease” is a (a) serious or life-threatening disease in which the serious or life-threatening manifestations primarily affect individuals aged from birth to 18 years, including age groups often called neonates, infants, children, and adolescents; and (b) rare diseases or conditions within the meaning of the Orphan Drug Act. Congress has only authorized the Rare Pediatric Disease Priority Review Voucher program until September 30, 2024. Consequently, sponsors of marketing applications approved after that date will not receive the voucher unless Congress reauthorizes the Rare Pediatric Disease Priority Review Voucher program before that time. However, even if the program is not reauthorized, if a drug candidate receives Rare Pediatric Disease Designation before October 1, 2024, the sponsor of the marketing application for such drug will be eligible to receive a voucher if the application for the designated drug is approved by the FDA before October 1, 2026. </w:t>
      </w:r>
    </w:p>
    <w:p>
      <w:pPr>
        <w:pStyle w:val="TextBody"/>
        <w:bidi w:val="0"/>
        <w:spacing w:before="240" w:after="283"/>
        <w:jc w:val="left"/>
        <w:rPr>
          <w:rFonts w:ascii="Times New Roman" w:hAnsi="Times New Roman"/>
          <w:sz w:val="20"/>
        </w:rPr>
      </w:pPr>
      <w:r>
        <w:rPr>
          <w:rFonts w:ascii="Times New Roman" w:hAnsi="Times New Roman"/>
          <w:b/>
          <w:i/>
          <w:color w:val="000000"/>
          <w:sz w:val="20"/>
        </w:rPr>
        <w:t>Orphan Product Designation and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Orphan Drug Act, the FDA may grant orphan designation to a drug or biologic product if it is intended to treat a rare disease or condition (generally meaning that it affects fewer than 200,000 individuals in the U,S,, or more in cases in which there is no reasonable expectation that the cost of developing and making a drug product available in the U.S. for treatment of the disease or condition will be recovered from sales of the product). A company must request orphan product designation before submitting an NDA or BLA. If the request is granted, the FDA will publicly disclose the identity of the therapeutic agent and its potential use. Orphan product designation does not convey any advantage in or shorten the duration of the regulatory review and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product with orphan status receives the first FDA approval for the disease or condition for which it has such designation or for a select disease or condition or use within the rare disease or condition for which it was designated, the product is entitled to orphan-product exclusivity. Orphan-product exclusivity means that the FDA may not approve any other applications for the same product for the same disease or condition for seven years, except in certain limited circumstances. If a product designated as an orphan product ultimately receives marketing approval for disease or condition broader than what was designated in its orphan- product application, it may not be entitled to exclusivity. Orphan exclusivity will not bar approval of another product under certain circumstances, including if a subsequent product with the same active ingredient for the same disease or condition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disease or condition as long as the product candidates contain different active ingredients. Moreover, competitors may receive approval of different product candidates for the disease or condition for which the orphan product has exclusivity or obtain approval for the same product but for a different indication for which the orphan product has exclusivity. </w:t>
      </w:r>
    </w:p>
    <w:p>
      <w:pPr>
        <w:pStyle w:val="TextBody"/>
        <w:bidi w:val="0"/>
        <w:spacing w:before="240" w:after="283"/>
        <w:jc w:val="left"/>
        <w:rPr>
          <w:rFonts w:ascii="Times New Roman" w:hAnsi="Times New Roman"/>
          <w:sz w:val="20"/>
        </w:rPr>
      </w:pPr>
      <w:r>
        <w:rPr>
          <w:rFonts w:ascii="Times New Roman" w:hAnsi="Times New Roman"/>
          <w:b/>
          <w:i/>
          <w:color w:val="000000"/>
          <w:sz w:val="20"/>
        </w:rPr>
        <w:t>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or BLA requesting approval to market the product for one or more indications. In most cases, the submission of an NDA or BLA is subject to a substantial application user fee.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under the Pediatric Research Equity Act of 2003, as amended and reauthorized (“PREA”), certain NDAs, BLAs or supplements to an NDA or BLA must contain data that are adequate to assess the safety and effectiveness of the product for the claimed indications in all relevant pediatric subpopulations, and to support dosing and administration for each pediatric subpopulation for which the product is safe and effective, unless the sponsor has received a deferral or waiver. The required assessments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conducts a preliminary review of all NDAs and BLAs within the first 60 days after submission, before accepting them for filing, to determine whether they are sufficiently complete to permit substantive review. The FDA may request additional information rather than accept an application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application to determine, among other things, whether the drug is safe and effective (for biologics, the standard is referred to as safe, pure and potent) and whether the facility in which it is manufactured, processed, packaged or held meets standards designed to assure the product’s continued safety, quality and purity. Under the goals and policies agreed to by the FDA under the Prescription Drug User Fee Act (“PDUFA”) for new molecular entity NDAs and original BLAs, the FDA has 10 months from the filing date in which to complete its initial review of a standard application and respond to the applicant, and six months from the filing date for an application with priority review. This review typically takes 12 months from the date the NDA or BLA is submitted to the FDA, because the FDA has approximately two months to make a “filing” decision.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refer an application for a novel drug or biologic candidate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approving an application,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application, the FDA may inspect the sponsor and one or more clinical trial sites to assure compliance with GCP requirements and the integrity of the clinical data submitted in an NDA.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evaluating the application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that the application will not be approved in its present form. A complete response letter generally details specific conditions that must be met in order to secure approval of the application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product with specific prescribing information for specific indications.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the FDA approves a product, it may limit the approved indications for use of the product, require additional contraindications, warnings or precautions to be included in the product labeling, require that post-approval studies, including Phase 4 clinical trials, be conducted to further assess a product’s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products. The FDA may prevent or limit further marketing of a product based on the results of post- marketing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24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Drugs and biologics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 candidates and the establishments at which such product candidates are manufactured, as well as new application fees for supplemental applications with clinical data.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manufacturers and other entities involved in the manufacture and distribution of approved product candidates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product, complete withdrawal of the product from the market or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fines, warning letters or holds on post-approval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of the FDA to approve pending applications or supplements to approved applications or suspension or revocation of product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consent decrees, corporate integrity agreements, debarment or exclusion from federal healthcare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mandated modification of promotional materials and labeling and the issuance of corrective information;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or other regulatory authorities may issue safety alerts, “Dear Healthcare Provider” letters, press releases or other communications containing warnings or other safety information about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strictly regulates marketing, labeling, advertising and promotion of product candidates that are placed on the market. Product candidates may be promoted only for the approved indications and in accordance with the provisions of the approved label. Physicians may prescribe legally available products for uses that are not described in the product’s labeling and that differ from those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FDA and other agencies actively enforce the laws and regulations prohibiting the promotion of off-label uses, and a company that is found to have improperly promoted off-label uses may be subject to significant liability.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Special FDA Expedited Review and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various programs, such as Fast Track designation, Breakthrough Therapy designation, accelerated approval, and priority review, which are intended to expedite or simplify the process for the development and FDA review of drugs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biologics that are intended for the treatment of serious or life-threatening diseases or conditions and demonstrate the potential to address unmet medical needs.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 eligible for a Fast-track designation, the FDA must determine, based on the request of a sponsor, that a product candidate is intended to treat a serious or life-threatening disease or condition and demonstrates the potential to address an unmet medical need for such disease or condition. Fast-track designation provides opportunities for frequent interactions with the FDA review team to expedite development and review of the product. The FDA may also review sections of the NDA or BLA for a Fast-Track-designated product on a rolling basis before the complete application is submitted, if the sponsor and FDA agree on a schedule for the submission of the application sections, and the sponsor pays any required user fees upon submission of the first section of the NDA or BLA.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 sponsor can request designation of a product as a “Breakthrough Therapy.” A Breakthrough Therapy is defined as a drug or biologic that is intended, alone or in combination with one or more other drugs or biologics, to treat a serious or life- 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studied for their safety and effectiveness in treating serious or life-threatening illnesses and that have the potential to provide meaningful therapeutic benefit over existing treatments may be eligible for accelerated approval upon a determination the product has an effect on a surrogate endpoint that is reasonably likely to predict clinical benefit, or on a clinical endpoint that can be measured earlier than irreversible morbidity or mortality (“IMM”) that is reasonably likely to predict an effect on IMM or other clinical benefit, taking into account the severity, rarity or prevalence of the condition and the availability or lack of alternative treatments. As a condition of approval, the FDA generally require a sponsor of a product receiving accelerated approval to perform adequate and well-controlled confirmatory trials to verify and describe the predicted clinical benefit, and may require that such confirmatory trails be underway prior to granting any accelerated approval. Products receiving accelerated approval may be subject to expedited withdrawal procedures if the sponsor fails to conduct the required confirmatory trials in a timely manner or if such trials fail to verify the predicted clinical benefit. In addition, the FDA currently requires as a condition of accelerated approval pre-approval of promotional materials, which could adversely impact the timing of the commercial launch of the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Once an NDA or BLA is submitted for a product intended to treat a serious condition, the FDA may assign a priority review designation to the application if the FDA determines that the product candidate, if approved, would provide a significant improvement in safety or effectiveness. The FDA will attempt to direct additional resources to the evaluation of an NDA or BLA designated for priority review in an effort to facilitate the review. The FDA endeavors to review NDAs for new molecular entities and original BLAs with priority review designations within six months of the filing date as compared to ten months under its current review goals.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Fast track designation, breakthrough therapy designation, priority review, and accelerated approval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Furthermore, fast-track designation, breakthrough-therapy designation, accelerated approval and priority review do not change the standards for approval and may not ultimately expedite the development or approval process.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Drug and Biological Product Exclusivities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Market exclusivity provisions authorized under the FDCA can delay the submission or the approval of some marketing applications. For example, the FDCA provides a five-year period of non-patent data exclusivity within the U.S. to the first applicant to obtain approval of an NDA for a new chemical entity. A drug is a new chemical entity if the FDA has not previously approved any other new drug containing the same active moiety, which is the molecule or ion, excluding those appended portions of the molecule that cause the drug to be an ester, salt, including a salt with hydrogen or coordination bonds, or other noncovalent derivative, such as a complex, chelate, or clathrate, responsible for the action of the drug substance. During the exclusivity period, the FDA may not approve or even accept for review an abbreviated new drug application (“ANDA”) or an NDA submitted under Section 505(b)(2)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for new indications, dosages or strengths of an existing drug. This three-year exclusivity covers only the conditions of approval for which the drug received approval on the basis of the new clinical investigations and does not prohibit the FDA from approving ANDAs or 505(b) (2)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the Biologics Price Competition and Innovation Act of 2009, or BPCIA, created an abbreviated approval pathway for biological products that are highly similar, or “biosimilar,” to or interchangeable with an FDA-approved reference biological product. The FDA has issued several guidance documents outlining an approach to review and approval of biosimilars. Biosimilarity, which requires that there be no clinically meaningful differences between the biological product and the reference product in terms of safety, purity, and potency, is generally shown through analytical studies, animal studies, and a clinical study or studies.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A product shown to be biosimilar or interchangeable with an FDA-approved reference biological product may rely in part on the FDA’s previous determination of safety and effectiveness for the reference product for approval, which can potentially reduce the cost and time required to obtain approval to market the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Pediatric exclusivity is another type of regulatory exclusivity available in the U.S. Pediatric exclusivity provides for an additional six months of exclusivity attached to another existing patent term or period of regulatory exclusivity if a sponsor conducts clinical trials in children in response to a “written request” from the FDA. The issuance of a written request does not require the sponsor to undertake the described clinical trials.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Government Regulation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candidates are subject to similar laws and regulations imposed by jurisdictions outside of the U.S., and, in particular, the EU, which may include, for instance, applicable post-marketing requirements, including safety surveillance, anti-fraud and abuse laws and implementation of corporate compliance programs and reporting of payments or other transfers of value to healthcare professionals. </w:t>
      </w:r>
    </w:p>
    <w:p>
      <w:pPr>
        <w:pStyle w:val="TextBody"/>
        <w:bidi w:val="0"/>
        <w:spacing w:before="240" w:after="283"/>
        <w:jc w:val="left"/>
        <w:rPr>
          <w:rFonts w:ascii="Times New Roman" w:hAnsi="Times New Roman"/>
          <w:sz w:val="20"/>
        </w:rPr>
      </w:pPr>
      <w:r>
        <w:rPr>
          <w:rFonts w:ascii="Times New Roman" w:hAnsi="Times New Roman"/>
          <w:i/>
          <w:color w:val="000000"/>
          <w:sz w:val="20"/>
        </w:rPr>
        <w:t>Non-clinical Studies and Clinical Trials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Similarly to the U.S., the various phases of non-clinical and clinical research in the EU, are subject to significant regulatory controls.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Non-clinical studies are performed to demonstrate the health or environmental safety of new chemical or biological substances. Non-clinical studies (pharmaco-toxicological) must be conducted in compliance with the principles of good laboratory practice, or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of medicinal products in the EU must be conducted in accordance with EU and national regulations and the International Council for on Harmonization of Technical Requirements for Pharmaceuticals for Human Use (“ICH”) guidelines on Good Clinical Practices (“GCP”) as well as the applicable regulatory requirements and the ethical principles that have their origin in the Declaration of Helsinki. If the sponsor of the clinical trial is not established within the EU, it must appoint an EU entity to act as its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legal representative. The sponsor must take out a clinical trial insurance policy, and in most EU member states, the sponsor is liable to provide ‘no fault’ compensation to any study subject injured in the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the clinical study may proceed.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Medicines used in clinical trials must be manufactured in accordance with Good Manufacturing Practice, or GMP. Other national and EU-wide regulatory requirements may also apply. </w:t>
      </w:r>
    </w:p>
    <w:p>
      <w:pPr>
        <w:pStyle w:val="TextBody"/>
        <w:bidi w:val="0"/>
        <w:spacing w:before="240" w:after="283"/>
        <w:jc w:val="left"/>
        <w:rPr>
          <w:rFonts w:ascii="Times New Roman" w:hAnsi="Times New Roman"/>
          <w:sz w:val="20"/>
        </w:rPr>
      </w:pPr>
      <w:r>
        <w:rPr>
          <w:rFonts w:ascii="Times New Roman" w:hAnsi="Times New Roman"/>
          <w:i/>
          <w:color w:val="000000"/>
          <w:sz w:val="20"/>
        </w:rPr>
        <w:t>Marketing Authorization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market our future product candidates in the EU, and many other foreign jurisdictions, we must obtain separate regulatory approvals. More concretely, in the EU, medicinal product candidates can only be commercialized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 </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 xml:space="preserve">Centralized MAs” are issued by the European Commission through the centralized procedure, based on the opinion of the Committee for Medicinal Products for Human Use (“CHMP”) of the EMA and are valid throughout the entire territory of the EU. The centralized procedure is mandatory for certain types of medicinal products, such as (i) medicinal products derived from biotechnological processes, (ii) designated orphan medicinal product products, (iii) advanced therapy medicinal products (“ATMPs”) (such as gene therapy, somatic cell therapy and tissue engineered products) and (iv) medicinal products containing a new active substance indicated for the treatment of certain diseases, such as HIV/AIDS, cancer, neurodegenerative disorders, diabetes, auto-immune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 and </w:t>
      </w:r>
    </w:p>
    <w:p>
      <w:pPr>
        <w:pStyle w:val="TextBody"/>
        <w:bidi w:val="0"/>
        <w:spacing w:before="240" w:after="283"/>
        <w:jc w:val="left"/>
        <w:rPr>
          <w:color w:val="000000"/>
        </w:rPr>
      </w:pPr>
      <w:r>
        <w:rPr>
          <w:color w:val="000000"/>
        </w:rPr>
        <w:t>•</w:t>
      </w:r>
    </w:p>
    <w:p>
      <w:pPr>
        <w:pStyle w:val="TextBody"/>
        <w:bidi w:val="0"/>
        <w:spacing w:before="240" w:after="283"/>
        <w:jc w:val="left"/>
        <w:rPr>
          <w:color w:val="000000"/>
        </w:rPr>
      </w:pPr>
      <w:r>
        <w:rPr>
          <w:color w:val="000000"/>
        </w:rPr>
        <w:t>“</w:t>
      </w:r>
      <w:r>
        <w:rPr>
          <w:rFonts w:ascii="Times New Roman" w:hAnsi="Times New Roman"/>
          <w:color w:val="000000"/>
          <w:sz w:val="20"/>
        </w:rPr>
        <w:t xml:space="preserve">National MAs” are issued by the competent authorities of the EU member states, only cover their respective territory, and are available for product candidates not falling within the mandatory scope of the centralized procedure. Where a product has already been authorized for marketing in an EU member state,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centralized procedure the maximum timeframe for the evaluation of an MAA by the EMA is 210 days, excluding clock stops. In exceptional cases, the CHMP might perform an accelerated review of a MAA in no more than 150 days (not including clock stops).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In March 2016, the EMA launched the PRIME scheme. PRIME is a voluntary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An initial meeting initiates these relationships and includes a team of multidisciplinary experts at the EMA to provide guidance on the overall development and regulatory strategies. The benefits of a PRIME designation includes the appointment of a dedicated contact and rapporteur from the CHMP before submission of an MAA, early and proactive dialogue and scientific advice at key development milestones, and the ability to request for accelerated review earlier in the application process, however this is at the discretion of the CHMP. Setrusumab was granted PRIME designation in November 2017.</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Moreover, in the EU, a “conditional” MA may be granted in cases where all the required safety and efficacy data are not yet available. The CMA is subject to conditions to be fulfilled for generating the missing data or ensuring increased safety measures. It is valid for one year and has to be renewed annually until fulfillment of all the conditions. Once the pending studies are provided, it can become a “standard” MA. However, if the conditions are not fulfilled within the timeframe (timelines may be re-negotiated with CHMP approval if appropriate) set by the EMA, the MA ceases to be renewed. The EMA may also grant a MA in absence of comprehensive data under exceptional circumstances. Unlike a conditional MA, where MA is granted in the likelihood that the sponsor will provide such data within an agreed timeframe, the EMA can grant authorization under exceptional circumstances when comprehensive data cannot be obtained even after authorization.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above described procedures, before granting the MA, the CHMP or the competent authorities of the EU member states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 </w:t>
      </w:r>
    </w:p>
    <w:p>
      <w:pPr>
        <w:pStyle w:val="TextBody"/>
        <w:bidi w:val="0"/>
        <w:spacing w:before="240" w:after="283"/>
        <w:jc w:val="left"/>
        <w:rPr>
          <w:rFonts w:ascii="Times New Roman" w:hAnsi="Times New Roman"/>
          <w:sz w:val="20"/>
        </w:rPr>
      </w:pPr>
      <w:r>
        <w:rPr>
          <w:rFonts w:ascii="Times New Roman" w:hAnsi="Times New Roman"/>
          <w:i/>
          <w:color w:val="000000"/>
          <w:sz w:val="20"/>
        </w:rPr>
        <w:t>Adaptive pathways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EMA has an adaptive pathways program which allows for early and progressive patient access to a medicine. The adaptive pathways concept is an approach to medicines approval that aims to improve patients’ access to medicines in cases of high unmet medical need. To achieve this goal, several approaches are envisaged: identifying small populations with severe disease where a medicine’s benefit-risk balance could be favorable; making more use of real-world data where appropriate to support clinical trial data; and involving health technology assessment bodies early in development to increase the chance that medicines will be recommended for payment and ultimately covered by national healthcare systems. The adaptive pathways concept applies primarily to treatments in areas of high medical need where it is difficult to collect data via traditional routes and where large clinical trials would unnecessarily expose patients who are unlikely to benefit from the medicine. The approach builds on regulatory processes already in place within the existing EU legal framework. These include: scientific advice; compassionate use; the conditional approval mechanism (for medicines addressing life-threatening conditions); patient registries and other pharmacovigilance tools that allow collection of real-life data and development of a risk-management plan for each medicine.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adaptive pathways program does not change the standards for the evaluation of benefits and risks or the requirement to demonstrate a positive benefit-risk balance to obtain MA. In February 2017, setrusumab was accepted into the adaptive pathways program. </w:t>
      </w:r>
    </w:p>
    <w:p>
      <w:pPr>
        <w:pStyle w:val="TextBody"/>
        <w:bidi w:val="0"/>
        <w:spacing w:before="240" w:after="283"/>
        <w:jc w:val="left"/>
        <w:rPr>
          <w:rFonts w:ascii="Times New Roman" w:hAnsi="Times New Roman"/>
          <w:sz w:val="20"/>
        </w:rPr>
      </w:pPr>
      <w:r>
        <w:rPr>
          <w:rFonts w:ascii="Times New Roman" w:hAnsi="Times New Roman"/>
          <w:i/>
          <w:color w:val="000000"/>
          <w:sz w:val="20"/>
        </w:rPr>
        <w:t>Data and marketing exclusivity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new product candidates authorized for marketing, or reference product candidates,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 or biological entity, and products may not qualify for data exclusivity.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special regime for biosimilars, or biological medicinal products that are similar to a reference medicinal product but that do not meet the definition of a generic medicinal product, for example, because of differences in raw materials or manufacturing processes. For such products, the results of appropriate preclinical or clinical trials must be provided, and guidelines from the EMA detail the type of quantity of supplementary data to be provided for different types of biological product. There are no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guidelines for complex biological products, such as gene or cell therapy medicinal products, and so it is unlikely that biosimilars of those products will currently be approved in the EU. However, guidance from the EMA states that they will be considered in the future in light of the scientific knowledge and regulatory experience gained at the time. </w:t>
      </w:r>
    </w:p>
    <w:p>
      <w:pPr>
        <w:pStyle w:val="TextBody"/>
        <w:bidi w:val="0"/>
        <w:spacing w:before="240" w:after="283"/>
        <w:jc w:val="left"/>
        <w:rPr>
          <w:rFonts w:ascii="Times New Roman" w:hAnsi="Times New Roman"/>
          <w:sz w:val="20"/>
        </w:rPr>
      </w:pPr>
      <w:r>
        <w:rPr>
          <w:rFonts w:ascii="Times New Roman" w:hAnsi="Times New Roman"/>
          <w:i/>
          <w:color w:val="000000"/>
          <w:sz w:val="20"/>
        </w:rPr>
        <w:t>Orphan Medicinal Products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criteria for designating an “orphan medicinal product” in the EU are similar in principle to those in the U.S. A medicinal product can be designated as an orphan if its sponsor can establish that: (1) the product is intended for the diagnosis, prevention or treatment of a life-threatening or chronically-debilitating condition, (2) either (a) affecting not more than five in 10,000 persons in the EU when the application is made, or (b) that the product without the benefits derived from the orphan status, would generate sufficient return to justify the necessary investment; and (3) there exists no satisfactory method of diagnosis, prevention or treatment of the condition in question that has been authorized for marketing in the EU or, if such method exists, the product will be of significant benefit to those affected by that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Orphan designation must be requested before submitting an MAA. Orphan designation entitles a party to incentives such as reduction of fees or fee waivers, protocol assistance, and access to the centralized procedure. Upon grant of a MA for an orphan medicinal product, applicants are entitled to a 10 year period of market exclusivity for the approved indication. During this market exclusivity period, the competent authorities cannot accept another application for a MA, or grant a MA, or accept an application to extend a MA for a similar medicinal product for the same indication. The period of market exclusivity is extended by two years for orphan medicinal products that have also complied with an agreed pediatric investigation plan (“PIP”).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period of orphan market exclusivity may, however, be reduced to six years if, at the end of the fifth year, it is established that the product no longer meets the criteria for which it received orphan destination, i.e. the prevalence of the condition has increased above the threshold or it is judged that the product is sufficiently profitable not to justify maintenance of market exclusivity. Additionally, MA may be granted for another similar product for the same indication at any time if (i) the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240" w:after="283"/>
        <w:jc w:val="left"/>
        <w:rPr>
          <w:rFonts w:ascii="Times New Roman" w:hAnsi="Times New Roman"/>
          <w:sz w:val="20"/>
        </w:rPr>
      </w:pPr>
      <w:r>
        <w:rPr>
          <w:rFonts w:ascii="Times New Roman" w:hAnsi="Times New Roman"/>
          <w:i/>
          <w:color w:val="000000"/>
          <w:sz w:val="20"/>
        </w:rPr>
        <w:t>Pediatric Development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MAA for new medicinal product candidates have to include the results of studies conducted in the pediatric population, in compliance with a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Once the MA is obtained in all member states of the EU and study results are included in the product information, even when negative, the product is eligible for a six-month supplementary protection certificate extension (if any is in effect at the time of approval) or, in the case of orphan medicinal products, a two-year extension of orphan market exclusivity.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Post-Approval Requirements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Similar to the U.S., both MA holders and manufacturers of medicinal products are subject to comprehensive regulatory oversight by the EMA, the European Commission and/or the competent regulatory authorities of the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or PSURs.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new MAA must include a risk management plan (“RMP”) describing the risk management system that the company will put in place and documenting measures to prevent or minimize the risks associated with the product. The RMP must be updated any time new information on the medicinal product becomes available which has a significant impact on the content of the RMP.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aforementioned EU rules are generally applicable in the European Economic Area, or EEA, which consists of the 27 EU member states plus Norway, Liechtenstein and Iceland.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comply with EU and member state laws that apply to the conduct of clinical trials, manufacturing approval, MA of medicinal products and marketing of such products, both before and after grant of the MA, manufacturing of pharmaceutical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 total or partial suspension of production, distribution, manufacturing or clinical trials, operating restrictions, injunctions, suspension of licenses, fines and criminal penalties. </w:t>
      </w:r>
    </w:p>
    <w:p>
      <w:pPr>
        <w:pStyle w:val="TextBody"/>
        <w:bidi w:val="0"/>
        <w:spacing w:before="240" w:after="283"/>
        <w:jc w:val="left"/>
        <w:rPr>
          <w:rFonts w:ascii="Times New Roman" w:hAnsi="Times New Roman"/>
          <w:sz w:val="20"/>
        </w:rPr>
      </w:pPr>
      <w:r>
        <w:rPr>
          <w:rFonts w:ascii="Times New Roman" w:hAnsi="Times New Roman"/>
          <w:b/>
          <w:i/>
          <w:color w:val="000000"/>
          <w:sz w:val="20"/>
        </w:rPr>
        <w:t>Regulation in the U.K.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end of the Brexit transition period on January 1, 2021, Great Britain (England, Scotland and Wales) ("GB") has not been directly subject to EU laws, however under the terms of the Ireland/Northern Ireland Protocol, EU laws generally apply to Northern Ireland. The EU laws that have been transposed into U.K. law through secondary legislation remain applicable in Great Britain however, new legislation such as the (EU) CTS is not applicable in Great Britain.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January 1, 2021, the Medicines and Healthcare products Regulatory Agency (“MHRA”), has been the U.K.’s standalone medicines and medical devices regulator. As a result of the Northern Ireland protocol, different rules apply in Northern Ireland than in England, Wales, and Scotland, together, GB; broadly, Northern Ireland will continue to follow the EU regulatory regime, but its national competent authority will remain the MHRA. On February 27, 2023, the U.K. Government and the European Commission reached a political agreement on the “Windsor Framework” which will revise the Northern Ireland protocol in order to address some of the perceived shortcomings in its operation. Under the changes, Northern Ireland will be reintegrated under the regulatory authority of the MHRA with respect to medicinal products. The Windsor Framework was approved by the EU-U.K. Joint Committee on March 24, 2023, so the U.K. government and the EU will enact legislative measures to bring it into law. On June 9, 2023, the MHRA announced that the medicines aspects of the Windsor Framework will apply from January 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MHRA has introduced changes to national licensing procedures, including procedures to prioritize access to new medicines that will benefit patients, including a 150-day assessment and a rolling review procedure. All existing EU MAs for centrally authorized products were automatically converted or grandfathered into U.K. MAs, effective in GB (only), free of charge on January 1, 2021, unless the MA holder opted-out. In order to use the centralized procedure to obtain a MA that will be valid throughout the EEA, companies must be established in the EEA. Therefore, since Brexit, companies established in the U.K. can no longer use the EU centralized procedure and instead an EEA entity must hold any centralized MAs.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 There is no pre-MA orphan designation. Instead, the MHRA will review applications for orphan designation in parallel to the corresponding MAA. The criteria are essentially the same, but have been tailored for the market, i.e., the prevalence of the condition in GB, rather than the EU, must not be more than five in 10,000. Should an orphan designation be granted, the period or market exclusivity will be set from the date of first approval of the product in GB.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U.K. regulatory framework in relation to clinical trials is derived from existing EU legislation (as implemented into U.K. law, through secondary legislation). On January 17, 2022, the MHRA launched an eight-week consultation on reframing the U.K. legislation for clinical trials. The consultation closed on March 14, 2022 and aims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legislation. The final legal texts introduced by the U.K. Government will ultimately determine the extent to which whether the U.K. clinical trials framework aligns with or diverges from with the (EU) CTR.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developments, or the perception that any related developments could occur,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factors could depress economic activity and restrict our access to capital, which could have a material adverse effect on our business, financial condition and results of operations and reduce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uncertainty regarding new or modified arrangements between the U.K. and other countries following the withdrawal may have a material adverse effect on the movement of personnel, goods, information or data between the U.K. and members of the EU and the U.S., including the interruption of or delays in imports into the U.K. of goods originating within the EU and exports from the U.K. of goods originating there. For example, shipments into the U.K. of medicinal product substance manufactured for us in the EU may be interrupted or delayed and thereby prevent or delay the manufacture in the U.K. of drug product. Similarly, shipments out of the U.K. of drug product to the U.S, or the EU may be interrupted or delayed and thereby prevent or delay the delivery of drug product to clinical sites. Such a situation could hinder our ability to conduct current and planned clinical trials and have an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U.S. Healthcare Laws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to FDA restrictions on marketing of pharmaceutical and biologic product candidates, other U.S. federal and state healthcare regulatory laws restrict business practices in the pharmaceutical and biotechnology industry, which include, but are not limited to, state and federal anti-kickback, false claims, data privacy and security and physician payment and pricing transparency 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such as those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 case basis based on a cumulative review of all facts and circumstances. Several courts have interpreted the statute’s intent requirement to mean that if any one purpose of an arrangement involving remuneration is to induce referrals of federal healthcare covered business, the statute has been violated.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person or entity does not need to have actual knowledge of the statute or specific intent to violate it in order to have committed a violation. The majority of states also have anti-kickback laws, which establish similar prohibitions and, in some cases, may apply to items or services reimbursed by any third-party payor, including commercial insurers, or to self-pay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federal false claims and civil monetary penalties laws, including the civil FCA,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FCA may be brought by the Attorney General or as a qui tam action by a private individual in the name of the government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 candidates for unapproved, or off-label, uses. The government may also assert that a claim including items or services resulting from a violation of the U.S. federal Anti-Kickback Statute constitutes a false or fraudulent claim for purposes of the federal civil FCA. Many states also have similar fraud and abuse statutes or regulations that apply to items and services reimbursed under Medicaid and other state programs, or, in several states, apply regardless of the payor.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there has been a trend of increased federal and state regulation of payments made to physicians and certain other healthcare providers. The Physician Payments Sunshine Act requires applicable manufacturers to report certain payments and “transfers of value” provided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physicians and their immediate family members. Applicable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Ensuring that internal operations and business arrangements with third parties comply with applicable healthcare laws and regulations involve substantial costs.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Violations of any of these laws may be punishable by criminal and civil sanctions, including fines and civil monetary penalties, the possibility of exclusion from federal healthcare programs (including Medicare and Medicaid), disgorgement and corporate integrity agreements, which impose, among other things, rigorous operational and monitoring requirements on companies.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laws. </w:t>
      </w:r>
    </w:p>
    <w:p>
      <w:pPr>
        <w:pStyle w:val="TextBody"/>
        <w:bidi w:val="0"/>
        <w:spacing w:before="240" w:after="283"/>
        <w:jc w:val="left"/>
        <w:rPr>
          <w:rFonts w:ascii="Times New Roman" w:hAnsi="Times New Roman"/>
          <w:sz w:val="20"/>
        </w:rPr>
      </w:pPr>
      <w:r>
        <w:rPr>
          <w:rFonts w:ascii="Times New Roman" w:hAnsi="Times New Roman"/>
          <w:b/>
          <w:i/>
          <w:color w:val="000000"/>
          <w:sz w:val="20"/>
        </w:rPr>
        <w:t>Privacy and Data Protection Laws in Europe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Numerous state, federal and foreign laws, regulations and standards govern the collection, use, access to, confidentiality and security of health-related and other personal information, and could apply now or in the future to our operations or the operations of our partners. In the U.S.,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For example, we are subject to European laws relating to our and our suppliers’, partners’ and subcontractors’ collection, control, processing and other use of personal data (i.e., any data relating to an identifiable living individual, whether that individual can be identified directly or indirectly). We are subject to the data protection laws in those jurisdictions where we are established and processing personal data. We are also subject to such laws, when outside the EU or U.K. (as the case may be), where we process personal data relating to individuals in the EU or U.K. “in the context of” an establishment in those markets, where we specifically target goods or services to EU or U.K. residents or where we monitor the behavior of individuals in the EU or U.K. (e.g., undertaking clinical trials). We and our suppliers, partners and subcontractors process personal data including in relation to our employees, employees of customers, clinical trial patients, healthcare professionals and employees of suppliers including health and medical information. The data privacy regime in the EU includes the General Data Protection Regulation ("GDPR"), the e-Privacy Directive and the national laws and regulations implementing or supplementing each of them. In the U.K., we are subject to the U.K. Data Protection Act 2018, the GDPR as implemented into U.K. law (the "U.K. GDPR"), along with U.K. regulations implementing the e-Privacy Directive. The U.K.’s data protection regime, while currently closely aligned with the EU’s, may diverge over time. The U.K. courts also recognize a civil tort for misuse of private information, distinct from a claim for breach of confidence. Additionally, in the EU and U.K., there are strict regulations on electronic marketing communications and the use of cookies and related technologies, with which we are required to adhere.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GDPR and U.K. GDPR impose comprehensive data privacy compliance obligations in relation to our collection and use of personal data, including a principal of accountability and the obligation to demonstrate compliance through policies, procedures, training and audit. In addition, some of the personal data we process in respect of clinical trial participants is considered special category or sensitive personal data under the GDPR and U.K. GDPR, and subject to additional compliance obligations. We may be subject to diverging requirements under EU member state laws and U.K. law, such as whether consent can be used as the legal basis for processing of clinical trial data and the roles, responsibilities and liabilities as between CROs and sponsors.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relation to cross-border transfers, case law from the Court of Justice of the European Union (“CJEU”) states that reliance on the standard contractual clauses - a standard form of contract approved by the European Commission as an adequate personal data transfer mechanism - alone may not necessarily be sufficient in all circumstances and that transfers must be assessed on a case-by-case basis. In relation to data transfers from the EEA to the United States, the EU-US Data Privacy Framework (“DPF”) was approved by the European Commission in July 2023 as an effective EU GDPR data transfer mechanism to U.S. entities self-certified under the DPF. The U.K. Extension to the DPF followed in October 2023, as an effective U.K. GDPR data transfer mechanism to U.S. entities self-certified under the U.K. Extension to the DPF.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are costs and administrative burdens associated with compliance with the GDPR and U.K. GDPR and the resultant changes in the EU and EEA member states’ national laws. Any failure to comply with global privacy laws carries with it the risk of significant penalties and sanctions, Penalties for certain breaches of the GDPR or U.K. GDPR are up to the greater of 20 million euros / 17.5 million pounds sterling or 4% of global annual turnover. In addition to fines, a breach of the GDPR or U.K. GDPR may result in regulatory investigations, reputational damage, orders to cease/ change our data processing activities, enforcement notices, assessment notices (for a compulsory audit) and/ or civil claims (including class actions).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 </w:t>
      </w:r>
    </w:p>
    <w:p>
      <w:pPr>
        <w:pStyle w:val="TextBody"/>
        <w:bidi w:val="0"/>
        <w:spacing w:before="240" w:after="283"/>
        <w:jc w:val="left"/>
        <w:rPr>
          <w:rFonts w:ascii="Times New Roman" w:hAnsi="Times New Roman"/>
          <w:sz w:val="20"/>
        </w:rPr>
      </w:pPr>
      <w:r>
        <w:rPr>
          <w:rFonts w:ascii="Times New Roman" w:hAnsi="Times New Roman"/>
          <w:b/>
          <w:color w:val="000000"/>
          <w:sz w:val="20"/>
        </w:rPr>
        <w:t>Coverage and Reimbursement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Significant uncertainty exists as to the coverage and reimbursement status of any pharmaceutical or biological product for which we obtain regulatory approval. In the U.S. and markets in other countries, patients who are prescribed treatments for their conditions and providers performing the prescribed services generally rely on third-party payors to reimburse all or part of the associated healthcare costs. Patients are unlikely to use our product candidates unless coverage is provided and reimbursement is adequate to cover a significant portion of the cost of our product candidates. Sales of any product candidates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the process for determining whether a third-party payor will provide coverage for a pharmaceutical or biologic product typically is separate from the process for setting the price of such product or for establishing the reimbursement rate that the payor will pay for the product once coverage is approved. Third-party payors may limit coverage to specific product candidates on an approved list, also known as a formulary, which might not include all of the FDA- approved product candidates for a particular indication. A decision by a third-party payor not to cover our product candidates could reduce physician utilization of our product candidates once approved and have a material adverse effect on our sales, results of operations and financial condition. Moreover, a third-party payor’s decision to provide coverage for a pharmaceutical or biologic product does not imply that an adequate reimbursement rate will be approved. Adequate third-party reimbursement may not be available to enable us to maintain price levels sufficient to realize an appropriate return on our investment in product development. Additionally, coverage and reimbursement for product candidates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coverage-determination process will require us to provide scientific and clinical support for the use of our product candidates to each payor separately and will be a time-consuming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governments set the price of product candidates through their health technology assessment, and reimbursement rules and control of national health care systems that fund a large part of the cost of those product candidates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 candidates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might compare the new product to an existing standard of care, including other treatments aimed at the same disease, if they exist. Health technology assessments, including cost-effectiveness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The downward pressure on health care costs in general, particularly prescription product candidates, has become very intense. As a result, increasingly high barriers are being erected to the entry of new product candidates. In addition, in some countries, legally permissible cross- border imports from low-priced markets within the EU single market exert a commercial pressure on pricing within a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containment of healthcare costs has become a priority of federal, state and foreign governments, and the prices of pharmaceutical or biological product candidates have been a focus in this effort. Third-party payors are increasingly challenging the prices charged for medical product candidates and services, examining the medical necessity and reviewing the cost-effectiveness of pharmaceutical or biological product candidates, medical devices and medical services, in addition to questioning safety and efficacy. If these third-party payors do not consider our product candidates to be cost effective compared to other available therapies, they may not cover our product candidates after approval, if any, or, if they do, the level of payment may not be sufficient to allow us to sell our product candidates at a profit. </w:t>
      </w:r>
    </w:p>
    <w:p>
      <w:pPr>
        <w:pStyle w:val="TextBody"/>
        <w:bidi w:val="0"/>
        <w:spacing w:before="240" w:after="283"/>
        <w:jc w:val="left"/>
        <w:rPr>
          <w:rFonts w:ascii="Times New Roman" w:hAnsi="Times New Roman"/>
          <w:sz w:val="20"/>
        </w:rPr>
      </w:pPr>
      <w:r>
        <w:rPr>
          <w:rFonts w:ascii="Times New Roman" w:hAnsi="Times New Roman"/>
          <w:b/>
          <w:color w:val="000000"/>
          <w:sz w:val="20"/>
        </w:rPr>
        <w:t>Healthcare Reform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primary trend in the U.S. healthcare industry and elsewhere is cost containment. Government authorities and other third-party payors have attempted to control costs by limiting coverage and the amount of reimbursement for particular medical product candidates. For example, the ACA, among other things, increased the minimum Medicaid rebates owed by most manufacturers under the Medicaid Drug Rebate Program; introduced a new methodology by which rebates owed by manufacturers under the Medicaid Drug Rebate Program are calculated for product candidates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 subjected manufacturers to new annual fees based on pharmaceutical companies’ share of sales to federal healthcare programs; created a new Patient Centered Outcomes Research Institute to oversee, identify priorities in, and conduct comparative clinical effectiveness research, along with funding for such research and established a Center for Medicare and Medicaid Innovation at CMS to test innovative payment and service delivery models to lower Medicare and Medicaid spending. 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In March 2021, the American Rescue Plan Act of 2021 was signed into law, which eliminated the statutory Medicaid drug rebate cap, beginning January 1, 2024. The rebate was previously capped at 100% of a drug’s average manufacturer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there has been heightened governmental scrutiny over the manner in which manufacturers set prices for their marketed product candidates, which have resulted in several Congressional inquiries and proposed bills designed to, among other things, bring more transparency to product pricing, review the relationship between pricing and manufacturer patient programs, and reform government program reimbursement methodologies for pharmaceutical and biologic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states in the U.S. have also become increasingly active in implementing state laws and regulations addressing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which drugs and suppliers will be included in their healthcare programs Furthermore, there has been increased interest by third party payors and governmental authorities in reference pricing systems and publication of discounts and list prices.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13, 2021, EU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additional state, federal or foreign healthcare reform measures will be adopted in the future, any of which could limit the amounts that federal and state governments will pay for healthcare product candidates and services, which could result in reduced demand for our product candidates once approved or additional pricing pressures.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Mereo had 33 employees. As of December 31, 2023, 27 employees are located in the U.K. and 6 employees are located in the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employees are engaged in either general and administrative or research and development functions. None of our employees are covered by a collective bargaining agreement. We consider our relationship with our employees to be good. </w:t>
      </w:r>
    </w:p>
    <w:p>
      <w:pPr>
        <w:pStyle w:val="TextBody"/>
        <w:bidi w:val="0"/>
        <w:spacing w:before="240" w:after="283"/>
        <w:jc w:val="left"/>
        <w:rPr>
          <w:rFonts w:ascii="Times New Roman" w:hAnsi="Times New Roman"/>
          <w:sz w:val="20"/>
        </w:rPr>
      </w:pPr>
      <w:r>
        <w:rPr>
          <w:rFonts w:ascii="Times New Roman" w:hAnsi="Times New Roman"/>
          <w:b/>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governmental, legal or arbitration proceedings (including any such proceedings which are pending or threatened of which we are aware) that may have, or have had in the recent past (covering the 12 months immediately preceding the date of this Annual Report), significant effects on our financial position or profitability.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 w:name="item_1a_risk_factors"/>
      <w:bookmarkEnd w:id="3"/>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Our business has significant risks. You should carefully consider the following risk factors as well as all other information contained in this report, including our consolidated financial statements and the related notes, before making an investment decision regarding our securities. The risks and uncertainties described below are those material risk factors currently known and specific to us that we believe are relevant to our business, results of operations and financial condition. Additional risks and uncertainties not currently known to us or that we now deem immaterial may also impair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and Industry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a limited operating history and have never generated any revenue from product sales.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multi-asset, clinical-stage biopharmaceutical company with a limited operating history, and have incurred significant operating losses since our formation. For the year-ended December 31, 2023 we had a net loss of $29.5 million, and we had a net loss of $42.2 million for the year ended December 31, 2022. As of December 31, 2023, we had an accumulated deficit of $419.6 million ($404.6 million as of December 31, 2022). Our losses have resulted principally from expenses incurred from the research and development of our product candidates and from general and administrative costs that we have incurred while building and operating our business infrastructure. We expect to continue to incur significant operating losses for the foreseeable future as we invest in our research and development efforts, and seek to obtain regulatory approval and potentially commercialize our product candidates. We anticipate that our expenses will increase substantially as we: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undertake the activities required as part of our collaboration with Ultragenyx and potential commercialization of setrusumab, if approved in the EU and the U.K.;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to secure a partnership and prepare for a potential Phase 3 clinical trial of alvelestat for the treatment of severe AATD and support the expansion of the investigator-sponsored study in Bronchiolitis Obliterans Syndrome (“BOS”) into Phase 2;</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potentially establish a commercial infrastructure to commercialize or co-commercialize selected product candidates, if approved;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undertake development of our product candidates in any additional potential indications;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seek regulatory approvals for our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work with CMOs to develop manufacturing processes and scale-up for Phase 3 studies and potential commercialization;</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maintain, expand, and protect our intellectual property portfolio;</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secure, maintain, or obtain freedom to operate for our technologies and product candidates;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clinical, scientific, operational, financial, legal and management personnel, including personnel to support the development of our product candidates and potential future commercialization or co-commercialization efforts and support our operations as a U.S. public company listed on Nasdaq;</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operations and potentially hire additional employees in the U.K., U.S. and in Europe, territories where we anticipate direct commercialization or commercialization with a partner;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to acquire additional novel product candidates to treat rare diseases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expenses may also increase substantially if we experience any delays or encounter any issues with any of the above, including, but not limited to, failed clinical trials, complex results, safety issues, or unforeseen regulatory challenges.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devoted substantially all of our financial resources and efforts to the acquisition and clinical development of our product candidates. We have not completed the clinical development of any product through approval and have never generated any revenue from product sales.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become and remain profitable, we must succeed in developing and commercializing product candidates that generate significant revenue. This will require us to be successful in a range of challenging activities, including completing clinical trials of our current or any future product candidates, obtaining regulatory approval for our product candidates that successfully complete clinical trials, establishing manufacturing supplies and marketing capabilities, and ultimately commercializing, if approved, or entering into strategic relationships for our current and future product candidates. We are only in the preliminary stages of many of these activities. We may never succeed in these activities and, even if we do, we may never generate revenue that is significant enough to achieve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biopharmaceutical product development, we are unable to accurately predict the timing or amount of increased expenses or when, or if, we will be able to achieve profitability. We may be subject to different or contradictory regulatory requirements in different countries, and different regulatory authorities may not be aligned on the clinical trials necessary to support approval of our product candidates. If we are required by the FDA, the EMA, or other regulatory authorities to perform studies in addition to those we currently anticipate, or if there are any delays in completing our clinical trials or the development of our current product candidates, our expenses could increase and our ability to generate revenue could be further delayed. In addition, we may not be able to acquire new product candidates or may encounter unexpected difficulties or delays in such acquisitions, which would impair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adoption by the medical community of our product candidates, if approved, may be limited if third-party payors offer inadequate reimbursement coverage. Cost control initiatives may decrease coverage and payment levels for our product candidates, which in turn would negatively affect the price that we will be able to charge for such product candidates. We are unable to predict the coverage that will be provided by private or government payors for any product we have in development. Any denial of private or government payor coverage, inadequate reimbursement for our product candidates, or delay in receipt of reimbursement payments could harm our business and, even if we do generate product royalties or product sales, we may never achieve or sustain profitability. Our failure to sustain profitability would depress the market price of our ADSs and could impair our ability to raise capital, acquire new product candidates, expand our business, or continue our operations. A decline in the market price of our ADSs also could cause you to lose all or a part of your investment. </w:t>
      </w:r>
    </w:p>
    <w:p>
      <w:pPr>
        <w:pStyle w:val="TextBody"/>
        <w:bidi w:val="0"/>
        <w:spacing w:before="240" w:after="283"/>
        <w:jc w:val="left"/>
        <w:rPr>
          <w:rFonts w:ascii="Times New Roman" w:hAnsi="Times New Roman"/>
          <w:sz w:val="20"/>
        </w:rPr>
      </w:pPr>
      <w:r>
        <w:rPr>
          <w:rFonts w:ascii="Times New Roman" w:hAnsi="Times New Roman"/>
          <w:b/>
          <w:i/>
          <w:color w:val="000000"/>
          <w:sz w:val="20"/>
        </w:rPr>
        <w:t>We will need additional funding to complete the development of our current product candidates; to license, acquire, and develop future product candidates; and to commercialize our product candidates, if approved. If we are unable to raise capital when needed, we could be forced to delay, reduce, or eliminate research and development programs, any future commercialization efforts or acquisitions of potential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While we have raised approximately $209 million since 2020 through private placements of ordinary shares and convertible loan notes in 2020, a public offering of ADSs in February 2021 and an “at-the-market” offering of ADSs in 2023 , we expect our expenses to increase substantially in connection with our ongoing activities, particularly as we continue to advance our rare disease portfolio. In addition, if we obtain marketing approval for product candidates where we retain commercial rights, we expect to incur significant commercialization expenses related to product sales, marketing, distribution and manufacturing. Furthermore, we expect to continue to incur additional costs associated with operating as a publicly traded company in the U.S. and maintaining a listing on Nasdaq. Accordingly, we will need to obtain substantial additional funding in connection with our continuing operations. If we are unable to raise capital when needed or on attractive terms, we could be forced to delay, reduce or eliminate our research and development programs or any future commercialization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be sufficient to enable us to fund our operating expenses and capital expenditure requirements into 2026 at which point we will require additional capital. Our failure to obtain sufficient funds on acceptable terms when needed could have a material adverse effect on our business, results of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based our liquidity and capital resources estimates on assumptions that may prove to be wrong. As a result, we could use our capital resources sooner than we currently expect, or our operating plan may change as a result of many factors unknown to us. These factors, among others, may necessitate that we seek additional capital sooner than currently planned.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for our activities related to our ongoing collaboration with Ultragenyx for setrusumab for the treatment of children and adults with OI and the costs for our preparation for potential commercialization of setrusumab, if approved, in Europe and the U.K, the costs, timing and results of our ongoing investigator-led clinical trials for etigilimab in combination with nivolumab in clear cell ovarian cancer and for alvelestat in AATD and in patients with BOS;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clinical supplies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including post-marketing studies that could be required by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potential future commercialization activities, including manufacturing, marketing, sales, life cycle management and distribution, for any of our product candidates that we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amount of revenue, if any, received from commercial sales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 third party’s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competitors and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of our collaborators and partners under the existing agreements on setrusumab, navicixizumab and leflutrozole;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are able to acquire new product candidates or enter into licensing or collaboration arrangements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milestone and deferred payments under our license and option agreement with AstraZeneca;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liabilities or other assessments and our ability to claim R&amp;D tax credits or other reliefs.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Fundraising and business development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obtain funding on a timely basis, we may be required to significantly curtail, delay, or discontinue our research and development programs or any commercialization efforts; be unable to expand our operations or acquire product candidates; or be unable to otherwise capitalize on our business opportunities, as desired, which could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Our limited operating history may make it difficult for you to evaluate the success of our business to date and to assess our future viability.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our formation, we have devoted substantially all of our resources to acquiring our product candidates and developing setrusumab, alvelestat, etigilimab, acumapimod and leflutrozole; building our intellectual property portfolio; developing our supply chain; planning our business; raising capital; and providing general and administrative support for these operations. Additionally, prior to our acquisition of etigilimab and navicixizumab in the Merger, Mereo BioPharma 5 (formerly OncoMed) had invested significant resources to developing both product candidates. We have not yet demonstrated our ability to successfully complete any Phase 3 or other pivotal clinical trials, obtain regulatory approval, arrange for third parties to manufacture commercial-scale product candidates, or conduct or partner with others to conduct sales and marketing activities necessary for successful product commercialization. Additionally, although we have acquired product candidates from two large pharmaceutical companies, we have not demonstrated the sustainability of our business model of acquiring and developing product candidates from, and becoming a partner of choice for, pharmaceutical and biotechnology companies, nor have we demonstrated our ability to obtain approvals for or to commercialize or co-commercialize these product candidates. Consequently, any predictions you make about our future success or viability may not be as accurate as they could be if we had a longer operating history.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identify and acquire additional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 of our strategy involves identifying and acquiring novel product candidates that have received significant investment from large pharmaceutical and biotechnology companies and that have substantial pre-clinical, clinical, and manufacturing data packages. The process by which we identify product candidates may fail to yield product candidates for clinical development for a number of reasons, including those discussed in these risk factors and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product candidates we acquire that have generated positive clinical data for our target indication or in diseases other than our target indications may not prove to be effective in treating our target indications;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 product candidates may, with further studies, be shown to have harmful side effects or other characteristics that indicate that they are unlikely to be product candidates that will receive marketing approval and achieve market acceptance;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regulatory pathway for a potential product may be too complex and difficult to navigate successfully or economically;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may be competitive bids for potential product candidates which we do not seek to or are unable to match.</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choose to focus our efforts and resources on a potential product that ultimately proves to be unsuccessful. Further, time and resources spent searching for, identifying, acquiring, and developing potential product candidates may distract our management’s attention from our primary business or other development programs. If we are unable to identify and acquire additional suitable product candidates for clinical development, this would adversely impact our business strategy and our financial position and share price.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or adversely affect the rights of, our security 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may seek to finance our cash needs through securities offerings, debt financings, license and collaboration agreements, or other capital raising transactions. If we raise capital through securities offerings, your ownership interest will be diluted, and the terms of the securities we issue in such transactions may include liquidation or other preferences that adversely affect your rights as a holder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Raising additional capital through any of these or other means could adversely affect our business and the holdings or rights of our security holders, and may cause the market price of our ADSs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heavily on the success of setrusumab, alvelestat and etigilimab. We cannot give any assurance that any of these product candidates will receive regulatory approval, which is necessary before they can be commercialized. If we are unable to commercialize setrusumab, alvelestat and etigilimab, whether on our own or through agreements with third parties, or experience significant delays in doing so, our ability to generate revenue and our financial condition will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generate any revenue from sales of any product candidates, and we may never be able to develop or commercialize a marketable product. We have invested substantially all of our efforts and financial resources in the acquisition and development of setrusumab, alvelestat and etigilimab, among other product candidates in our portfolio. Our ability to generate royalty and product revenues, which we do not expect will occur for at least the next several years, if ever, will depend heavily on the successful development and potential commercialization of our current product candidates, if approved, which may never occur. Our current product candidates will require additional clinical development, management of clinical and manufacturing activities, regulatory approval in multiple jurisdictions, procurement of manufacturing supply, commercialization, substantial additional investment by us or our partners, and significant marketing efforts before we generate any revenue from product sales or royalties.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not permitted to market or promote any product candidates in the U.S., EU, U.K, or other countries before we receive regulatory approval from the FDA, the EMA, or comparable U.K. or foreign regulatory authorities, and we may never receive such regulatory approval for our current product candidates. We have not submitted a BLA or an NDA to the FDA, an MAA or CMA to the EMA, or comparable applications to other regulatory authorities. The success of our current product candidates will depend on many factors, including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initiation and completion of preclinical studies with favorable results, including toxicology and other studies designed to be compliant with good laboratory practices (“GLP”);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allowance to proceed with clinical trials under Investigational New Drug applications (“INDs”), by the FDA, or of similar regulatory submissions by comparable foreign regulatory authorities for the conduct of clinical trials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initiation, enrollment and completion of clinical studies in accordance with Good Clinical Practice (“GCP”) requirements and other applicable rules and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frequency and severity of adverse events observed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and establishing relationships with contract research organizations (“CROs”) and clinical sites for the clinical development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demonstrating the safety, purity, and potency, or efficacy of our product candidates to the satisfaction of the FDA and other applicable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receipt of regulatory approvals from applicable regulatory authorities, including approvals of NDAs or BLAs from the FDA, or MAAs from the EMA and maintaining any such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making arrangements with our third-party manufacturers for, or establishing, clinical or commercial manufacturing capabilities;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launching commercial sales of our product candidates, if and when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establishing and maintaining patent and trade secret protection or regulatory exclusivity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 acceptable safety profile for our product candidates following regulatory approval,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maintaining and growing an organization of people who can develop and, if approved, commercialize, market and sell our product candidates, if approved;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approved, acceptance of our current product candidates by patients, the medical community, and third-party payors; our ability to compete with other therapies to treat OI, AATD, BOS or certain oncology indications; continued acceptable safety profiles following approval of our current product candidates; and our ability to qualify for, maintain, enforce, and defend our intellectual property rights and claims.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successfully manage one or more of these factors in a timely manner or at all, we could experience significant delays or may not be able to successfully commercialize our current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certain that our current product candidates will be successful in clinical trials or receive regulatory approval. Further, our current product candidates may not receive regulatory approval even if they are successful in clinical trials. If we do not receive regulatory approvals for our current product candidates, we may not be able to continue our operations. Even if we successfully obtain regulatory approvals to manufacture and market our current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 candidates,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plan to seek regulatory approval to commercialize, or co-commercialize, our current rare disease product candidates in the U.S., U.K. and the EU, and potentially in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and we cannot predict success in these jurisdictions.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Exchange rate fluctuations may materially affect our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Owing to the international scope of our operations, fluctuations in exchange rates, particularly between the pound sterling and the U.S. dollar, the Euro, or the Swiss Franc, may adversely affect us. Further, potential future revenue may be derived from multiple jurisdictions and in multiple currencies.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The U.K.’s withdrawal from the EU, commonly referred to as Brexit, could increase our cost of doing business or otherwise negatively impact our business,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Brexit could increase our cost of doing business or otherwise negatively impact our business, results of operations and financial condition. Brexit continues to create uncertainty concerning the future relationship between the U.K. and the EU, following the U.K.’s withdrawal from the EU in January 2020. Our principal office is located in the U.K. and together with our partners we conduct clinical trials in the EU. Since a significant portion of the regulatory framework in the U.K. is derived from EU laws, Brexit materially impacts the regulatory regime with respect to the development, manufacture, importation, approval and commercialization of our product candidates in the U.K. or the EU.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end of the Brexit transition period on January 1, 2021, Great Britain (England, Scotland and Wales) has not been directly subject to EU laws, however under the terms of the Ireland/Northern Ireland Protocol, EU laws generally apply to Northern Ireland. It is currently unclear to what extent the U.K. Government will seek to align its regulations with the EU. The EU laws that have been transposed into U.K. law through secondary legislation remain applicable in Great Britain, however new legislation such as the EU Clinical Trials Regulation (“CTR”) is not applicable in Great Britain. While the EU-U.K. Trade and Cooperation Agreement (“TCA”) includes the mutual recognition of Good Manufacturing Practice (“GMP”) inspections of manufacturing facilities for medicinal products and GMP documents issued, it does not contain wholesale mutual recognition of U.K. and EU pharmaceutical regulations and product standards. There may be divergent local requirements in Great Britain from the EU in the future, which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Significant political and economic uncertainty remains about how much the relationship between the U.K. and EU will differ as a result of the U.K.’s withdrawal.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 withdrawal from the EU is unprecedented, and it is unclear how the U.K.’s access to the European single market for goods, capital, services and labor within the EU, or single market, and the wider commercial, legal and regulatory environment, will impact our current and future operations, including activities conducted by third parties and contract manufacturers on our behalf. In addition to the foregoing, our U.K. operations support our current and future operations and clinical activities in other countries in the EU and EEA and these operations and clinical activities could be disrupted by the ongoing effects of Brexit.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the regulatory framework in the U.K. covering quality, safety and efficacy of pharmaceutical products, clinical trials, marketing authorization (“MA”), commercial sales and distribution of pharmaceutical products is derived from EU directives and regulations, Brexit could materially impact the future regulatory regime with respect to the potential commercialization of our products in the U.K. 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 Any delay in commercializing our products in the U.K. and/or the EU could restrict our ability to generate revenue. The uncertainty around the U.K.’s future relationship with the EU continues to cause economic uncertainty which could adversely affect our business, financial condition and results of operations and could adversely affect the market price of our ADSs. </w:t>
      </w:r>
    </w:p>
    <w:p>
      <w:pPr>
        <w:pStyle w:val="TextBody"/>
        <w:bidi w:val="0"/>
        <w:spacing w:before="240" w:after="283"/>
        <w:jc w:val="left"/>
        <w:rPr>
          <w:rFonts w:ascii="Times New Roman" w:hAnsi="Times New Roman"/>
          <w:sz w:val="20"/>
        </w:rPr>
      </w:pPr>
      <w:r>
        <w:rPr>
          <w:rFonts w:ascii="Times New Roman" w:hAnsi="Times New Roman"/>
          <w:b/>
          <w:i/>
          <w:color w:val="000000"/>
          <w:sz w:val="20"/>
        </w:rPr>
        <w:t>Following the licensing agreements for navicixizumab and leflutrozole, and the completion of a strategic partnership for setrusumab, and if we out-license or sell our non-core product candidates or out-license any of our core rare disease product candidates for any territories, we could be exposed to future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January 2021, we completed a strategic partnership for setrusumab and completed the out-license of navicixizumab and leflutrozole in January 2020 and in December 2023, respectively. We plan to partner or sell or out-license our non-core product candidate, acumapimod for the treatment of AECOPD, recognizing the need for a larger sales infrastructure and greater resources to take these product candidates to market.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exposed to future liabilities and/or obligations with respect to any such out-licensing or sale arrangements or partnerships. We may be required to set aside provisions for warranty claims or contingent liabilities in respect of such sales or out-licensing arrangements. We may be required to pay damages (including, but not limited to, litigation costs) to a purchaser or licensee to the extent that any representations or warranties that we had given to that purchaser or licensee prove to be inaccurate or to the extent that we have breached any of our covenants or obligations contained in the disposal documentation. In certain circumstances, it is possible that any incorrect representations and warranties could give rise to a right by the purchaser or licensee to unwind the contract in addition to receiving damages. Furthermore, we may become involved in disputes or litigation in connection with such product candidates. Certain obligations and liabilities associated with our prior management of the development of any disposed product candidate can also continue to exist notwithstanding any sale, such as liabilities arising from the infringement of intellectual property rights of others.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above, the total amount of costs and expenses that may be incurred with respect to liabilities associated with an out-license or sale may exceed our expectations, and we may experience other unanticipated adverse effects, all of which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unstable market, economic, political, regulatory and other risks in a number of international operations and business disruptions could seriously harm our financial condition and increase costs.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global credit and financial markets have experienced extreme volatility and disruptions (including as a result of the COVID-19 pandemic and actual or perceived changes in interest rates and economic inflation), which has included severely diminished liquidity and credit availability, declines in consumer confidence, declines in economic growth, high inflation, uncertainty about economic stability and swings in unemployment rates. The financial markets and the global economy may also be adversely affected by the current or anticipated impact of supply chain disruptions, labor shortages, fluctuations in currency exchange rates, changes in interest rates, trade barriers, military conflict, acts of terrorism or other geopolitical events.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many of these risks as we conduct business internationally. We source research and development, manufacturing, consulting, and other services from companies based throughout the U.S., the EU, the U.K., Switzerland, India and China and we conduct our clinical trials in the U.S., Canada, certain European countries, and other countries. Accordingly, our future results could be harmed by a variety of factors, any or all of which could disrupt our supply chain, adversely affect the cost of raw materials and other services, adversely affect our ability to conduct ongoing and future clinical trials of our product candidates, and adversely affect our ability to commercialize our products (subject to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non-U.K. economies and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deteriorations in equity and credit markets making future equity or debt financing more difficult, more costly and more dilutive.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differing regulatory requirements for drug approvals in non-U.K.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differing jurisdictions could present different issues for securing, maintaining, or obtaining freedom to operate for our intellectual property in such jurisdictions;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reduced protection for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difficulties in compliance with non-U.K. laws and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non-U.K. regulations and customs, tariffs, and trade barriers;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non-U.K. currency exchange rates of the pound sterling and currency controls;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including the implications of the U.K.’s withdrawal from the EU;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U.K. or non-U.K. governments;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differing reimbursement regimes and price controls in certain non-U.K. markets;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outside of the U.K.;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U.K.;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interruptions resulting from one or more of our current service providers, manufacturers and other partners not surviving an economic downturn,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production shortages resulting from any events affecting raw material supply or manufacturing capabilities abroad;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health epidemics and other widespread outbreaks of contagious disease, or natural disasters, including earthquakes, typhoons, hurricanes, floods and fires;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business interruptions resulting from health epidemics.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impact of the Russian invasion of Ukraine and the Israel-Hamas war on the global economy, energy supplies and raw materials is uncertain, but may prove to negatively impact our business and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short and long-term implications of Russia’s invasion of Ukraine and the Israel-Hamas war are difficult to predict at this time. We continue to monitor any adverse impact that the outbreak of war in Ukraine, the subsequent institution of sanctions against Russia by the U.S. and several European and Asian countries, and the Israel-Hamas war may have on the global economy in general, on our business and operations and on the businesses and operations of our suppliers and other third parties with which we conduct business. For example, a prolonged conflict in Ukraine or Israel may result in increased inflation, escalating energy prices and constrained availability, and thus increasing costs, of raw materials. We will continue to monitor this fluid situation and develop contingency plans as necessary to address any disruptions to our business operations as they develop. To the extent the wars in Ukraine or Israel may adversely affect our business as discussed above, it may also have the effect of heightening many of the other risks described herein. Such risks include, but are not limited to, adverse effects on macroeconomic conditions, including inflation; disruptions to our global technology infrastructure, including through cyberattack, ransom attack, or cyber-intrusion; adverse changes in international trade policies and relations; disruptions in global supply chains; and constraints, volatility, or disruption in the capital markets, any of which could negatively affect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Our future growth and ability to compete depends on retaining our key personnel and recruiting additional qualified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success depends upon the continued contributions of our key management, including all of our senior management team, and scientific and technical personnel, many of whom have been instrumental for us and have substantial experience with rare diseases and the biopharmaceutical and pharmaceutical industries. The loss of key managers and senior physicians or scientists could delay our acquisition and development activities. In addition, the competition for qualified personnel in the biopharmaceutical and pharmaceutical fields is intense, and our future success depends upon our ability to attract, retain and motivate highly skilled scientific, technical, and managerial employees. We face competition for personnel from other companies and organizations. If our recruitment and retention efforts are unsuccessful in the future, it may be difficult for us to achieve our development objectives, raise additional capital, and implement our business strategy.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aim to expand our development, regulatory, and sales and marketing capabilities, and as a result, we may encounter difficulties in managing our planned growth, which could disrupt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manage our planned future growth, we must continue to implement and improve our managerial, operational and financial systems, expand our facilities or acquire new facilities, and continue to retain, recruit and train additional qualified personnel. Due to our limited financial resources and the limited experience of our management team in managing a company with such planned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our tax rates, unavailability of certain tax credits or reliefs, or exposure to additional tax liabilities or assessments could adversely affect our results of operations and financial condition.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U.K. resident trading entity, we are subject to U.K. corporate taxation. Due to the nature of our business, we have generated operating losses since formation. As of December 31, 2023 and 2022, we had cumulative carry-forward tax losses of $122.2 million, $151.3 million, respectively. The availability to carry forward and offset these tax loss carry-forwards against future operating profits is subject to certain restrictions.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company that carries out extensive research and development (“R&amp;D”) activities, we benefit from the U.K. HM Revenue and Customs (“HMRC”) small and medium sized enterprises research and development relief, or SME R&amp;D Relief, which provides relief against U.K. Corporation Tax and enables us to surrender some of our trading losses that arise from our research and development activities for a cash rebate. To date, a cash rebate of up to 33.35% of eligible R&amp;D expenditure has been available, but the cash rebate has reduced to a maximum of 27% for R&amp;D intensive companies where at least 40% of their total expenditure is on qualifying R&amp;D, or to 18.6% of eligible R&amp;D expenditure for other companies, with effect from April 1, 2023 pursuant to changes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made by the Finance Act 2023. Certain subcontracted qualifying research expenditures are eligible for a cash rebate though the rate of the cash rebate has reduced with effect from April 1, 2023, from up to 21.67% of the subcontracted expenditures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In addition, we may not be able to continue to claim payable R&amp;D tax credits in the future because we may no longer qualify as a small or medium sized company. In that case, we would expect to benefit from the taxable credit for qualifying R&amp;D expenditure under the R&amp;D Expenditure Credit (RDEC) scheme available to large companies which may be either offset against corporation tax liabilities or paid net of tax as a cash credit where there is no liability in the future. Subcontracted expenditure however is in most cases not a qualifying cost under the current RDEC scheme but is expected to be a qualifying cost (unless it relates to non-qualifying costs subcontracted overseas) under the new merged RDEC scheme, that will come into force for accounting periods beginning on or after April 1, 2024. In the event we generate revenues in the future, we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 forwards and certain built-in losses to reduce future tax payments, our business, results of operations, and financial condition may be adversely affected.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New rules were introduced, effective for accounting periods starting after April 1, 2021, whereby the amount of SME payable R&amp;D tax credit that a business can receive in any one year will be capped at £20,000 plus three times the company’s total Pay As You Earn (PAYE) and National Insurance contributions (NIC) liability. Exemptions to the cap have been introduced which are available to companies that meet certain conditions. We do not believe these changes could have an impact on our tax credit for the year ending December 31, 2023, which would be payable in 2024. If tax authorities challenge our determinations and/or audit prior periods there could be adverse tax consequences to us that could adversely affect our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Development, Clinical Testing, Manufacturing and Regulatory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Prior to our acquisition of setrusumab, alvelestat, etigilimab, acumapimod, leflutrozole and navicixizumab, we were not involved in the development of these product candidates and, as a result, we are dependent on Novartis, AstraZeneca and Mereo BioPharma 5 (formerly OncoMed) having accurately reported the results and correctly collected and interpreted the data from all clinical trials conducted prior to our acquisition.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were not involved in the development of our current product candidates prior to our acquisition of such product candidates from Novartis, AstraZeneca and Mereo BioPharma 5. For all of our current product candidates, we have had no involvement with or control over their manufacturing or pre-clinical and clinical development prior to our acquisition of them. We are dependent on Novartis, AstraZeneca and Mereo BioPharma 5 having conducted their research and development in accordance with the applicable protocols and legal, regulatory, and scientific standards; having accurately reported the results of all clinical trials conducted prior to our acquisition; and having correctly collected and interpreted the data from these trials. To the extent Novartis, AstraZeneca or Mereo BioPharma 5 has not done this, the clinical development, regulatory approval, or commercialization of our product candidates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Clinical and preclinical development involves a lengthy and expensive process with an uncertain outcome. Any difficulties or delays in the commencement or completion, or the termination or suspension, of our or our partners current or planned clinical trials could result in increased costs to us, delay or limit our ability to generate revenue or adversely affect our commercial prospects.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obtaining approval from regulatory authorities for the commercialization of any of our product candidates, we must conduct extensive clinical trials to demonstrate the safety and efficacy of the product candidate, or with respect to product candidates regulated as biologics, safety, purity and potency, in humans. Before we can initiate clinical trials for any product candidates, we must submit the results of preclinical studies to the FDA or comparable foreign regulatory authorities along with other information, including information about product candidate chemistry, manufacturing and controls and our proposed clinical trial protocol, as part of an IND or similar regulatory submission. The FDA or comparable foreign regulatory authorities may require us to conduct additional preclinical studies for any product candidate before it allows us to initiate clinical trials under any IND or similar regulatory submission, which may lead to delays and increase the costs of our preclinical development programs. Moreover, even if we commence clinical trials, issues may arise that could cause regulatory authorities to suspend or terminate such clinical trials. Any such delays in the commencement or completion of our ongoing and planned clinical trials for our product candidates could significantly affect our product development timelines and product development costs and harm our financial position.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results from preclinical studies or early clinical trials of a product candidate may not predict the results of later clinical trials of the product candidate, and interim results of a clinical trial are not necessarily indicative of final results. Product candidates in later stages of clinical trials may fail to show the desired safety and efficacy characteristics despite having progressed through preclinical studies and initial clinical trials. It is not uncommon to observe results in clinical trials that are unexpected based on preclinical studies and early clinical trials, and many product candidates fail in clinical trials despite very promising early results. Moreover, preclinical and clinical data are often susceptible to varying interpretations and analyses. A number of companies in the pharmaceutical and biotechnology industries have suffered significant setbacks in clinical development even after achieving promising results in earlier studies.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know whether our planned clinical trials will begin on time or be completed on schedule, if at all. The commencement, data readouts and completion of clinical trials can be delayed for a number of reasons, including delays related to: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inability to generate sufficient preclinical, toxicology, or other in vivo or in vitro data to support the initiation or continuation of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allowance or approval from regulatory authorities to commence a trial or reaching a consensus with regulatory authorities on trial design;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disagreeing as to the design or implementation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failure or delay in reaching an agreement with CROs and clinical trial sites, the terms of which can be subject to extensive negotiation and may vary significantly among different CROs and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obtaining approval or positive opinion from one or more institutional review boards (“IRBs”), or ethics committees at clinical trial sites;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IRBs refusing to approve, suspending or terminating the trial at an investigational site, precluding enrollment of additional subjects, or withdrawing their approval of the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or amendments to the clinical trial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sites deviating from the trial protocol or dropping out of a trial;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by our CROs to perform in accordance with GCP requirements or applicable regulatory rules and guidelines in other countries;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manufacturing sufficient quantities of our product candidates, or obtaining sufficient quantities of combination therapies for use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subjects failing to enroll or remain in our trials at the rate we expect, or failing to return for post-treatment follow-up, including subjects failing to remain in our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patients choosing an alternative product for the indications for which we are developing our product candidates, or participating in competing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lack of adequate funding to continue a clinical trial, or costs being greater than we anticipate;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subjects experiencing severe or serious unexpected drug-related adverse effects;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occurrence of serious adverse events in trials of the same class of agents conducted by other companies that could be considered similar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selection of clinical endpoints that require prolonged periods of clinical observation or extended analysis of the resulting data;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a CMO delays or failure by our CMOs or us to make any necessary changes to such manufacturing process, or failure of our CMOs to produce clinical trial materials in accordance with current Good Manufacturing Practice (“cGMP”) or similar foreign requirements, regulations or other applicable requirements;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third parties being unwilling or unable to satisfy their contractual obligations to us in a timely manner.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Clinical trials must be conducted in accordance with the FDA and other applicable regulatory authorities’ legal requirements, regulations and guidelines, and remain subject to oversight by these governmental agencies and ethics committees or IRBs at the medical institutions where such clinical trials are conducted.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applicable clinical trial protocols, adverse findings from inspections of clinical trial sites by the FDA, EMA or comparable foreign regulatory authorities, unforeseen safety issues or adverse side effects, failure to demonstrate a benefit from using a product candidate,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regulators or to IRBs for reexamination, which may impact the costs, timing or successful completion of a clinical trial.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 Compliance with the CTR requirements by us, and our third-party service providers, such as CROs, may impact our developments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slow or unable to adapt to changes in existing requirements or the adoption of new requirements or policies governing clinical trials, our development plans may be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currently unclear to what extent the U.K., will seek to align its clinical trials legislation with the EU. The U.K. regulatory framework in relation to clinical trials is derived from EU clinical trials legislation which pre-dated the CTR (as implemented into U.K. law, through secondary legislation). On January 17, 2022, the U.K. Medicines and Healthcare products Regulatory Agency (“MHRA”) launched an eight-week consultation on reframing the U.K. legislation for clinical trials. The MHRA responded to the consultation on March 21, 2023 and confirmed that it would bring forward changes to the legislation. The final legal texts introduced by the U.K. Government will ultimately determine the extent to which whether the U.K. clinical trials framework aligns with or diverges from with the CTR. A decision by the U.K. Government not to closely align its regulations with the new approach that has been adopted in the EU may have an effect on the cost of conducting clinical trials in the U.K. as opposed to other countries. If there are divergent local requirements in Great Britain from the EU in the future, this may impact clinical and development activities that occur in the U.K. in the future. Similarly, clinical trial submissions in the U.K. will not be able to be bundled with those of EU countries within the EMA Clinical Trial Information System (“CTIS”), adding further complexity, cost and potential risk to future clinical and development activity in the U.K.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conducting clinical trials in foreign countries, as we may do for our product candidates, presents additional risks that may delay completion of our clinical trials. These risks include the failure of enrolled subjects in foreign countries to adhere to clinical protocols as a result of differences in healthcare services or cultural customs, managing additional administrative burdens associated with foreign regulatory schemes, and political and economic risks, including war, relevant to such foreign countries.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many of the factors that cause, or lead to, the termination suspension of, or a delay in the commencement or completion of, clinical trials may also ultimately lead to the denial of regulatory approval of a product candidate. Any resulting delays to our clinical trials could shorten any period during which we may have the exclusive right to commercialize our product candidates. In such cases, our competitors may be able to bring products to market before we do, and the commercial viability of our product candidates could be significantly reduced. Any of these occurrences may harm our business, financial condition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Interim, “top-line” and preliminary data from our clinical trials and preclinical studies that we announce or publish from time to time may change as more patient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we may publicly disclose interim, top-line, or preliminary data from our clinical trials and preclinical studies,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interim, top-line, or preliminary results that we report may differ from future results of the same studies or trials, or different conclusions or considerations may qualify such results, once additional data have been received and fully evaluated. Top-line and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Interim data from clinical trials that we may complete are further subject to the risk that one or more of the clinical outcomes may materially change as patient enrollment continues and more patient data become available. Adverse differences between interim, top-line, or preliminary data and final data could significantly harm our business prospects. Further, disclosure of such data by us or by our competitors could result in volatility in the price of our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have serious adverse, undesirable, or unacceptable side effects which may delay or prevent marketing approval or lead to the withdrawal of approval after it has been granted. If such side effects are identified during the development of these product candidates or following approval, if any, we may need to abandon our development of these product candidates, the commercial profile of any approved label may be limited, or we may be subject to other significant negative consequences following marketing approval, if any.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Undesirable side effects that may be caused by our product candidates could cause us or regulatory authorities to interrupt, delay or halt clinical trials, and could result in a more restrictive label or the delay or denial of regulatory approval by the FDA, or other foreign authorities, or, if such product candidates are approved, result in a more restrictive label and other post-approval requirements. Any treatment-related side effects could also affect patient recruitment or the ability of enrolled patients to complete the trial, or could result in potential product liability claims. Any of these occurrences may harm our business, financial condition and prospects significantly. If our product candidates are associated with undesirable side effects or have unexpected characteristics in preclinical studies or clinical trials, we may need to interrupt, delay or abandon their development or limit development to more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narrow uses or subpopulations in which the undesirable side effects or other characteristics are less prevalent, less severe or more acceptable from a risk-benefit perspective.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Results of our ongoing and future clinical trials, or results from clinical trials for other similar product candidates, could reveal a high and unacceptable severity and prevalence of adverse side effects. In such an event, development efforts of that product candidate altogether. We, our partners, the FDA, other comparable foreign regulatory authorities or an IRB may suspend clinical trials of a product candidate at any time for various reasons, including a belief that subjects in such trials are being exposed to unacceptable health risks or adverse side effects. Even if the side effects do not preclude the product candidate from obtaining or maintaining regulatory approval, undesirable side effects may inhibit market acceptance due to tolerability concerns as compared to other available therapies. Any of these developments could materially harm our business, financial condition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Drug-related side effects could also affect patient recruitment or the ability of enrolled patients to complete a trial or result in potential product liability claims. Additionally, if any of our product candidates receives marketing approval and we or others later identify undesirable or unacceptable side effects caused by these product candidates, a number of potentially significant negative consequences could result,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withdraw or modify approvals of any such product and require us to take it off the market;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a contraindication or field alerts to physicians and pharmacies;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may require a medication guide outlining the risks of such side effects for distribution to patients, or that we implement a Risk Evaluation and Mitigation Strategy (“REMS”) plan to ensure that the benefits of the product outweigh its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required to change the way a product is administered, conduct additional clinical trials or change the labeling of a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private or government payors may not offer, or may offer inadequate, reimbursement coverage for our product candidates, or reimbursement payments may be delayed or impossible to recover;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or any collaborators from achieving or maintaining market acceptance of our product candidates or could substantially increase commercialization costs and expenses, which in turn could delay or prevent us from generating significant revenue from the sale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Manufacturing tests of setrusumab have shown that it may cause an opalescence appearance to the liquid antibody formulation.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candidate for treating OI, setrusumab, is of the IgG2 type subclass monoclonal antibody. The IgG2 subclass is known for having a tendency to reversibly self-associate and this can cause an opalescence appearance to the liquid antibody formulation that can be mediated by protein concentration, pH and temperature. The presence of an opalescence solution does not have an impact on product potency and effectiveness and does not generally correlate with the formation of aggregates or particles. We have conducted several large-scale manufacturing runs of drug substance and drug product at third-party CMOs without observing any opalescence and we have further conducted formulation studies in order to minimize any risk of significant opalescence or of aggregate formation. We have also conducted product stability studies and excipient optimization, resulting in a change in the methodology for product reconstitution; however, there can be no assurances that this opalescence will not occur in future manufacturing runs. </w:t>
      </w:r>
    </w:p>
    <w:p>
      <w:pPr>
        <w:pStyle w:val="TextBody"/>
        <w:bidi w:val="0"/>
        <w:spacing w:before="240" w:after="283"/>
        <w:jc w:val="left"/>
        <w:rPr>
          <w:rFonts w:ascii="Times New Roman" w:hAnsi="Times New Roman"/>
          <w:sz w:val="20"/>
        </w:rPr>
      </w:pPr>
      <w:r>
        <w:rPr>
          <w:rFonts w:ascii="Times New Roman" w:hAnsi="Times New Roman"/>
          <w:b/>
          <w:i/>
          <w:color w:val="000000"/>
          <w:sz w:val="20"/>
        </w:rPr>
        <w:t>We depend on enrollment of patients in our clinical trials for our product candidates. If we are unable to enroll patients in our clinical trials, or enrollment is slower than anticipated, in particular for our product candidates with rare disease indications, our research and development efforts could be adversely affected.</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Successful and timely completion of clinical trials for our product candidates will require that we enroll a sufficient number of patient candidates. Trials may be subject to delays as a result of the limited number of patients with the diseases that these product candidates target, patient enrollment taking longer than anticipated or patient withdrawal. We will compete with other companies in enrolling the same limited population of patients, which may further challenge our ability to timely enroll patients in our clinical trials as there are a significant number of studies ongoing in oncology in the U.S. and Europe. Due to the small number of patients for any rare disease or tumor type, it may be difficult for us to enroll a sufficient number of patients in our clinical trials for our product candidates with indications in rare diseases or enrollment for these product candidates may take significantly longer than we anticipate. There are an estimated 50,000 and 60,000 persons in North America and Europe, respectively, with the genotypes that we could enroll in our clinical trials for AATD, the target indication for alvelestat. However, due to underdiagnosis, there are estimated to be approximately 10,000 patients diagnosed in North America. Patient enrollment depends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size and nature of the targeted patient population;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severity of the disease or condition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availability and efficacy of approved therapies for the disease or condition under investigation;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as defined in the protocol;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of the product candidate being studied in relation to other available therapies, including any products that may be approved for, or any product candidates under investigation for, the indications we are investigating;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proximity and availability of clinical trial sites for prospective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enrollment of prospective patients by clinical trial sites;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that patients enrolled in clinical trials will drop out of such trials before completion.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factors and others outside our control may make it difficult for us to enroll enough patients to complete our clinical trials in a timely and cost-effective manner. For example, the COVID-19 pandemic previously resulted in delays in our ability to enroll and treat patients and obtain data from clinical trials, particularly patients with severe AATD. We also rely on, and will continue to rely on, CROs and clinical trial sites to ensure proper and timely conduct of our clinical trials and preclinical studies. Though we have entered into agreements governing their services, we will have limited influence over their actual performance.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regulatory approval for the sale of our product candidates. Furthermore, even if we are able to enroll a sufficient number of patients for our clinical trials, we may have difficulty maintaining enrollment of such patients in our clinical trials.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exposed to costly and damaging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development, manufacturing, marketing, and use of pharmaceutical product candidates. Currently, we have no product candidates that have been approved for commercial sale; however, the current and future use of our product candidates by us and any collaborators, in clinical trials, and the sale of these product candidates, if approved, in the future, may expose us to liability claims. These claims might be made by patients that use the product, healthcare providers, pharmaceutical companies, our collaborators, or others selling these product candidates. Any claims against us, regardless of their merit, could be difficult and costly to defend and could adversely affect the market for our product candidates or any prospects for commercialization of our product candidates. In addition, regardless of the merits or eventual outcome, liability claims may result in: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decreased demand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to defend related litigation;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diversion of management’s time and our resources;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investigation, product recalls or withdrawals, or labeling, marketing or promotional restrictions;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of revenue;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inability to commercialize, co-commercialize or promote our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maintain product liability insurance for our product candidates, it is possible that our liabilities could exceed our insurance coverage. We intend to expand our coverage to include the sale of commercial product candidates if we obtain marketing approval for any of our product candidates. However,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clinical development, manufacturing, labeling, storage, record-keeping, advertising, promotion, import, export, marketing and distribution of our product candidates are subject to extensive regulation by the FDA in the U.S. and by comparable foreign regulatory authorities in foreign markets, such as the EMA. In the U.S., we are not permitted to market our product candidates in the U.S. until we receive regulatory approval of a BLA or NDA from the FDA. The process of obtaining such regulatory approval is expensive, often takes many years following the commencement of clinical trials and can vary substantially based upon the type, complexity and novelty of the product candidates involved, as well as the target indications and patient population. Approval policies or regulations may change, and the FDA, EMA and comparable foreign regulatory authorities have substantial discretion in the approval process, including the ability to delay, limit or deny approval of a product candidate for many reasons. Despite the time and expense invested in clinical development of product candidates, regulatory approval of a product candidate is never guaranteed. Of the large number of drugs in development, only a small percentage successfully complete the FDA or foreign regulatory approval processes and are commercialized.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obtaining approval to commercialize a product candidate in the U.S. or abroad, we must demonstrate with substantial evidence from adequate and well-controlled clinical trials, and to the satisfaction of the FDA or comparable foreign regulatory authorities, that such product candidates are safe and effective for their intended uses, and in the case of biological products, that such product candidates are safe, pure and potent. Results from nonclinical studies and clinical trials can be interpreted in different ways. Even if we believe available nonclinical or clinical data support the safety purity, potency, or efficacy, of our product candidates, such data may not be sufficient to obtain approval from the FDA and comparable foreign regulatory authorities. The FDA, EMA or comparable foreign regulatory authorities, as the case may be, may also require us to conduct additional preclinical studies or clinical trials for our product candidates either prior to or post-approval, or may object to elements of our clinical development program.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can delay, limit or deny approval of a product candidate for many reasons,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the design or execution of our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negative or ambiguous results from our clinical trials or results may not meet the level of statistical significance required by the FDA, EMA or comparable foreign regulatory agencies for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serious and unexpected drug-related side effects may be experienced by participants in our clinical trials or by individuals using drugs similar to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population studied in the clinical trial may not be sufficiently broad or representative to assure safety in the full population for which we seek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accept clinical data from trials that are conducted at clinical facilities or in countries where the standard of care is potentially different from that of their own country;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unable to demonstrate that a product candidate’s clinical and other benefits outweigh its safety risks;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our interpretation of data from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not agree that the data collected from clinical trials of our product candidates are acceptable or sufficient to support the submission of a BLA, NDA, MAA or other submission or to obtain regulatory approval in the U.S. or elsewhere, and such authorities may impose requirements for additional preclinical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disagree with us regarding the formulation, labeling and/or the product specifications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approval may be granted only for indications that are significantly more limited than those sought by us, and/or may include significant restrictions on distribution and use;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such authorities may find deficiencies in the manufacturing processes or facilities of the third-party manufacturers with which we contract for clinical and commercial supplies;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such authorities may not accept a submission due to, among other reasons, the content or formatting of the submission.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With respect to foreign markets, approval procedures vary among countries and, in addition to the foregoing risks, may involve additional product testing, administrative review periods and agreements with pricing authorities.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eventually complete clinical trials and receive approval of a BLA, NDA, MAA or comparable marketing application for our product candidates, the FDA or a comparable regulatory authority may grant approval contingent on the performance of costly additional clinical trials and/or the implementation of a REMS, which may be required because the FDA believes it is necessary to ensure safe use of the product after approval. Any delay in obtaining, or inability to obtain, applicable regulatory approval would delay or prevent commercialization of that product candidate and would materially adversely impact our business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in the long term.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attempt to secure approval from the FDA or comparable foreign regulatory authorities through the use of accelerated approval pathways. If we are unable to obtain such approval, we may be required to conduct additional preclinical studies or clinical trials beyond those that we contemplate, which could increase the expense of obtaining, and delay the receipt of, necessary marketing approvals. Even if we receive accelerated approval from the FDA, if our confirmatory trials do not verify clinical benefit, or if we do not comply with rigorous post-marketing requirements, the FDA may seek to withdraw any accelerated approval we have obtained.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in the future seek accelerated approval for our one or more of our product candidates.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confirmatory studies to verity and describe the drug’s clinical benefit. If such post-approval studies fail to confirm the drug’s clinical benefit or are not completed in a timely manner, the FDA may withdraw its approval of the drug on an expedited basis. In addition, in December 2022, President Biden signed an omnibus appropriations bill to fund the U.S. government through fiscal year 2023. Included in the omnibus bill is the Food and Drug Omnibus Reform Act of 2022, which among other things, provided FDA new statutory authority to mitigate potential risks to patients from continued marketing of ineffective drugs previously granted accelerated approval. Under these provisions, the FDA may require a sponsor of a product seeking accelerated approval to have a confirmatory trial underway prior to such approval being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seeking accelerated approval for any of our product candidates, we intend to seek feedback from the FDA and will otherwise evaluate our ability to seek and receive accelerated approval. There can be no assurance that after our evaluation of the feedback and other factors we will decide to pursue or submit an NDA or BLA for accelerated approval or any other form of expedited development, review or approval. Furthermore, if we decide to submit an application for accelerated approval for our product candidates, there can be no assurance that such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our product candidate would result in a longer time period to commercialization of such product candidate, if any, could increase the cost of development of such product candidate and could harm our competitive position in the marketplace. </w:t>
      </w:r>
    </w:p>
    <w:p>
      <w:pPr>
        <w:pStyle w:val="TextBody"/>
        <w:bidi w:val="0"/>
        <w:spacing w:before="240" w:after="283"/>
        <w:jc w:val="left"/>
        <w:rPr>
          <w:rFonts w:ascii="Times New Roman" w:hAnsi="Times New Roman"/>
          <w:sz w:val="20"/>
        </w:rPr>
      </w:pPr>
      <w:r>
        <w:rPr>
          <w:rFonts w:ascii="Times New Roman" w:hAnsi="Times New Roman"/>
          <w:b/>
          <w:i/>
          <w:color w:val="000000"/>
          <w:sz w:val="20"/>
        </w:rPr>
        <w:t>Disruptions at the FDA and other government agencies caused by funding shortages or global health concerns could hinder their ability to hire, retain or deploy key leadership and other personnel, prevent new or modified products from being developed, review, approved or commercialized in a timely manner or at all, which could negatively impact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ability of the FDA and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such as the EMA following its relocation to Amsterdam and resulting staff changes, may also slow the time necessary for new drugs, and biologics or modifications to approved drugs and biologics to be reviewed and/or approved by necessary government agencies, which would adversely affect our business. For example, over the last several years, the U.S. government has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shut down several times and certain regulatory agencies, such as the FDA, have had to furlough critical FDA employees and stop critical activities.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Separately, in response to the global COVID-19 pandemic, the FDA postponed most inspections of domestic and foreign manufacturing facilities at various points. Even though the FDA has since resumed standard inspection operations any resurgence of the virus or emergence of new variants may lead to further inspectional delays. If a prolonged government shutdown occurs, or if global health concerns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of our product candidates obtains regulatory approval, we will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such product.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 FDA or a comparable foreign regulatory authority approves any of our product candidates, the manufacturing processes, labeling, packaging, distribution, adverse event reporting, storage, advertising, promotion, and recordkeeping for such product will be subject to extensive and ongoing regulatory requirements. These requirements include submissions of safety and other post-marketing information and reports, facility registration, and drug listing, as well as continued compliance with cGMP or similar foreign requirements for manufacturing, good distribution practice, requirements for product distribution, and GCP requirements for any clinical trials that we conduct post-approval, all of which may result in significant expense and limit our ability to commercialize, or co-commercialize, a product. We and our contract manufacturers will also be subject to user fees and periodic inspection by the FDA, and other comparable foreign regulatory authorities to monitor compliance with these requirements and the terms of any product approval we may obtain. In addition, any regulatory approvals that we receive for a product may also be subject to limitations on the approved indicated uses for which such product may be marketed or to the conditions of approval, or contain requirements for potentially costly post-marketing testing, including Phase 4 clinical trials, and surveillance to monitor the safety and efficacy of such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there are changes in the application of legislation or regulatory policies, or if problems are discovered with a product or the manufacture of a product, or if we or one of our distributors, licensees, or co-marketers fails to comply with regulatory requirements, the regulatory authorities could take various actions. These include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our products, withdrawal of the product from the market or voluntary or mandatory product recalls;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restrictions on product distribution or use, or requirements to conduct post-marketing studies or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fines, restitutions, disgorgement of profits or revenues, warning letters, untitled letters or holds on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refusal by the FDA or comparable foreign regulatory authority to approve pending applications or supplements to approved applications submitted by us or suspension or revocation of approvals;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seizure or detention, or refusal to permit the import or export of our products;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injunctions or the imposition of civil or criminal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our product candidates and generate revenue and could require us to expend significant time and resources in response and could generate negative publicity.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policies of the FDA, the EMA, and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the U.K., EU, or other jurisdictions. If we are slow or unable to adapt to changes in existing requirements or the adoption of new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requirements or policies, or if we are not able to maintain regulatory compliance, we may be subject to enforcement action and we may not achieve or sustain profitability.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marketing approval of any of our product candidates in a major pharmaceutical market such as the U.S. or the EU, we may not be able to obtain approval or commercialize that product in other markets, which would limit our ability to realize our full market potential.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order to market any product candidates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multiple markets may require additional pre-clinical studies or clinical trials, which would be costly and time consuming. Regulatory requirements can vary widely from country to country and could delay or prevent the introduction of our product candidates in those countries. Satisfying these and other regulatory requirements is costly, time consuming, uncertain, and may be subject to unanticipated delays. In addition, our failure to obtain regulatory approval in any country may delay or have negative effects on the process for regulatory approval in other countries. We currently do not have any product candidates approved for sale in the U.S., the EU, the U.K. or any other markets, and our management team does not have experience in obtaining regulatory approval in markets outside of the U.S., the EU and the U.K. If we seek regulatory approval in other markets and fail to obtain marketing approval in those markets or, if our product candidates are approved in such markets but we fail to maintain such approvals, our ability to realize the full market potential of our product candidates will be compromised.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and independent contractors, including principal investigators, CROs, CMOs, consultants, vendors, and any other third parties we may engage in connection with the development and commercialization of our product candidates may engage in misconduct or other improper activities, including noncompliance with regulatory standards and requirements, which could adversely affect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Misconduct by our employees and independent contractors, including principal investigators, CROs, CMOs, consultants, vendors, and any other third parties we may engage in connection with the development and commercialization of our product candidates, could include intentional, reckless, or negligent conduct or unauthorized activities that violate: (i) the laws and regulations of the FDA and other similar regulatory authorities, including those laws that require the reporting of true, complete and accurate information to such authorities; (ii) manufacturing standards; (iii) data privacy, security, fraud and abuse, and other healthcare laws and regulations;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creation of fraudulent data in pre- 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other U.S. federal healthcare programs or healthcare programs in other jurisdictions, individual imprisonment, other sanctions, contractual damages, reputational harm, diminished profits and future earnings, and curtailment of our operations. We are also subject to the data privacy regime in the EU and U.K., which imposes obligations and restrictions on the collection and use of personal data relating to individuals located in the EU and U.K., respectively. If we do not comply with our obligations under these privacy regimes, we could be exposed to significant fines and may be the subject of litigation and/or adverse publicity, which could have a material adverse effect on our reputation and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Healthcare Laws and Other Legal Compliance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Enacted and future healthcare legislation may increase the difficulty and cost for us to obtain marketing approval of and commercialize our product candidates and may affect the prices we may set.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EU, the U.K. and other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as amended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by the Health Care and Education Reconciliation Act (as so amended, the “ACA”) was enacted, which substantially changed the way healthcare is financed by both governmental and private insurers. Among the provisions of the ACA, those of greatest importance to the pharmaceutical and biotechnology industries include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annual, non-deductible fee payable by any entity that manufactures or imports certain branded prescription drugs and biologic agents (other than those designated as orphan drugs), which is apportioned among these entities according to their market share in certain government healthcare programs;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increase in the statutory minimum rebates a manufacturer must pay under the Medicaid Drug Rebate Program to 23.1% and 13.0% of the average manufacturer price of branded and generic drugs, respectively;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methodology by which rebates owed by manufacturers under the Medicaid Drug Rebate Program are calculated for drugs and biologics, including our product candidates, that are inhaled, infused, instilled, implanted, or injected;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extension of a manufacturer’s Medicaid rebate liability to covered drugs dispensed to individuals who are enrolled in Medicaid managed care organizations;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expansion of eligibility criteria for Medicaid programs by, among other things, allowing states to offer Medicaid coverage to certain individuals with income at or below 133% of the federal poverty level, thereby potentially increasing a manufacturer’s Medicaid rebate liability;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 Patient-Centered Outcomes Research Institute to oversee, identify priorities in, and conduct comparative clinical effectiveness research, along with funding for such research;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establishment of a Center for Medicare and Medicaid Innovation at the Centers for Medicare &amp; Medicaid Services (“CMS”), to test innovative payment and service delivery models to lower Medicare and Medicaid spending, potentially including prescription drug spending;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expansion of the entities eligible for discounts under the Public Health Service program;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licensure framework for follow on biologic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In addition, other legislative changes have been proposed and adopted since the ACA was enacted. For example, on March 11, 2021, President Biden signed the American Rescue Plan Act of 2021 into law, which eliminated the statutory Medicaid drug rebate cap, beginning January 1, 2024. The rebate was previously capped at 100% of a drug’s average manufacturer price.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heightened governmental scrutiny is likely to continue over the manner in which manufacturers set prices for their marketed products, which has resulted in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Moreover, payment methodologies may be subject to changes in healthcare legislation and regulatory initiatives. On August 16, 2022, the Inflation Reduction Act of 2022, or IRA, was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(beginning in 2025). The IRA permits the Secretary of the Department of Health and Human Services, or HHS, to implement many of these provisions through guidance, as opposed to regulation, for the initial years. On August 29, 2023, HHS announced the list of the first ten drugs that will be subject to price negotiations. HHS has issued and will continue to issue guidance implementing the IRA, although the Medicare drug price negotiation program is currently subject to legal challenges. While the impact of the IRA on the pharmaceutical industry cannot yet be fully determined, it is likely to be significant. We expect that additional U.S. federal healthcare reform measures will be adopted in the future, any of which could limit the amounts that the U.S. federal government will pay for healthcare product candidates and services, which could result in reduced demand for our product candidates or additional pricing pressures.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 candidates and which suppliers will be included in their prescription drug and other healthcare programs. This could reduce the ultimate demand for our product candidates or put pressure on our product pricing.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and U.K., similar political, economic and regulatory developments may affect our ability to profitably commercialize, or co-commercialize, our product candidates, if approved. In addition to continuing pressure on prices and cost containment measures, legislative developments at the EU member state level or in the U.K. may result in significant additional requirements or obstacles that may increase our operating costs. The delivery of healthcare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 candidates in that context. In general, however, the healthcare budgetary constraints in most EU member states have resulted in restrictions on the pricing and reimbursement of medicines by relevant health service providers. Coupled with ever- increasing EU and national regulatory burdens on those wishing to develop and market product candidates, this could prevent or delay marketing approval of our product candidates, restrict or regulate post-approval activities and affect our ability to commercialize, or co-commercialize, our product candidates, if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December 13, 2021, EU Regulation No 2021/2282 on Health Technology Assessment (“HTA”) amending Directive 2011/24/EU, was adopted. While the Regulation entered into force in January 2022, it will only begin to apply from January 2025 onwards, with preparatory and implementation-related steps to take place in the interim. Once applicable, it will have a phased implementation depending on the concerned products: oncology and advanced therapy medicinal products (“ATMPs”) as of 2025, orphan medicinal products as of 2028 and 2030 for all other medicinal products. This Regulation intends to boost cooperation among EU member states in assessing health technologies, including new medicinal products, and provide the basis for cooperation at the EU level for joint clinical assessments in these areas, using methodologies adapted to the specificities of the type of product in question.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markets outside of the U.S., the EU and the U.K., reimbursement and healthcare payment systems vary significantly by country, and many countries have instituted price ceilings on specific product candidates and therapies.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in the U.S., the EU, the U.K., or any other jurisdiction.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additional legislative and regulatory proposals at the foreign, federal and state levels directed at broadening the availability of healthcare and containing or lowering the cost of healthcare. Such reforms could have an adverse effect on anticipated revenues from product candidates that we may successfully develop and for which we may obtain marketing approval and may affect our overall financial condition and ability to develop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healthcare professionals, consultants, third-party payors, patient organizations, and customers will be subject to applicable healthcare regulatory laws, which could expose us to penalties.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operations and current and future arrangements with investigators, healthcare professionals, consultants, third-party payors, patient organizations,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Such laws include: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 The U.S. federal Anti-Kickback Statute has been interpreted to apply to arrangements between pharmaceutical manufacturers on the one hand and prescribers, purchasers, and formulary managers on the other hand;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false claims laws, including the civil False Claims Act (“FCA”)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FCA. As a result of a modification made by the Fraud Enforcement and Recovery Act of 2009, a claim includes “any request or demand” for money or property presented to the federal government. In addition, manufacturers can be held liable under the FCA even when they do not submit claims directly to government payors if they are deemed to “cause” the submission of false or fraudulent claims;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Health Insurance Portability and Accountability Act of 1996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a material fact or making any materially false statement, in connection with the delivery of, or payment for, healthcare benefits, items or services; similar to the U.S. federal Anti- Kickback Statute, a person or entity does not need to have actual knowledge of the statute or specific intent to violate it in order to have committed a violation;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U.S. federal legislation commonly referred to as the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other non-physician practitioners (physician assistants, nurse practitioners, clinical nurse specialists, anesthesiologist assistants, certified registered nurse anesthetists, anesthesiology assistants and certified nurse midwives), and teaching hospitals, as well as ownership and investment interests held by the physicians described above and their immediate family members;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analogous 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similar healthcare laws and regulations in the EU, the U.K. and other jurisdictions, including reporting requirements detailing interactions with and payments to healthcare providers.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regulatory safe harbors available under such laws, it is possible that some of our business activities could be subject to challenge under one or more of such laws. The scope and enforcement of each of these laws is uncertain and subject to rapid change in the current environment of healthcare reform, especially in light of the lack of applicable precedent and regulations. Ensuring that our current and future internal operations and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operations are found to be in violation of any of the laws described above or any other governmental laws and regulations that may apply to us, we may be subject to the imposition of civil, criminal and administrative penalties, damages, disgorgement, monetary fines, possible exclusion from participation in government funded healthcare programs (including Medicare, Medicaid and other federal healthcare programs in the U.S.), individual imprisonment, contractual damages, reputational harm, diminished profits and future earnings, additional reporting requirements and/or oversight if we become subject to a corporate integrity agreement or similar agreement to resolve allegations of non-compliance with these laws, and curtailment or restructuring of our operations, any of which could adversely affect our ability to operate our business and our results of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subject to governmental regulation and other legal obligations related to privacy, data protection and data security. Our actual or perceived failure to comply with such obligations could harm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abroad may also be subject to increased scrutiny or attention from data protection authorities. For example, we are subject to diverse laws and regulations relating to data privacy and security in the EU, and the U.K. including the GDPR and U.K. GDPR. New global privacy rules are being enacted and existing ones are being updated and strengthened. We are likely to be required to expend capital and other resources to ensure ongoing compliance with these laws and regulations. The GDPR and U.K. GDPR implement stringent operational requirements for controllers and processors of personal data, including comprehensive data privacy compliance obligations in relation to our collection, processing, sharing, disclosure, transfer and other use of personal data, including a principal of accountability and the obligation to demonstrate compliance through policies, procedures, training and audit. Failure by us, or our partners or service providers, to comply with the GDPR or U.K. GDPR could result in regulatory investigations, enforcement notices and/or fines of up to the higher of €20 million or £17.5 million or up to 4% of our total worldwide annual turnover. In addition to the foregoing, any breach of privacy laws or data security laws could have a material adverse effect on our business, reputation and financial condition. We may also face civil claims seeking compensation for both material and immaterial harms arising from a GDPR or U.K. GDPR violation. The GDPR and U.K. GDPR also regulate cross-border transfers of personal data to third countries that have not been found to provide adequate protection to such personal data, including the U.S., and the efficacy and longevity of current transfer mechanisms between the EEA, and the U.S. remains uncertain. We expect the existing legal complexity and uncertainty regarding international personal data transfers to continue. In particular, we expect the European Commission approval of the current EU-US Data Privacy Framework for data transfers to certified entities in the United States to be challenged and international transfers to the United States and to other jurisdictions more generally to continue to be subject to enhanced scrutiny by regulators. As the regulatory guidance and enforcement landscape in relation to data transfers further develop, we could incur additional costs, complaints and/or regulatory investigations or fines; we may have to stop using certain tools and vendors and make other operational changes, we may have to implement alternative data transfer mechanisms under the GDPR and/ or take additional compliance and operational measures; and/or it could otherwise affect the manner in which we provide our services, and could adversely affect our business, operations and financial condition.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data controller, we are accountable for any third-party data service providers we engage to process personal data on our behalf. We attempt to address the associated risks by performing security assessments, detailed due diligence and regularly performing privacy and security reviews of our vendors and requiring all such third-party providers with data access to sign agreements, including business associate agreements, and where required under EU or U.K. law, obligating them to only process data according to our instructions and to take sufficient security measures to protect such data. There is no assurance that these contractual measures and our own privacy and security-related safeguards will protect us from the risks associated with the third-party processing, storage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transmission of such information. Any violation of data or security laws by our third-party processors could have a material adverse effect on our business and result in the fines and penalties outlined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recent years, U.S. and European lawmakers and regulators have also expressed concern over the use of third-party cookies, web beacons and similar technology. In particular, recent European court and regulator decisions are driving increased attention to cookies and tracking technologies. If the trend of increasing enforcement by European regulators of the strict approach to opt-in consent for all but essential use cases, as seen in recent guidance and decisions continues, this could lead to substantial costs, require significant systems changes, divert the attention of our technology personnel, adversely affect our margins, and subject us to additional liabilities. In light of the complex and evolving nature of EU, EU Member State and U.K. privacy laws on cookies and tracking technologies, there can be no assurances that we will be successful in our efforts to comply with such laws; violations of such laws could result in regulatory investigations, fines, orders to cease/ change our use of such technologies, as well as civil claims including class actions, and reputational damage.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in the U.S., numerous state and federal laws, regulations, standards and other legal obligations, including consumer protection laws and regulations, which govern the collection, dissemination, use, access to, confidentiality, security and processing of personal information, including health-related information, could apply to our operations or the operations of our partners. In addition, we may obtain health information from third parties (including research institutions from which we obtain clinical trial data) that are subject to privacy and security requirements under HIPAA. Depending on the facts and circumstances, we could be subject to significant penalties if we violate HIPAA.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Certain states have also adopted data privacy and security laws and regulations that govern the privacy, processing and protection of health-related and other personal information. Such laws and regulations will be subject to interpretation by various courts and other governmental authorities, thus creating potentially complex compliance issues for us and our future customers and strategic partners. For example, the California Consumer Privacy Act of 2018 (“CCPA”) went into effect on January 1, 2020. 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has increased the likelihood of, and risks associated with data breach litigation. Further, the California Privacy Rights Act (“CPRA”) generally went into effect on January 1, 2023, and significantly amends the CCPA. It imposes additional data protection obligations on covered businesses, including additional consumer rights processes, limitations on data uses, new audit requirements for higher risk data, and opt outs for certain uses of sensitive data. It also creates a new California data protection agency authorized to issue substantive regulations and could result in increased privacy and information security enforcement. Additional compliance investment and potential business process changes may also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the CPRA or other domestic privacy and data protection laws, any liability from failure to comply with the requirements of these laws could adversely affect our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our international operations, we are subject to anti-corruption laws, as well as export control laws, customs laws, sanctions laws and other laws governing our operations. If we fail to comply with these laws, we could be subject to civil or criminal penalties, other remedial measures and legal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are subject to anti-corruption laws, including the U.K. Bribery Act 2010 (the “Bribery Act”); the U.S. Foreign Corrupt Practices Act (the “FCPA”); and other anti-corruption laws that apply in countries where we do business and may do business in the future. The Bribery Act, the FCPA, and these other laws generally prohibit us, our officers and our employees and intermediaries from bribing, being bribed by, or providing prohibited payments or anything else of value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the FCPA, or local anti- corruption laws. In addition, we cannot predict the nature, scope, or effect of future regulatory requirements to which any of our international operations might be subject or the manner in which existing laws might be administered or interpreted.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also subject to other laws and regulations governing any international operations, such as applicable export controls, embargoes, economic, financial and trade sanctions laws and regulations, including those administered and enforced by the U.K., the U.S. and the EU (and its Member States), (collectively, the “Trade Controls”). These Trade Controls prohibit or restrict dealings relating to certain countries, regions or persons.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Compliance with Trade Controls, which are subject to frequent changes, may delay or hinder our business operations (particularly in respect of cross-border business), and, in some cases, prevent certain of our business operations altogether. It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difficult for us to predict how Trade Controls will change in the future and the impact they may have on our business. For example, as stated above, a result of Russia’s invasion of Ukraine, Trade Controls relating to Russia have been significantly expanded.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time-consuming, require significant personnel resources, and harm our reputation.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collaborators or other person who performs services on our behalf and, as a result, we could be subject to fines, penalties, or prosecution.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Our business and operations may suffer in the event of information technology system failures, cyberattacks or deficiencies in our cybersecurity.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and our collaborators, CROs, service providers, and other contractors and consultants rely on information technology (“IT”) systems and networks to process, transmit and store electronic information, including but not limited to intellectual property, confidential information, proprietary business information, preclinical and clinical trial data and personal information, and health-related information, in connection with our business activities (collectively, “Confidential Information"). Our IT systems and those of current and future third parties on which we rely may fail and are vulnerable to breakdown, breach, interruption or damage from cyber incidents, employee error or malfeasance, misconfigurations, “bugs” or other vulnerabilities, theft or misuse, sophisticated nation-state and nation-state-supported actors, unauthorized access, natural disasters, terrorism, war, telecommunication and electrical failures or other compromises. As use of digital technologies has increased, cyber incidents, including third parties gaining access to employee accounts using stolen or inferred credentials, computer malware (e.g. ransomware), viruses, spamming, social engineering or phishing attacks, denial-of-service attacks or other means, and deliberate attacks and attempts to gain unauthorized access to computer systems and networks, have increased in frequency, intensity, and sophistication. These threats pose a risk to the security of our and our collaborators’, CROs’, service providers’, and other contractors’ and consultants’ systems and networks, and the confidentiality, availability and integrity of our Confidential Information. There can be no assurance that we will be successful in preventing cyberattacks or successfully mitigating their effects. There can also be no assurance that our or our collaborators’, CROs’, service providers’, and other contractors’ and consultants’ cybersecurity risk management program and processes, including policies, controls or procedures, will be fully implemented, complied with or effective in protecting our systems, networks and Confidential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In addition, varying parts of our workforce are currently working remotely on a part or full time basis. This could increase our cyber security risk, create data accessibility concerns, and make us more susceptible to communication disruptions.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We may also experience security incidents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Similarly, there can be no assurance that our collaborators, CROs, service providers, and other contractors and consultants will be successful in protecting our clinical and other data that is stored on their systems. Any loss of clinical trial data from our completed or ongoing clinical trials for any of our product candidates could result in delays in our development and regulatory approval efforts and significantly increase our costs to recover or reproduce the data. We and certain of our service providers are from time to time subject to cyberattacks and security incidents. We have experienced and expect to continue to experience attempted cyberattacks on our IT networks, such as through phishing scams and ransomware. Although we do not believe that we have experienced any significant system failure, accident or cybersecurity incidents to date, we cannot guarantee that we will not experience such incidents in the future.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or all of the foregoing could materially adversely affect our business, results of operations, and financial condition.</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cyberattack that leads to unauthorized access, use, or disclosure of Confidential Information, data breach or destruction or loss of Confidential Information could result in a violation of applicable U.S. and international privacy, data protection and other laws and regulations, require us to notify affected individuals or supervisory authorities, subject us to litigation and governmental investigations, proceedings and regulatory actions by federal, state and local regulatory entities in the U.S. and by international regulatory entities, cause our exposure to material civil and/or criminal liability and cause us to breach our contractual obligations, which could result in significant legal and financial exposure and reputational damages. As cyber threats continue to evolve, we may be required to incur significant additional expenses in order to implement further data protection measures or to remediate any information security vulnerability. Further, our general liability insurance and corporate risk program may not cover all potential claims to which we are exposed and may not be adequate to indemnify us for all liability. There can be no assurance that the limitations of liability in our contracts would be enforceable or adequate or would otherwise protect us from liabilities or damages as a result of the events referenced above. We also cannot be certain that our existing insurance coverage will continue to be available on acceptable terms or in amounts sufficient to cover the potentially significant losses that may result from a security incident or breach or that the insurer will not deny coverage wholly or in part, of any future claim. Accordingly, if our cybersecurity measures, and those of our service providers, fail to protect against unauthorized access, attacks and the mishandling of data by our employees and third-party service providers, then our business, financial condition, results of operations and prospects could be adversely affected.</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Commercialization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operate in a highly competitive and rapidly changing industry, which may result in others acquiring, developing, or commercializing competing product candidates before or more successfully than we or our partners do.</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biopharmaceutical and pharmaceutical industries are highly competitive and subject to significant and rapid technological change. Our success is highly dependent on our ability to acquire, develop, and obtain marketing approval for new product candidates on a cost-effective basis and to market them successfully. If setrusumab, alvelestat, etigilimab or acumapimod is approved, we will face intense competition from a variety of businesses, including large, fully integrated pharmaceutical and biopharmaceutical companies in the U.S., Europe, and other jurisdictions. These organizations may have significantly greater resources than we have and conduct similar research; seek patent protection; and establish collaborative arrangements for research, development, manufacturing, and marketing of product candidates that may compete with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face competition for each of our current product candidates, including specifically: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consider setrusumab’s current closest potential competitors in development for the treatment of OI to be Amgen and UCB’s anti-sclerostin antibody, romosozumab (Evenity), which was approved for osteoporosis in the U.S. in April 2019 and in December 2019 in Europe. In addition, Jiangsu Hengrui has commenced Phase 1 development of an anti-sclerostin antibody for osteoporosis in China, and Transcenta Holding has licensed the Chinese rights to the anti-sclerostin antibody blosozumab from Lilly and plans to develop it for osteoporosis. Baylor College of Medicine has conducted a Phase 1 open label trial of fresolimumab, a TGF-B inhibitor, in adult OI patients, and Sanofi is conducting a Phase 1 trial of SAR439459, a related TGF-B inhibitor, in adult OI patients. Amgen has also terminated a Phase 3 study and an open label extension study of denosumab (Prolia) an anti-resorptive agent in pediatric patients with OI.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consider alvelestat’s current closest potential competitors for the treatment of severe AATD to be alpha-1- proteinase inhibitors that are administered intravenously in AAT augmentation therapy. Currently, there are four inhibitors on the market in the U.S. and the EU: Prolastin-C from Grifols, Aralast from Shire, Zemaira from CSL, and Glassia from Kamada. Kamada is also developing an inhaled version of augmentation therapy which is in Phase 3 and has a recombinant alpha-1 antitrypsin in early development. InhibRx (pending acquisition by Sanofi) has initiated a Phase 2 registrational trial of INBRX-101, a recombinant human alpha-1 antitrypsin Fc fusion protein (rhAAT-Fc) for replacement therapy. Apic Bio is in the early stages of developing a dual function vector (df-AAV) gene-therapy approach for AATD silencing the mutant Z-AAT protein and augmenting wildtype M-AAT production. Wave Life Sciences has initiated a Phase 1 study of RNA base-editing oligonucleotide (WVE-0006) to restore wild-type protein in lung and liver disease, a program that has been recently partnered with GSK. Intellia Therapeutics has initiated a Phase 1 study with a CRISPR/Cas9 -based insertion of normal SERPINA1 gene, targeting lung disease (NTLA-3001). Peak Bio acquired an oral NE inhibitor, PHP-303 from Ph Pharma in March 2022 and recently announced a merger with Akari Pharmaceuticals. Vertex has two small molecule corrector programs for AATD in Phase 1 trials following Phase 2 trials with two other molecules with the same mechanism of action that were discontinued due to toxicity and efficacy. Biomarin Pharmaceutical Inc. is in early stages of development of a small molecule corrector (BMN 349).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no therapies with regulatory approval for Bronchiolitis Obliterans Syndrome (“BOS”) following SCT or lung transplant. We consider alvelestat’s closest potential competitors to be the Janus Kinase (JAK1) inhibitor, itacitinib, and JAK2 inhibitor, ruxolitinib, (Incyte Corporation) in Phase 1/Phase2 studies in lung transplant-associated and SCT-associated BOS, respectively; AI Therapeutics inhaled formulation of sirolimus (LAM-001) in Phase 1 for BOS in lung transplant; Isopogen allogeneic bone marrow derived Mesenchymal Stem Cells for Chronic Lung Allograft Dysfunction (CLAD) in Phase 1 (NCT02709343 ); and liposomal inhaled cyclosporin-A (Zambon) in Phase 2 in BOS following SCT and in Phase 3 global pivotal trials in BOS associated with lung transplant.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consider etigilimab’s current closest potential competitors to include other anti-TIGIT agents being developed by companies including Roche, Merck, iTeos and GSK, Beigene, Arcus/Gilead and Compugen amongst others. In addition, there are other combinations of existing cancer therapies available commercially for example, Yervoy and Opdivo and Opdivo or Keytruda in combination with chemotherapy agents. There are a number of bispecific antibodies with an anti-TIGIT arm in development including a Phase 3 program in NSCLC being developed by AstraZeneca. There are also a number of other agents in development to other immuno-oncology targets that could compete with an anti-TIGIT approach, for example anti-LAG3.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acumapimod, although we are not aware of any approved therapies for the treatment of AECOPD, there are a wide range of established therapies available for the treatment of COPD as well as a number of product candidates in development. We consider acumapimod’s current closest potential competitor for the treatment of AECOPD to be Verona's nebulized and inhaled ensifentrine (RPL554), a PDE3 / PDE4 dual inhibitor that is currently being developed as a bronchodilator and anti-inflammatory agent for COPD, Asthma and Cystic Fibrosis patients. In 2022, Verona announced positive results (FEV1 and AECOPD exacerbation frequency) from two Phase 3 trials (ENHANCE-1 and ENHANCE-2) in COPD. The FDA has assigned a PDUFA target action date for ensifentrine of June 26, 2024. Pulmatrix has PUR1800, a narrow-spectrum kinase inhibitor (NSKI) that completed a Phase 1b trial in COPD. In addition to Pulmatrix, there are several compounds, which directly or indirectly target the p38 MAP Kinase pathway in clinical development by Poolbeg, Fulcrum, GEn1E Lifesciences, CervoMEd, Kinarus, Neurokine, and Inovio, among others, for therapeutic indications outside the COPD setting.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anticipate that new companies will enter these markets in the future. If we, or our partners, successfully develop and commercialize any of setrusumab, alvelestat, etigilimab, or acumapimod, they will compete with existing therapies and new therapies that may become available in the future. The highly competitive nature of and rapid technological changes in the biopharmaceutical and pharmaceutical industries could render our product candidates obsolete, less competitive, or uneconomical. Our competitors may, among other things: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 and commercialize product candidates that are safer, more effective, less expensive, more convenient, or easier to administer, or have fewer or less severe effects, or in certain cases could be curative for the condition;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obtain quicker regulatory approval;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 superior proprietary positions covering our product candidates and technologies;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implement more effective approaches to sales and marketing;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form more advantageous strategic alliances.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and in acquiring technologies complementary to, or necessary for, our programs. Our commercial opportunity could be reduced or eliminated if our competitors develop and commercialize product candidates that are more effective, have fewer or less severe side effects, are more convenient or are less expensive than our product candidates. Our competitors may also obtain FDA, or other regulatory approval for their product candidates more rapidly than we may obtain approval for our own product candidates, which could result in our competitors establishing a strong market position before we are able to enter the market. In addition, existing products approved for other indications could be used off-label and may compete with our products. For example, the only treatments available to OI patients are drugs such as bisphosphonates, which are not approved for this indication but are commonly used off-label in children.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obtained orphan drug designation for setrusumab for the treatment of OI in the U.S. and EU and for alvelestat for the treatment of AATD in the U.S., but we may be unable to obtain orphan designation for alvelestat for AATD in the EU or for the treatment of BOS in the U.S. or EU, or any future product candidates. We may also be unable to obtain or maintain the benefits associated with orphan drug designation, including the potential for orphan drug exclusivity, for setrusumab or any other product for which we obtain orphan drug designation.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Regulatory authorities in some jurisdictions, including the U.S., may designate biologics or drugs designed to address relatively small patient populations as “orphan drugs.”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Orphan Drug Act of 1983 (the “Orphan Drug Act”), the FDA may designate a product as an orphan drug if it is intended to treat a rare disease or condition, defined as one occurring in a patient population of fewer than 200,000 in the U.S., or a patient population greater than 200,000 in the U.S. where there is no reasonable expectation that the cost of developing the drug will be recovered from sales in the U.S. In the EU, the European Commission grants orphan designation after receiving the opinion of the EMA’s Committee for Orphan Medicinal Products (“COMP”). In the EU, orphan designation is intended to promote the development of medicinal products that (1) are intended for the diagnosis, prevention or treatment of a life-threatening or chronically debilitating condition; (2) either (a) such condition affects no more than five in 10,000 persons in the EU, or (b) the product, without the benefits derived from orphan status, would not generate sufficient return in the EU to justify investment; and (3) there exists no satisfactory method of diagnosis, prevention, or treatment has been authorized (or the product would be a significant benefit to those affected).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Post-Brexit, the U.K. has retained the EU Regulation which governs the designation of medicinal products as orphan drugs and which establishes incentives thereto (Regulation (EC) No. 141/2000) as part of U.K. law by virtue of the EU (Withdrawal) Act 2018, however any future changes to the legal requirements could lead to greater regulatory complexity and increased costs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no pre-MA orphan designation in Great Britain. Instead, the MHRA will review applications for orphan designation in parallel to the corresponding MAA. The criteria are essentially the same, but have been tailored for the market, i.e., the prevalence of the condition in Great Britain, rather than the EU, must not be more than five in 10,000. Should an orphan designation be granted, the period or market exclusivity will be set from the date of first approval of the product in Great Britain. If a medicinal product has been designated orphan in the EU under Regulation (EC) 141/2000, a Great Britain orphan MAA can be made under regulation 50G of the Human Medicines Regulation 2012 (as amended). A U.K.-wide orphan MAA can only be considered in the absence of an active EU orphan designation.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U.K.-wide orphan MA is granted and the medicinal product subsequently receives EU orphan designation, the MA holder would need to submit a variation to change this to a Great Britain orphan MA. In the U.S., orphan drug designation entitles a party to financial incentives such as opportunities for grant funding towards clinical trial costs, tax credits for qualified clinical testing, and user-fee waivers. In addition, if a product receives the first FDA approval of that drug for the indication for which it has orphan designation, the product is entitled to orphan drug exclusivity, which means the FDA may not approve any other application to market the same drug for the same disease or condition for a period of seven years, except in limited circumstances, such as a showing of clinical superiority over the product with orphan exclusivity or where the manufacturer is unable to assure the availability of sufficient quantities of the orphan drug to meet the needs of patients with the rare disease or condition. In the EU, orphan designation entitles a party to financial incentives such as reduction of fees or fee waivers, protocol assistance, and access to the centralized MA procedure. Upon grant of MA, orphan medical products are entitled to a ten year period of market exclusivity. This period can be extended by two years if studies in children are performed in accordance with a Pediatric Investigation Plan (“PIP”). This period may be reduced to six years if , at the end of the fifth year the orphan designation criteria are no longer met, including where it is shown that the drug is sufficiently profitable not to justify maintenance of market exclusivity. Additionally, a MA may be granted to a similar product for the same indication at any time if (i) the second applicant can establish that its product, although similar, is safer, more effective or otherwise clinically superior; (ii) the applicant consents to a second orphan medicinal product application; or (iii) the applicant cannot supply enough orphan medicinal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obtained orphan drug designation from the FDA and the European Commission for setrusumab for the treatment of OI (designated by the FDA as “human monoclonal antibody targeting human sclerostin” and designated by the European Commission as “recombinant humanised monoclonal IgG2 lambda antibody against human sclerostin”). Additionally, we have obtained orphan drug designation for alvelestat for the treatment of AATD from the FDA. We may also plan to seek orphan drug designation from the European Commission for alvelestat for the treatment of AATD or BOS and/or future rare disease product candidates. Even with orphan drug designation, we may not be the first to obtain marketing approval for any particular orphan indication due to the uncertainties associated with developing pharmaceutical product candidates, which could prevent us from marketing our product candidates if another company is able to obtain orphan drug exclusivity before we do. In addition, exclusive marketing rights in the U.S. may be unavailable if we seek approval for disease or condition broader than the orphan-designated disease or condition or may be lost in the U.S, if the FDA later determines that the request for designation was materially defective or if we are unable to assure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sufficient quantities of the drug to meet the needs of patients with the rare disease or condition following approval. Further, even if we obtain orphan drug exclusivity, that exclusivity may not effectively protect our product candidates from competition because different drugs can be approved for the same condition. In addition, the FDA and foreign regulatory authorities can subsequently approve product candidates with the same active ingredients for the same condition if the FDA or the foreign regulatory authority concludes that the later drug is safer, more effective, or makes a major contribution to patient care. Orphan drug designation neither shortens the development time or regulatory review time of a drug nor gives the drug any advantage in the regulatory review or approval process. In addition, while we intend to seek orphan drug designation for other existing and future product candidates, including alvelestat, we may never receive such designations.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Although we have obtained a rare pediatric disease designation for setrusumab, there is no guarantee that FDA approval of will result in issuance of a priority review voucher.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2012,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U.S. within one year following the date of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obtained a rare pediatric disease designation for setrusumab for osteogenesis imperfecta, however, there is no guarantee that we will be able to obtain a priority review voucher, even if setrusumab is approved by the FDA. For example, the FDA may determine that an a BLA or NDA, even if ultimately approved, does not meet the eligibility criteria for a priority review voucher, including for the following reasons: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product no longer meets the definition of a rare pediatric disease;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product contains an active ingredient (including any ester or salt of the active ingredient) that has been previously approved in another marketing application;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application does not rely on clinical data derived from studies examining a pediatric population and dosages of the drug intended for that population;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application is approved for a different adult indication than the rare pediatric disease for which the product is designated.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Congress included a sunset provision in the statute authorizing the rare pediatric disease priority review voucher program. Under the current statutory sunset provisions, after September 30, 2024, FDA may only award a voucher for an approved rare pediatric disease product application if the sponsor has rare pediatric disease designation for the product candidate, and that designation was granted by September 30, 2024. After September 30, 2026, FDA may not award any rare pediatric disease priority review vouchers. </w:t>
      </w:r>
    </w:p>
    <w:p>
      <w:pPr>
        <w:pStyle w:val="TextBody"/>
        <w:bidi w:val="0"/>
        <w:spacing w:before="240" w:after="283"/>
        <w:jc w:val="left"/>
        <w:rPr>
          <w:rFonts w:ascii="Times New Roman" w:hAnsi="Times New Roman"/>
          <w:sz w:val="20"/>
        </w:rPr>
      </w:pPr>
      <w:r>
        <w:rPr>
          <w:rFonts w:ascii="Times New Roman" w:hAnsi="Times New Roman"/>
          <w:b/>
          <w:i/>
          <w:color w:val="000000"/>
          <w:sz w:val="20"/>
        </w:rPr>
        <w:t>A Fast Track Designation from the FDA, even if granted for any of our product candidates, may not lead to a faster development or regulatory review or approval process, and does not increase the likelihood that our product candidates will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granted Fast Track designation for the investigation of alvelestat for the treatment of alpha-1-antitrypsin deficiency-associated lung disease. We intend to seek such designation for some or all of our other product candidates. The Fast Track program is intended to expedite or facilitate the process for reviewing new product candidates that meet certain criteria. Specifically, new drugs and biologic are eligible for Fast Track designation if they are intended, alone or in combination with one or more drugs or biologics,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 BLA or NDA is submitted, the application may be eligible for priority review. An NDA or BLA submitted for a Fast Track product candidate may also be eligible for rolling review, where the FDA may consider for review sections of the NDA or BLA on a rolling basis before the complete application is submitted, if the sponsor provides a schedule for the submission of the sections of the NDA or BLA, the FDA agrees to accept sections of the NDA or BLA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determines that the schedule is acceptable, and the sponsor pays any required user fees upon submission of the first section of the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has broad discretion whether or not to grant this designation. Even if we believe a particular product candidate is eligible for this designation, there is no certainty that the FDA would decide to grant it. Even if we do receive Fast Track Designation for any of our product candidates, such product candidates may not experience a faster development process, review or approval compared to conventional FDA procedures. The FDA may also withdraw Fast Track Designation if it believes that the designation is no longer supported by data from our clinical development program. Furthermore, such a designation does not increase the likelihood that alvelestat or any other product candidate that may be granted Fast Track designation will receive regulatory approval in the U.S. Many product candidates that have received Fast Track Designation have ultimately failed to obtain approval. </w:t>
      </w:r>
    </w:p>
    <w:p>
      <w:pPr>
        <w:pStyle w:val="TextBody"/>
        <w:bidi w:val="0"/>
        <w:spacing w:before="240" w:after="283"/>
        <w:jc w:val="left"/>
        <w:rPr>
          <w:rFonts w:ascii="Times New Roman" w:hAnsi="Times New Roman"/>
          <w:sz w:val="20"/>
        </w:rPr>
      </w:pPr>
      <w:r>
        <w:rPr>
          <w:rFonts w:ascii="Times New Roman" w:hAnsi="Times New Roman"/>
          <w:b/>
          <w:i/>
          <w:color w:val="000000"/>
          <w:sz w:val="20"/>
        </w:rPr>
        <w:t>We or our partners may seek and fail to obtain Breakthrough Therapy designation by the FDA for setrusumab, alvelestat or etigilimab or any future product candidates or access to the PRIME scheme by the EMA for alvelestat, etigilimab or any future product candidates. Even if we obtain such designation or access, the designation or access may not lead to faster development or regulatory review or approval, and it does not increase the likelihood that our product candidates will receive marketing approval.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2012, the FDA established a Breakthrough Therapy designation which is intended to expedite the development and review of product candidates that treat serious or life-threatening diseases where preliminary clinical evidence indicates that the product may demonstrate substantial improvement over existing therapies on one or more clinically-significant endpoints, such as substantial treatment effects observed early in clinical development. The designation of a product as a Breakthrough Therapy provides potential benefits that include but are not limited to more frequent meetings with the FDA to discuss the development plan for the product and ensure collection of appropriate data needed to support approval; more frequent written correspondence from the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 if the relevant criteria are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make such designation. We cannot be sure that our evaluation of our product candidates as qualifying for Breakthrough Therapy designation will meet the FDA’s expectations. In any event, the receipt of a Breakthrough Therapy designation for a product may not result in a faster development process, review, or approval compared to product candidates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and rescind the designation or decide that the time period for FDA review or approval will not be shortened. Similarly, access to the PRIME scheme is at the discretion of the EMA, and we cannot be sure that alvelestat or any future product candidates will be granted access to the scheme; that participation in the scheme will result in expedited regulatory review or approval of our product candidates; or that access to the scheme, once granted, will not be revoked.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2017, setrusumab was admitted to the PRIME scheme of the EMA. We may seek EMA PRIME designation or other designations, schemes or tools for other product candidates. In the EU, innovative products that target an unmet medical need and are expected to be of major public health interest may be eligible for a number of expedited development and review programs, such as the PRIME scheme, which provides incentives similar to the Breakthrough Therapy designation in the U.S. PRIME is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The benefits of a PRIME designation include the appointment of a rapporteur before submission of a MAA, early dialogue and scientific advice at key development milestones, and the potential to qualify products for accelerated review earlier in the application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believe one of our product candidates is eligible for PRIME, the EMA may disagree and instead determine not to make such designation. The EMA PRIME scheme or other schemes, designations, or tools, even if obtained or used for any of our product candidates may not lead to a faster development, regulatory review or approval process compared to therapies considered for approval under conventional procedures and do not assure ultimate approval. In addition, even if one or more of our product candidates is eligible to the PRIME scheme, the EMA may later decide that such product candidates no longer meet the conditions for qualification or decide that the time period for review or approval will not be shortened.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developers that benefit from PRIME designation may be eligible for accelerated assessment (in 150 days instead of 210 days), which may be granted for medicinal products of major interest from a public health perspective or that target an unmet medical need, but this is not guaranteed.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competent regulatory authorities in the EU have broad discretion whether to grant such an accelerated assessment, conditional MA or MA under exceptional circumstances, and, even if such assessment or authorization is granted, we may not experience a faster development process, review or authorization compared to conventional procedures. Moreover, the removal or threat of removal of such MAs may create uncertainty or delay in the clinical development of our product candidates and threaten the commercialization prospects of our products and product candidates, if approved. Such an occurrence could materially impact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directly commercialize or co-commercialize our product candidates for rare diseases and to out-license or sell our other product candidates for further development and/or commercialization. If we are unable to develop our own sales, marketing, and distribution capabilities or enter into business arrangements, we may not be successful in commercializing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no marketing, sales, or distribution capabilities and we currently have no experience with marketing, selling or distributing pharmaceutical product candidates. We have partnered setrusumab in a global licensing transaction with Ultragenyx, under which we retained EU and U.K. commercial rights. We have entered into a global out-licensing agreement with Feng Biosciences for development and commercialization of navicixizumab. We have entered into a global out-licensing agreement with ReproNovo for development and commercialization of leflutrozole. We currently intend to commercialize setrusumab for children and adults with OI in the EU and U.K. We may seek to partner or commercialize our other product candidates based on the outcome of clinical trials, cost of the registrational trials and other strategic considerations.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intend to enter into out-licensing or sales arrangements with pharmaceutical, biopharmaceutical or other partners for the continued development and commercialization of our non-core disease product candidate acumapimod and we may take the same approach for our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result of the entering into any such planned partnerships or arrangements, our revenue from product sales may be lower than if we directly marketed or sold these product candidates on our own. In addition, any revenue we receive will depend upon the terms of such partnership or arrangement, which may not be as favorable to us as possible, and the efforts of the other party, which may not be adequate or successful and are likely to be beyond our control. We may not be successful in identifying a suitable partner or partners, and we may not be able to reach agreement with them at all. If we are unable to enter into these partnerships or arrangements on acceptable terms or at all, we may not be able to successfully commercialize these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commercialization approaches are expensive and time consuming, and some or all of the costs associated with such efforts may be incurred in advance of any approval of our product candidates. If we are not successful in commercializing our product candidates, either on our own or through arrangements with third parties, our future product revenue will suffer, and we may incur significant losses.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successful commercialization of our product candidates will depend in part on the extent to which governmental authorities and health insurers establish adequate coverage, reimbursement levels, and pricing policies. Failure to obtain or maintain coverage and adequate reimbursement for our product candidates, if approved, could limit our ability to market those product candidates and decrease our ability to generate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prescription medications such as our product candidates, assuming approval. Our ability to achieve acceptable levels of coverage and reimbursement for product candidates by governmental authorities, private health insurers, and other organizations will have an effect on our ability to successfully commercialize our product candidates. Assuming we obtain coverage for our product candidates by a third-party payor, the resulting reimbursement payment rates may not be adequate or may require co-payments that patients find unacceptably high. Third-party payors may also elect to restrict coverage to a subset of patients that could potentially be treated with our products, if approved. We cannot be sure that coverage and reimbursement in the U.S., the EU, or elsewhere will be available for our product candidates or any product that we may develop, and any reimbursement that may become available may be decreased or eliminated in the future.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 candidates and services, and many third-party payors may refuse to provide coverage and reimbursement for particular drugs or biologics when an equivalent generic drug, biosimilar, or a less expensive therapy is available. It is possible that a third-party payor may consider our product candidates as substitutable and only offer to reimburse patients for the less expensive product. Even if we show improved efficacy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 candidates at levels that are too low to enable us to realize an appropriate return on our investment in our product candidates. If reimbursement is not available or is available only at limited levels, we may not be able to successfully commercialize our product candidates, and may not be able to obtain a satisfactory financial return on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significant uncertainty related to the insurance coverage and reimbursement of newly approved product candidates.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in the U.S. for how private payors and other governmental payors develop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coverage and reimbursement for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uniform policy for coverage and reimbursement for product candidates exists among third-party payors in the U.S. Therefore, coverage and reimbursement for product candidates can differ significantly from payor to payor. As a result, the coverage determination process is often a time-consuming and costly process that will require us to provide scientific and clinical support for the use of our product candidates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operations are also subject to extensive governmental price controls and other market regulations in the U.K. and other countries outside of the U.S., and we believe the increasing emphasis on cost-containment initiatives in European and other countries will put pressure on the pricing and usage of our product candidates. In many countries, the prices of medical product candidates are subject to varying price control mechanisms as part of national health systems. To obtain reimbursement or pricing approval, some of these countries might compare the new product to an existing standard of care, including other treatments aimed at the same disease, if they exist. Health technology assessments, including cost- effectiveness evaluations, may be conducted in order to assess the medical value or added clinical benefit of a therapy. Countries may also conduct budget-impact assessments for a new therapy. In some cases, tendering is used to decide which therapy will be reimbursed and made available for a group of patients where more than one treatment exists. Countries might also require further studies or in-use evidence to be developed, or create coverage with evidence generation under some form of so-called managed access agreements. Some countries allow for a company to set the price, which is then agreed in negotiation with the country authorities, who might then monitor sales for that product and re-assess or re-evaluate when a certain statutory health insurance expenditure threshold is reached. Other countries might set their price based on prices in a selected country or group of countries under international or external reference pricing systems. If an agreement cannot be reached, confidential discounts might be negotiated between the manufacturer and the healthcare system authorities. Additional foreign price controls or other changes in pricing regulation could restrict the amount that we are able to charge for our product candidates. Accordingly, in markets outside the U.S., the reimbursement for our product candidates may be reduced compared with the U.S. and may be insufficient to generate commercially reasonable revenue and profits.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U.S. and abroad to cap or reduce healthcare costs may cause such organizations to limit both coverage and the level of reimbursement for newly approved product candidates and, as a result, they may not cover or provide adequate payment for our product candidates. We expect to experience pricing pressures in connection with the sale of our product candidates due to the trend toward managed health care, the increasing influence of health maintenance organizations, and additional legislative changes. The downward pressure on healthcare costs in general, particularly prescription drugs and biologics and surgical procedures and other treatments, has become intense. As a result, increasingly high barriers are being erected to the entry of new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existing and future product candidates may not gain market acceptance, in which case our ability to generate revenues from product sales will be compromised.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the FDA, or any other regulatory authority approves the marketing of our product candidates, whether developed on our own or with a collaborator, physicians, healthcare providers, patients, or the medical community may not accept or use our product candidates. If our product candidates do not achieve an adequate level of acceptance, we may not generate significant product revenue or any profits from operations. The degree of market acceptance of our product candidates will depend on a variety of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of market introduction;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and clinical profile of competing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clinical indications for which our product candidates are approved;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ability to provide acceptable evidence of safety and efficacy;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cost-effectiveness;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marketing and distribution support;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availability of adequate coverage, reimbursement, and adequate payment from health maintenance organizations and other insurers, both public and private;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potential advantages over alternative treatment methods.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product candidates fail to gain market acceptance, our ability to generate revenues will be adversely affected. Even if our product candidates achieve market acceptance, the market may prove not to be large enough to allow us to generate significant revenues. </w:t>
      </w:r>
    </w:p>
    <w:p>
      <w:pPr>
        <w:pStyle w:val="TextBody"/>
        <w:bidi w:val="0"/>
        <w:spacing w:before="240" w:after="283"/>
        <w:jc w:val="left"/>
        <w:rPr>
          <w:rFonts w:ascii="Times New Roman" w:hAnsi="Times New Roman"/>
          <w:sz w:val="20"/>
        </w:rPr>
      </w:pPr>
      <w:r>
        <w:rPr>
          <w:rFonts w:ascii="Times New Roman" w:hAnsi="Times New Roman"/>
          <w:b/>
          <w:i/>
          <w:color w:val="000000"/>
          <w:sz w:val="20"/>
        </w:rPr>
        <w:t>Any product candidates for which we intend to seek approval as biologic product candidates in the U.S. may face competition sooner than anticipated.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U.S., the Biologics Price Competition and Innovation Act of 2009 (the “BPCIA”) created an abbreviated approval pathway for biological product candidates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its product.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if any product is approved as a biological product under a BLA, it should qualify for the 12-year period of exclusivity. However, there is a risk that this exclusivity could be shortened due to congressional action or otherwise, or that the FDA will not consider our product candidates to be reference product candidates for competing product candidates, potentially creating the opportunity for generic competition sooner than anticipated. Moreover, the extent to which a biosimilar, once approved, will be substituted for a reference product in a way that is similar to traditional generic substitution for non-biological product candidates is not yet clear, and will depend on a number of marketplace and regulatory factors that are still developing.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EU, MAAs for product candidates that are biosimilar to an already authorized biological product, the so-called reference product, can rely on the safety and efficacy data contained in the dossier of the reference product. To qualify as a biosimilar product the MA applicant must demonstrate, through comprehensive comparability studies with the reference product, that its product is: (i) highly similar to the reference product notwithstanding the natural variability inherent to all biological medicines, and (ii) that there are no clinically meaningful differences between the biosimilar and the reference product in terms of safety, quality, and efficacy. Biosimilars can only be authorized for use after the period of exclusivity of the reference biological medicine has expired. In general, this means that the biological reference product must have been authorized for at least 10 years before a biosimilar can be made available by another company.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and expect to continue to rely, on our partners to develop and commercialize our licensed or partnered product candidates. If our partners do not secure adequate funding or satisfy their obligations under our agreements with them, or if they terminate our licenses, partnerships or collaborations with them, we may not be able to develop or commercialize our licensed or partnered product candidates as planned.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announced three out-licensing collaborations. On December 17, 2020, we announced a license and collaboration agreement with Ultragenyx, for setrusumab, a monoclonal antibody in clinical development for OI. Under the terms of the collaboration, Ultragenyx will lead future global development of setrusumab in both pediatric and adult patients. We granted Ultragenyx an exclusive license to develop and commercialize setrusumab in the U.S. and rest of the world, excluding Europe and the U.K. where we retain commercial rights. Under the terms of the agreement, Ultragenyx will pay up to $254 million in additional development, regulatory and commercial milestones and tiered double digit percentage royalties to us on net sales outside of Europe and we will pay a fixed double digit percentage royalty to Ultragenyx on net sales in Europe. On January 13, 2020, we announced a global out-licensing agreement with Feng Biosciences (formerly OncXerna) for development and commercialization of navicixizumab. Under the terms of the agreement Feng Biosciences will pay up to $300 million in future clinical, development and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commercial milestones and royalties ranging from the mid-single digit to sub-teen percentages on global annual net sales of navicixizumab, as well as a negotiated percentage of sublicensing revenues from certain sublicensees. In December 2023, we entered into an exclusive global license agreement with ReproNovo for the development and commercialization of leflutrozole, a non-steroidal aromatase inhibitor. Under the terms of the License Agreement, ReproNovo, a reproductive medicine company, is responsible for all future development and commercialization of leflutrozole. Mereo received an upfront payment and will be eligible to receive up to $64.3 million in future clinical, regulatory and commercial milestones as well as tiered mid-single digit royalties on global annual net sales of leflutrozole. Our future plans may include entering into out-licensing or collaboration agreements on some or all of our other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have existing acquisition agreements with Novartis which we entered into in 2015 in respect of our purchase of setrusumab, leflutrozole and acumapimod, and an existing in-licensing agreement with AstraZeneca which we entered into in 2017 in respect of our exclusive license of alvelestat.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partners might not fulfill all of their obligations under these agreements, and, in certain circumstances, including our licensing agreement with AstraZeneca, they or we may terminate our partnerships with them. In either event, we may be unable to assume the development and commercialization responsibilities covered by these agreements or enter into alternative arrangements with a third-party to develop and commercialize product candidates. If a partner elected to promote alternative products and product candidates such as its own products and product candidates in preference to those licensed from us, is unable to secure adequate funding to develop our product candidates, does not devote an adequate amount of time and resources to our product candidates or is otherwise unsuccessful in its efforts with respect to our product candidates, the development and commercialization of product candidates covered by the agreements could be delayed or terminated and our business and financial condition could be materially and adversely affected. Accordingly, our ability to receive any revenue from the product candidates covered by these agreements is dependent on the efforts of our partners.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partner terminates or breaches its agreements with us, otherwise fails to complete its obligations in a timely manner or alleges that we have breached our contractual obligations under these agreements, the chances of successfully developing or commercializing product candidates under the collaboration could be materially and adversely affected. We could also become involved in disputes with a partner, which could lead to delays in or termination of our development and commercialization programs and time-consuming and expensive litigation or arbitration. Furthermore, termination of an agreement by a partner could have an adverse effect on the price of our ADSs.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rely, and expect to continue to rely, on third parties, including independent investigators and CROs, to conduct our clinical trials. If these CROs do not successfully carry out their contractual duties or meet expected deadlines, we may not be able to obtain regulatory approval for or commercialize our product candidates, or such approval or commercialization may be delayed, and our business could be substantially harmed.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relied upon and plan to continue to rely upon independent clinical investigators and CROs to conduct our clinical trials and to monitor and manage data for our planned and ongoing clinical programs. We rely on these parties for the execution of our clinical trials and control only certain aspects of these parties’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independent investigators and CROs are required to comply with GCP requirements, which are regulations and guidelines enforced by the FDA, the competent authorities of the EU member states, and comparable foreign regulatory authorities for all of our product candidates in clinical development. Regulatory authorities enforce these GCP requirements through periodic inspections of trial sponsors, principal investigators and trial sites. If we fail to exercise adequate oversight over any of our independent investigators or CROs or if we or any of our independent investigators or CROs fail to comply with applicable GCP requirements, the clinical data generated in our clinical trials may be deemed unreliable and the FDA, the EMA, or comparable foreign regulatory authorities may require us to perform additional clinical trials before approving our marketing applications. We cannot assure you that upon a regulatory inspection of us or our independent investigators or CROs, such regulatory authority will determine that any of our clinical trials complies with GCP requirements. Our failure to comply with these regulations may require us to repeat clinical trials, which would delay the regulatory approval process.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these independent investigators and CROs are not our employees, and we are not able to control, other than by contract, the amount of resources, including time, which they devote to our clinical trials. If our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is misappropriated.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of our relationships with our independent investigators or CROs terminate, we may not be able to enter into arrangements with alternative independent investigators or CROs or to do so on commercially reasonable terms. Switching or adding additional investigators or CROs involves additional cost and potential delays and requires our management’s time and focus. In addition, there is a natural transition period when a new independent investigator or CRO commences work. As a result, delays could occur, which could materially impact our ability to meet our desired clinical development timelines.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our independent investigators or CROs do not successfully carry out their contractual duties or obligations or meet expected deadlines, if they need to be replaced or if the quality or accuracy of the clinical data they obtain is compromised due to a failure to adhere to our clinical protocols, regulatory requirements, or for other reasons, our clinical trials may be extended, delayed, or terminated and we may not be able to obtain regulatory approval for or successfully commercialize our product candidates. As a result, our results of operations and the commercial prospects for our product candidates would be harmed, our costs could increase and our ability to generate revenue could be delayed.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We currently rely on third-party CMOs for the production of clinical supply of our product candidates and intend to rely on CMOs for the production of commercial supply of our product candidates, if approved. Our dependence on CMOs may impair the development of our product candidates and may impair the commercialization of our product candidates, which would adversely impact our business and financial position.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limited personnel with experience in manufacturing and CMC development requirements and we do not own facilities for manufacturing and testing of our product candidates. Instead, we rely on and expect to continue to rely on CMOs for the supply, testing and release of cGMP grade clinical trial materials, performance of process and product development activities to facilitate supply of commercial quantities of our product candidates, if approved. Reliance on CMOs may expose us to more risk than if we were to manufacture our product candidates ourselves. Novartis previously provided clinical supplies for setrusumab, acumapimod, and leflutrozole and certain transitional services. We have transitioned the clinical supply manufacture for these product candidates to CMOs while demonstrating the manufactured product is equivalent to the Novartis form. We have also contracted with CMOs for the clinical supply of etigilimab and alvelestat.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facilities used to manufacture and test our product candidates must be approved by the FDA, and comparable foreign authorities pursuant to inspections. While we provide oversight of manufacturing activities, we do not and will not control the execution of our manufacturing activities by, and are or will be essentially dependent on, our CMOs for compliance with cGMP or similar foreign requirements for the manufacture of our product candidates. We aim to minimize this risk by entering into quality agreements, by auditing of the CMOs and by ongoing review of all activities linked to product manufacture. Due to this dependence on CMOs, we are potentially subject to the risk that our product candidates may have manufacturing defects that we have limited ability to prevent. If a CMO cannot successfully manufacture material that conforms to our specifications and the regulatory requirements it may delay ongoing clinical studies as we will not be able to secure or maintain regulatory approval for the use of our investigational medicinal product candidates in clinical trials, or for commercial distribution of our product candidates, if approved. In addition, while we have limited direct control over the ability of our CMOs to maintain adequate quality control, quality assurance and qualified personnel, we aim to maintain control through the use of quality agreements and manufacturing supply agreements. If the FDA or the comparable foreign regulatory authority does not approve these facilities for the manufacture of our product candidates or if it withdraws any such approval in the future, we may need to find alternative manufacturing facilities, which would delay our development program and significantly impact our ability to develop, obtain regulatory approval for or commercialize our product candidates, if approved. In addition, any failure to achieve and maintain compliance with these laws, regulations and standards could subject us to the risk that we may have to suspend the manufacturing of our product candidates, recall our product candidates or that obtained approvals could be revoked. Furthermore, CMOs may breach existing agreements they have with us because of factors beyond our control. They may also terminate or refuse to renew their agreement at a time that is costly or otherwise inconvenient for us. In addition, Novartis has a contractual right to approve or reject any additional CMO we wish to engage for the manufacture of setrusumab, other than those CMOs that we and Novartis have already agreed upon. Following the license of setrusumab to Ultragenyx, CMO capacity in relation to the manufacture of clinical trial and commercial supplies is a key focus and most likely means additional CMO capacity will be a future priority to secure sufficient supplies. If we or our partners were unable to find an acceptable CMO within a reasonable timeframe, our clinical trials could be delayed, or our commercial activities could be negatively impacted.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and will continue to rely on CMOs to purchase from third-party suppliers the raw materials meeting for our specifications that are necessary to produce our product candidates. We do not and will not have control over the process or timing of the acquisition of these raw materials by our CMOs. Moreover, we currently do not have any agreements for the production of these raw materials. Supplies of raw material could be interrupted from time to time, and we cannot be certain that alternative supplies could be obtained within a reasonable timeframe, at an acceptable cost, or at all. In addition, a disruption in the supply of raw materials could delay the commercial launch of our product candidates, if approved, or result in a shortage in supply, which would impair our ability to generate revenues from the sale of our product candidates. Growth in the costs and expenses of raw materials may also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impair our ability to cost effectively manufacture our product candidates. There are a limited number of suppliers for the raw materials that we may use to manufacture our product candidates and we may need to assess alternate suppliers to prevent a possible disruption of the manufacture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rely on our CMOs to conduct all product and process development activities necessary to support regulatory submissions. These activities are critical to the meeting the regulatory expectations and if these studies are not considered adequate by FDA, the EMA or comparable foreign regulatory authority then significant delays could be encountered as a result. This risk is mitigated by following all relevant guidance’s and using staff knowledge and previous experience to guide the product and process development programs but is still a potential risk of regulatory non-compliance.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Finding new CMOs or third-party suppliers involves additional cost and requires our management’s time and focus. In addition, there is typically a transition period when a new CMO commences work. Although we generally do not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part of their manufacture of our product candidates, our CMOs and third-party suppliers are expected to comply with and respect the proprietary rights of others. If a CMO or third-party supplier fails to acquire the proper licenses or otherwise infringes the proprietary rights of others in the course of providing services to us, we may have to find alternative CMOs or third-party suppliers or defend against claims of infringement, either of which would significantly impact our ability to develop, obtain regulatory approval for or commercialize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intend to enter into strategic relationships with third parties, based on a product-by-product assessment, for the development of some of our product candidates. If we fail to enter into these arrangements, our business, development and commercialization prospects could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development program for our product candidates, particularly those entering late-stage development, will require substantial additional funds. We currently intend to enter into out-licensing or sales arrangements with pharmaceutical, biopharmaceutical or other partners for the continued development of our product candidates, acumapimod and leflutrozole, and we may take the same approach for other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types of development arrangements referred to above are complex and time-consuming to negotiate and document, and we may not be able to enter into these arrangements on favorable terms or at all. In addition, we face significant competition from other companies in seeking out these types of development arrangements. If we are successful in entering into such an arrangement, we will be subject to other risks, including our inability to control the amount of time and resources the third party will dedicate to our product candidates, financial or other difficulties experienced by such third party, relinquishing important rights to such third party, and the arrangement failing to be profitable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enter into an appropriate arrangement for the development of our selected product candidates, we may have to reduce, delay, or terminate the development of such product candidates. If we, instead, decide to increase our expenditures to fund development activities on our own, we will need to obtain additional capital, which may not be available to us on acceptable terms or at all. As a result, our business may be substantially harmed.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patents and other intellectual property rights to protect our product candidates, the obtainment, enforcement, defense and maintenance of which may be challenging and costly. Failure to enforce or protect these rights adequately could harm our ability to compete and impair our business.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in part on obtaining and maintaining patents and other forms of intellectual property protection, for example, for compositions-of-matter of our product candidates, formulations of our product candidates, polymorphs, salts and analogs of our product candidates, methods used to manufacture our product candidates, methods for manufacturing of the final drug product candidates, and methods of using our product candidates for the treatment of the indications we are developing or plan to develop, or on in-licensing such rights. Our patent portfolio comprises patents and patent applications which cover navicixizumab (which was licensed to Feng Biosciences (formerly OncXerna) in January 2020), and our etigilimab product candidate (solely owned by Mereo BioPharma 5 (formerly OncoMed)), patents and patent applications which cover our setrusumab, acumapimod, and leflutrozole product candidates acquired from Novartis and patents and patent applications which cover our alvelestat product candidate exclusively licensed (with the option to purchase) from AstraZeneca. The assignments of those patents and patent applications which we acquired from Novartis have been registered with the relevant authorities in key territories.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patent and patent applications for setrusumab and leflutrozole are subject to a license agreement with Ultragenyx from January 2021 and a license agreement with ReproNovo from December 2023 respectively. There is no assurance that our pending patent applications will result in issued patents, or if issued as patents, will include claims with sufficient scope of coverage to protect our product candidates, or that any pending patent applications will be issued as patents in a timely manner. Failure to obtain, maintain or extend adequate patent and other intellectual property rights could adversely affect our ability to develop and market our product candidates, resulting in harm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for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the issuance, scope, validity, enforceability, and commercial value of our and our current or future licensors’ patent rights are highly uncertain. Our and our licensors’ pending and future patent applications may not result in issued patents that protect our technology or product candidates, in whole or in part, or that effectively prevent others from commercializing competitive technologies and product candidates. The patent examination process may require us or our licensors to narrow the scope of the claims of our or our licensors’ pending and future patent applications, which may limit the scope of patent protection that may be obtained. We cannot assure that all of the potentially relevant prior art relating to our patents and patent applications has been found. If such prior art exists, it can invalidate a patent or prevent a patent application from being issued as a patent. Even if patent applications do successfully issue as patents and even if such patents cover our product candidates, third parties may initiate an opposition, interference, reexamination, post grant review, inter partes review, nullification or derivation action in courts or before patent offices, or similar proceedings challenging the validity, enforceability, or scope of such patents, which may result in the patent claims being narrowed or invalidated. Our and our licensors’ patent applications cannot be enforced against third parties practicing the technology claimed in such applications unless and until a patent is issued from such patent applications, and then only to the extent the issued claims cover the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patent applications are confidential for a period of time after filing, and some remain so until issued, we cannot be certain that we or our licensors were the first to file any patent application related to our product candidates. Furthermore, in the U.S., if third parties have filed such patent applications on or before March 15, 2013, the date on which the U.S. changed from a first to invent to a first to file patent system,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such third parties’ product candidates. Even where we have a valid and enforceable patent, we may not be able to exclude others from practicing our invention where the other party can show that they used the invention in commerce before our filing date or the other party benefits from a compulsory license. </w:t>
      </w:r>
    </w:p>
    <w:p>
      <w:pPr>
        <w:pStyle w:val="TextBody"/>
        <w:bidi w:val="0"/>
        <w:spacing w:before="240" w:after="283"/>
        <w:jc w:val="left"/>
        <w:rPr>
          <w:rFonts w:ascii="Times New Roman" w:hAnsi="Times New Roman"/>
          <w:sz w:val="20"/>
        </w:rPr>
      </w:pPr>
      <w:r>
        <w:rPr>
          <w:rFonts w:ascii="Times New Roman" w:hAnsi="Times New Roman"/>
          <w:b/>
          <w:i/>
          <w:color w:val="000000"/>
          <w:sz w:val="20"/>
        </w:rPr>
        <w:t>We enjoy only limited geographical protection with respect to certain patents and may not be able to protect our intellectual property rights throughout the world.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Filing and prosecuting patent applications and maintaining and defending patents covering our product candidates in all countries throughout the world would be prohibitively expensive. Competitors may use our and our licensors’ technologies in jurisdictions where we have not obtained patent protection to develop their competitor’s own product candidates and, further, may export otherwise infringing product candidates to territories where we and our licensors have patent protection, but enforcement rights are not as strong as that in the U.S. or Europe. These product candidates may compete with our product candidates, and our and our licensors’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such as in China, which has different requirements for patentability, including a stringent requirement for a detailed description of medical uses of a claimed drug. It is also quite common that depending on the country, the scope of patent protection may vary for the same product or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laws of some jurisdictions do not protect intellectual property rights to the same extent as the laws or rules and regulations in the U.S., U.K. and Europe, and many companies have encountered significant difficulties in protecting and defending such rights in such jurisdictions. The legal systems of certain countries, particularly certain developing countries, do not favor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enforcement of patents, trade secrets and other intellectual property protection, which could make it difficult for us to stop the infringement of our patents or marketing of competing product candidates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patents and other proprietary rights may not adequately protect our technologies and product candidates and may not necessarily address all potential threats to our competitive advantage.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degree of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may be able to make compounds that are the same as or similar to our product candidates but that are not covered by the claims of the patents that we own or have exclusively licensed;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patents of third parties may impair our ability to develop or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patents of third parties may be extended beyond the expected patent term and thus may impair our ability to develop or commercialize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or any future strategic collaborators might not have been the first to conceive or reduce to practice the inventions covered by the issued patents or pending patent applications that we own or have exclusively licensed;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or our licensors or any future strategic collaborators might not have been the first to file patent applications covering our inventions, our product candidates, or uses of the product candidates in the indications under our development or to be developed;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it is possible that the pending patent applications that we own or have exclusively licensed may not lead to issued patents;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any competitive advantage, or may be held invalid or unenforceable, as a result of legal challenges by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coverage for all aspects of our product candidates in all countries, such as for uses of our product candidates in the indications under our development or to be developed;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 candidates for sale in our major commercial markets;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others performing manufacturing or testing for us using our product candidates or technologies could use the intellectual property of others without obtaining a proper license;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or our licensors’ inventions or technologies may be found to be not patentable;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develop additional technologies that are patentable.</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subject to third parties’ claims alleging infringement of third-party patents and proprietary rights, or we may be involved in lawsuits to protect or enforce our patents and other proprietary rights, which could be costly and time consuming, delay or prevent the development and commercialization of our product candidates, or put our patents and other proprietary rights at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commercial success depends, in part, upon our ability to develop, manufacture, market, and sell our product candidates without alleged or actual infringement, misappropriation, or other violation of the patents and proprietary rights of third parties. Litigation relating to patents and other intellectual property rights in the biopharmaceutical and pharmaceutical industries is common, including patent infringement lawsuits and interferences, oppositions, and reexamination proceedings before the U.S. Patent and Trademark Office (the “USPTO”), and foreign patent offices. The various markets in which we plan to operate are subject to frequent and extensive litigation regarding patents and other intellectual property rights. In addition, many companies in intellectual property-dependent industries, including in the biopharmaceutical and pharmaceutical industries, have employed intellectual property litigation as a means to gain an advantage over their competitors. Numerous U.S., European, and foreign issued patents and pending patent applications, which are owned by third parties, exist in the fields in which we are developing product candidates. Some claimants may have substantially greater resources than we have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biopharmaceutical and pharmaceutical industries expand and more patents are issued, the risk increases that our product candidates may be subject to claims of infringement of the intellectual property rights of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third-party claims including infringement, interference or derivation proceedings, post-grant review and inter partes review before the USPTO, or similar adversarial proceedings or litigation in the U.S. and other jurisdictions. Even if we believe such claims are without merit, a court of competent jurisdiction could hold that these third- party patents are valid, enforceable and infringed, and the holders of any such patents may be able to block our ability to commercialize the applicable product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unless we obtained a license or until such patent expires or is finally determined to be invalid or unenforceable. In addition, defending such claims would cause us to incur substantial expenses and could cause us to pay substantial damages, if we are found to be infringing a third party’s patent rights. These damages potentially include increased damages and attorneys’ fees if we are found to have infringed such rights willfully. As an example of the foregoing risks, we are aware of a third-party patent family which currently includes a patent granted by the European Patent Office (“EPO”), containing claims that appear to cover the use of etigilimab in the treatment of cancer. The patent owner could assert such patent against us, which could present the foregoing risks and impose limitations in our ability to develop, manufacture or sell etigilimab for such use in the EU, unless we obtain a license under such patent, such patent is determined to be invalid or unenforceable by the EPO or a national court in one or more relevant territories, or such patent is revoked or otherwise limited by the EPO. This patent is currently the subject of ongoing opposition proceedings before the EPO, but there can be no assurance as to the outcome of such proceedings. Regarding our anti-sclerostin antibody product candidate, setrusumab, we are aware of litigation involving patents owned by a third-party, OssiFi-Mab LLC (OMab), relating to methods of using sclerostin antagonists in combination with antiresorptive drugs to increase bone growth, bone formation, and/or bone density. Specifically, in the U.S., OMab has asserted certain patents expiring in 2027 or 2028 against Amgen based on Amgen’s commercialization of an anti-sclerostin antibody, Evenity®, for the treatment of osteoporosis in postmenopausal women at high risk for fracture; Amgen denies infringement and asserts the OMab patents are invalid. In Europe, OMab was granted two patents with related subject matter; the first patent has been revoked while the second has been opposed by Amgen, UCB, and two anonymous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our patents may be challenged, narrowed, circumvented, or invalidated by third parties. The issuance of a patent is not conclusive as to its inventorship, scope, validity, or enforceability, and our patents may be challenged in the courts or patent offices in the U.S. and abroad. We may be subject to a third party pre-issuance submission of prior art to the USPTO or become involved in opposition, derivation, revocation, reexamination, post-grant and inter partes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patent rights.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technology and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is a risk that one or more third parties may choose to engage in litigation with us to enforce or to otherwise assert their patent rights against us. Even if we believe such claims are without merit, a court of competent jurisdiction could hold that one or more of these patents is valid, enforceable, and infringed, in which case the owners of any such patents may be able to block our ability to commercialize a product candidate unless we obtain a license under the applicable patents, or until such patents expire. However, such a license may not be available on commercially reasonable terms or at all. Such proceedings also may result in substantial cost and require significant time from us, even if the eventual outcome is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 if a patent infringement suit is brought against us or our third-party service providers, our development, manufacturing or sales activities relating to the product or product that is the subject of the suit may be delayed or terminated. As a result of patent infringement claims, or in order to avoid potential infringement claims, we may choose to seek, or be required to seek, a license from the third party, which would be likely to include a requirement to pay license fees or royalties or both. These licenses may not be available on acceptable terms or at all. Even if a license can be obtained on acceptable terms, the rights may be nonexclusive, which would give our competitors access to the same intellectual property rights. If we are unable to enter into a license on acceptable terms, we could be prevented from commercializing one or more of our product candidates, or forced to modify such product candidates, or to cease some aspect of our business operations, which could harm our business significantly. We might, if possible, also be forced to redesign our product candidates so that we no longer infringe the third-party intellectual property rights, which may result in significant cost and delay to us, or which redesign could be technically infeasible. Any of these events, even if we were ultimately to prevail, could require us to divert substantial financial and management resources that we would otherwise be able to devote to our business.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to initiate legal proceedings against a third party to enforce a patent covering one of our product candidates, the defendant could counterclaim that our patent is invalid or unenforceable. In patent litigation in the U.S. and in Europe, defendant counterclaims alleging invalidity or unenforceability are commonplace. Grounds for a validity challenge could be an alleged failure to meet any of several statutory requirements, for example, lack of novelty, obviousness, or non- enablement. Third parties might allege unenforceability of our patents because someone connected with prosecution of the patent withheld relevant information, or made a misleading statement, during prosecution.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There is a risk that in connection with such proceedings, a court will decide that a patent of ours is invalid or unenforceable, in whole or in part, and that we do not have the right to stop the other party from using the invention at issue. If a defendant were to prevail on a legal assertion of invalidity or unenforceability, we would lose at least part, and perhaps all, of the patent protection on our product candidates.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Even if we establish infringement, the court may decide not to grant an injunction against further infringing activity and instead award only monetary damages, which may or may not be an adequate remedy. An adverse outcome in a litigation or proceeding involving one or more of our patents could limit our ability to assert those patents against those parties or other competitors, and may curtail or preclude our ability to exclude third parties from making and selling similar or competing product candidates. In addition, if the breadth or strength of protection provided by our patents is threatened, it could dissuade companies from collaborating with us to license, develop, or commercialize our current or future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our patents and other intellectual property rights also will not protect our technology if competitors and other third parties design around our protected technology without infringing our patents or other intellectual property rights. For example, a third party may develop a competitive product that provides benefits similar to our product candidates but that uses a technology that falls outside the scope of our patent protection. Our competitors may also seek approval to market generic versions of any approved products and in connection with seeking such approval may claim that our patents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If the patent protection provided by the patents and patent applications we hold or pursue with respect to our product candidates is not sufficiently broad to impede such competition, our ability to successfully commercialize our product candidates could be negatively affected.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Even if resolved in our favor, litigation or other legal proceedings relating to intellectual property claims may cause us to incur significant expenses and could distract our technical and management personnel from their normal responsibilities.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 There could also be public announcements of the results of hearings, motions, or other interim proceedings or developments. If securities analysts or investors view these announcements in a negative light, the price of our ADSs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identify relevant third-party patents or may incorrectly interpret the relevance, scope or expiration of a third- party patent which might adversely affect our ability to develop, manufacture and market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guarantee that any of our, our licensors’, or the previous owners’ patent searches or analyses, including but not limited to the identification of relevant patents, the scope of patent claims, or the expiration of relevant patent applications or patents, are complete or thorough, nor can we be certain that we have identified each and every third-party patent and patent application in the U.S., Europe and elsewhere that is relevant to or necessary for the commercialization of our product candidates in any jurisdiction. For example, in the U.S., patent applications filed before November 29, 2000 and, upon request, certain patent applications filed after that date that will not be filed outside the U.S., remain confidential until those patent applications issue as patents. Patent applications in the U.S., EU, and elsewhere are published approximately 18 months after the earliest filing for which priority is claimed, with such earliest filing date being commonly referred to as the priority date. Therefore, patent applications covering our product candidates could have been filed by others without our knowledge, including any such patent applications that may claim priority from patent applications for patents that we have determined will expire before we commercialize our product candidates. Additionally, pending patent applications that have been published can, subject to certain limitations, be later amended in a manner that could cover our product candidates or the use of our product candidates. Moreover, as we study our product candidates during development, we may learn new information regarding their structure, composition, properties, or functions that may render third-party patent applications or patents that we had not identified as being, or that we had not believed to be, relevant to our product candidates instead to be relevant to or necessary for the commercialization of our product candidates in a jurisdiction. The scope of a patent claim is determined by an interpretation of the law, the written disclosure in the patent, and the patent’s prosecution history. Our interpretation of the relevance or the scope of a patent or a pending patent application may be incorrect. We may incorrectly determine that our product candidates are not covered by a third-party patent or may incorrectly predict whether a third party’s pending patent application will issue with claims of relevant scope. Our determination of the expiration date or the possibility of an extension of patent term of any patent in the U.S, Europe, or elsewhere that we consider relevant also may be incorrect. Any of the foregoing circumstances, failures, or errors may negatively impact our ability to develop and market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our obligations under our existing and any future intellectual property licenses with third parties, we could lose license rights that are important to our business, and our business may be substantially harmed as a result.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party to agreements with licensors, including Novartis, AstraZeneca, and Ultragenyx under which we in-license certain intellectual property and were assigned, in the case of Novartis, or granted an option to acquire, in the case of AstraZeneca, certain patents and patent applications related to our business. In addition, we are party to agreements with OncXerna and Ultragenyx pursuant to which we have out-licensed certain intellectual property. We may enter into additional license agreements in the future. Our existing license agreements impose and any future license agreements are likely to impose various diligence, milestone payment, royalty, insurance and other obligations on us. Any uncured, material breach under these license agreements could result in the loss of our rights to practice such in-licensed intellectual property, and could compromise our development and commercialization efforts for any current or future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maintaining necessary rights to our product candidates or obtaining patent or other intellectual property rights important to our business through acquisitions and in-licenses.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own and have in-licensed rights to intellectual property, including patents, patent applications and know- how, relating to our product candidates, and our success will likely depend on maintaining these rights. Because our programs may require the use of proprietary rights held by third parties, the growth of our business will likely depend in part on our ability to continue to acquire, in-license, maintain, or use these proprietary rights. In addition, our product candidates may require specific formulations to work effectively and the rights to those formulations or methods of making those formulations may be held by others. We may be unable to acquire or in-license any compositions, methods of use, processes, or other third-party intellectual property rights that we identify as necessary for the development and commercialization of our product candidates. The licensing and acquisition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the development of our product candidates or a development program on acceptable terms, we may have to abandon development of our product candidates or that development program.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Periodic maintenance and annuity fees on any issued patent are due to be paid to the USPTO and foreign patent agencies over the lifetime of a patent. In addition, the USPTO and other foreign patent agencies require compliance with a number of procedural, documentary, fee payment, and other similar provisions during the patent application process. While an inadvertent failure to make payment of such fees or to comply with such provisions can in many cases be cured by payment of a late fee or by other means in accordance with the applicable rules, there are situations in which such non-compliance will result in the abandonment or lapse of the patent or patent application, and the partial or complete loss of patent rights in the relevant jurisdiction. Non-compliance events that could result in abandonment or lapse of a patent or patent application include failure to respond to official actions within prescribed time limits, and non-payment of fees and failure to properly legalize and submit formal documents within prescribed time limits. If we or our licensors fail to maintain the patents and patent applications covering our product candidates or if we or our licensors otherwise allow our patents or patent applications to be abandoned or lapse, our competitors might be able to enter the market, which would hurt our competitive position and could impair our ability to successfully commercialize our product candidates in any indication for which they are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be subject to claims challenging the inventorship of our patents and patent applications or ownership of our intellectual property. In particular, we may be subject to claims that former employees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 </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is the case with other biopharmaceutical and pharmaceutical companies, our success is heavily dependent on intellectual property, particularly patents. Obtaining and enforcing patents in the biopharmaceutical and pharmaceutical industries involve both technological complexity and legal complexity. Therefore, obtaining and enforcing biopharmaceutical and pharmaceutical patents is costly, time-consuming and inherently uncertain. In addition, the America Invents Act (the “AIA”), which was passed in September 2011, resulted in significant changes to the U.S. patent system. 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made the invention before it was made by the third party. This will require us to be cognizant going forward of the time from invention to filing of a patent application, but circumstances could prevent us from promptly filing patent applications on our inventions.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Among some of the other changes introduced by the AIA are changes to the limitation where a patent may be challenged, thus providing opportunities for third parties to challenge any issued patent in the USPTO. This applies to all of our U.S. patents, even those issued before March 16, 2013. Because of a lower evidentiary standard in USPTO proceedings compared to the evidentiary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a third party may attempt to use the USPTO proceedings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patent applications and the enforcement or defense of our or our licensors’ issued patents.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have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protection under the Hatch-Waxman Amendments and similar non-U.S. legislation for extending the term of patents covering our product candidates, our ability to compete effectively could be impaired.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Depending upon the timing, duration and conditions of FDA marketing approval of our product candidates, one or more of our U.S. patents may be eligible for patent term extension under the Drug Price Competition and Patent Term Restoration Act of 1984, referred to as the “Hatch-Waxman Amendments.” The Hatch-Waxman Amendments permit a patent term extension of up to five years for a patent covering an approved product or method of use as compensation for patent term lost during product development and the FDA regulatory review process. A patent term extension cannot extend the remaining term of a patent beyond a total of 14 years from the date of product approval. Similar patent term extensions may be available in other jurisdictions. For example, a supplementary protection certificate in Europe may be applied for approval to recover some of the time lost between the patent application filing date and the date of first marketing authorization.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 candidates sooner. As a result, our revenue from applicable product candidates could be reduced, possibly materially.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we may not be able to build name recognition in our markets of interest and our competitive position may be adversely affected.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own registered trademarks. We may not be able to obtain trademark protection in territories that we consider of significant importance to us. In addition, any of our trademarks or trade names, whether registered or unregistered, may be challenged, opposed, infringed, cancelled, circumvented or declared generic, or determined to be infringing on other marks, as applicable. We may not be able to maintain and protect our rights to these trademarks and trade names, which we will need to build name recognition by potential collaborators or customers in our markets of interest. Over the long term, if we are unable to establish name recognition based on our trademarks and trade names, we may not be able to compete effectively and our business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and know-how, our business and competitive position would be harmed.</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consider proprietary trade secrets and confidential know-how and unpatented know-how to be important to our business. In addition to seeking patents for some of our technology and product candidates, we also may rely on trade secrets or confidential know-how to protect our technology, especially where patent protection is believed to be of limited value. However, trade secrets and confidential know-how are difficult to maintain as confidential.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cannot know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whether the steps we have taken to protect our proprietary technologies will be effective. In addition, current or former employees, consultants, contractors, and advisers may unintentionally or willfully disclose our confidential information to competitors, and confidentiality agreements may not provide an adequate remedy in the event of unauthorized disclosure of confidential information. We therefore cannot guarantee that our trade secrets and other proprietary and confidential information will not be disclosed or that competitors will not otherwise gain access to our trade secrets. Enforcing a claim that a third party obtained illegally and is using trade secrets 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Failure to protect or maintain trade secrets and confidential know-how could adversely affect our business and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own trade secrets or confidential know-how.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third-party intellectual property, or claiming ownership of what we regard as our own intellectual property. These claims may be costly to defend and if we do not successfully do so, we may be required to pay monetary damages and lose valuable intellectual property rights or personnel.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our employees, including our senior management, were previously employed at other biopharmaceutical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know-how, trade secrets, or other proprietary information of others in their work for us, we may be subject to claims that we or these employees have used or disclosed confidential information or intellectual property, including know-how, trade secrets, or other proprietary information, of any such employee’s former employer. Litigation may be necessary to defend against these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If we fail in prosecuting or defending any such claims, in addition to paying monetary damages, we may lose valuable intellectual property rights or personnel. A loss of key research personnel or their work product could hamper or undermine our ability to develop and commercialize our product candidates, which would severely harm our business. In addition, if such intellectual property rights were to be awarded to a third party, we could be required to obtain a license from such third party to commercialize our technology or product candidates. Such a license may not be available on commercially reasonable terms or at all, which could hamper or undermine our ability to develop and commercialize our product candidates, which would severely harm our business. Even if we successfully prosecute or defend against such claims, litigation could result in substantial costs and distract management from the development and commercialization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and operations may suffer, and proprietary information may be lost, in the event of information technology system failures, cyberattacks or deficiencies in our cybersecurity.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ordinary course of our business, we collect and store sensitive data, including intellectual property, clinical trial data, proprietary business information, personal data and personally identifiable information of our clinical trial subjects and employees, in our data centers and on our networks. The secure processing, maintenance and transmission of this information is critical to our operations. Despite our security measures, our information technology and infrastructure and those of our CROs or other contractors or consultants may be vulnerable to attack and damage from computer viruses and malware (e.g., ransomware), cybersecurity threats, unauthorized access, natural disasters, terrorism, war and telecommunications and electrical failures or breached due to employee error, malfeasance, or other disruptions. Attacks upon information technology systems are increasing in their frequency, levels of persistence, sophistication and intensity, and are being conducted by sophisticated and organized groups and individuals with a wide range of motives and expertise.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and certain of our service providers are from time to time subject to cyber security incidents. Although, to our knowledge, we have not experienced any significant system failure, accident or security breach to date, any such event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and significant regulatory penalties; disrupt our operations; damage our reputation; and cause a loss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confidence in us and our ability to conduct clinical trials, which could adversely affect our reputation and delay our clinical development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loss of clinical trial data from completed, ongoing, or planned trials could result in delays in our regulatory approval efforts and significantly increase our costs to recover or reproduce the data. We could also incur liability and the further development and commercialization of our product candidates could be delayed. In addition, we also rely on third parties to manufacture our product candidates, so similar events relating to their computer systems could also have a material adverse effect on our business. Further, our insurance coverage may not be sufficient to cover the financial, legal, business or reputational losses that may result from an interruption or breach of our systems.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in response to the COVID-19 pandemic, and continued hybrid working environment, varying parts of our workforce may work remotely on a part or full-time basis. This could increase our cyber security risk, create data accessibility concerns, and make us more susceptible to communication disruptions. Any of the foregoing could have a material adverse effect on our business, financial condition, results of operations or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ADSs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The trading price of our ADSs may be volatile, and you could lose all or part of your investment.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price of our ADSs is likely to be highly volatile and could be subject to wide fluctuations in response to various factors, some of which are beyond our control.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ADSs at or above the price paid for the ADSs. In addition to the factors discussed in this “Risk Factors” section and elsewhere in this report, factors that are expected to affect the market price of our ADSs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positive or negative results from, or delays in, testing or clinical trials conducted by our or our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delays in entering into strategic relationships with respect to development or commercialization of our product candidates or entry into strategic relationships on terms that are not deemed to be favorable to us;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technological innovations or commercial product introductions by us or competitors;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changes in government regulations;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developments concerning proprietary rights, including patents and litigation matters;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impact of public health epidemics, such as the COVID-19 pandemic, and government efforts to slow their spread;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economic, public health, financial or geopolitical events that affect us or the financial markets generally, including the duration and severity of the impact of the COVID-19 pandemic, the conflicts between Ukraine and the Russian Federation, and Israel and Hamas and unexpected rises in inflation and interest rates;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public concern relating to the commercial value or safety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financing or other corporate transactions;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publication of research reports or comments by securities or industry analysts, and variances in our periodic results of operations from securities analysts’ estimates;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market conditions in the biopharmaceutical and pharmaceutical industries or in the economy as a whole;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loss of any of our key scientific or senior management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sales of our ADSs by us, our senior management and board members, holders of ADSs or our other security holders in the future;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actions by institutional shareholders;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speculation in the press or the investment community; or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events and factors, many of which are beyond our control.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in the U.S., when the market price of a security has been volatile, holders of that security have often instituted securities class action litigation against the issuer of such securities. If any of the holders of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 </w:t>
      </w:r>
    </w:p>
    <w:p>
      <w:pPr>
        <w:pStyle w:val="TextBody"/>
        <w:bidi w:val="0"/>
        <w:spacing w:before="240" w:after="283"/>
        <w:jc w:val="left"/>
        <w:rPr>
          <w:rFonts w:ascii="Times New Roman" w:hAnsi="Times New Roman"/>
          <w:sz w:val="20"/>
        </w:rPr>
      </w:pPr>
      <w:r>
        <w:rPr>
          <w:rFonts w:ascii="Times New Roman" w:hAnsi="Times New Roman"/>
          <w:b/>
          <w:i/>
          <w:color w:val="000000"/>
          <w:sz w:val="20"/>
        </w:rPr>
        <w:t>You may be subject to limitations on the transfer of ADSs and the withdrawal of the underlying ordinary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ADSs are transferable on the books of the depositary. However, the depositary may close its books at any time or from time to time when the depositary, in good faith, determines such action is necessary or advisable pursuant to the deposit agreement. The depositary may refuse to deliver, transfer or register transfers of ADSs generally when our books or the books of the depositary are closed, or at any time if we or the depositary thinks it is necessary or advisable to do so because of any requirement of law, government or governmental body, or under any provision of the deposit agreement, or for any other reason, subject to your right to cancel your ADSs and withdraw the underlying ordinary shares. Temporary delays in the cancellation of your ADSs and withdrawal of the underlying ordinary shares may arise because the depositary has closed its transfer books or we have closed our transfer books, the transfer of ordinary shares is blocked to permit voting at a shareholders’ meeting or because we are paying a dividend on our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you may not be able to cancel your ADSs and withdraw the underlying ordinary shares when you owe money for fees, taxes and similar charges to the depositary and when it is necessary to prohibit withdrawals in order to comply with any laws or governmental regulations that apply to our ADSs or to the withdrawal of our ordinary shares or other deposited securities. </w:t>
      </w:r>
    </w:p>
    <w:p>
      <w:pPr>
        <w:pStyle w:val="TextBody"/>
        <w:bidi w:val="0"/>
        <w:spacing w:before="240" w:after="283"/>
        <w:jc w:val="left"/>
        <w:rPr>
          <w:rFonts w:ascii="Times New Roman" w:hAnsi="Times New Roman"/>
          <w:sz w:val="20"/>
        </w:rPr>
      </w:pPr>
      <w:r>
        <w:rPr>
          <w:rFonts w:ascii="Times New Roman" w:hAnsi="Times New Roman"/>
          <w:b/>
          <w:i/>
          <w:color w:val="000000"/>
          <w:sz w:val="20"/>
        </w:rPr>
        <w:t>The rights of our shareholders may differ from the rights typically offered to shareholders of a U.S. corporation.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incorporated under English law. The rights of holders of ordinary shares and, therefore, certain of the rights of holders of ADSs, are governed by English law, including the provisions of the U.K. Companies Act 2006, or the Companies Act, and by our articles of association. These rights differ in certain respects from the rights of shareholders in typical U.S. corporations.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principal differences include the following: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English law, holders of ordinary shares generally have preemptive rights (in proportion to their existing holdings) in relation to ordinary shares or rights to subscribe for, or to convert securities into, ordinary shares proposed to be allotted for cash, unless an exception applies or a special resolution to the contrary has been passed by shareholders in a general meeting or the articles of association provide otherwise. Under U.S. law, shareholders generally do not have preemptive rights unless specifically granted in the certificate of incorporation or otherwise;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English law and our articles of association, certain matters require the approval of 75% of the shareholders who vote (in person or by proxy) on the relevant resolution (or, on a poll, the approval of shareholders representing 75% of the ordinary shares voting (in person or by proxy)), including changes to our name, permitting us to issue new ordinary shares for cash without the shareholders’ preemptive rights applying and amendments to the articles of association. Under U.S. law, generally only majority shareholder approval is required to amend the certificate of incorporation or to approve other significant matters;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U.K., a takeover may be structured as takeover offers or as schemes of arrangement. Under English law, a bidder seeking to acquire a company by means of a takeover offer who has acquired or unconditionally contracted to acquire not less than 90% of the shares (not held by the bidder) to which the offer relates may complete a “squeeze out” on the same terms as the takeover offer to obtain 100% control of that company. Accordingly, acceptances in respect of 90% of our outstanding ordinary shares/ADSs will likely be a condition in any takeover offer to acquire us (albeit a condition that the bidder will typically reserve the right to waive down to anything above 50%),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not less than 75% of the ordinary shares voting at the meeting;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English law and our articles of association, shareholders and other persons whom we know or have reasonable cause to believe are, or have been, interested in our shares may be required to disclose information regarding their interests in our shares upon our request, and if a person defaults in providing the required information our directors may certain directions, including that the relevant shareholder will not be entitled to vote at general meetings, that dividends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rFonts w:ascii="Times New Roman" w:hAnsi="Times New Roman"/>
          <w:color w:val="000000"/>
          <w:sz w:val="20"/>
        </w:rPr>
        <w:t>in respect of the default shares will be retained and that no transfers of the default shares may be registered. Comparable provisions generally do not exist under U.S. law; and</w:t>
      </w:r>
      <w:r>
        <w:rPr>
          <w:color w:val="000000"/>
        </w:rPr>
        <w:t xml:space="preserv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quorum requirement for a shareholders’ meeting is a minimum of two shareholders entitled to vote at the meeting and present in person or by proxy or, in the case of a shareholder which is a corporation, represented by a duly authorized representative. In addition, in accordance with the applicable Nasdaq rules, under the articles of association for a shareholders’ meeting to be quorate at least 33 1/3 per cent. of the company’s issued and outstanding ordinary shares must be present at such meeting, whether represented in person (including, in the case of a corporate member, by a duly authorized representative) or by a duly appointed proxy.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research or unfavorable research about our business, the price and trading volume of ADSs could decline.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trading market for our ADSs depends in part on the research and reports that securities or industry analysts publish about us or our business. If one or more of the analysts who covers us downgrades our ADSs or publishes incorrect or unfavorable research about our business, the price of our ADSs would likely decline. If one or more of these analysts ceases coverage of us or fails to publish reports on us regularly, or downgrades our ADSs, demand for ADSs could decrease, which could cause the price of ADSs and/or ordinary shares and/or trading volume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Our ADS holders may not be entitled to a jury trial with respect to claims arising under the deposit agreement, which could result in less favorable results to the plaintiff(s) in any such action.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deposit agreement governing our ADSs provides that holders and beneficial owners of ADSs irrevocably waive the right to a trial by jury in any legal proceeding arising out of or relating to the deposit agreement or our ADSs, including claims under U.S. federal securities laws, against us or the depositary to the fullest extent permitted by applicable law. If this jury trial waiver provision is prohibited by applicable law, an action could nevertheless proceed under the terms of the deposit agreement with a jury trial. Although we are not aware of a specific federal decision that addresses the enforceability of a jury trial waiver in the context of U.S. federal securities laws, it is our understanding that jury trial waivers are generally enforceable. Moreover, insofar as the deposit agreement is governed by the laws of the State of New York, New York laws similarly recognize the validity of jury trial waivers in appropriate circumstances.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our ADSs.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 condition, stipulation or provision of the deposit agreement or ADSs serves as a waiver by any holder or beneficial owner of ADSs or by us or the depositary of compliance with any provision of U.S. federal securities laws and the rules and regulations promulgated thereunder.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any holder or beneficial owner of ADSs brings a claim against us or the depositary in connection with matters arising under the deposit agreement or our ADSs, including claims under U.S. federal securities laws, such holder or beneficial owner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results than a trial by jury would have had, including results that could be less favorable to the plaintiff(s) in any such action, depending on, among other things, the nature of the claims, the judge or justice hearing such claims and the venue of the hearing. </w:t>
      </w:r>
    </w:p>
    <w:p>
      <w:pPr>
        <w:pStyle w:val="TextBody"/>
        <w:bidi w:val="0"/>
        <w:spacing w:before="240" w:after="283"/>
        <w:jc w:val="left"/>
        <w:rPr>
          <w:rFonts w:ascii="Times New Roman" w:hAnsi="Times New Roman"/>
          <w:sz w:val="20"/>
        </w:rPr>
      </w:pPr>
      <w:r>
        <w:rPr>
          <w:rFonts w:ascii="Times New Roman" w:hAnsi="Times New Roman"/>
          <w:b/>
          <w:i/>
          <w:color w:val="000000"/>
          <w:sz w:val="20"/>
        </w:rPr>
        <w:t>You may not receive distributions on ordinary shares represented by ADSs or any value for them if it is unlawful or impractical to make them available to holders of ADSs.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terms of the deposit agreement, the depositary for ADSs will distribute the cash dividends or other distributions it or the custodian receives on ordinary shares or other deposited securities after deducting its fees and expenses. You will receive these distributions in proportion to the number of ordinary shares your ADSs represent. However, in accordance with the limitations set forth in the deposit agreement, it may be unlawful or impractical to make a distribution available to holders of ADSs. We have no obligation to take any other action to permit the distribution of ADSs, ordinary shares, rights or anything else to holders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ADSs. This means that you may not receive the distributions we make on our ordinary shares or any value from them if it is unlawful or impractical to make them available to you. These restrictions may have a material adverse effect on the value of ADSs. </w:t>
      </w:r>
    </w:p>
    <w:p>
      <w:pPr>
        <w:pStyle w:val="TextBody"/>
        <w:bidi w:val="0"/>
        <w:spacing w:before="240" w:after="283"/>
        <w:jc w:val="left"/>
        <w:rPr>
          <w:rFonts w:ascii="Times New Roman" w:hAnsi="Times New Roman"/>
          <w:sz w:val="20"/>
        </w:rPr>
      </w:pPr>
      <w:r>
        <w:rPr>
          <w:rFonts w:ascii="Times New Roman" w:hAnsi="Times New Roman"/>
          <w:b/>
          <w:i/>
          <w:color w:val="000000"/>
          <w:sz w:val="20"/>
        </w:rPr>
        <w:t>Holders of ADSs may not have the same voting rights as holders of ordinary shares and may not receive voting materials in time to be able to exercise their right to vote.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Holders of ADSs are not able to exercise voting rights attaching to ordinary shares underlying our ADSs on an individual basis. Each holder of ADSs has appointed the depositary or its nominee as the holder’s representative to exercise, pursuant to the instructions of the holder, the voting rights attaching to our ordinary shares underlying our ADSs. Holders of ADSs may not receive voting materials in time to instruct the depositary to vote, and it is possible that they, or persons who hold their ADSs through brokers, dealers or other third parties, will not have the opportunity to exercise a right to vote. </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entitled to amend the deposit agreement and to change the rights of ADS holders under the terms of such agreement, or to terminate the deposit agreement, without the prior consent of the ADS 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entitled to amend the deposit agreement and to change the rights of the ADS holders under the terms of such agreement, without the prior consent of the ADS holders. We and the depositary may agree to amend the deposit agreement in any way we decide is necessary or advantageous to us or to the depositary. Amendments may reflect, among other things, operational changes in the ADS program, legal developments affecting ADSs or changes in the terms of our business relationship with the depositary. In the event that the terms of an amendment are materially disadvantageous to ADS holders, ADS holders will only receive 30 days’ advance notice of the amendment, and no prior consent of the ADS holders is required under the deposit agreement. Furthermore, we may decide to direct the depositary to terminate the ADS facility at any time for any reason. For example, terminations may occur when we decide to list our ordinary shares on a non-U.S. securities exchange and determine not to continue to sponsor an ADS facility or when we become the subject of a takeover or a going-private transaction. If the ADS facility will terminate, ADS holders will receive at least 30 days’ prior notice, but no prior consent is required from them. Under the circumstances that we decide to make an amendment to the deposit agreement that is disadvantageous to ADS holders or terminate the deposit agreement, the ADS holders may choose to sell their ADSs or surrender their ADSs and become direct holders of the underlying ordinary shares, but will have no right to any compensation whatsoever. </w:t>
      </w:r>
    </w:p>
    <w:p>
      <w:pPr>
        <w:pStyle w:val="TextBody"/>
        <w:bidi w:val="0"/>
        <w:spacing w:before="240" w:after="283"/>
        <w:jc w:val="left"/>
        <w:rPr>
          <w:rFonts w:ascii="Times New Roman" w:hAnsi="Times New Roman"/>
          <w:sz w:val="20"/>
        </w:rPr>
      </w:pPr>
      <w:r>
        <w:rPr>
          <w:rFonts w:ascii="Times New Roman" w:hAnsi="Times New Roman"/>
          <w:b/>
          <w:i/>
          <w:color w:val="000000"/>
          <w:sz w:val="20"/>
        </w:rPr>
        <w:t>It may be difficult for you to bring any action or enforce any judgment obtained in the U.S. against us or members of our Board, which may limit the remedies otherwise available to us.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incorporated as a public limited company in England and Wales, and the majority of our assets are located outside the U.S. In addition, several members of our board of directors (our “Board”) are nationals and residents of countries, including the U.K., outside of the U.S. Most or all of the assets of these individuals are located outside the U.S. As a result, it may be difficult or impossible for you to bring an action against us or against these individuals in the U.S. if you believe your rights have been infringed under the securities laws or otherwise. In addition, a U.K. court may prevent you from enforcing a judgment of a U.S. court against us or these individuals based on the securities laws of the U.S. or any state thereof. A U.K. court may not allow you to bring an action against us or our directors based on the securities laws of the U.S.s or any state thereof. </w:t>
      </w:r>
    </w:p>
    <w:p>
      <w:pPr>
        <w:pStyle w:val="TextBody"/>
        <w:bidi w:val="0"/>
        <w:spacing w:before="240" w:after="283"/>
        <w:jc w:val="left"/>
        <w:rPr>
          <w:rFonts w:ascii="Times New Roman" w:hAnsi="Times New Roman"/>
          <w:sz w:val="20"/>
        </w:rPr>
      </w:pPr>
      <w:r>
        <w:rPr>
          <w:rFonts w:ascii="Times New Roman" w:hAnsi="Times New Roman"/>
          <w:b/>
          <w:i/>
          <w:color w:val="000000"/>
          <w:sz w:val="20"/>
        </w:rPr>
        <w:t>Shareholders in countries other than the U.K. will suffer dilution if they are unable to participate in future preemptive equity offerings.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English law, shareholders (being those shareholders that are included in a company’s register of members as holders of the legal title to that company’s shares) usually have preemptive rights to subscribe on a pro rata basis in the issuance of new shares for cash. The exercise of those preemptive rights by certain shareholders not resident in the U.K. may be restricted by applicable law or practice in the U.K. and overseas jurisdictions. In particular, the exercise of preemptive rights by U.S. shareholders would be prohibited unless an offering is registered under the Securities Act or an exemption from the registration requirements of the Securities Act applies. Furthermore, under the deposit agreement for our ADSs, the depositary generally will not make available those preemptive rights to holders of ADSs unless certain conditions are met, including that the provision of such preemptive rights to the ADS holders is reasonably practicable. If no exemption applies and we determine not to register such offering, shareholders in the U.S. may not be able or permitted to exercise their preemptive rights. We are also permitted under English law to disapply preemptive rights (subject to the approval of our shareholders by special resolution or the inclusion in the articles of a power to disapply such rights) either generally or in relation to a specific allotment and thereby exclude certain shareholders, such as overseas shareholders, from participating in a rights offering.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Unlike in prior years, as of January 1, 2024, we are required to comply with the domestic reporting regime under the Exchange Act and will incur significant legal, accounting and other expenses, and our management will be required to devote substantial additional time to new compliance initiatives and corporate governance matters.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determined at the end of our second fiscal quarter that, as of January 1, 2024, we no longer qualified as a “foreign private issuer” under the rules and regulations of the SEC. While we were a foreign private issuer, we were exempt from compliance with certain laws and regulations of the SEC, including the proxy rules, the short-swing profits recapture rules and certain governance requirements, such as independent director oversight of the nomination of directors and executive compensation. In addition, we were not required to file annual, quarterly and current reports and financial statements with the SEC as frequently or as promptly as U.S. companies registered under the Exchange Act and were not required to present our financial statements in accordance with U.S. GAAP. As a result of this determination, beginning on January 1, 2024, we were no longer entitled to “foreign private issuer” exemptions and we plan to report as a domestic U.S. filer, including filing annual reports on Form 10-K, quarterly reports on Form 10-Q, current reports on Form 8-K and proxy statements under Section 14 of the Exchange Act. In addition, beginning January 1, 2024, our “insiders” are subject to the reporting and short-swing profit recovery provisions contained in Section 16 of the Exchange Act and will be no longer exempt from the requirements of Regulation FD promulgated by the SEC under the Exchange Act. Moreover, beginning January 1, 2024, we were no longer permitted to follow our home country rules in lieu of the corporate governance obligations imposed by Nasdaq, and will be required to comply with the governance practices required of U.S. domestic issuers.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regulatory and compliance costs associated with the reporting and governance requirements applicable to U.S. domestic issuers may be significantly higher than the costs we previously incurred as a foreign private issuer. As a result, we expect that the loss of foreign private issuer status will increase our legal and financial compliance costs and will make some activities highly time consuming and costly. In addition, we need to further develop our reporting and compliance infrastructure and may face challenges in complying with the new requirements applicable to us.</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an “emerging growth company,” and the reduced disclosure requirements applicable to emerging growth companies may make the ADSs less attractive to investors.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an “emerging growth company,” as defined in the Jumpstart Our Business Startups Act of 2012, or the JOBS Act. As such, we are eligible to, and intend to, take advantage, of certain exemptions from various reporting requirements applicable to other public companies that are not emerging growth companies, such as not being required to comply with the auditor attestation requirements of Section 404 of the Sarbanes-Oxley Act of 2002. These exemptions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being required to comply with the auditor attestation requirements in the assessment of our internal control over financial reporting;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reduced disclosure obligations regarding executive compensation;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exemptions from the requirements of holding a nonbinding advisory vote on executive compensation and shareholder approval of any golden parachute payments not previously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take advantage of some or all of the available exemptions. We will remain an emerging growth company until the earlier of (1) the last day of the fiscal year (a) following the fifth anniversary of the date we became a public company, (b) in which we have total annual gross revenue of at least $1.24 billion or (c) in which we are deemed to be a large accelerated filer, which requires the market value of our ADSs that are held by non-affiliates to exceed $700 million as of the prior June 30th, and (2) the date on which we have issued more than $1 billion in non-convertible debt during the prior three-year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predict whether investors will find the ADSs less attractive if we rely on these exemptions. If some investors find the ADSs less attractive as a result, there may be a less active trading market for the ADSs and the market price of the ADSs may be more volatile. </w:t>
      </w:r>
    </w:p>
    <w:p>
      <w:pPr>
        <w:pStyle w:val="TextBody"/>
        <w:bidi w:val="0"/>
        <w:spacing w:before="240" w:after="283"/>
        <w:jc w:val="left"/>
        <w:rPr>
          <w:rFonts w:ascii="Times New Roman" w:hAnsi="Times New Roman"/>
          <w:sz w:val="20"/>
        </w:rPr>
      </w:pPr>
      <w:r>
        <w:rPr>
          <w:rFonts w:ascii="Times New Roman" w:hAnsi="Times New Roman"/>
          <w:b/>
          <w:i/>
          <w:color w:val="000000"/>
          <w:sz w:val="20"/>
        </w:rPr>
        <w:t>Failure to establish and maintain effective internal controls could have a material adverse effect on our business and stock price.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404, we are required to furnish a report by our senior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we have been engaged in a process to document and evaluate our internal control over financial reporting, which is both costly and challenging. In this regard, we will need to continue to dedicate internal resources, potentially continue to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As discussed in Item 9A. Controls and Procedures, we have not identified any material weaknesses, however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identify one or more material weaknesses in future, it could result in an adverse reaction in the financial markets due to a loss of confidence in the reliability of our financial statements.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a passive foreign investment company (“PFIC”) for any taxable year, which could result in material adverse U.S. federal income tax consequences if you are a U.S. investor.</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a non-U.S. corporation will be a PFIC for any taxable year in which (i) 75% or more of its gross income consists of passive income (the “income test”) or (ii) 50% or more of the value of its assets consists of assets (generally determined on a quarterly average basis) that produce, or are held for the production of, passive income (the “asset test”). For purposes of the above calculations, a non-U.S. corporation that directly or indirectly owns at least 25% by value of the shares of another corporation is treated as if it held its proportionate share of the assets of the other corporation and received directly its proportionate share of the income of the other corporation. Passive income generally includes interest, dividends, gains from certain property transactions, rents and royalties (other than certain rents or royalties derived in the active conduct of a trade or business). Cash is a passive asset for PFIC purposes. Goodwill (the value of which may be determined by reference to the company’s market capitalization) is treated as an active asset to the extent attributable to activities intended to produce active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Although we believe we have been treated as a PFIC in the past, based on our gross income, the average value of our assets, including goodwill, and the nature of the current state of our business, we do not believe we were a PFIC for the year ended December 31, 2023. There can be no assurance regarding our PFIC status for any particular year in the future because PFIC status is factual in nature, depends upon factors not wholly within our control, generally cannot be determined until the close of the taxable year in question and is determined annually. Whether we will be a PFIC in the current or any future taxable year is uncertain because, among other things, we currently own a substantial amount of passive assets, including cash, and because the valuation of our assets that generate non-passive income for PFIC purposes, including our goodwill and other intangible assets, is uncertain and may vary substantially over time. In addition, the composition of our assets and income may vary substantially over time. The average quarterly value of our assets for purposes of determining our PFIC status for any taxable year (to the extent applicable) will generally be determined in part by reference to our market capitalization, which has fluctuated and may continue to fluctuate significantly over time. Accordingly, there can be no assurance that we will not be a PFIC in the current or for any future taxable year. In addition, we may, directly or indirectly, hold equity interests in other entities, including certain of our subsidiaries that are PFICs. Accordingly, U.S. investors should invest in our ADSs only if they are willing to bear the U.S. federal income tax consequences associated with investments in PFICs.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were a PFIC for any taxable year during which a U.S. investor owns ADSs, certain adverse U.S. federal income tax consequences could apply to such U.S. investor. We will provide the information necessary for a U.S. investor to make a qualified electing fund election with respect to us. U.S. investors should consult their tax advisers regarding our PFIC status for any taxable year and the potential application of the PFIC rules to an investment in our ADSs (including the potential implications of our prior PFIC status). </w:t>
      </w:r>
    </w:p>
    <w:p>
      <w:pPr>
        <w:pStyle w:val="TextBody"/>
        <w:bidi w:val="0"/>
        <w:spacing w:before="240" w:after="283"/>
        <w:jc w:val="left"/>
        <w:rPr>
          <w:rFonts w:ascii="Times New Roman" w:hAnsi="Times New Roman"/>
          <w:b/>
          <w:color w:val="000000"/>
          <w:sz w:val="20"/>
        </w:rPr>
      </w:pPr>
      <w:bookmarkStart w:id="4" w:name="item_1b_unresolved_staff_comments"/>
      <w:bookmarkEnd w:id="4"/>
      <w:r>
        <w:rPr>
          <w:rFonts w:ascii="Times New Roman" w:hAnsi="Times New Roman"/>
          <w:b/>
          <w:color w:val="000000"/>
          <w:sz w:val="20"/>
        </w:rPr>
        <w:t>Item 1B. Unresolved Staff Comments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5" w:name="item_1c_cybersecurity"/>
      <w:bookmarkEnd w:id="5"/>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Cybersecurity Risk Management and Strategy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developed and implemented a cybersecurity risk management program intended to protect the confidentiality, integrity, and availability of our critical systems and information.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design and assess our program based on the U.K. Cyber Essentials and the National Institute of Standards and Technology Cybersecurity Framework (NIST CSF). This does not imply that we meet any particular technical standards, specifications, or requirements, only that we use these frameworks as a guide to help us identify, assess, and manage cybersecurity risks relevant to our business.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cybersecurity risk management program is integrated into our overall enterprise risk management program, and shares common methodologies, reporting channels and governance processes that apply across the enterprise risk management program to other legal, compliance, strategic, operational, and financial risk areas.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cybersecurity risk management program includes: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Identification and Reporting: We have implemented a cross-functional approach to assessing, identifying and managing material cybersecurity threats and incidents to our critical systems, information and our enterprise information technology environment. Our program includes controls and procedures to identify, classify and escalate certain cybersecurity incidents to provide management visibility and obtain direction from management as to the public disclosure and reporting of material incidents in a timely manner.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Technical Safeguards: We implement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Party Risk Management: We use external service providers, where appropriate, to assess, test or otherwise assist with aspects of our security controls. We maintain a risk-based approach to identifying and overseeing material cybersecurity threats presented by third parties, including vendors, service providers, and other external users of our systems, as well as the systems of third parties that could adversely impact our business in the event of a material cybersecurity incident affecting those third party systems, including any service providers, suppliers, and vendors that have access to our critical systems and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Education and Training: We provide annual cybersecurity awareness training and on-going phishing simulation testing for our employees, incident response personnel and senior management in order to communicate evolving information security policies, standards, processes and practices and to provide them with the tools to make them aware of processes on addressing cybersecurity threats.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Incident Response and Recovery Planning: We maintain incident response, business continuity, and disaster recovery plans designed to address our response to a cybersecurity incident.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not identified any specific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“Item 1A. Risk Factor—Risks Related to Healthcare Laws and Other Legal Compliance Matters—Our business and operations may suffer in the event of information technology system failures, cyberattacks or deficiencies in our cybersecurity." </w:t>
      </w:r>
    </w:p>
    <w:p>
      <w:pPr>
        <w:pStyle w:val="TextBody"/>
        <w:bidi w:val="0"/>
        <w:jc w:val="left"/>
        <w:rPr/>
      </w:pPr>
      <w:r>
        <w:rPr/>
        <w:t> </w:t>
      </w:r>
    </w:p>
    <w:p>
      <w:pPr>
        <w:pStyle w:val="TextBody"/>
        <w:bidi w:val="0"/>
        <w:jc w:val="both"/>
        <w:rPr>
          <w:rFonts w:ascii="Times New Roman" w:hAnsi="Times New Roman"/>
          <w:b/>
          <w:i/>
          <w:color w:val="000000"/>
          <w:sz w:val="20"/>
          <w:u w:val="single"/>
        </w:rPr>
      </w:pPr>
      <w:r>
        <w:rPr>
          <w:rFonts w:ascii="Times New Roman" w:hAnsi="Times New Roman"/>
          <w:b/>
          <w:i/>
          <w:color w:val="000000"/>
          <w:sz w:val="20"/>
          <w:u w:val="single"/>
        </w:rPr>
        <w:t>Cybersecurity Governance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Board considers cybersecurity risk as part of its risk oversight function and has delegated to the audit and risk committee oversight of cybersecurity and other information technology risks. The audit and risk committee oversees management’s implementation of our cybersecurity risk management program.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Material cybersecurity risks are identified by members of our team. Our Head of IT is primarily responsible for managing our cybersecurity risk assessment processes, including those described in “Cybersecurity Risk Management and Strategy” above, our security controls and our response to cybersecurity incidents, with assistance from third party service providers.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and risk committee receives periodic reports and briefings from management on our cybersecurity risks. In addition, management updates the audit and risk committee, as necessary, regarding any material cybersecurity incidents, as well as any incidents with lesser impact potential. The audit and risk committee reports to the full Board regarding its activities, including those related to cybersecurity.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management team supervises efforts to prevent, detect, mitigate, and remediate cybersecurity risks and incidents through various means, which may include briefings from internal IT personnel; threat intelligence and other information obtained from governmental, public or private sources, including third party service providers engaged by us; and alerts and reports produced by security tools deployed in the information technology environment. </w:t>
      </w:r>
    </w:p>
    <w:p>
      <w:pPr>
        <w:pStyle w:val="TextBody"/>
        <w:bidi w:val="0"/>
        <w:spacing w:before="240" w:after="283"/>
        <w:jc w:val="left"/>
        <w:rPr>
          <w:rFonts w:ascii="Times New Roman" w:hAnsi="Times New Roman"/>
          <w:b/>
          <w:color w:val="000000"/>
          <w:sz w:val="20"/>
        </w:rPr>
      </w:pPr>
      <w:bookmarkStart w:id="6" w:name="item_2_properties"/>
      <w:bookmarkEnd w:id="6"/>
      <w:r>
        <w:rPr>
          <w:rFonts w:ascii="Times New Roman" w:hAnsi="Times New Roman"/>
          <w:b/>
          <w:color w:val="000000"/>
          <w:sz w:val="20"/>
        </w:rPr>
        <w:t>Item 2. Properties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Mereo’s principal office is located at 4th Floor, One Cavendish Place, London W1G 0QF, United Kingdom, where Mereo leases approximately 7,400 square feet of office space. Mereo leases this office space under a lease that terminates on June 24, 2026. </w:t>
      </w:r>
    </w:p>
    <w:p>
      <w:pPr>
        <w:pStyle w:val="TextBody"/>
        <w:bidi w:val="0"/>
        <w:spacing w:before="240" w:after="283"/>
        <w:jc w:val="left"/>
        <w:rPr>
          <w:rFonts w:ascii="Times New Roman" w:hAnsi="Times New Roman"/>
          <w:b/>
          <w:color w:val="000000"/>
          <w:sz w:val="20"/>
        </w:rPr>
      </w:pPr>
      <w:bookmarkStart w:id="7" w:name="item_3_legal_proceedings"/>
      <w:bookmarkEnd w:id="7"/>
      <w:r>
        <w:rPr>
          <w:rFonts w:ascii="Times New Roman" w:hAnsi="Times New Roman"/>
          <w:b/>
          <w:color w:val="000000"/>
          <w:sz w:val="20"/>
        </w:rPr>
        <w:t>Item 3.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were not a party to any material legal proceedings.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8" w:name="item_4_mine_safety_disclosures"/>
      <w:bookmarkEnd w:id="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9" w:name="part_ii"/>
      <w:bookmarkEnd w:id="9"/>
      <w:r>
        <w:rPr>
          <w:rFonts w:ascii="Times New Roman" w:hAnsi="Times New Roman"/>
          <w:b/>
          <w:color w:val="000000"/>
          <w:sz w:val="20"/>
        </w:rPr>
        <w:t>PART II</w:t>
      </w:r>
    </w:p>
    <w:p>
      <w:pPr>
        <w:pStyle w:val="TextBody"/>
        <w:bidi w:val="0"/>
        <w:spacing w:before="240" w:after="283"/>
        <w:jc w:val="left"/>
        <w:rPr>
          <w:rFonts w:ascii="Times New Roman" w:hAnsi="Times New Roman"/>
          <w:b/>
          <w:color w:val="000000"/>
          <w:sz w:val="20"/>
        </w:rPr>
      </w:pPr>
      <w:bookmarkStart w:id="10" w:name="item_5_market_for_registrant"/>
      <w:bookmarkEnd w:id="10"/>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General Market Information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ordinary shares, par value £0.003 per share, are not publicly traded. Our American Depositary Shares, or ADSs, each represent five ordinary shares of Mereo BioPharma Group plc and began trading on The Nasdaq Global Select Market on April 24, 2019 under the symbol “MREO.” Prior to that date, there was no public trading market for our ADSs or our ordinary shares. On May 3, 2023, we transferred the listing of our ADSs to the Nasdaq Capital Market.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Holders of Ordinary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assuming that all of our ordinary shares represented by ADSs are held by residents of the U.S., including ADSs held by the entities set forth in Item 12. Security Ownership of Certain Beneficial Owners and Management and Related Stockholder Matters, and excluding certain other holders that we know to be non-residents of the U.S., we estimate that approximately 97% of our outstanding ordinary shares (including ordinary shares underlying ADSs) were held in the U.S. The number of record holders in the U.S. is not representative of the number of beneficial holders nor is it representative of where such beneficial holders are resident since many of these shares were held by brokers or other nominees.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Dividend Distribution Policy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has never paid or declared any cash dividends on its ordinary shares, and does not anticipate paying any cash dividends on its ordinary shares in the foreseeable future. Mereo intends to retain all available funds and any future earnings to fund the development and expansion of its business. Under English law, among other things, Mereo may only pay dividends if it has sufficient distributable reserves (on a non-consolidated basis), which are calculated as Mereo’s accumulated realized profits that have not been previously distributed or capitalized less its accumulated realized losses.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Purchases of Equity Securities by the Issuer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Sale of Unregistered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Fourth Quarter Share Repurchases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share repurchase activity in the Company’s fourth quarter of 2023.</w:t>
      </w:r>
    </w:p>
    <w:p>
      <w:pPr>
        <w:pStyle w:val="TextBody"/>
        <w:bidi w:val="0"/>
        <w:spacing w:before="240" w:after="283"/>
        <w:jc w:val="left"/>
        <w:rPr>
          <w:rFonts w:ascii="Times New Roman" w:hAnsi="Times New Roman"/>
          <w:b/>
          <w:color w:val="000000"/>
          <w:sz w:val="20"/>
        </w:rPr>
      </w:pPr>
      <w:bookmarkStart w:id="11" w:name="item_6_reserved"/>
      <w:bookmarkEnd w:id="11"/>
      <w:r>
        <w:rPr>
          <w:rFonts w:ascii="Times New Roman" w:hAnsi="Times New Roman"/>
          <w:b/>
          <w:color w:val="000000"/>
          <w:sz w:val="20"/>
        </w:rPr>
        <w:t>Item 6. [Reserved]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2" w:name="item_7_managements_discussion"/>
      <w:bookmarkEnd w:id="12"/>
      <w:r>
        <w:rPr>
          <w:rFonts w:ascii="Times New Roman" w:hAnsi="Times New Roman"/>
          <w:b/>
          <w:color w:val="000000"/>
          <w:sz w:val="20"/>
        </w:rPr>
        <w:t>Item 7. Management’s Discussion and Analysis of Financial Condition and Results of Operations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in conjunction with our consolidated financial statements and the related notes to those statements included elsewhere in this Annual Report on Form 10-K. In addition to our historical consolidated financial information, the following discussion contains forward-looking statements that reflect our plans, estimates, beliefs and expectations. Our actual results and the timing of events could differ materially from those discussed in these forward-looking statements. Factors that could cause or contribute to these differences include those discussed below and elsewhere in this Annual Report on Form 10-K, particularly in Part I, Item 1A. “Risk Factors.”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a biopharmaceutical company focused on the development of innovative therapeutics for rare diseases. We have developed a portfolio of late-stage clinical product candidates. Our strategy is to become a leading biopharmaceutical company developing innovative therapeutics that aim to improve outcomes for patients with rare diseases.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two rare disease product candidates are setrusumab for the treatment of osteogenesis imperfecta (OI) and alvelestat primarily for the treatment of severe alpha-1 antitrypsin deficiency-associated lung disease (AATD-LD). In addition to the rare disease programs, we have two oncology product candidates, etigilimab (an anti-TIGIT antibody) for the treatment of advanced solid tumors and navicixizumab (out-licensed to Feng Biosciences) for the treatment of late line ovarian cancer. Acumapimod is a p38 MAP kinase inhibitor therapy for treatment during severe acute exacerbations of chronic obstructive pulmonary disease (“AECOPD”). In December 2023, we entered into an exclusive global license agreement with ReproNovo for the development and commercialization of leflutrozole, a non-steroidal aromatase inhibitor.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have any approved product candidates and, as a result, have not generated any revenue from product sales. Our ability to generate revenue sufficient to achieve profitability will depend on successful development and eventual commercialization of our product candidates either directly or with partners, if approved. Since our inception, we have incurred significant operating losses. We expect to continue to incur significant expenses and operating losses for the foreseeable future as we advance the clinical and manufacturing development of our product candidates and seek regulatory approval. If approved, we also expect to incur significant commercialization expenses related to product manufacturing, marketing, sales, and distribution.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believe that our existing cash and cash equivalents will be sufficient to enable us to fund our operating expenses and capital expenditure requirements into 2026 at which point we will require additional capital.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organized into a single operating segment following management’s view of the business as a single portfolio of product candidates. Research and development expenses are monitored at a product level; however, decisions over resource allocation are made at an overall portfolio level. Our financing is managed and monitored on a consolidated basis. </w:t>
      </w:r>
    </w:p>
    <w:p>
      <w:pPr>
        <w:pStyle w:val="TextBody"/>
        <w:bidi w:val="0"/>
        <w:spacing w:before="240" w:after="283"/>
        <w:jc w:val="left"/>
        <w:rPr>
          <w:rFonts w:ascii="Times New Roman" w:hAnsi="Times New Roman"/>
          <w:sz w:val="20"/>
        </w:rPr>
      </w:pPr>
      <w:r>
        <w:rPr>
          <w:rFonts w:ascii="Times New Roman" w:hAnsi="Times New Roman"/>
          <w:b/>
          <w:color w:val="000000"/>
          <w:sz w:val="20"/>
        </w:rPr>
        <w:t>Financial Operations Overview</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ordinary business activities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Where the Company has performed significant development activities for its product candidates, income from agreements with third parties are considered to be proceeds derived from the Company’s ordinary activities and therefore represent revenue.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includes income from licensing and collaboration agreements. Consideration received up front is recognized at the point in time in which the right to use a license or intellectual property is transferred. Income from development, regulatory, commercial or similar milestones is recognized when considered highly probable that a significant reversal of revenue generated will not occur.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do not currently have any approved product candidates. Accordingly, we have not generated any commercial sales revenue during the period. In the future, we expect to be able to generate revenues if we are able to obtain regulatory approval and commercialize one or more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Payments to third parties arising as a direct consequence of the revenue recognized are recorded within cost of revenue in the Company’s consolidated statements of operations and comprehensive loss. The costs recognized under cost of revenue in the year ended December 31, 2023 and December 31, 2022 are the payments that we are obligated to pay to Novartis under the 2015 asset purchase agreements. In 2015, when we purchased acumapimod, leflutrozole and setrusumab from Novartis, we agreed to pay Novartis if certain events occurred in relation to these compounds. The events that warrant a payment to Novartis are sales related or when a change in control occurs. When it is probable that either of these events will occur, revenue is recognized, and the corresponding payment obligation to Novartis is recognized within Cost of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(“R&amp;D”)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employee-related expenses, such as salaries, share-based compensation, and other benefits, for Mereo’s research and development personnel;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costs for production of drug substance and drug product and development of Mereo’s manufacturing processes by CMOs;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fees and other costs paid to CROs, consultants, and other suppliers to conduct Mereo’s clinical trials and pre-clinical and non-clinical studies;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costs of facilities, materials, and equipment related to drug production and Mereo’s clinical trials and pre-clinical and non-clinical studies.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Intellectual property costs incurred on each drug candidate and costs associated with </w:t>
      </w:r>
      <w:r>
        <w:rPr>
          <w:rFonts w:ascii="Times New Roman" w:hAnsi="Times New Roman"/>
          <w:color w:val="000000"/>
          <w:sz w:val="20"/>
          <w:u w:val="single"/>
        </w:rPr>
        <w:t>pre-commercial activities to support pricing and</w:t>
      </w:r>
      <w:r>
        <w:rPr>
          <w:rFonts w:ascii="Times New Roman" w:hAnsi="Times New Roman"/>
          <w:color w:val="000000"/>
          <w:sz w:val="20"/>
        </w:rPr>
        <w:t xml:space="preserve"> reimbursement by</w:t>
      </w:r>
      <w:r>
        <w:rPr>
          <w:rFonts w:ascii="Times New Roman" w:hAnsi="Times New Roman"/>
          <w:color w:val="000000"/>
          <w:sz w:val="20"/>
          <w:u w:val="single"/>
        </w:rPr>
        <w:t xml:space="preserve"> health technology assessment (“HTA”) authorities and payor decision-makers</w:t>
      </w:r>
      <w:r>
        <w:rPr>
          <w:rFonts w:ascii="Times New Roman" w:hAnsi="Times New Roman"/>
          <w:color w:val="000000"/>
          <w:sz w:val="20"/>
        </w:rPr>
        <w:t xml:space="preserve"> in Europe are excluded from R&amp;D expenses and are recognized within General and administrative expenses. Our direct research and development expenses are allocated on a product-by-product basis. We allocate employee-related expenses for our research and development personnel and other related expenses to specific product candidate development programs.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Product candidates in a later stage of clinical development generally have higher development costs than those in earlier stages of clinical development, primarily due to the increased size and duration of later stage clinical trials as well as preparation for potential specific post-authorization evidence generation that might be demanded by regulatory authorities. As we advance the clinical development of our product candidates, we expect that our research and development expense will continue to include costs of inputting into development, regulatory and manufacturing plans with our partner, Ultragenyx, for setrusumab; activities associated with preparation of alvelestat for the Phase 3 study, including CMC and drug formulation, activities associated with validation of the patient reported outcome (PRO) and additional regulatory interactions; and the close-out of the Phase 1b portion of the Phase1b/2 basket study for etigilimab.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successful development, approval, and commercialization of our product candidates is highly uncertain. At this time, we cannot reasonably estimate the nature, timing, and estimated costs of the efforts that will be necessary to complete the development of, or the period, if any, in which material net cash inflows may commence from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expenditure on developing our product candidates is therefore highly uncertain. This is due to numerous risks and uncertainties associated with developing our product candidates, including the uncertainty of: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scope, rate of progress, and expense of our research and development activities;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progress and results of our clinical trials and our pre-clinical and non-clinical studies;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and timing of regulatory approvals, if any;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establishment of arrangements with our third-party manufacturers to obtain manufacturing supply;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protection of our rights in its intellectual property portfolio;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launch of commercial sales of any of our product candidates, if approved, whether alone or in collaboration with others;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party strategic relationships for clinical development and/or commercialization of our non-core product candidates and performance of our strategic partners under these arrangements;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sale, if any, of one or more of our non-core disease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acceptance of any of our product candidates, if approved, by patients, the medical community and payors at our desired pricing levels;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competition with other therapies;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continued acceptable safety profile of any of our product candidates following approval.</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variables with respect to the development of our product candidates or any other future candidate that we may develop could result in a significant change in the costs and timing associated with their development. For example, if the FDA, the EMA, or another regulatory authority were to require us to conduct pre-clinical studies and clinical trials beyond those that we currently anticipate will be required for the completion of clinical development or if we experience significant delays in enrollment in any clinical trials, we could be required to expend significant additional financial resources and time on the completion of our clinical development programs. We may never succeed in obtaining regulatory approval for any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general and administrative expenses principally consist of salaries and related benefits, including share-based compensation, for personnel in our executive, finance and other administrative functions. Other general and administrative costs include facility-related costs, professional services fees for auditing, tax and general legal services, </w:t>
      </w:r>
      <w:r>
        <w:rPr>
          <w:rFonts w:ascii="Times New Roman" w:hAnsi="Times New Roman"/>
          <w:color w:val="000000"/>
          <w:sz w:val="20"/>
          <w:u w:val="single"/>
        </w:rPr>
        <w:t xml:space="preserve">intellectual property costs, pre-commercial activities, costs related to </w:t>
      </w:r>
      <w:r>
        <w:rPr>
          <w:rFonts w:ascii="Times New Roman" w:hAnsi="Times New Roman"/>
          <w:color w:val="000000"/>
          <w:sz w:val="20"/>
        </w:rPr>
        <w:t xml:space="preserve">our requirements of being a public company listed on Nasdaq, and costs incurred relating to the issue of equity to the extent not capitalized.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income comprises interest received on cash and short term deposits.</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expense principally comprises interest on convertible loan notes, deferred consideration and bank charges. For further information on the terms of our convertible loan notes see “—Liquidity and Capital Resources—Indebtedness”.</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the 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changes in financial instruments are recognized in the statement of comprehensive loss.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transaction gain/(loss)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are presented in U.S dollars. We initially record transactions in foreign currencies at the rate prevailing on the date the transaction first qualifies for recognition. Foreign currency transaction gain/(loss) consists of the difference arising on settlement or translation of transactions denominated in currencies other than the functional currency of the transacting foreign entity, which are primarily held in U.S. dollars and British pound sterling.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consists of income that is derived from a third party which is not a customer and does not fall under the scope of ASC Topic 606, Revenue from Contracts with Customers (“ASC 606”). </w:t>
      </w:r>
    </w:p>
    <w:p>
      <w:pPr>
        <w:pStyle w:val="TextBody"/>
        <w:bidi w:val="0"/>
        <w:spacing w:before="240" w:after="283"/>
        <w:jc w:val="left"/>
        <w:rPr>
          <w:rFonts w:ascii="Times New Roman" w:hAnsi="Times New Roman"/>
          <w:sz w:val="20"/>
        </w:rPr>
      </w:pPr>
      <w:r>
        <w:rPr>
          <w:rFonts w:ascii="Times New Roman" w:hAnsi="Times New Roman"/>
          <w:b/>
          <w:i/>
          <w:color w:val="000000"/>
          <w:sz w:val="20"/>
        </w:rPr>
        <w:t>Benefit from research and development tax credits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U.K. resident trading entity, we are subject to U.K. corporate taxation. Due to the nature of our business, we have generated operating losses since formation. As of December 31, 2023 and 2022, we had cumulative carry-forward U.K. tax losses of $30.6 million and $28.7 million, respectfully. Subject to any relevant restrictions, we expect these to be available to carry forward and offset against future operating profits. As a company that carries out extensive research and development activities, we benefit from the U.K. R&amp;D small or medium-sized enterprise tax credit regime and are able to surrender some of our trading losses that arise from our research and development activities for a cash rebate. To date, a cash rebate of up to 33.35% of eligible R&amp;D expenditure has been available, but the cash rebate has reduced to a maximum of 27% for R&amp;D intensive companies where at least 40% of their total expenditure is on qualifying R&amp;D, or 18.6% of eligible R&amp;D expenditure for other companies with effect from April 1, 2023 pursuant to changes made by the Finance Act 2023. Certain subcontracted qualifying research expenditures are eligible for a cash rebate, though the rate of the cash rebate has reduced with effect from April 1, 2023 from up to 21.67% of the subcontracted expenditures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Qualifying expenditures largely comprise employment costs for research staff, subcontracted CRO and CMO costs, consumables and certain internal overhead cost incurred as part of research projects. We may not be able to continue to claim payable R&amp;D tax credits in the future because we may no longer qualify as a small or medium-sized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event we generate revenues in the future, we may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we expect a long-term lower rate of corporation tax to apply to us. If, however, there are unexpected adverse changes to the U.K. R&amp;D tax credit regime or the “patent box” regime, or for any reason we are unable to qualify for such advantageous tax legislation, or we are unable to use net operating loss and tax credit carryforwards and certain built-in losses to reduce future tax payments, our business, results of operations, and financial condition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 benefit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operate in the U.K. and in the U.S. and are subject to corporate taxation in those countries. We have generated losses since inception and have therefore not paid U.K. corporation tax except for in 2021. The income tax benefit included in the consolidated statements of operations and comprehensive loss represents tax refunds in respect of income taxes paid in 2021.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U.K corporation tax rate applied for 2023 was 23.52% (2022: 19.0%), which results from applying the enacted statutory rate of </w:t>
      </w:r>
      <w:r>
        <w:rPr>
          <w:rFonts w:ascii="Times New Roman" w:hAnsi="Times New Roman"/>
          <w:color w:val="363435"/>
          <w:sz w:val="20"/>
        </w:rPr>
        <w:t xml:space="preserve">19% from January 1, 2023 through April 1, 2023, and 25% for the remainder of 2023. </w:t>
      </w:r>
      <w:r>
        <w:rPr>
          <w:rFonts w:ascii="Times New Roman" w:hAnsi="Times New Roman"/>
          <w:color w:val="000000"/>
          <w:sz w:val="20"/>
        </w:rPr>
        <w:t xml:space="preserve">U.K. deferred tax assets and liabilities have been measured at a rate of 25%. </w:t>
      </w:r>
      <w:r>
        <w:rPr>
          <w:rFonts w:ascii="Times New Roman" w:hAnsi="Times New Roman"/>
          <w:color w:val="363435"/>
          <w:sz w:val="20"/>
        </w:rPr>
        <w:t>T</w:t>
      </w:r>
      <w:r>
        <w:rPr>
          <w:rFonts w:ascii="Times New Roman" w:hAnsi="Times New Roman"/>
          <w:color w:val="000000"/>
          <w:sz w:val="20"/>
        </w:rPr>
        <w:t>he U.S federal income tax rate is 21%.</w:t>
      </w:r>
    </w:p>
    <w:p>
      <w:pPr>
        <w:pStyle w:val="TextBody"/>
        <w:bidi w:val="0"/>
        <w:spacing w:before="240" w:after="283"/>
        <w:jc w:val="left"/>
        <w:rPr>
          <w:rFonts w:ascii="Times New Roman" w:hAnsi="Times New Roman"/>
          <w:sz w:val="20"/>
        </w:rPr>
      </w:pPr>
      <w:r>
        <w:rPr>
          <w:rFonts w:ascii="Times New Roman" w:hAnsi="Times New Roman"/>
          <w:color w:val="000000"/>
          <w:sz w:val="20"/>
        </w:rPr>
        <w:t>As of December 31, 2023, the Company had U.K. net operating loss carryforwards of $30.6 million, that can be carried forward indefinitely. The Company had</w:t>
      </w:r>
      <w:r>
        <w:rPr>
          <w:rFonts w:ascii="Times New Roman" w:hAnsi="Times New Roman"/>
          <w:color w:val="FF0000"/>
          <w:sz w:val="20"/>
        </w:rPr>
        <w:t xml:space="preserve"> </w:t>
      </w:r>
      <w:r>
        <w:rPr>
          <w:rFonts w:ascii="Times New Roman" w:hAnsi="Times New Roman"/>
          <w:color w:val="000000"/>
          <w:sz w:val="20"/>
        </w:rPr>
        <w:t xml:space="preserve">U.S. federal tax losses to be carried forward of approximately $66.2 million of which $18.2 million can be carried forward indefinitely and $48.0 million which will begin to expire in 2024. The Company also had $14.0 million of U.S. federal research and development (“R&amp;D”) tax credits that begin to expire in 2024 and U.S. state tax losses to be carried forward of less than $0.1 million which begin to expire in 2027. The Company also had less than $0.1 million of state R&amp;D tax credits that do not have an expiration date.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Mereo’s results of operations for the years ended December 31, 2023 and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236"/>
        <w:gridCol w:w="146"/>
        <w:gridCol w:w="154"/>
        <w:gridCol w:w="778"/>
        <w:gridCol w:w="175"/>
        <w:gridCol w:w="154"/>
        <w:gridCol w:w="154"/>
        <w:gridCol w:w="778"/>
        <w:gridCol w:w="166"/>
        <w:gridCol w:w="146"/>
        <w:gridCol w:w="146"/>
        <w:gridCol w:w="676"/>
        <w:gridCol w:w="166"/>
        <w:gridCol w:w="146"/>
        <w:gridCol w:w="146"/>
        <w:gridCol w:w="481"/>
        <w:gridCol w:w="557"/>
      </w:tblGrid>
      <w:tr>
        <w:trPr/>
        <w:tc>
          <w:tcPr>
            <w:tcW w:w="5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5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1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center"/>
              <w:rPr/>
            </w:pPr>
            <w:r>
              <w:rPr/>
              <w:t> </w:t>
            </w:r>
          </w:p>
        </w:tc>
        <w:tc>
          <w:tcPr>
            <w:tcW w:w="557" w:type="dxa"/>
            <w:tcBorders/>
            <w:shd w:fill="FFFFFF" w:val="clear"/>
            <w:vAlign w:val="center"/>
          </w:tcPr>
          <w:p>
            <w:pPr>
              <w:pStyle w:val="TableContents"/>
              <w:bidi w:val="0"/>
              <w:spacing w:before="0" w:after="283"/>
              <w:jc w:val="center"/>
              <w:rPr/>
            </w:pPr>
            <w:r>
              <w:rPr/>
              <w:t> </w:t>
            </w:r>
          </w:p>
        </w:tc>
      </w:tr>
      <w:tr>
        <w:trPr/>
        <w:tc>
          <w:tcPr>
            <w:tcW w:w="5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3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75" w:type="dxa"/>
            <w:tcBorders/>
            <w:shd w:fill="FFFFFF" w:val="clear"/>
            <w:vAlign w:val="center"/>
          </w:tcPr>
          <w:p>
            <w:pPr>
              <w:pStyle w:val="TableContents"/>
              <w:bidi w:val="0"/>
              <w:spacing w:before="0" w:after="283"/>
              <w:jc w:val="center"/>
              <w:rPr/>
            </w:pPr>
            <w:r>
              <w:rPr/>
              <w:t> </w:t>
            </w:r>
          </w:p>
        </w:tc>
        <w:tc>
          <w:tcPr>
            <w:tcW w:w="154"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8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57" w:type="dxa"/>
            <w:tcBorders/>
            <w:shd w:fill="FFFFFF" w:val="clear"/>
            <w:vAlign w:val="center"/>
          </w:tcPr>
          <w:p>
            <w:pPr>
              <w:pStyle w:val="TableContents"/>
              <w:bidi w:val="0"/>
              <w:spacing w:before="0" w:after="283"/>
              <w:jc w:val="center"/>
              <w:rPr/>
            </w:pPr>
            <w:r>
              <w:rPr/>
              <w:t> </w:t>
            </w:r>
          </w:p>
        </w:tc>
      </w:tr>
      <w:tr>
        <w:trPr/>
        <w:tc>
          <w:tcPr>
            <w:tcW w:w="52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75"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7" w:type="dxa"/>
            <w:tcBorders/>
            <w:shd w:fill="CFF0FC" w:val="cle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75" w:type="dxa"/>
            <w:tcBorders/>
            <w:shd w:fill="FFFFFF" w:val="clear"/>
            <w:vAlign w:val="center"/>
          </w:tcPr>
          <w:p>
            <w:pPr>
              <w:pStyle w:val="TableContents"/>
              <w:bidi w:val="0"/>
              <w:spacing w:before="0" w:after="283"/>
              <w:jc w:val="right"/>
              <w:rPr/>
            </w:pPr>
            <w:r>
              <w:rPr/>
              <w:t> </w:t>
            </w:r>
          </w:p>
        </w:tc>
        <w:tc>
          <w:tcPr>
            <w:tcW w:w="154" w:type="dxa"/>
            <w:tcBorders/>
            <w:shd w:fill="FFFFFF" w:val="clear"/>
            <w:vAlign w:val="center"/>
          </w:tcPr>
          <w:p>
            <w:pPr>
              <w:pStyle w:val="TableContents"/>
              <w:bidi w:val="0"/>
              <w:spacing w:before="0" w:after="283"/>
              <w:jc w:val="left"/>
              <w:rPr/>
            </w:pPr>
            <w:r>
              <w:rPr/>
              <w:t> </w:t>
            </w:r>
          </w:p>
        </w:tc>
        <w:tc>
          <w:tcPr>
            <w:tcW w:w="93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shd w:fill="FFFFFF" w:val="clear"/>
            <w:vAlign w:val="center"/>
          </w:tcPr>
          <w:p>
            <w:pPr>
              <w:pStyle w:val="TableContents"/>
              <w:bidi w:val="0"/>
              <w:spacing w:before="0" w:after="283"/>
              <w:jc w:val="right"/>
              <w:rPr/>
            </w:pPr>
            <w:r>
              <w:rPr/>
              <w:t> </w:t>
            </w:r>
          </w:p>
        </w:tc>
        <w:tc>
          <w:tcPr>
            <w:tcW w:w="557" w:type="dxa"/>
            <w:tcBorders/>
            <w:shd w:fill="FFFFFF" w:val="clear"/>
            <w:vAlign w:val="center"/>
          </w:tcPr>
          <w:p>
            <w:pPr>
              <w:pStyle w:val="TableContents"/>
              <w:bidi w:val="0"/>
              <w:spacing w:before="0" w:after="283"/>
              <w:ind w:left="0" w:right="0" w:firstLine="200"/>
              <w:jc w:val="right"/>
              <w:rPr/>
            </w:pPr>
            <w:r>
              <w:rPr/>
              <w:t> </w:t>
            </w:r>
          </w:p>
        </w:tc>
      </w:tr>
      <w:tr>
        <w:trPr/>
        <w:tc>
          <w:tcPr>
            <w:tcW w:w="5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7" w:type="dxa"/>
            <w:tcBorders/>
            <w:shd w:fill="CFF0FC" w:val="clear"/>
            <w:vAlign w:val="center"/>
          </w:tcPr>
          <w:p>
            <w:pPr>
              <w:pStyle w:val="TableContents"/>
              <w:bidi w:val="0"/>
              <w:spacing w:before="0" w:after="283"/>
              <w:ind w:left="0" w:right="0" w:firstLine="200"/>
              <w:jc w:val="right"/>
              <w:rPr/>
            </w:pPr>
            <w:r>
              <w:rPr/>
              <w:t> </w:t>
            </w:r>
          </w:p>
        </w:tc>
      </w:tr>
      <w:tr>
        <w:trPr/>
        <w:tc>
          <w:tcPr>
            <w:tcW w:w="52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12,047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557"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(28,416</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75" w:type="dxa"/>
            <w:tcBorders/>
            <w:shd w:fill="CFF0FC" w:val="clear"/>
            <w:vAlign w:val="center"/>
          </w:tcPr>
          <w:p>
            <w:pPr>
              <w:pStyle w:val="TableContents"/>
              <w:bidi w:val="0"/>
              <w:spacing w:before="0" w:after="283"/>
              <w:jc w:val="right"/>
              <w:rPr/>
            </w:pPr>
            <w:r>
              <w:rPr/>
              <w:t> </w:t>
            </w:r>
          </w:p>
        </w:tc>
        <w:tc>
          <w:tcPr>
            <w:tcW w:w="154" w:type="dxa"/>
            <w:tcBorders/>
            <w:shd w:fill="CFF0FC" w:val="clear"/>
            <w:vAlign w:val="center"/>
          </w:tcPr>
          <w:p>
            <w:pPr>
              <w:pStyle w:val="TableContents"/>
              <w:bidi w:val="0"/>
              <w:spacing w:before="0" w:after="283"/>
              <w:jc w:val="left"/>
              <w:rPr/>
            </w:pPr>
            <w:r>
              <w:rPr/>
              <w:t> </w:t>
            </w:r>
          </w:p>
        </w:tc>
        <w:tc>
          <w:tcPr>
            <w:tcW w:w="93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2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pPr>
            <w:r>
              <w:rPr/>
              <w:t> </w:t>
            </w:r>
          </w:p>
        </w:tc>
        <w:tc>
          <w:tcPr>
            <w:tcW w:w="557" w:type="dxa"/>
            <w:tcBorders/>
            <w:shd w:fill="CFF0FC" w:val="cle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5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5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financial instruments</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75"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(9,041</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5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(loss)/gain, net</w:t>
            </w:r>
          </w:p>
        </w:tc>
        <w:tc>
          <w:tcPr>
            <w:tcW w:w="146"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7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7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(5,070</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7" w:type="dxa"/>
            <w:tcBorders/>
            <w:shd w:fill="CFF0FC" w:val="cle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(expenses)/income, net</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5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w:t>
            </w:r>
          </w:p>
        </w:tc>
        <w:tc>
          <w:tcPr>
            <w:tcW w:w="17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12,940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5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2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 Foreign currency transaction adjustments, net of tax</w:t>
            </w:r>
          </w:p>
        </w:tc>
        <w:tc>
          <w:tcPr>
            <w:tcW w:w="146"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2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523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(25,264</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2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5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Percentage change not meaningful </w:t>
      </w:r>
    </w:p>
    <w:p>
      <w:pPr>
        <w:pStyle w:val="TextBody"/>
        <w:bidi w:val="0"/>
        <w:spacing w:before="240" w:after="283"/>
        <w:jc w:val="left"/>
        <w:rPr>
          <w:rFonts w:ascii="Times New Roman" w:hAnsi="Times New Roman"/>
          <w:sz w:val="20"/>
        </w:rPr>
      </w:pPr>
      <w:r>
        <w:rPr>
          <w:rFonts w:ascii="Times New Roman" w:hAnsi="Times New Roman"/>
          <w:b/>
          <w:color w:val="000000"/>
          <w:sz w:val="20"/>
        </w:rPr>
        <w:t>Comparison of Years Ended December 31,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Revenue of $10.0 million for the year ended December 31, 2023 comprised a one-time milestone payment of $9.0 million resulting from the achievement of a clinical milestone on setrusumab by Ultragenyx and a $1.0 million up-front payment from our global license agreement with ReproNovo for the development and commercialization of leflutrozole. No revenue was recognized for the year ended December 31, 2022.</w:t>
      </w:r>
    </w:p>
    <w:p>
      <w:pPr>
        <w:pStyle w:val="TextBody"/>
        <w:bidi w:val="0"/>
        <w:spacing w:before="240" w:after="283"/>
        <w:jc w:val="left"/>
        <w:rPr>
          <w:rFonts w:ascii="Times New Roman" w:hAnsi="Times New Roman"/>
          <w:sz w:val="20"/>
        </w:rPr>
      </w:pPr>
      <w:r>
        <w:rPr>
          <w:rFonts w:ascii="Times New Roman" w:hAnsi="Times New Roman"/>
          <w:i/>
          <w:color w:val="000000"/>
          <w:sz w:val="20"/>
        </w:rPr>
        <w:t>Cost of 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Cost of revenue for the year ended December 31, 2023 was $2.6 million compared to a credit of $1.1 million for the year ended December 31, 2022. Cost of revenue in 2023 represents amounts payable pursuant to our 2015 agreement with Novartis, under which the Company pays a percentage of proceeds resulting from milestone revenue received, subject to certain deductions.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2021, we received a $50.0 million upfront payment from Ultragenyx and recognized cost of revenue of $13.3 million reflecting the Company's obligation under our 2015 agreement with Novartis. Pursuant to this agreement, $10.0 million was paid in cash and $3.3 million was withheld and recognized as a deferred liability in other current liabilities, reflecting anticipated future costs to be incurred which are allowable deductions from amounts owed under the agreement. As these costs were subsequently incurred and recognized in research and development expenses or general and administrative costs, the liability was discharged and released through cost of revenue. In 2022, $1.1 million of this liability was discharged and accordingly recognized as a credit to cost of revenue.</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(“R&amp;D”) Expenses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our R&amp;D expenses by product development program for the years ended December 31, 2023 and 2022. </w:t>
      </w:r>
    </w:p>
    <w:p>
      <w:pPr>
        <w:pStyle w:val="TextBody"/>
        <w:bidi w:val="0"/>
        <w:jc w:val="left"/>
        <w:rPr/>
      </w:pPr>
      <w:r>
        <w:rPr/>
        <w:t> </w:t>
      </w:r>
    </w:p>
    <w:tbl>
      <w:tblPr>
        <w:tblW w:w="7418" w:type="dxa"/>
        <w:jc w:val="left"/>
        <w:tblInd w:w="0" w:type="dxa"/>
        <w:tblLayout w:type="fixed"/>
        <w:tblCellMar>
          <w:top w:w="28" w:type="dxa"/>
          <w:left w:w="28" w:type="dxa"/>
          <w:bottom w:w="28" w:type="dxa"/>
          <w:right w:w="28" w:type="dxa"/>
        </w:tblCellMar>
      </w:tblPr>
      <w:tblGrid>
        <w:gridCol w:w="2596"/>
        <w:gridCol w:w="146"/>
        <w:gridCol w:w="170"/>
        <w:gridCol w:w="791"/>
        <w:gridCol w:w="170"/>
        <w:gridCol w:w="170"/>
        <w:gridCol w:w="170"/>
        <w:gridCol w:w="791"/>
        <w:gridCol w:w="146"/>
        <w:gridCol w:w="146"/>
        <w:gridCol w:w="146"/>
        <w:gridCol w:w="736"/>
        <w:gridCol w:w="166"/>
        <w:gridCol w:w="146"/>
        <w:gridCol w:w="146"/>
        <w:gridCol w:w="376"/>
        <w:gridCol w:w="406"/>
      </w:tblGrid>
      <w:tr>
        <w:trPr/>
        <w:tc>
          <w:tcPr>
            <w:tcW w:w="25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pPr>
            <w:r>
              <w:rPr/>
              <w:t> </w:t>
            </w:r>
          </w:p>
        </w:tc>
        <w:tc>
          <w:tcPr>
            <w:tcW w:w="406" w:type="dxa"/>
            <w:tcBorders/>
            <w:shd w:fill="FFFFFF" w:val="cle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9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9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70" w:type="dxa"/>
            <w:tcBorders/>
            <w:shd w:fill="FFFFFF" w:val="clear"/>
            <w:vAlign w:val="center"/>
          </w:tcPr>
          <w:p>
            <w:pPr>
              <w:pStyle w:val="TableContents"/>
              <w:bidi w:val="0"/>
              <w:spacing w:before="0" w:after="283"/>
              <w:jc w:val="center"/>
              <w:rPr/>
            </w:pPr>
            <w:r>
              <w:rPr/>
              <w:t> </w:t>
            </w:r>
          </w:p>
        </w:tc>
        <w:tc>
          <w:tcPr>
            <w:tcW w:w="170" w:type="dxa"/>
            <w:tcBorders/>
            <w:shd w:fill="FFFFFF" w:val="clear"/>
            <w:vAlign w:val="center"/>
          </w:tcPr>
          <w:p>
            <w:pPr>
              <w:pStyle w:val="TableContents"/>
              <w:bidi w:val="0"/>
              <w:spacing w:before="0" w:after="283"/>
              <w:jc w:val="left"/>
              <w:rPr/>
            </w:pPr>
            <w:r>
              <w:rPr/>
              <w:t> </w:t>
            </w:r>
          </w:p>
        </w:tc>
        <w:tc>
          <w:tcPr>
            <w:tcW w:w="96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2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406" w:type="dxa"/>
            <w:tcBorders/>
            <w:shd w:fill="FFFFFF" w:val="clear"/>
            <w:vAlign w:val="center"/>
          </w:tcPr>
          <w:p>
            <w:pPr>
              <w:pStyle w:val="TableContents"/>
              <w:bidi w:val="0"/>
              <w:spacing w:before="0" w:after="283"/>
              <w:jc w:val="center"/>
              <w:rPr/>
            </w:pPr>
            <w:r>
              <w:rPr/>
              <w:t> </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Setrusumab (BPS-804/UX143)</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Alvelestat (MPH-966)</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Etigilimab (MPH-313)</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(12,357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Leflutrozole (BGS-649)</w:t>
            </w:r>
          </w:p>
        </w:tc>
        <w:tc>
          <w:tcPr>
            <w:tcW w:w="146"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Acumapimod (BCT-197)</w:t>
            </w:r>
          </w:p>
        </w:tc>
        <w:tc>
          <w:tcPr>
            <w:tcW w:w="146"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7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R&amp;D expenses</w:t>
            </w:r>
          </w:p>
        </w:tc>
        <w:tc>
          <w:tcPr>
            <w:tcW w:w="146"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17,418</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29,465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(12,047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w:t>
            </w:r>
          </w:p>
        </w:tc>
        <w:tc>
          <w:tcPr>
            <w:tcW w:w="4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R&amp;D expenses decreased by $12.0 million, or 41%, from $29.5 million in 2022 to $17.4 million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decrease was primarily due to a $12.4 million reduction in R&amp;D expenses for etigilimab, partially offset by an increase of $0.7 million in expenses for setrusumab.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reduction in etigilimab expenses was primarily due to the winding down and completion of the open label Phase 1b/2 basket study in combination with an anti-PD-1 in a range of tumor types. Program expenses for setrusumab are in relation to ongoing activities in Europe, and input into development, regulatory and manufacturing plans with our partner, Ultragenyx, as the global development of the program is funded by Ultragenyx pursuant to our license and collaboration agreement. Program expenses for alvelestat primarily include the preparatory work for the Phase 3 study, including CMC and drug formulation activities, SGRQ validation activities and regulatory interactions.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decreased by $7.7 million, or 29%, from $26.1 million in 2022 to $18.4 million in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decrease is primarily related to overall reductions in staff costs, professional fees and corporate costs of $7.1 million, in addition to $3.6 million received from our depositary to reimburse certain expenses incurred by us in respect of our ADR program in the current and prior years and $2.0 million received under a claim on our Directors and Officers insurance policy to reimburse us for certain legal and professional costs incurred in prior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included $2.7 million (2022: $2.6 million) related to pre-commercial activities, including those to support pricing and reimbursement by HTA authorities and payor decision-makers in Europe.</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and expense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expense decreased from $4.2 million in 2022 to $2.9 million in 2023. This decrease is primarily due to the significantly lower average balance of convertible loan notes outstanding in 2023 compared to 2022. This reduction was due to the conversion and repayment of the Private Placement Loan Notes between June and August of 2023, as well as a partial conversion in July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interest income increased from $0.8 million in 2022 to $2.1 million in 2023. The increase is related to higher interest rates on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Changes in the fair value of financial instruments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total change in fair value of financial instruments for 2023 was a gain of $0.2 million, a decrease of $9.0 million compared to an unrealized gain of $9.3 million in 2022.The unrealized gain in 2023 was due to the expiry of the Private Placement warrants, offset by an unrealized loss on the Bank loan warrants as a result of an increase in the market price of our ADSs. The unrealized gain in 2022 primarily resulted from our Private Placement warrants driven, by a decline in the market price of our ADSs.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Foreign currency transaction gain/(loss)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net foreign exchange loss for 2023 was $2.3 million compared to a gain of $2.7 million in 2022. The net foreign exchange loss is primarily related to impact of the strengthening of the pound sterling when translating foreign currency balances, primarily denominated in U.S. dollars.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Other income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Less than $0.1 million of other expenses were recognized in 2023. In 2022, $1.1 million was recognized as net proceeds from Feng Biosciences under the global license agreement for navicixizumab.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Benefit from research and development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benefit from research and development tax credits decreased from $1.7 million in 2022 to $1.3 million in 2023. The income tax benefit represents eligible cash rebates paid or receivable from the tax authorities in the jurisdictions within which we operate for eligible types of research and development activities and associated expenditure (the “R&amp;D tax credit”).</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Income tax benefit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income tax benefit in both periods represents income taxes paid in prior years for which a carryback claim has been made to offset against taxable income in the prior year. </w:t>
      </w:r>
    </w:p>
    <w:p>
      <w:pPr>
        <w:pStyle w:val="TextBody"/>
        <w:bidi w:val="0"/>
        <w:spacing w:before="240" w:after="283"/>
        <w:jc w:val="left"/>
        <w:rPr>
          <w:rFonts w:ascii="Times New Roman" w:hAnsi="Times New Roman"/>
          <w:sz w:val="20"/>
        </w:rPr>
      </w:pPr>
      <w:r>
        <w:rPr>
          <w:rFonts w:ascii="Times New Roman" w:hAnsi="Times New Roman"/>
          <w:i/>
          <w:color w:val="000000"/>
          <w:sz w:val="20"/>
        </w:rPr>
        <w:t xml:space="preserve">Other comprehensive loss </w:t>
      </w:r>
      <w:r>
        <w:rPr>
          <w:rFonts w:ascii="Times New Roman" w:hAnsi="Times New Roman"/>
          <w:color w:val="000000"/>
          <w:sz w:val="20"/>
        </w:rPr>
        <w:t xml:space="preserve">– </w:t>
      </w:r>
      <w:r>
        <w:rPr>
          <w:rFonts w:ascii="Times New Roman" w:hAnsi="Times New Roman"/>
          <w:i/>
          <w:color w:val="000000"/>
          <w:sz w:val="20"/>
        </w:rPr>
        <w:t>Foreign currency translation adjustments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foreign currency translation adjustment for the year ended December 31, 2023 was a credit $4.2 million compared to $10.7 million for the year ended December 31, 2022. The $14.9 million change is primarily related to the strengthening of the pound sterling when translating balances from our pound sterling functional currency into our U.S. dollar reporting currency.</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current business plan and cash flow forecasts, and in consideration of our ongoing research and development efforts and our general corporate funding requirements, we anticipate that our current on-hand cash resources will extend into 2026. However, we will need additional external funding to complete our development plans and potentially commercialize selected rare disease products. We plan to fund our operations through cash on hand and a combination of non-dilutive funding sources, public or private equity or debt financings or other sources.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do not currently have any approved product candidates and as a result, have not generated any revenue from product sales. As a result, to date, we have financed our operations primarily through the issuances of our equity securities, convertible debt and warrants. Through these offerings, we raised approximately $209 million, including $12.0 million raised in July 2023 through an “at-the-market” offering pursuant to our Open Market Sale Agreement with Jefferies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also received payments under various license and collaboration agreements,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upfront payment of $50.0 million under the license and collaboration agreement with Ultragenyx for setrusumab in 2021 and a further milestone payment of $9.0 million in July 2023.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upfront payment of $4.0 million under the license and collaboration agreement with Feng Biosciences (formerly OncXerna) for navicixizumab in 2020 and a further milestone payment of $2.0 million in 2022.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upfront payment of $1.0 million under the global license agreement with ReproNovo for leflutrozole in December 2023.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Contractual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further described under “Item1. Business-Material Agreements-Novartis Agreements” and “Item1. Business-Material Agreements-Licensing Agreement with AstraZeneca,” under various agreements with Novartis and AstraZeneca, Mereo has agreed to make milestone payments and pay royalties. The amount, timing, and likelihood of such payments are not known and will remain uncertain for the foreseeable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Mereo enters into contracts in the ordinary course of business with CROs, CMOs, and other vendors to assist in the performance of its research and development activities and other services and products for operating purposes. The contracts with CROs generally provide for termination on notice, and therefore are cancelable contracts. We have manufacturing commitments with CMOs of $4.2 million as of December 31, 2023. </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Comparison of Years Ended December 31, 2023 and 2022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table below summarizes our cash flows (used in) from operating, investing and financing activities for the years ended December 31, 2023 and 2022. </w:t>
      </w:r>
    </w:p>
    <w:p>
      <w:pPr>
        <w:pStyle w:val="TextBody"/>
        <w:bidi w:val="0"/>
        <w:jc w:val="left"/>
        <w:rPr/>
      </w:pPr>
      <w:r>
        <w:rPr/>
        <w:t> </w:t>
      </w:r>
    </w:p>
    <w:tbl>
      <w:tblPr>
        <w:tblW w:w="6866" w:type="dxa"/>
        <w:jc w:val="left"/>
        <w:tblInd w:w="0" w:type="dxa"/>
        <w:tblLayout w:type="fixed"/>
        <w:tblCellMar>
          <w:top w:w="28" w:type="dxa"/>
          <w:left w:w="28" w:type="dxa"/>
          <w:bottom w:w="28" w:type="dxa"/>
          <w:right w:w="28" w:type="dxa"/>
        </w:tblCellMar>
      </w:tblPr>
      <w:tblGrid>
        <w:gridCol w:w="4201"/>
        <w:gridCol w:w="146"/>
        <w:gridCol w:w="162"/>
        <w:gridCol w:w="819"/>
        <w:gridCol w:w="184"/>
        <w:gridCol w:w="162"/>
        <w:gridCol w:w="162"/>
        <w:gridCol w:w="819"/>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3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84" w:type="dxa"/>
            <w:tcBorders/>
            <w:shd w:fill="FFFFFF" w:val="clear"/>
            <w:vAlign w:val="center"/>
          </w:tcPr>
          <w:p>
            <w:pPr>
              <w:pStyle w:val="TableContents"/>
              <w:bidi w:val="0"/>
              <w:spacing w:before="0" w:after="283"/>
              <w:jc w:val="center"/>
              <w:rPr/>
            </w:pPr>
            <w:r>
              <w:rPr/>
              <w:t> </w:t>
            </w:r>
          </w:p>
        </w:tc>
        <w:tc>
          <w:tcPr>
            <w:tcW w:w="162" w:type="dxa"/>
            <w:tcBorders/>
            <w:shd w:fill="FFFFFF" w:val="clear"/>
            <w:vAlign w:val="center"/>
          </w:tcPr>
          <w:p>
            <w:pPr>
              <w:pStyle w:val="TableContents"/>
              <w:bidi w:val="0"/>
              <w:spacing w:before="0" w:after="283"/>
              <w:jc w:val="left"/>
              <w:rPr/>
            </w:pPr>
            <w:r>
              <w:rPr/>
              <w:t> </w:t>
            </w:r>
          </w:p>
        </w:tc>
        <w:tc>
          <w:tcPr>
            <w:tcW w:w="981"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vAlign w:val="center"/>
          </w:tcPr>
          <w:p>
            <w:pPr>
              <w:pStyle w:val="TableContents"/>
              <w:bidi w:val="0"/>
              <w:spacing w:before="0" w:after="283"/>
              <w:jc w:val="center"/>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(21,132</w:t>
            </w:r>
          </w:p>
        </w:tc>
        <w:tc>
          <w:tcPr>
            <w:tcW w:w="18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(48,821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8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w:t>
            </w:r>
          </w:p>
        </w:tc>
        <w:tc>
          <w:tcPr>
            <w:tcW w:w="211" w:type="dxa"/>
            <w:tcBorders/>
            <w:shd w:fill="FFFFFF" w:val="clear"/>
            <w:vAlign w:val="center"/>
          </w:tcPr>
          <w:p>
            <w:pPr>
              <w:pStyle w:val="TableContents"/>
              <w:bidi w:val="0"/>
              <w:spacing w:before="0" w:after="283"/>
              <w:jc w:val="left"/>
              <w:rPr/>
            </w:pPr>
            <w:r>
              <w:rPr/>
              <w:t> </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7,973</w:t>
            </w:r>
          </w:p>
        </w:tc>
        <w:tc>
          <w:tcPr>
            <w:tcW w:w="184"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162" w:type="dxa"/>
            <w:tcBorders/>
            <w:shd w:fill="CFF0FC" w:val="clear"/>
            <w:vAlign w:val="center"/>
          </w:tcPr>
          <w:p>
            <w:pPr>
              <w:pStyle w:val="TableContents"/>
              <w:bidi w:val="0"/>
              <w:spacing w:before="0" w:after="283"/>
              <w:jc w:val="left"/>
              <w:rPr/>
            </w:pPr>
            <w:r>
              <w:rPr/>
              <w:t> </w:t>
            </w:r>
          </w:p>
        </w:tc>
        <w:tc>
          <w:tcPr>
            <w:tcW w:w="8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CFF0FC" w:val="clear"/>
            <w:vAlign w:val="center"/>
          </w:tcPr>
          <w:p>
            <w:pPr>
              <w:pStyle w:val="TableContents"/>
              <w:bidi w:val="0"/>
              <w:spacing w:before="0" w:after="283"/>
              <w:jc w:val="left"/>
              <w:rPr/>
            </w:pPr>
            <w:r>
              <w:rPr/>
              <w:t> </w:t>
            </w:r>
          </w:p>
        </w:tc>
      </w:tr>
      <w:tr>
        <w:trPr/>
        <w:tc>
          <w:tcPr>
            <w:tcW w:w="42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1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(10,761</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2" w:type="dxa"/>
            <w:tcBorders/>
            <w:shd w:fill="CFF0FC" w:val="clear"/>
            <w:vAlign w:val="center"/>
          </w:tcPr>
          <w:p>
            <w:pPr>
              <w:pStyle w:val="TableContents"/>
              <w:bidi w:val="0"/>
              <w:spacing w:before="0" w:after="283"/>
              <w:jc w:val="left"/>
              <w:rPr/>
            </w:pPr>
            <w:r>
              <w:rPr/>
              <w:t> </w:t>
            </w:r>
          </w:p>
        </w:tc>
        <w:tc>
          <w:tcPr>
            <w:tcW w:w="1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Net cash used in operating activities for the year ended December 31, 2023 was $ 21.1 million, a decrease of $27.7 million from $48.8 million in 2022. </w:t>
      </w:r>
      <w:r>
        <w:rPr>
          <w:rFonts w:ascii="Times New Roman" w:hAnsi="Times New Roman"/>
          <w:color w:val="363435"/>
          <w:sz w:val="20"/>
        </w:rPr>
        <w:t>The decrease was primarily driven by net cash receipts of $10.0 million for milestone payments received from Ultragenyx and ReproNovo, reductions of $12.0 million in R&amp;D expenses and $7.7 million in administrative expenses, and R&amp;D tax credits and income tax refunds received of $3.1 million compared to a payment made of $1.9 million in the year ended December 31, 2022.</w:t>
      </w:r>
    </w:p>
    <w:p>
      <w:pPr>
        <w:pStyle w:val="TextBody"/>
        <w:bidi w:val="0"/>
        <w:spacing w:before="24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Net cash used in investing activities for the year ended December 31, 2023 was a $0.4 million, a decrease from a cash inflow of $2.0 million in 2022. T</w:t>
      </w:r>
      <w:r>
        <w:rPr>
          <w:rFonts w:ascii="Times New Roman" w:hAnsi="Times New Roman"/>
          <w:color w:val="363435"/>
          <w:sz w:val="20"/>
        </w:rPr>
        <w:t>he decrease was primarily driven by payments to acquire intangible assets and receipt of a non-recurring milestone payment from Feng Biosciences (formerly OncXerna) in 2022 under the licensing arrangement for navicixizumab.</w:t>
      </w:r>
    </w:p>
    <w:p>
      <w:pPr>
        <w:pStyle w:val="TextBody"/>
        <w:bidi w:val="0"/>
        <w:spacing w:before="2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Net cash provided by financing activities for the year ended December 31, 2023 was $8.0 million, an increase of $7.8 million, compared to $0.2 million in 2022. </w:t>
      </w:r>
      <w:r>
        <w:rPr>
          <w:rFonts w:ascii="Times New Roman" w:hAnsi="Times New Roman"/>
          <w:color w:val="363435"/>
          <w:sz w:val="20"/>
        </w:rPr>
        <w:t>This increase is primarily due to $11.1 million of net proceeds from a share issuance through an "at-the-market" offering in July 2023, partially offset by payments of $3.2 million principal following the modification and redemption of convertible loan notes.</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and Capital Expenditure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we had an accumulated deficit of $419.6 million. We expect to continue to report significant operating losses for the foreseeable future as we continue our research and development efforts and seek to obtain regulatory approval of our product candidates and any future product we develop. See also “Item 1A. Risk Factors—Risks Related to Our Business and Industry - If we do not obtain adequate and timely funding, we may not be able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incur expenses in connection with our ongoing development activities related to our product candidates, our outsourced manufacturing activities and other associated costs including the management of our intellectual property portfolio. We also expect to continue to incur costs associated with operating as a U.S. public company listed on Nasdaq and as a domestic registrant.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These costs will increase further if we: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to develop additional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seek regulatory approvals for any of our product candidates that successfully completes clinical trials;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potentially establish a sales, marketing, and distribution infrastructure and scale-up manufacturing capabilities to commercialize or co-commercialize any product candidates for which we may obtain regulatory approval and chose to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expand our intellectual property portfolio;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 further clinical, scientific, operational, financial, legal and management information systems, and personnel, including personnel to support our development and to support our operations as a U.S. public company listed on Nasdaq; or</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experience any delays or encounter any issues from any of the above, including but not limited to failed studies, complex results, safety issues, or other regulatory challenges.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that our existing cash and cash equivalents will enable us to fund our currently committed clinical trials, operating expenses and capital expenditure requirements into 2026. We have based these estimates on assumptions that may prove to be wrong, and we may use our available capital resources sooner than we currently expect. Because of the numerous risks and uncertainties associated with the development of our product candidates and any future product candidates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Our future capital requirements will depend on many factors, including: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for our activities related to our ongoing collaboration with Ultragenyx for setrusumab for the treatment of adults and children with OI; and potential future clinical trials for alvelestat in AATD and other potential indications;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manufacturing clinical supplies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including post-marketing studies that could be required by regulatory authorities;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timing, and outcome of potential future commercialization activities, including manufacturing, marketing, sales, life cycle management and distribution, for our product candidates that we commercialize directly;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timing and amount of revenue, if any, received from commercial sales of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costs and timing of preparing, filing, and prosecuting patent applications; maintaining and enforcing our intellectual property rights; and defending any intellectual property-related claims, including any claims by third parties that we are infringing, misappropriating or otherwise violating their intellectual property rights;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sales price and availability of adequate third-party coverage and reimbursement for our product candidates;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effect of competitors and market developments;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performance of our collaborators and partners under the existing agreements on setrusumab, navicixizumab and, leflutrozole;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extent to which we are able to acquire new product candidates or enter into licensing or collaboration arrangements for our product candidates, although we currently have no commitments or agreements to complete any such transactions;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milestone and deferred payments under Mereo’s license and option agreement with AstraZeneca;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tax liabilities or other assessments and our ability to claim R&amp;D tax credits or other reliefs.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revenues, if any, will be derived from development milestones or sales of any product candidates that we are able to successfully develop, receive regulatory approval for, and commercialize in future years. In the meantime, we will need to obtain substantial additional funds to achieve our business objective.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Adequate additional funds may not be available to us on acceptable terms, or at all. If we raised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future debt financing or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dilute your ownership interests.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Shareholders' ownership interests may be diluted, and the terms of these securities may include liquidation or other preferences that adversely affect your rights as a shareholder. If we are unable to raise additional funds through partnerships, debt or equity financings when needed, we may be required to delay, limit, reduce, or terminate our product development programs or any future commercialization efforts or grant rights to develop and market product candidates that we would otherwise prefer to develop and market ourselves.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Indebtedness</w:t>
      </w:r>
    </w:p>
    <w:p>
      <w:pPr>
        <w:pStyle w:val="TextBody"/>
        <w:bidi w:val="0"/>
        <w:spacing w:before="240" w:after="283"/>
        <w:jc w:val="left"/>
        <w:rPr>
          <w:rFonts w:ascii="Times New Roman" w:hAnsi="Times New Roman"/>
          <w:sz w:val="20"/>
        </w:rPr>
      </w:pPr>
      <w:r>
        <w:rPr>
          <w:rFonts w:ascii="Times New Roman" w:hAnsi="Times New Roman"/>
          <w:b/>
          <w:i/>
          <w:color w:val="000000"/>
          <w:sz w:val="20"/>
        </w:rPr>
        <w:t>Former Credit Facility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former lenders have warrants outstanding to purchase a total of 1,243,908 ordinary shares at an exercise price of £2.95 per share ($3.76 per share), exercisable until August 2027, and a total of 1,234,908 ordinary shares at an exercise price of $0.4144 per share, exercisable until the period August 2027 to October 2028.</w:t>
      </w:r>
    </w:p>
    <w:p>
      <w:pPr>
        <w:pStyle w:val="TextBody"/>
        <w:bidi w:val="0"/>
        <w:spacing w:before="240" w:after="283"/>
        <w:jc w:val="left"/>
        <w:rPr>
          <w:rFonts w:ascii="Times New Roman" w:hAnsi="Times New Roman"/>
          <w:sz w:val="20"/>
        </w:rPr>
      </w:pPr>
      <w:r>
        <w:rPr>
          <w:rFonts w:ascii="Times New Roman" w:hAnsi="Times New Roman"/>
          <w:b/>
          <w:i/>
          <w:color w:val="000000"/>
          <w:sz w:val="20"/>
        </w:rPr>
        <w:t>Novartis Notes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2020, we entered into a $4.9 million (£3.8 million) convertible loan note instrument relating to the issue of 3,841,479 Novartis Loan Note. The Novartis Loan Note was convertible at any time at a fixed price of £0.265 ($0.337) per ordinary share until February 10, 2023. In addition, on February10, 2020, in connection with the Novartis Loan Note, we entered into a warrant instrument with Novartis to issue 1,449,614 ordinary shares at an exercise price of £0.265 ($0.037) per ordinary share. These warrants are exercisable until February 10,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February 10, 2023, we amended the Novartis Loan Note, extending the maturity date to February 10, 2025 and increasing the interest rate to 9%, with all other terms remaining unchanged. Pursuant to the amendment and a new warrant instrument, interest accrued to the amendment date was paid in cash, and warrants to purchase 2,000,000 ordinary shares at an exercise price of £0.150 ($0.191) per ordinary share were issued and are exercisable until February 10, 2028. </w:t>
      </w:r>
    </w:p>
    <w:p>
      <w:pPr>
        <w:pStyle w:val="TextBody"/>
        <w:bidi w:val="0"/>
        <w:spacing w:before="240" w:after="283"/>
        <w:jc w:val="left"/>
        <w:rPr>
          <w:rFonts w:ascii="Times New Roman" w:hAnsi="Times New Roman"/>
          <w:sz w:val="20"/>
        </w:rPr>
      </w:pPr>
      <w:r>
        <w:rPr>
          <w:rFonts w:ascii="Times New Roman" w:hAnsi="Times New Roman"/>
          <w:b/>
          <w:i/>
          <w:color w:val="000000"/>
          <w:sz w:val="20"/>
        </w:rPr>
        <w:t>Contingent Value Rights (“CVR”) arrangement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consequence of the License Agreement with Feng Biosciences (formerly OncXerna), and in accordance with the terms and conditions of the Contingent Value Rights Agreement for former stockholders of Mereo BioPharma 5 (formerly OncoMed), dated April 23, 2019, by and among Mereo and Computershare Inc., as rights agent, (the Mereo “CVR Agreement”), holders of “CVRs” pursuant to the CVR Agreement will be entitled to receive certain eligible cash milestone payments made to Mereo under the License Agreement relating to Navi. The receipt of the upfront milestone payment of $4.0 million by us in January 2020 resulted in a payment to CVR holders of approximately 1.2 cents per CVR, a total of approximately $0.5 million (after deductions of costs, charges and expenditures). Future milestone payments occurring prior to the fifth anniversary of the closing of the Merger, April 23, 2024, are also subject to a cash consideration cap, pursuant to which the aggregate principal amount of all cash payments made to holders of CVRs under the CVR Agreement shall in no case exceed $79.7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account for the CVR arrangement as contingent consideration at fair value. As of December 31, 2023, the fair value of the contingent consideration is estimated to be nil. The estimated contingent consideration payable is based on a risk-adjusted, probability-based scenario. Under this approach, the likelihood of future payments being made to the former shareholders of Mereo BioPharma 5 under the CVR arrangement is considered. As the CVR Agreement will expire on April 23, 2024, it is unlikely the estimate will materially change in the future.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consolidated financial statements are prepared in accordance with GAAP. The preparation of these consolidated financial statements requires us to make estimates and assumptions that affect the reported amounts of assets, liabilities, revenue, costs and expenses, and related disclosures. On an ongoing basis, we evaluate our accounting estimates based on historical experience and 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various other assumptions that we believe are reasonable under the circumstances. The actual impact on our financial performance could differ from these estimates under different assumptions or conditions.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accounting estimate is considered critical if both (i) the nature of the estimates or assumptions is material due to the levels of subjectivity and judgment involved, and (ii) the impact within a reasonable range of outcomes of the estimates and assumptions is material to our consolidated financial statements. We believe that there are no estimates and assumptions made in our consolidated financial statements that rise to this level. For further information on all of our significant accounting policies, see Note 2 — Summary of Significant Accounting Policies in the accompanying notes to the consolidated financial statements included in Part II, Item 8, "Financial Statements and Supplementary Data" of this Annual Report on Form 10-K. </w:t>
      </w:r>
    </w:p>
    <w:p>
      <w:pPr>
        <w:pStyle w:val="TextBody"/>
        <w:bidi w:val="0"/>
        <w:spacing w:before="240" w:after="283"/>
        <w:jc w:val="left"/>
        <w:rPr>
          <w:rFonts w:ascii="Times New Roman" w:hAnsi="Times New Roman"/>
          <w:sz w:val="20"/>
        </w:rPr>
      </w:pPr>
      <w:bookmarkStart w:id="13" w:name="item_7a_quantitative_and_qualitativ"/>
      <w:bookmarkEnd w:id="13"/>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are exposed to a variety of financial risks. Our overall risk management program seeks to minimize potential adverse effects of these financial risks on our financial performance.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Rate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2023, we held cash and cash equivalents of $57.4 million. Our exposure to interest rate sensitivity is impacted by changes in the underlying U.S. and U.K. bank interest rates. We manage interest rate risk by monitoring short and medium-term interest rates and placing cash on deposit for periods that optimize the amount of interest earned while maintaining access to sufficient funds to meet day-to-day cash requirements. Interest payable on our convertible loan notes is fixed. We have not entered into investments for trading or speculative purposes. Due to the conservative nature of our investment portfolio, which is predicated on capital preservation of investments with short-term maturities, we do not believe an immediate one percentage point change in interest rates would have a material effect on the value of our cash and cash equivalents, and therefore we do not expect our operating results or cash flows to be significantly affected by changes in market interest rates. </w:t>
      </w:r>
    </w:p>
    <w:p>
      <w:pPr>
        <w:pStyle w:val="TextBody"/>
        <w:bidi w:val="0"/>
        <w:spacing w:before="240" w:after="283"/>
        <w:jc w:val="left"/>
        <w:rPr>
          <w:rFonts w:ascii="Times New Roman" w:hAnsi="Times New Roman"/>
          <w:sz w:val="20"/>
        </w:rPr>
      </w:pPr>
      <w:r>
        <w:rPr>
          <w:rFonts w:ascii="Times New Roman" w:hAnsi="Times New Roman"/>
          <w:b/>
          <w:i/>
          <w:color w:val="000000"/>
          <w:sz w:val="20"/>
        </w:rPr>
        <w:t>Foreign Currency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maintain the consolidated financial statements of the Company in pounds sterling, but for financial reporting purposes our consolidated financial statements have been presented in U.S dollars, the reporting currency. Monetary assets and liabilities denominated in currencies other than the functional currency are translated into the functional currency at rates prevailing at the date of the transaction. Exchange gains or losses arising from foreign currency transactions are included in the consolidated statements of operations and comprehensive loss, as foreign currency transaction gain/(loss). The financial statement entities are translated from their functional currency into the reporting currency as follows: assets and liabilities are translated at the exchange rates at the balance sheet dates, expenses are translated at the average exchange rates for the relevant period and shareholders' equity is translated based on historical exchange rates. Translation adjustments are not included in determining net loss but are included as a foreign exchange adjustment to the comprehensive loss, a component of the shareholder equity. For the year ended December 31, 2023, $4.2 million of unrealized loss on foreign currency translation was included in other comprehensive loss compared to an unrealized loss of $10.7 million for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monitor our exposure to foreign exchange risk. We have not entered into foreign exchange contracts to hedge against foreign exchange fluctuations but maintain cash and short-term deposits in U.S. dollars to cover anticipated forward commitments, to provide a natural hedge against the impact of foreign exchange rate movements, but there can be no assurance that we will be fully protected against material foreign currency fluctuations.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Inflation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Inflation may generally affect us by increasing our personnel costs, research and development expenses and general operating expenses. While we have experienced increased operating expenses in recent periods, which we believe are due in part to the recent growth in inflation, we do not believe that inflation has had a material effect on our business, financial condition or results of operations during the year ended December 31, 2023; however, operating expenses may continue to increase in future periods due to inflation.</w:t>
      </w:r>
    </w:p>
    <w:p>
      <w:pPr>
        <w:pStyle w:val="TextBody"/>
        <w:bidi w:val="0"/>
        <w:spacing w:before="240" w:after="283"/>
        <w:jc w:val="left"/>
        <w:rPr>
          <w:rFonts w:ascii="Times New Roman" w:hAnsi="Times New Roman"/>
          <w:b/>
          <w:color w:val="000000"/>
          <w:sz w:val="20"/>
        </w:rPr>
      </w:pPr>
      <w:bookmarkStart w:id="14" w:name="item_8_financial_statements_and_sup"/>
      <w:bookmarkEnd w:id="14"/>
      <w:r>
        <w:rPr>
          <w:rFonts w:ascii="Times New Roman" w:hAnsi="Times New Roman"/>
          <w:b/>
          <w:color w:val="000000"/>
          <w:sz w:val="20"/>
        </w:rPr>
        <w:t>Item 8. Financial Statements and Supplementary Data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report. An index of those financial statements is found in Item 15.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5" w:name="item_9_changes_in_and_disagreements_wit"/>
      <w:bookmarkEnd w:id="15"/>
      <w:r>
        <w:rPr>
          <w:rFonts w:ascii="Times New Roman" w:hAnsi="Times New Roman"/>
          <w:b/>
          <w:color w:val="000000"/>
          <w:sz w:val="20"/>
        </w:rPr>
        <w:t>Item 9. Changes in and Disagreements with Accountants on Accounting and Financial Disclosure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16" w:name="item_9a_controls_and_procedures"/>
      <w:bookmarkEnd w:id="16"/>
      <w:r>
        <w:rPr>
          <w:rFonts w:ascii="Times New Roman" w:hAnsi="Times New Roman"/>
          <w:b/>
          <w:color w:val="000000"/>
          <w:sz w:val="20"/>
        </w:rPr>
        <w:t>Item 9A. Controls and Procedures</w:t>
      </w:r>
    </w:p>
    <w:p>
      <w:pPr>
        <w:pStyle w:val="TextBody"/>
        <w:bidi w:val="0"/>
        <w:spacing w:before="240" w:after="283"/>
        <w:jc w:val="left"/>
        <w:rPr>
          <w:rFonts w:ascii="Times New Roman" w:hAnsi="Times New Roman"/>
          <w:sz w:val="20"/>
        </w:rPr>
      </w:pPr>
      <w:r>
        <w:rPr>
          <w:rFonts w:ascii="Times New Roman" w:hAnsi="Times New Roman"/>
          <w:b/>
          <w:color w:val="000000"/>
          <w:sz w:val="20"/>
        </w:rPr>
        <w:t>Disclosure Controls and Procedures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with the participation of our principal executive officer and principal financial officer, has evaluated the effectiveness of our disclosure controls and procedures (as such term is defined in Rules 13a-15(e) and 15d-15(e) under the Exchange Act and regulations promulgated thereunder) as of December 31, 2023, or the Evaluation Date. Based on such evaluation, our principal executive officer and principal financial officer have concluded that, as of the Evaluation Date, our disclosure controls and procedures were effective in recording, processing, summarizing and reporting, on a timely basis, information required to be included in periodic filings under the Exchange Act and that such information is accumulated and communicated to management, including our principal executive officer and principal financial officer, or persons performing similar functions, as appropriate to allow timely decisions regarding required disclosure.</w:t>
      </w:r>
    </w:p>
    <w:p>
      <w:pPr>
        <w:pStyle w:val="TextBody"/>
        <w:bidi w:val="0"/>
        <w:spacing w:before="240" w:after="283"/>
        <w:jc w:val="left"/>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Rule 13a-15(f) under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 Our internal control over financial reporting is a process designed under the supervision of our principal executive officer and principal financial officer to provide reasonable assurance regarding the reliability of financial reporting and the preparation of our financial statements for external reporting purposes in accordance with accounting principles generally accepted in the United States of America.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Our management conducted an assessment of the effectiveness of our internal control over financial reporting based on the criteria set forth in “Internal Control - Integrated Framework (2013)” issued by the Committee of Sponsoring Organizations of the Treadway Commission.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Based on this assessment, our management concluded that, as of December 31, 2023, our internal control over financial reporting was effective.</w:t>
      </w:r>
    </w:p>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Remediation of Previously Reported Material Weaknesses</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preparation of our unaudited interim condensed consolidated financial statements as of and for the six-month period ended June 30, 2023, a material weakness in our internal control over financial reporting was identified. This related to a control deficiency which impacted the presentation of significant or non-routine transactions in the unaudited condensed consolidated statement of comprehensive loss in accordance with IFRS prior to us having to comply with the domestic reporting regime under the Exchange Act.</w:t>
      </w:r>
    </w:p>
    <w:p>
      <w:pPr>
        <w:pStyle w:val="TextBody"/>
        <w:bidi w:val="0"/>
        <w:jc w:val="both"/>
        <w:rPr>
          <w:rFonts w:ascii="Times New Roman" w:hAnsi="Times New Roman"/>
          <w:color w:val="000000"/>
          <w:sz w:val="20"/>
        </w:rPr>
      </w:pPr>
      <w:r>
        <w:rPr>
          <w:rFonts w:ascii="Times New Roman" w:hAnsi="Times New Roman"/>
          <w:color w:val="000000"/>
          <w:sz w:val="20"/>
        </w:rPr>
        <w:t xml:space="preserve">This control is designed to ensure that, significant or non-routine transactions are identified and that an appropriate accounting analysis is performed by sufficiently qualified individuals and reviewed by appropriate members of management to validate the conclusions, including any judgments and/or estimates.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Management concluded that the control was appropriately designed, however in respect of a transaction involving the income statement classification of a single item, the control did not operate effectively. Management has since taken steps to remediate this deficiency, including increased engagement of external experts to assist in the analysis and determination of the appropriate presentation of significant or non-routine transactions, and documentation thereof.</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Management has subsequently operated the control effectively multiple times. Management have therefore concluded that the Material Weakness has been remediated of December 31, 2023. Management has determined that the transaction in question has been presented appropriately in the consolidated financial statements in accordance with accounting principles generally accepted in the United States of America for the year ended December 31, 2023. </w:t>
      </w:r>
    </w:p>
    <w:p>
      <w:pPr>
        <w:pStyle w:val="TextBody"/>
        <w:bidi w:val="0"/>
        <w:spacing w:before="240" w:after="283"/>
        <w:jc w:val="left"/>
        <w:rPr>
          <w:rFonts w:ascii="Times New Roman" w:hAnsi="Times New Roman"/>
          <w:sz w:val="20"/>
        </w:rPr>
      </w:pPr>
      <w:r>
        <w:rPr>
          <w:rFonts w:ascii="Times New Roman" w:hAnsi="Times New Roman"/>
          <w:b/>
          <w:color w:val="000000"/>
          <w:sz w:val="20"/>
        </w:rPr>
        <w:t>Attestation Report of the Registered Public Accounting Firm</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than the changes related to the remediation activities related to the previously reported material weaknesses noted above, no other changes in our internal control over financial reporting (as defined in Rules 13a-15(f) and 15d-15(f) under the Exchange Act) occurred during the year ended December 31, 2023 that has materially affected, or is reasonably likely to materially affect, our internal control over financial reporting.</w:t>
      </w:r>
    </w:p>
    <w:p>
      <w:pPr>
        <w:pStyle w:val="TextBody"/>
        <w:bidi w:val="0"/>
        <w:spacing w:before="240" w:after="283"/>
        <w:jc w:val="left"/>
        <w:rPr>
          <w:rFonts w:ascii="Times New Roman" w:hAnsi="Times New Roman"/>
          <w:b/>
          <w:color w:val="000000"/>
          <w:sz w:val="20"/>
        </w:rPr>
      </w:pPr>
      <w:bookmarkStart w:id="17" w:name="item_9b_other_information"/>
      <w:bookmarkEnd w:id="17"/>
      <w:r>
        <w:rPr>
          <w:rFonts w:ascii="Times New Roman" w:hAnsi="Times New Roman"/>
          <w:b/>
          <w:color w:val="000000"/>
          <w:sz w:val="20"/>
        </w:rPr>
        <w:t>Item 9B. Other Information</w:t>
      </w:r>
    </w:p>
    <w:p>
      <w:pPr>
        <w:pStyle w:val="TextBody"/>
        <w:bidi w:val="0"/>
        <w:spacing w:before="240" w:after="283"/>
        <w:jc w:val="left"/>
        <w:rPr>
          <w:rFonts w:ascii="Times New Roman" w:hAnsi="Times New Roman"/>
          <w:sz w:val="20"/>
        </w:rPr>
      </w:pPr>
      <w:r>
        <w:rPr>
          <w:rFonts w:ascii="Times New Roman" w:hAnsi="Times New Roman"/>
          <w:b/>
          <w:color w:val="000000"/>
          <w:sz w:val="20"/>
        </w:rPr>
        <w:t>Item 408 Regulation S-K Compliance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quarter ended December 31, 2023, no director or officer (as defined in Rule 16a-1(f) of the Exchange Act) of the Company adopted, modified or terminated a “Rule 10b5-1 trading arrangement” or “non-Rule 10b5-1 trading arrangement,” as each term is defined in Item 408 of Regulation S-K.</w:t>
      </w:r>
    </w:p>
    <w:p>
      <w:pPr>
        <w:pStyle w:val="TextBody"/>
        <w:bidi w:val="0"/>
        <w:spacing w:before="240" w:after="283"/>
        <w:jc w:val="left"/>
        <w:rPr>
          <w:rFonts w:ascii="Times New Roman" w:hAnsi="Times New Roman"/>
          <w:b/>
          <w:color w:val="000000"/>
          <w:sz w:val="20"/>
        </w:rPr>
      </w:pPr>
      <w:bookmarkStart w:id="18" w:name="item_9c_disclosure_regarding_foreign"/>
      <w:bookmarkEnd w:id="18"/>
      <w:r>
        <w:rPr>
          <w:rFonts w:ascii="Times New Roman" w:hAnsi="Times New Roman"/>
          <w:b/>
          <w:color w:val="000000"/>
          <w:sz w:val="20"/>
        </w:rPr>
        <w:t>Item 9C. Disclosure Regarding Foreign Jurisdictions that Prevent Inspections.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9" w:name="part_iii"/>
      <w:bookmarkEnd w:id="19"/>
      <w:r>
        <w:rPr>
          <w:rFonts w:ascii="Times New Roman" w:hAnsi="Times New Roman"/>
          <w:b/>
          <w:color w:val="000000"/>
          <w:sz w:val="20"/>
        </w:rPr>
        <w:t>PART III</w:t>
      </w:r>
    </w:p>
    <w:p>
      <w:pPr>
        <w:pStyle w:val="TextBody"/>
        <w:bidi w:val="0"/>
        <w:spacing w:before="240" w:after="283"/>
        <w:jc w:val="left"/>
        <w:rPr>
          <w:rFonts w:ascii="Times New Roman" w:hAnsi="Times New Roman"/>
          <w:b/>
          <w:color w:val="000000"/>
          <w:sz w:val="20"/>
        </w:rPr>
      </w:pPr>
      <w:bookmarkStart w:id="20" w:name="item_10_directors_executive_officer"/>
      <w:bookmarkEnd w:id="20"/>
      <w:r>
        <w:rPr>
          <w:rFonts w:ascii="Times New Roman" w:hAnsi="Times New Roman"/>
          <w:b/>
          <w:color w:val="000000"/>
          <w:sz w:val="20"/>
        </w:rPr>
        <w:t>Item 10. Directors, Executive Officers and Corporate Governance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presents information about Mereo’s executive officers and non-executive directors, including their ages, as of the date of this Annual Report: </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2866"/>
        <w:gridCol w:w="146"/>
        <w:gridCol w:w="391"/>
        <w:gridCol w:w="146"/>
        <w:gridCol w:w="397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9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Position</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Executive Officers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Denise Scots-Knight</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Director</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43</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Sermon</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54</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Business Development</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Alexandra (Wills) Hughes-Wilson</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Patient Access and Commercial Planning</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John Lewicki</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72</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Scientific Officer</w:t>
            </w:r>
          </w:p>
        </w:tc>
      </w:tr>
      <w:tr>
        <w:trPr/>
        <w:tc>
          <w:tcPr>
            <w:tcW w:w="286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pPr>
            <w:r>
              <w:rPr/>
              <w:t> </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Jeremy Bender</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52</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Anders Ekblom</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Pierre Jacquet</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57</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Annalisa Jenkins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Deepika R. Pakianathan</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59</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Justin Roberts</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Daniel Shames</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78</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Yoskowitz</w:t>
            </w:r>
          </w:p>
        </w:tc>
        <w:tc>
          <w:tcPr>
            <w:tcW w:w="146" w:type="dxa"/>
            <w:tcBorders/>
            <w:shd w:fill="CFF0FC" w:val="clear"/>
            <w:vAlign w:val="center"/>
          </w:tcPr>
          <w:p>
            <w:pPr>
              <w:pStyle w:val="TableContents"/>
              <w:bidi w:val="0"/>
              <w:spacing w:before="0" w:after="283"/>
              <w:jc w:val="left"/>
              <w:rPr/>
            </w:pPr>
            <w:r>
              <w:rPr/>
              <w:t> </w:t>
            </w:r>
          </w:p>
        </w:tc>
        <w:tc>
          <w:tcPr>
            <w:tcW w:w="39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49</w:t>
            </w:r>
          </w:p>
        </w:tc>
        <w:tc>
          <w:tcPr>
            <w:tcW w:w="146" w:type="dxa"/>
            <w:tcBorders/>
            <w:shd w:fill="CFF0FC" w:val="clear"/>
            <w:vAlign w:val="center"/>
          </w:tcPr>
          <w:p>
            <w:pPr>
              <w:pStyle w:val="TableContents"/>
              <w:bidi w:val="0"/>
              <w:spacing w:before="0" w:after="283"/>
              <w:jc w:val="left"/>
              <w:rPr/>
            </w:pPr>
            <w:r>
              <w:rPr/>
              <w:t> </w:t>
            </w:r>
          </w:p>
        </w:tc>
        <w:tc>
          <w:tcPr>
            <w:tcW w:w="39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w:t>
            </w:r>
          </w:p>
        </w:tc>
      </w:tr>
      <w:tr>
        <w:trPr/>
        <w:tc>
          <w:tcPr>
            <w:tcW w:w="28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 Wyzga</w:t>
            </w:r>
          </w:p>
        </w:tc>
        <w:tc>
          <w:tcPr>
            <w:tcW w:w="146" w:type="dxa"/>
            <w:tcBorders/>
            <w:shd w:fill="FFFFFF" w:val="clear"/>
            <w:vAlign w:val="center"/>
          </w:tcPr>
          <w:p>
            <w:pPr>
              <w:pStyle w:val="TableContents"/>
              <w:bidi w:val="0"/>
              <w:spacing w:before="0" w:after="283"/>
              <w:jc w:val="left"/>
              <w:rPr/>
            </w:pPr>
            <w:r>
              <w:rPr/>
              <w:t> </w:t>
            </w:r>
          </w:p>
        </w:tc>
        <w:tc>
          <w:tcPr>
            <w:tcW w:w="39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69</w:t>
            </w:r>
          </w:p>
        </w:tc>
        <w:tc>
          <w:tcPr>
            <w:tcW w:w="146" w:type="dxa"/>
            <w:tcBorders/>
            <w:shd w:fill="FFFFFF" w:val="clear"/>
            <w:vAlign w:val="center"/>
          </w:tcPr>
          <w:p>
            <w:pPr>
              <w:pStyle w:val="TableContents"/>
              <w:bidi w:val="0"/>
              <w:spacing w:before="0" w:after="283"/>
              <w:jc w:val="left"/>
              <w:rPr/>
            </w:pPr>
            <w:r>
              <w:rPr/>
              <w:t> </w:t>
            </w:r>
          </w:p>
        </w:tc>
        <w:tc>
          <w:tcPr>
            <w:tcW w:w="39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and Director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current business addresses for Mereo’s executive officers and directors is c/o Mereo BioPharma Group plc, 4th Floor, One Cavendish Place, London, W1G 0QF, United Kingdom.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are brief biographies of Mereo’s executive officers and non-executive directors:</w:t>
      </w:r>
    </w:p>
    <w:p>
      <w:pPr>
        <w:pStyle w:val="TextBody"/>
        <w:bidi w:val="0"/>
        <w:spacing w:before="240" w:after="283"/>
        <w:jc w:val="left"/>
        <w:rPr>
          <w:rFonts w:ascii="Times New Roman" w:hAnsi="Times New Roman"/>
          <w:sz w:val="20"/>
        </w:rPr>
      </w:pPr>
      <w:r>
        <w:rPr>
          <w:rFonts w:ascii="Times New Roman" w:hAnsi="Times New Roman"/>
          <w:b/>
          <w:i/>
          <w:color w:val="000000"/>
          <w:sz w:val="20"/>
        </w:rPr>
        <w:t>Dr. Denise Scots-Knight.</w:t>
      </w:r>
      <w:r>
        <w:rPr>
          <w:rFonts w:ascii="Times New Roman" w:hAnsi="Times New Roman"/>
          <w:color w:val="000000"/>
          <w:sz w:val="20"/>
        </w:rPr>
        <w:t xml:space="preserve"> Dr. Scots-Knight has served as our Chief Executive Officer since July 2015 and as a member of our Board since our formation. From 2010 until joining us, Dr. Scots-Knight was the Managing Partner of Phase4 Partners Ltd. (“Phase4”), a global life science venture capital firm. Dr. Scots-Knight is currently a board member of Elanco Animal Health Incorporated (NYSE: ELAN). Dr. Scots-Knight previously served as a member of the board of directors of Idenix Pharmaceuticals, Albireo and OncoMed. Dr. Scots-Knight holds a B.Sc. (Hons.) and a Ph.D. from Birmingham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Christine Fox.</w:t>
      </w:r>
      <w:r>
        <w:rPr>
          <w:rFonts w:ascii="Times New Roman" w:hAnsi="Times New Roman"/>
          <w:color w:val="000000"/>
          <w:sz w:val="20"/>
        </w:rPr>
        <w:t xml:space="preserve"> Ms. Fox joined as our Chief Financial Officer in January 2021. From 2015 until joining us, Ms. Fox was the Vice President Finance, External Reporting and most recently Group Financial Controller and Treasurer of Travelport, and prior to that served more than 10 years at KPMG in the U.S. and Switzerland. Ms. Fox is a Certified Public Accountant (CPA) and holds a B.S. in Accounting from Butler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Charles Sermon.</w:t>
      </w:r>
      <w:r>
        <w:rPr>
          <w:rFonts w:ascii="Times New Roman" w:hAnsi="Times New Roman"/>
          <w:color w:val="000000"/>
          <w:sz w:val="20"/>
        </w:rPr>
        <w:t xml:space="preserve"> Mr. Sermon serves as our General Counsel and Business Development and has served as our General Counsel since July 2015. From 2010 until joining us, Mr. Sermon was a Partner of Phase4. Mr. Sermon serves as a Director on the Board of Trustees of Rainbow Trust Children’s Charity. Mr. Sermon trained and qualified as a lawyer with Freshfields in London after completing the Law Society’s Final Examination. Mr. Sermon holds an LL.B. (Hons.) from Hull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Alexandra (Wills) Hughes-Wilson.</w:t>
      </w:r>
      <w:r>
        <w:rPr>
          <w:rFonts w:ascii="Times New Roman" w:hAnsi="Times New Roman"/>
          <w:color w:val="000000"/>
          <w:sz w:val="20"/>
        </w:rPr>
        <w:t xml:space="preserve"> Ms. Hughes-Wilson has served as our Chief of Patient Access and Commercial Planning, previously titled Head of Patient Access and Commercial Planning, since March 2018. Prior to joining us, Ms. Hughes-Wilson was Senior Vice President, Chief Patient Access Officer at Swedish Orphan Biovitrum (publ.) AB, a biotechnology company, from 2012 to 2018, and prior to that served as Vice President Health &amp; Market Access Policy EMEA at Genzyme (now Sanofi Genzyme), a biotechnology company. Ms. Hughes-Wilson holds a bachelor’s degree in Law and Politics (Hons.) from the University of Durham, U.K.</w:t>
      </w:r>
    </w:p>
    <w:p>
      <w:pPr>
        <w:pStyle w:val="TextBody"/>
        <w:bidi w:val="0"/>
        <w:spacing w:before="240" w:after="283"/>
        <w:jc w:val="left"/>
        <w:rPr>
          <w:rFonts w:ascii="Times New Roman" w:hAnsi="Times New Roman"/>
          <w:sz w:val="20"/>
        </w:rPr>
      </w:pPr>
      <w:r>
        <w:rPr>
          <w:rFonts w:ascii="Times New Roman" w:hAnsi="Times New Roman"/>
          <w:b/>
          <w:i/>
          <w:color w:val="000000"/>
          <w:sz w:val="20"/>
        </w:rPr>
        <w:t>Dr. John Lewicki.</w:t>
      </w:r>
      <w:r>
        <w:rPr>
          <w:rFonts w:ascii="Times New Roman" w:hAnsi="Times New Roman"/>
          <w:color w:val="000000"/>
          <w:sz w:val="20"/>
        </w:rPr>
        <w:t xml:space="preserve"> Dr. Lewicki has served as our Chief Scientific Officer since July 2020. He has over 35 years of experience in the biotechnology industry. Dr. Lewicki was President, CEO and a board member of OncoMed from March 2018 to April 2019. Previously, Dr. Lewicki served as Vice President of Research, at Scios Inc. where he co-discovered human B-type natriuretic peptide (BNP). Dr. Lewicki contributed to development of BNP into an FDA-approved treatment (Natrecor) for acute congestive heart failure. Dr. Lewicki received his PhD from the University of California, San Diego. He has co-authored over 80 papers and is co-inventor on over 30 issued U.S. patents.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Dr. Jeremy Bender.</w:t>
      </w:r>
      <w:r>
        <w:rPr>
          <w:rFonts w:ascii="Times New Roman" w:hAnsi="Times New Roman"/>
          <w:color w:val="000000"/>
          <w:sz w:val="20"/>
        </w:rPr>
        <w:t xml:space="preserve"> Dr. Bender has served on our board since October 2020. Dr. Bender is Chief Executive Officer and President of DayOne Biopharmaceuticals, Inc. (NASDAQ: DAWN). Dr. Bender also serves on the board of directors of Furion Pharmaceuticals, Inc. Previously he served as Vice President of Corporate Development at Gilead Sciences, Inc., where he was responsible for development and negotiation of partnerships, alliances, joint ventures, equity investments, licensing agreements and M&amp;A transactions. Dr. Bender joined Gilead from Tizona Therapeutics, Inc., where he was Chief Operating Officer. Prior to Tizona, he was Chief Business Officer of Sutro Biopharma, Inc. Dr. Bender received his undergraduate degree in Biological Sciences from Stanford University and his Ph.D. in Microbiology &amp; Immunology from the University of Colorado. He also holds an M.B.A. from the MIT Sloan School of Management.</w:t>
      </w:r>
    </w:p>
    <w:p>
      <w:pPr>
        <w:pStyle w:val="TextBody"/>
        <w:bidi w:val="0"/>
        <w:spacing w:before="240" w:after="283"/>
        <w:jc w:val="left"/>
        <w:rPr>
          <w:rFonts w:ascii="Times New Roman" w:hAnsi="Times New Roman"/>
          <w:sz w:val="20"/>
        </w:rPr>
      </w:pPr>
      <w:r>
        <w:rPr>
          <w:rFonts w:ascii="Times New Roman" w:hAnsi="Times New Roman"/>
          <w:b/>
          <w:i/>
          <w:color w:val="000000"/>
          <w:sz w:val="20"/>
        </w:rPr>
        <w:t>Dr. Anders Ekblom.</w:t>
      </w:r>
      <w:r>
        <w:rPr>
          <w:rFonts w:ascii="Times New Roman" w:hAnsi="Times New Roman"/>
          <w:color w:val="000000"/>
          <w:sz w:val="20"/>
        </w:rPr>
        <w:t xml:space="preserve"> Dr. Ekblom has served on our Board since July 2015. Dr. Ekblom has held a number of executive positions at AstraZeneca, including Executive Vice President Global Drug Development, Executive Vice President Global Medicines Development, Global Head Clinical Development and Chief Executive Officer of AstraZeneca AB Sweden. He currently serves as Chairman of the Board of Alligator Bioscience AB, Atrogi AB, Elypta AB and Xspray Pharma AB, and on the boards of directors of AnaMar AB, Flerie Invest AB and Synerkine Pharma Bv. Dr. Ekblom is a board-certified medical doctor and an Associate Professor at the Karolinska Institutet. Dr. Ekblom holds a M.D., Ph.D. and a D.D.S. from Karolinska Institutet.</w:t>
      </w:r>
    </w:p>
    <w:p>
      <w:pPr>
        <w:pStyle w:val="TextBody"/>
        <w:bidi w:val="0"/>
        <w:spacing w:before="240" w:after="283"/>
        <w:jc w:val="left"/>
        <w:rPr>
          <w:rFonts w:ascii="Times New Roman" w:hAnsi="Times New Roman"/>
          <w:sz w:val="20"/>
        </w:rPr>
      </w:pPr>
      <w:r>
        <w:rPr>
          <w:rFonts w:ascii="Times New Roman" w:hAnsi="Times New Roman"/>
          <w:b/>
          <w:i/>
          <w:color w:val="000000"/>
          <w:sz w:val="20"/>
        </w:rPr>
        <w:t>Dr. Pierre Jacquet.</w:t>
      </w:r>
      <w:r>
        <w:rPr>
          <w:rFonts w:ascii="Times New Roman" w:hAnsi="Times New Roman"/>
          <w:color w:val="000000"/>
          <w:sz w:val="20"/>
        </w:rPr>
        <w:t xml:space="preserve"> Dr. Jacquet has served on our Board of Directors since September 2021. Dr. Jacquet is currently Managing Director and Vice Chairman of L.E.K. Consulting’s Global Healthcare practice. He has served in a variety of leadership roles over 20 years at L.E.K., including Global Head, Healthcare Practice, Global Leadership Team, the Americas management committee, and various partner operating committees. Prior to joining L.E.K. in 2001, Dr. Jacquet was trained as a surgical resident at University of Liège, Belgium and served as a Fellow at the Washington Cancer Institute, where he authored over 40 publications and presentations. In addition to serving on Mereo’s Board of Directors, Dr. Jacquet is a Director of Exact Sciences, on the Advisory Board of Life Science Cares, and previously served as a Director of Osprey Pharmaceuticals. He earned a Master of Business Administration from the Darden Graduate School at the University of Virginia, graduated Magna Cum Laude in Medicine from the University of Liège in Belgium and was awarded a Summa Cum Laude Doctor of Philosophy in biomedical sciences from the University of Liège in Belgium.</w:t>
      </w:r>
    </w:p>
    <w:p>
      <w:pPr>
        <w:pStyle w:val="TextBody"/>
        <w:bidi w:val="0"/>
        <w:spacing w:before="240" w:after="283"/>
        <w:jc w:val="left"/>
        <w:rPr>
          <w:rFonts w:ascii="Times New Roman" w:hAnsi="Times New Roman"/>
          <w:sz w:val="20"/>
        </w:rPr>
      </w:pPr>
      <w:r>
        <w:rPr>
          <w:rFonts w:ascii="Times New Roman" w:hAnsi="Times New Roman"/>
          <w:b/>
          <w:i/>
          <w:color w:val="000000"/>
          <w:sz w:val="20"/>
        </w:rPr>
        <w:t>Dr. Annalisa Jenkins.</w:t>
      </w:r>
      <w:r>
        <w:rPr>
          <w:rFonts w:ascii="Times New Roman" w:hAnsi="Times New Roman"/>
          <w:color w:val="000000"/>
          <w:sz w:val="20"/>
        </w:rPr>
        <w:t xml:space="preserve"> Dr. Jenkins has served on our Board of Directors since November 2022. Dr. Jenkins served as president and CEO of Dimension Therapeutics, a leading NASDAQ listed gene therapy company that was acquired by Ultragenyx in November 2017. Prior leadership roles have included the head of global research and development at Merck Serono and SVP, Global Development at Bristol Myers-Squibb. Dr. Jenkins is a board member and advisor to a number of public and private health and life science companies globally. She is also a board member of Genomics England and a trustee of The Kings Fund and The British Heart Foundation. Dr. Jenkins graduated with a degree in medicine from St. Bartholomew’s Hospital in the University of London and served as a Surgeon Lieutenant Commander in the British Royal Navy.</w:t>
      </w:r>
    </w:p>
    <w:p>
      <w:pPr>
        <w:pStyle w:val="TextBody"/>
        <w:bidi w:val="0"/>
        <w:spacing w:before="240" w:after="283"/>
        <w:jc w:val="left"/>
        <w:rPr>
          <w:rFonts w:ascii="Times New Roman" w:hAnsi="Times New Roman"/>
          <w:sz w:val="20"/>
        </w:rPr>
      </w:pPr>
      <w:r>
        <w:rPr>
          <w:rFonts w:ascii="Times New Roman" w:hAnsi="Times New Roman"/>
          <w:b/>
          <w:i/>
          <w:color w:val="000000"/>
          <w:sz w:val="20"/>
        </w:rPr>
        <w:t>Dr. Deepika R. Pakianathan.</w:t>
      </w:r>
      <w:r>
        <w:rPr>
          <w:rFonts w:ascii="Times New Roman" w:hAnsi="Times New Roman"/>
          <w:color w:val="000000"/>
          <w:sz w:val="20"/>
        </w:rPr>
        <w:t xml:space="preserve"> Dr. Pakianathan has served on our Board since April 2019 following completion of the Merger and served as a director of OncoMed since December 2008 until the closing of the Merger. Since 2001, Dr. Pakianathan has been a Managing Member at Delphi Ventures, a venture capital firm focused on biotechnology and medical device investments. Dr. Pakianathan is also the Chief Executive Officer of a privately held start-up biotechnology company operating in stealth mode. Dr. Pakianathan serves on the boards of directors of Karyopharm Therapeutics, Inc. and Theravance Biopharma, Inc., and previously served on the boards of directors of Calithera Biosciences, Foresite Development Corp II, Alder Biopharmaceuticals, Inc., Foresite Development Corp I. and Relypsa, Inc. Dr. Pakianathan received a B.Sc. from the University of Bombay, India, a M.Sc. from The Cancer Research Institute at the University of Bombay, India, and an M.S. and Ph.D. from Wake Forest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Justin Roberts.</w:t>
      </w:r>
      <w:r>
        <w:rPr>
          <w:rFonts w:ascii="Times New Roman" w:hAnsi="Times New Roman"/>
          <w:color w:val="000000"/>
          <w:sz w:val="20"/>
        </w:rPr>
        <w:t xml:space="preserve"> Justin Roberts has served on our Board of Directors since November 2022. Mr. Roberts is a Partner at Rubric Capital Management LP, a role he has held since the formation of the company in 2016. Before Rubric he spent seven years at Point72 Asset Management. Mr. Roberts has also held roles at ZS Associates, Moore Capital Management, and began his career at Lehman Brothers as an investment banker in their M&amp;A practice. Mr. Roberts graduated with honors from Johns Hopkins University.</w:t>
      </w:r>
    </w:p>
    <w:p>
      <w:pPr>
        <w:pStyle w:val="TextBody"/>
        <w:bidi w:val="0"/>
        <w:spacing w:before="240" w:after="283"/>
        <w:jc w:val="left"/>
        <w:rPr>
          <w:rFonts w:ascii="Times New Roman" w:hAnsi="Times New Roman"/>
          <w:sz w:val="20"/>
        </w:rPr>
      </w:pPr>
      <w:r>
        <w:rPr>
          <w:rFonts w:ascii="Times New Roman" w:hAnsi="Times New Roman"/>
          <w:b/>
          <w:i/>
          <w:color w:val="000000"/>
          <w:sz w:val="20"/>
        </w:rPr>
        <w:t>Dr. Daniel Shames.</w:t>
      </w:r>
      <w:r>
        <w:rPr>
          <w:rFonts w:ascii="Times New Roman" w:hAnsi="Times New Roman"/>
          <w:color w:val="000000"/>
          <w:sz w:val="20"/>
        </w:rPr>
        <w:t xml:space="preserve"> Dr. Shames has served on our Board of Directors since November 2022. Dr. Shames has served as President of Daniel A. Shames Consulting, providing regulatory services to over 100 biotechnology and pharmaceutical clients. Prior to starting his consultancy Dr. Shames spent 12 years at the FDA during which time he was involved in the safety and efficacy review of hundreds of drugs. Most recently Dr. Shames served as Deputy Director, Office of Drug Evaluation III from 2006 to 2008, while also serving as Director of the Division of Gastroenterology and Inborn Error Products. Prior to that he was Director of Reproductive and Urologic Drugs from 2001 to 2006. Before joining the FDA, Dr. Shames founded Carolina Urocorp, operated a private medical practice, and was as Major in the U.S. Army Medical Corps. Dr. Shames received his undergraduate degree from Brandeis University, his MD from Georgetown University School of Medicine, and did his urology residency at the University of Pennsylvania.</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Marc Yoskowitz.</w:t>
      </w:r>
      <w:r>
        <w:rPr>
          <w:rFonts w:ascii="Times New Roman" w:hAnsi="Times New Roman"/>
          <w:color w:val="000000"/>
          <w:sz w:val="20"/>
        </w:rPr>
        <w:t xml:space="preserve"> Mr. Yoskowitz has served on our Board of Directors since November 2022. Mr. Yoskowitz is Chief Executive Officer of Evozyne, Inc. Previously he served as EVP and Chief Strategy Officer, Life Sciences at Tempus, Inc. Prior to Tempus, Mr. Yoskowitz was Chief Business Officer, Pfizer Essential Health, leading a range of corporate initiatives within the Pfizer portfolio. Prior to Pfizer, he served as SVP, Strategy and Corporate Development at Hospira and was a member of the Executive Committee. Earlier in his career, Mr. Yoskowitz led business development at a specialty pharmaceutical company, spent eight years at McKinsey &amp; Company where he was an Associate Principal, and began his career as an M&amp;A lawyer at Davis, Polk &amp; Wardwell in New York. Mr. Yoskowitz received a bachelor’s degree magna cum laude from Washington University in St. Louis and holds a JD from Columbia University School of Law.</w:t>
      </w:r>
    </w:p>
    <w:p>
      <w:pPr>
        <w:pStyle w:val="TextBody"/>
        <w:bidi w:val="0"/>
        <w:spacing w:before="240" w:after="283"/>
        <w:jc w:val="left"/>
        <w:rPr>
          <w:rFonts w:ascii="Times New Roman" w:hAnsi="Times New Roman"/>
          <w:sz w:val="20"/>
        </w:rPr>
      </w:pPr>
      <w:r>
        <w:rPr>
          <w:rFonts w:ascii="Times New Roman" w:hAnsi="Times New Roman"/>
          <w:b/>
          <w:i/>
          <w:color w:val="000000"/>
          <w:sz w:val="20"/>
        </w:rPr>
        <w:t>Michael S. Wyzga</w:t>
      </w:r>
      <w:r>
        <w:rPr>
          <w:rFonts w:ascii="Times New Roman" w:hAnsi="Times New Roman"/>
          <w:color w:val="000000"/>
          <w:sz w:val="20"/>
        </w:rPr>
        <w:t>. Mr. Wyzga has served on our Board since April 2019 following completion of the Merger and had served as a director of OncoMed since October 2013 until the closing of the Merger. On May 14, 2020, we entered into the Consulting and Interim Chief Financial Officer Agreement with MSW Consulting Inc. and Michael Wyzga by which Mr. Wyzga served as Interim Chief Financial Officer from August 1, 2020 to January 4, 2021. Mr. Wyzga is currently the President of MSW Consulting Inc., a strategic consulting group focused in the life sciences area. From December 2011 until November 2013, Mr. Wyzga served as President and Chief Executive Officer and a member of the board of directors of Radius Health, Inc. Prior to that, Mr. Wyzga served in various senior management positions at Genzyme Corporation, including as Chief Financial Officer from July 1999 until November 2011. Mr. Wyzga is a member of the boards of directors of Adagio Therapeutics Corporation and LogicBio and is Chairman of the board of directors of GenSight Biologics S.A. and of X4 Biologics. Mr. Wyzga previously served as a member of the boards of directors of Exact Sciences Corporation, Idenix Pharmaceuticals, Inc. and Altus Pharmaceuticals, Inc., and as a member of the supervisory board of Prosensa Holding B.V. He received an M.B.A. from Providence College and a B.S. from Suffolk University.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Arrangements Concerning Election of Directors; Family Relationships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not a party to, and are not aware of, any voting agreements among our shareholders. In addition, there are no family relationships among our executive officers and directors.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Section 16(A) Beneficial Ownership Reporting Compliance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Section 16(a) of the Exchange Act requires the Company’s executive officers and directors, and persons who own more than 10% of a registered class of our equity securities, to file reports with the SEC relating to their share ownership and changes in such ownership. As a former foreign private issuer, our executive officers, directors and greater than 10% shareholders were not subject to the Section 16(a) filing requirements during the fiscal year ended December 31, 2023.</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Insurance and Indemnification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permitted by the U.K. Companies Act 2006, Mereo is empowered under its Articles to indemnify its directors against any liability they incur by reason of their directorship. Mereo maintains directors’ and officers’ insurance to insure such persons against certain liabilities. Mereo has entered into a deed of indemnity with each of its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Insofar as indemnification of liabilities arising under the Securities Act may be permitted to the Mereo Board, executive officers, or persons controlling Mereo pursuant to the forgoing provisions, Mereo has been informed that, in the opinion of the SEC, such indemnification is against public policy as expressed in the Securities Act and is therefore unenforceable.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currently maintains a Code of Ethics which applies to all directors, officers, and employees. A copy of our Code of Ethics can be found on our website at </w:t>
      </w:r>
      <w:r>
        <w:rPr>
          <w:rFonts w:ascii="Times New Roman" w:hAnsi="Times New Roman"/>
          <w:sz w:val="20"/>
        </w:rPr>
        <w:t xml:space="preserve">www.mereobiopharma.com </w:t>
      </w:r>
      <w:r>
        <w:rPr>
          <w:rFonts w:ascii="Times New Roman" w:hAnsi="Times New Roman"/>
          <w:color w:val="000000"/>
          <w:sz w:val="20"/>
        </w:rPr>
        <w:t>in the “Investors” section under “Corporate Governance.” We intend to satisfy the disclosure requirement under Item 5.05 of Form 8-K regarding amendments to, or waivers from, a provision of our Code of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Composition of the Mereo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currently consists of ten members. We are required to have a board that is composed of a majority of independent directors, as defined under the Nasdaq Stock Market rules. In making the determination of whether a member of the board is independent, our board considers, among other things, the information provided by the directors with regards to each director’s business and personal activities and any relationships they have with the Company or management, including with respect to their ownership of the Company’s ordinary shares. On the basis of such review and its understanding of such relationships and transactions,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Board affirmatively determined that Michael Wyzga, Jeremy Bender, Anders Ekblom, Pierre Jacquet, Annalisa Jenkins, Deepa Pakianathan, Justin Roberts, Daniel Shames and Marc Yoskowitz are “independent directors” as defined under the applicable rules and regulations of the SEC and the listing requirements and rules of the Nasdaq Stock Market, representing nine of our ten directors. Dr. Denise Scots-Knight is not an independent director due to her employment as Chief Executive Officer of the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Committees of the Mereo Board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Mereo Board has four standing committees: an audit and risk committee, a remuneration committee, a nomination and governance committee, and a research and development committee.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Audit and Risk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risk committee which consists of Deepika R. Pakianathan, Annalisa Jenkins, Michael S. Wyzga and Jeremy Bender, assists the board in overseeing our accounting and financial reporting processes and the audits of our financial statements. Dr. Pakianathan serves as Chair of the committee. The audit and risk committee consists exclusively of members of our board who are financially literate, and Dr. Pakianathan is considered an “audit committee financial expert” as defined by applicable SEC rules and has the requisite financial sophistication as defined under the applicable Nasdaq rules and regulations. Our board has determined that all of the members of the audit and risk committee satisfy the “independence” requirements set forth in Rule 10A-3 under the Exchange Act. The audit and risk committee is governed by a charter that complies with Nasdaq rules.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risk committee’s responsibilities include: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recommending the appointment of the independent auditor to the general meeting of shareholders;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appointment, compensation, retention and oversight of any accounting firm engaged for the purpose of preparing or issuing an audit report or performing other audit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pre-approving the audit services and non-audit services to be provided by our independent auditor before the auditor is engaged to render such services;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evaluating the independent auditor’s qualifications, performance and independence, and presenting its conclusions to the full board on at least an annual basis;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discussing with the executive officers, the board, and the independent auditor our financial statements and our financial reporting process;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or ratifying any related person transaction (as defined in our related person transaction policy) in accordance with our related person transaction policy;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procedures for the confidential anonymous submission of concerns regarding questionable accounting, internal controls or auditing matters;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and monitoring the Company’s key risks, including financial and cybersecurity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risk committee will meet as often as one or more members of the audit and risk committee deem necessary, but in any event will meet at least three times per year. The audit and risk committee will meet at least once per year with our independent accountant, without our senior management being present.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Remuneration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remuneration committee which consists of Deepika R. Pakianathan, Justin Roberts and Anders Ekblom, assists the board in determining senior management compensation. Dr. Ekblom serves as Chairman of the committee. Under Nasdaq rules, there are heightened independence standards for members of the remuneration committee, including a prohibition against the receipt of any compensation from us other than standard board member fees. Our board has determined that Dr. Pakianathan, Mr. Roberts and Dr. Ekblom meet this heightened standard. The remuneration committee is governed by a charter that complies with Nasdaq rules.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remuneration committee’s responsibilities include: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determining and agreeing with the Mereo Board the framework or broad policy for the remuneration the company’s chair, CEO, any other executive directors, the company secretary and other members of senior management;</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ongoing appropriateness and relevance of the remuneration policy;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approving the design of, and determining the performance measures and targets for the company, and evaluating achievements against those targets any performance related pay schemes operated by the company and approving the total annual payments made under such schemes;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reviewing the design of all share incentive plans for approval by the Mereo Board and shareholders;</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ensuring that contractual terms on termination of employment, and any payments made, are fair to the individual, and the company, that failure is not rewarded and that the duty to mitigate loss is fully recognized;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least annually, reviewing all incentive compensation arrangements for the purpose of assessing whether risks arising from the design or implementation of those arrangements do not encourage unnecessary risk-taking;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overseeing any major changes in employee benefits structures throughout the company;</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establishing the selection criteria, selecting, appointing and setting the terms of reference for any compensation consultants who advise the committee after taking into consideration the factors relevant to advisor independence set forth in Nasdaq Listing Rule 5605(d)(3); and</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administering and overseeing the company’s compliance with the compensation recovery policy required by applicable SEC and Nasdaq rules.</w:t>
      </w:r>
    </w:p>
    <w:p>
      <w:pPr>
        <w:pStyle w:val="TextBody"/>
        <w:bidi w:val="0"/>
        <w:spacing w:before="240" w:after="283"/>
        <w:jc w:val="left"/>
        <w:rPr>
          <w:rFonts w:ascii="Times New Roman" w:hAnsi="Times New Roman"/>
          <w:sz w:val="20"/>
        </w:rPr>
      </w:pPr>
      <w:r>
        <w:rPr>
          <w:rFonts w:ascii="Times New Roman" w:hAnsi="Times New Roman"/>
          <w:b/>
          <w:i/>
          <w:color w:val="000000"/>
          <w:sz w:val="20"/>
        </w:rPr>
        <w:t>Nomination and Corporate Governance Committee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nomination and corporate governance committee which consists of Michael S. Wyzga, Jeremy Bender, Pierre Jacquet, and Justin Roberts, assists our board in identifying individuals qualified to become members of our board and senior management consistent with criteria established by our board and in developing our corporate governance principles. Mr. Wyzga serves as Chair of the nomination and corporate governance committee. The nomination and corporate governance committee is governed by a charter that complies with Nasdaq rules.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nomination and corporate governance committee’s responsibilities include: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drawing up selection criteria and appointment procedures for board members;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reviewing and evaluating the size and composition of our board and making a proposal for a composition profile of the board at least annually;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recommending nominees for election to our board and its corresponding committees;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assessing the functioning of individual members of the board and senior management and reporting the results of such assessment to the board;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developing and recommending to the board rules governing the board, reviewing and reassessing the adequacy of such rules governing the board, and recommending any proposed changes to the board.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Committee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research and development committee, which consists of Pierre Jacquet, Daniel Shames, Marc Yoskowitz and Anders Ekblom, assists our senior management with oversight and guidance related to strategic research and development matters and provides guidance and makes recommendations to our board regarding strategic research and development matters. Dr. Ekblom serves as Chair of the research and development committee.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research and development committee’s responsibilities include oversight of: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strategic development plans for product candidates, taking into account any regulatory feedback; and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acquisition of new product candidates.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research and development committee is tasked with keeping informed of strategic issues and commercial changes affecting our development programs and potential product acquisitions. </w:t>
      </w:r>
    </w:p>
    <w:p>
      <w:pPr>
        <w:pStyle w:val="TextBody"/>
        <w:bidi w:val="0"/>
        <w:spacing w:before="240" w:after="283"/>
        <w:jc w:val="left"/>
        <w:rPr>
          <w:rFonts w:ascii="Times New Roman" w:hAnsi="Times New Roman"/>
          <w:b/>
          <w:color w:val="000000"/>
          <w:sz w:val="20"/>
        </w:rPr>
      </w:pPr>
      <w:bookmarkStart w:id="21" w:name="item_11_executive_compensation"/>
      <w:bookmarkEnd w:id="21"/>
      <w:r>
        <w:rPr>
          <w:rFonts w:ascii="Times New Roman" w:hAnsi="Times New Roman"/>
          <w:b/>
          <w:color w:val="000000"/>
          <w:sz w:val="20"/>
        </w:rPr>
        <w:t>Item 11. Executive Compensation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named executive officers for the year ended December 31, 2023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Denise Scots-Knight, our Chief Executive Officer;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Charles Sermon, our General Counsel;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Christine Fox, our Chief Financial Officer.</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2023 Summary Compensation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the compensation awarded to, earned by or paid to each of our named executive officers for the years indicated.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65"/>
        <w:gridCol w:w="526"/>
        <w:gridCol w:w="146"/>
        <w:gridCol w:w="146"/>
        <w:gridCol w:w="781"/>
        <w:gridCol w:w="146"/>
        <w:gridCol w:w="146"/>
        <w:gridCol w:w="146"/>
        <w:gridCol w:w="781"/>
        <w:gridCol w:w="146"/>
        <w:gridCol w:w="146"/>
        <w:gridCol w:w="161"/>
        <w:gridCol w:w="867"/>
        <w:gridCol w:w="146"/>
        <w:gridCol w:w="146"/>
        <w:gridCol w:w="158"/>
        <w:gridCol w:w="1008"/>
        <w:gridCol w:w="146"/>
        <w:gridCol w:w="146"/>
        <w:gridCol w:w="210"/>
        <w:gridCol w:w="978"/>
        <w:gridCol w:w="146"/>
        <w:gridCol w:w="146"/>
        <w:gridCol w:w="146"/>
        <w:gridCol w:w="931"/>
        <w:gridCol w:w="195"/>
      </w:tblGrid>
      <w:tr>
        <w:trPr/>
        <w:tc>
          <w:tcPr>
            <w:tcW w:w="156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565"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and Principal Position</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Bonus </w:t>
            </w:r>
            <w:r>
              <w:rPr>
                <w:rFonts w:ascii="Times New Roman" w:hAnsi="Times New Roman"/>
                <w:b/>
                <w:color w:val="000000"/>
                <w:sz w:val="11"/>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Awards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All Other</w:t>
              <w:br/>
              <w:t xml:space="preserve">Compensation </w:t>
            </w:r>
            <w:r>
              <w:rPr>
                <w:rFonts w:ascii="Times New Roman" w:hAnsi="Times New Roman"/>
                <w:b/>
                <w:color w:val="000000"/>
                <w:sz w:val="11"/>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Total </w:t>
            </w:r>
            <w:r>
              <w:rPr>
                <w:rFonts w:ascii="Times New Roman" w:hAnsi="Times New Roman"/>
                <w:b/>
                <w:color w:val="000000"/>
                <w:sz w:val="11"/>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65" w:type="dxa"/>
            <w:tcBorders/>
            <w:shd w:fill="FFFFFF" w:val="clear"/>
            <w:vAlign w:val="center"/>
          </w:tcPr>
          <w:p>
            <w:pPr>
              <w:pStyle w:val="TableContents"/>
              <w:bidi w:val="0"/>
              <w:spacing w:before="0" w:after="283"/>
              <w:jc w:val="center"/>
              <w:rPr/>
            </w:pPr>
            <w:r>
              <w:rPr/>
              <w:t> </w:t>
            </w:r>
          </w:p>
        </w:tc>
        <w:tc>
          <w:tcPr>
            <w:tcW w:w="5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66"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88"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7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5" w:type="dxa"/>
            <w:tcBorders/>
            <w:shd w:fill="FFFFFF" w:val="clear"/>
            <w:vAlign w:val="center"/>
          </w:tcPr>
          <w:p>
            <w:pPr>
              <w:pStyle w:val="TableContents"/>
              <w:bidi w:val="0"/>
              <w:spacing w:before="0" w:after="283"/>
              <w:jc w:val="center"/>
              <w:rPr/>
            </w:pPr>
            <w:r>
              <w:rPr/>
              <w:t> </w:t>
            </w:r>
          </w:p>
        </w:tc>
      </w:tr>
      <w:tr>
        <w:trPr/>
        <w:tc>
          <w:tcPr>
            <w:tcW w:w="15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Denise Scots-Knight </w:t>
            </w:r>
            <w:r>
              <w:rPr>
                <w:rFonts w:ascii="Times New Roman" w:hAnsi="Times New Roman"/>
                <w:color w:val="000000"/>
                <w:sz w:val="13"/>
              </w:rPr>
              <w:t>(1) (2)</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254,298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1"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285,358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8"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1,043,403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2,219,323</w:t>
            </w:r>
          </w:p>
        </w:tc>
        <w:tc>
          <w:tcPr>
            <w:tcW w:w="195" w:type="dxa"/>
            <w:tcBorders/>
            <w:shd w:fill="CFF0FC" w:val="clear"/>
            <w:vAlign w:val="center"/>
          </w:tcPr>
          <w:p>
            <w:pPr>
              <w:pStyle w:val="TableContents"/>
              <w:bidi w:val="0"/>
              <w:spacing w:before="0" w:after="283"/>
              <w:jc w:val="left"/>
              <w:rPr/>
            </w:pPr>
            <w:r>
              <w:rPr/>
              <w:t> </w:t>
            </w:r>
          </w:p>
        </w:tc>
      </w:tr>
      <w:tr>
        <w:trPr/>
        <w:tc>
          <w:tcPr>
            <w:tcW w:w="15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304,085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2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58"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1,358,134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68,219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2,237,247</w:t>
            </w:r>
          </w:p>
        </w:tc>
        <w:tc>
          <w:tcPr>
            <w:tcW w:w="195" w:type="dxa"/>
            <w:tcBorders/>
            <w:shd w:fill="CFF0FC"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Charles Sermon </w:t>
            </w:r>
            <w:r>
              <w:rPr>
                <w:rFonts w:ascii="Times New Roman" w:hAnsi="Times New Roman"/>
                <w:color w:val="000000"/>
                <w:sz w:val="13"/>
              </w:rPr>
              <w:t>(2)</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61" w:type="dxa"/>
            <w:tcBorders/>
            <w:shd w:fill="FFFFFF" w:val="clear"/>
            <w:vAlign w:val="center"/>
          </w:tcPr>
          <w:p>
            <w:pPr>
              <w:pStyle w:val="TableContents"/>
              <w:bidi w:val="0"/>
              <w:spacing w:before="0" w:after="283"/>
              <w:jc w:val="left"/>
              <w:rPr/>
            </w:pPr>
            <w:r>
              <w:rPr/>
              <w:t> </w:t>
            </w:r>
          </w:p>
        </w:tc>
        <w:tc>
          <w:tcPr>
            <w:tcW w:w="86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362,923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1,088,249</w:t>
            </w:r>
          </w:p>
        </w:tc>
        <w:tc>
          <w:tcPr>
            <w:tcW w:w="195" w:type="dxa"/>
            <w:tcBorders/>
            <w:shd w:fill="FFFF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w:t>
            </w:r>
          </w:p>
        </w:tc>
        <w:tc>
          <w:tcPr>
            <w:tcW w:w="5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28" w:type="dxa"/>
            <w:gridSpan w:val="2"/>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158" w:type="dxa"/>
            <w:tcBorders/>
            <w:shd w:fill="FFFFFF" w:val="clear"/>
            <w:vAlign w:val="center"/>
          </w:tcPr>
          <w:p>
            <w:pPr>
              <w:pStyle w:val="TableContents"/>
              <w:bidi w:val="0"/>
              <w:spacing w:before="0" w:after="283"/>
              <w:jc w:val="left"/>
              <w:rPr/>
            </w:pPr>
            <w:r>
              <w:rPr/>
              <w:t> </w:t>
            </w:r>
          </w:p>
        </w:tc>
        <w:tc>
          <w:tcPr>
            <w:tcW w:w="10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339,533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0" w:type="dxa"/>
            <w:tcBorders/>
            <w:shd w:fill="FFFFFF" w:val="clear"/>
            <w:vAlign w:val="center"/>
          </w:tcPr>
          <w:p>
            <w:pPr>
              <w:pStyle w:val="TableContents"/>
              <w:bidi w:val="0"/>
              <w:spacing w:before="0" w:after="283"/>
              <w:jc w:val="left"/>
              <w:rPr/>
            </w:pPr>
            <w:r>
              <w:rPr/>
              <w:t> </w:t>
            </w:r>
          </w:p>
        </w:tc>
        <w:tc>
          <w:tcPr>
            <w:tcW w:w="97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949,889</w:t>
            </w:r>
          </w:p>
        </w:tc>
        <w:tc>
          <w:tcPr>
            <w:tcW w:w="195" w:type="dxa"/>
            <w:tcBorders/>
            <w:shd w:fill="FFFFFF" w:val="clear"/>
            <w:vAlign w:val="center"/>
          </w:tcPr>
          <w:p>
            <w:pPr>
              <w:pStyle w:val="TableContents"/>
              <w:bidi w:val="0"/>
              <w:spacing w:before="0" w:after="283"/>
              <w:jc w:val="left"/>
              <w:rPr/>
            </w:pPr>
            <w:r>
              <w:rPr/>
              <w:t> </w:t>
            </w:r>
          </w:p>
        </w:tc>
      </w:tr>
      <w:tr>
        <w:trPr/>
        <w:tc>
          <w:tcPr>
            <w:tcW w:w="1565"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Christine Fox </w:t>
            </w:r>
            <w:r>
              <w:rPr>
                <w:rFonts w:ascii="Times New Roman" w:hAnsi="Times New Roman"/>
                <w:color w:val="000000"/>
                <w:sz w:val="13"/>
              </w:rPr>
              <w:t>(2)</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61" w:type="dxa"/>
            <w:tcBorders/>
            <w:shd w:fill="CFF0FC" w:val="clear"/>
            <w:vAlign w:val="center"/>
          </w:tcPr>
          <w:p>
            <w:pPr>
              <w:pStyle w:val="TableContents"/>
              <w:bidi w:val="0"/>
              <w:spacing w:before="0" w:after="283"/>
              <w:jc w:val="left"/>
              <w:rPr/>
            </w:pPr>
            <w:r>
              <w:rPr/>
              <w:t> </w:t>
            </w:r>
          </w:p>
        </w:tc>
        <w:tc>
          <w:tcPr>
            <w:tcW w:w="86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58"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1,001,051</w:t>
            </w:r>
          </w:p>
        </w:tc>
        <w:tc>
          <w:tcPr>
            <w:tcW w:w="195" w:type="dxa"/>
            <w:tcBorders/>
            <w:shd w:fill="CFF0FC" w:val="clear"/>
            <w:vAlign w:val="center"/>
          </w:tcPr>
          <w:p>
            <w:pPr>
              <w:pStyle w:val="TableContents"/>
              <w:bidi w:val="0"/>
              <w:spacing w:before="0" w:after="283"/>
              <w:jc w:val="left"/>
              <w:rPr/>
            </w:pPr>
            <w:r>
              <w:rPr/>
              <w:t> </w:t>
            </w:r>
          </w:p>
        </w:tc>
      </w:tr>
      <w:tr>
        <w:trPr/>
        <w:tc>
          <w:tcPr>
            <w:tcW w:w="156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c>
          <w:tcPr>
            <w:tcW w:w="5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028"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158" w:type="dxa"/>
            <w:tcBorders/>
            <w:shd w:fill="CFF0FC" w:val="clear"/>
            <w:vAlign w:val="center"/>
          </w:tcPr>
          <w:p>
            <w:pPr>
              <w:pStyle w:val="TableContents"/>
              <w:bidi w:val="0"/>
              <w:spacing w:before="0" w:after="283"/>
              <w:jc w:val="left"/>
              <w:rPr/>
            </w:pPr>
            <w:r>
              <w:rPr/>
              <w:t> </w:t>
            </w:r>
          </w:p>
        </w:tc>
        <w:tc>
          <w:tcPr>
            <w:tcW w:w="10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0"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810,939</w:t>
            </w:r>
          </w:p>
        </w:tc>
        <w:tc>
          <w:tcPr>
            <w:tcW w:w="19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 Dr. Scots-Knight also serves as a director but receives no additional compensation for this service.</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 Cash compensation paid to all named executive officers is denominated in pounds sterling. For the purposes of this table, all 2023 amounts have been converted based on the pound sterling/U.S. dollar exchange rate in effect as of December 31, 2023 (£1/$1.273) and all 2022 amounts have been converted based on the pound Sterling/U.S. dollar exchange rate in effect as of December 31, 2022 (£1/$1.2103).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 Amount shown reflects cash bonuses awarded for achievement of performance goals.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(4) Amounts reflect the grant date fair value of awards granted in 2023 and 2022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17 to our financial statements for the year ended December 31, 2023. These amounts do not correspond to the actual value that may be recognized by the named executive officers upon vesting of applicable awards.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(5) These amounts include health benefit and life insurance payments and pension contributions made by us. Life insurance premiums paid by us for named executive officers were: $3,772 (2022: $3,217) for Denise Scots-Knight; $2,774 (2022: $2,394) for Charles Sermon; and $2,524 (2022: $2,017) for Christine Fox.</w:t>
      </w:r>
    </w:p>
    <w:p>
      <w:pPr>
        <w:pStyle w:val="TextBody"/>
        <w:bidi w:val="0"/>
        <w:spacing w:before="4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Narrative Disclosure to the Summary Compensation Table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Annual Base Salary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named executive officer’s base salary is a fixed component of annual compensation for performing specific duties and functions, and has been established by our board of directors taking into account each individual’s role, responsibilities, skills, and experience. Base salaries are typically reviewed annually, with any increases normally taking effect from the first day of January. When awarding salary increases, the Committee will consider the level of increase proposed for the wider workforce, as well as employee pay conditions more broadly in comparison to our peer group companies and inflation. Where there has been a change in the role, or if the individual is new to the role, increases could be higher. The base salary of each named executive officer is noted below:</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2281"/>
        <w:gridCol w:w="304"/>
        <w:gridCol w:w="1631"/>
        <w:gridCol w:w="146"/>
        <w:gridCol w:w="146"/>
        <w:gridCol w:w="304"/>
        <w:gridCol w:w="1631"/>
        <w:gridCol w:w="191"/>
      </w:tblGrid>
      <w:tr>
        <w:trPr/>
        <w:tc>
          <w:tcPr>
            <w:tcW w:w="228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81" w:type="dxa"/>
            <w:tcBorders/>
            <w:shd w:fill="FFFFFF" w:val="clear"/>
            <w:vAlign w:val="center"/>
          </w:tcPr>
          <w:p>
            <w:pPr>
              <w:pStyle w:val="TableContents"/>
              <w:bidi w:val="0"/>
              <w:spacing w:before="0" w:after="283"/>
              <w:jc w:val="center"/>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Annual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Annual Base Salary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19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93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vAlign w:val="center"/>
          </w:tcPr>
          <w:p>
            <w:pPr>
              <w:pStyle w:val="TableContents"/>
              <w:bidi w:val="0"/>
              <w:spacing w:before="0" w:after="283"/>
              <w:jc w:val="center"/>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Denise Scots-Knight </w:t>
            </w:r>
            <w:r>
              <w:rPr>
                <w:rFonts w:ascii="Times New Roman" w:hAnsi="Times New Roman"/>
                <w:color w:val="000000"/>
                <w:sz w:val="13"/>
              </w:rPr>
              <w:t>(1)</w:t>
            </w:r>
          </w:p>
        </w:tc>
        <w:tc>
          <w:tcPr>
            <w:tcW w:w="304" w:type="dxa"/>
            <w:tcBorders/>
            <w:shd w:fill="CFF0FC" w:val="clear"/>
            <w:vAlign w:val="center"/>
          </w:tcPr>
          <w:p>
            <w:pPr>
              <w:pStyle w:val="TableContents"/>
              <w:bidi w:val="0"/>
              <w:spacing w:before="0" w:after="283"/>
              <w:jc w:val="left"/>
              <w:rPr/>
            </w:pPr>
            <w:r>
              <w:rPr/>
              <w:t> </w:t>
            </w:r>
          </w:p>
        </w:tc>
        <w:tc>
          <w:tcPr>
            <w:tcW w:w="1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1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506,809</w:t>
            </w:r>
          </w:p>
        </w:tc>
        <w:tc>
          <w:tcPr>
            <w:tcW w:w="191" w:type="dxa"/>
            <w:tcBorders/>
            <w:shd w:fill="CFF0FC" w:val="clear"/>
            <w:vAlign w:val="center"/>
          </w:tcPr>
          <w:p>
            <w:pPr>
              <w:pStyle w:val="TableContents"/>
              <w:bidi w:val="0"/>
              <w:spacing w:before="0" w:after="283"/>
              <w:jc w:val="left"/>
              <w:rPr/>
            </w:pPr>
            <w:r>
              <w:rPr/>
              <w:t> </w:t>
            </w:r>
          </w:p>
        </w:tc>
      </w:tr>
      <w:tr>
        <w:trPr/>
        <w:tc>
          <w:tcPr>
            <w:tcW w:w="228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Charles Sermon </w:t>
            </w:r>
            <w:r>
              <w:rPr>
                <w:rFonts w:ascii="Times New Roman" w:hAnsi="Times New Roman"/>
                <w:color w:val="000000"/>
                <w:sz w:val="13"/>
              </w:rPr>
              <w:t>(1)</w:t>
            </w:r>
          </w:p>
        </w:tc>
        <w:tc>
          <w:tcPr>
            <w:tcW w:w="304"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415,651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6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372,772</w:t>
            </w:r>
          </w:p>
        </w:tc>
        <w:tc>
          <w:tcPr>
            <w:tcW w:w="191" w:type="dxa"/>
            <w:tcBorders/>
            <w:shd w:fill="FFFFFF" w:val="clear"/>
            <w:vAlign w:val="center"/>
          </w:tcPr>
          <w:p>
            <w:pPr>
              <w:pStyle w:val="TableContents"/>
              <w:bidi w:val="0"/>
              <w:spacing w:before="0" w:after="283"/>
              <w:jc w:val="left"/>
              <w:rPr/>
            </w:pPr>
            <w:r>
              <w:rPr/>
              <w:t> </w:t>
            </w:r>
          </w:p>
        </w:tc>
      </w:tr>
      <w:tr>
        <w:trPr/>
        <w:tc>
          <w:tcPr>
            <w:tcW w:w="228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Christine Fox </w:t>
            </w:r>
            <w:r>
              <w:rPr>
                <w:rFonts w:ascii="Times New Roman" w:hAnsi="Times New Roman"/>
                <w:color w:val="000000"/>
                <w:sz w:val="13"/>
              </w:rPr>
              <w:t>(1)</w:t>
            </w:r>
          </w:p>
        </w:tc>
        <w:tc>
          <w:tcPr>
            <w:tcW w:w="304" w:type="dxa"/>
            <w:tcBorders/>
            <w:shd w:fill="CFF0FC" w:val="clear"/>
            <w:vAlign w:val="center"/>
          </w:tcPr>
          <w:p>
            <w:pPr>
              <w:pStyle w:val="TableContents"/>
              <w:bidi w:val="0"/>
              <w:spacing w:before="0" w:after="283"/>
              <w:jc w:val="left"/>
              <w:rPr/>
            </w:pPr>
            <w:r>
              <w:rPr/>
              <w:t> </w:t>
            </w:r>
          </w:p>
        </w:tc>
        <w:tc>
          <w:tcPr>
            <w:tcW w:w="1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378,120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16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332,833</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 Compensation paid to all named executive officers is denominated in pounds sterling. For the purposes of this table, all 2023 amounts have been converted based on the pound sterling/U.S. dollar exchange rate in effect as of December 31, 2023 (£1/$1.273) and all 2022 amounts have been converted based on the pound sterling/U.S. dollar exchange rate in effect as of December 31, 2022 (£1/$1.2103).</w:t>
      </w:r>
    </w:p>
    <w:p>
      <w:pPr>
        <w:pStyle w:val="TextBody"/>
        <w:bidi w:val="0"/>
        <w:spacing w:before="240" w:after="283"/>
        <w:jc w:val="left"/>
        <w:rPr>
          <w:rFonts w:ascii="Times New Roman" w:hAnsi="Times New Roman"/>
          <w:sz w:val="20"/>
        </w:rPr>
      </w:pPr>
      <w:r>
        <w:rPr>
          <w:rFonts w:ascii="Times New Roman" w:hAnsi="Times New Roman"/>
          <w:b/>
          <w:i/>
          <w:color w:val="000000"/>
          <w:sz w:val="20"/>
          <w:u w:val="single"/>
        </w:rPr>
        <w:t>Annual Cash Bonuses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 discretionary bonus scheme for all employees, including the named executive officers. Bonus payments for employees are a percentage of base salary based on performance-based measures against both Company-wide target and personal objectives which can also be increased with stretch performance. Bonus payments for the Chief Executive Officer are a percentage of base salary, based only on performance-based measures against Company-wide target objectives. The annual bonus is payable in cash after the award has been approved by the remuneration committee, usually in January of the following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Company performance was assessed against the 2023 Company-wide target objectives, including certain pipeline and development milestones, execution of manufacturing, clinical and compliance processes and partnerships, the achievement of finance-related and business development milestones. As a result, the named executive officers were awarded bonuses against their target bonus rates as follows.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856"/>
        <w:gridCol w:w="2613"/>
        <w:gridCol w:w="146"/>
        <w:gridCol w:w="2643"/>
        <w:gridCol w:w="146"/>
        <w:gridCol w:w="2801"/>
      </w:tblGrid>
      <w:tr>
        <w:trPr/>
        <w:tc>
          <w:tcPr>
            <w:tcW w:w="1856"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r>
      <w:tr>
        <w:trPr/>
        <w:tc>
          <w:tcPr>
            <w:tcW w:w="1856" w:type="dxa"/>
            <w:tcBorders/>
            <w:shd w:fill="FFFFFF" w:val="cle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Name</w:t>
            </w:r>
          </w:p>
        </w:tc>
        <w:tc>
          <w:tcPr>
            <w:tcW w:w="26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Target Bonus Rate (%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Stretch Bonus Rate (% of base 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Bonus Achievement (% of base salary)</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Denise Scots-Knight</w:t>
            </w:r>
          </w:p>
        </w:tc>
        <w:tc>
          <w:tcPr>
            <w:tcW w:w="261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60%</w:t>
            </w:r>
          </w:p>
        </w:tc>
        <w:tc>
          <w:tcPr>
            <w:tcW w:w="146" w:type="dxa"/>
            <w:tcBorders/>
            <w:shd w:fill="CFF0FC" w:val="clear"/>
            <w:vAlign w:val="center"/>
          </w:tcPr>
          <w:p>
            <w:pPr>
              <w:pStyle w:val="TableContents"/>
              <w:bidi w:val="0"/>
              <w:spacing w:before="0" w:after="283"/>
              <w:jc w:val="left"/>
              <w:rPr/>
            </w:pPr>
            <w:r>
              <w:rPr/>
              <w:t> </w:t>
            </w:r>
          </w:p>
        </w:tc>
        <w:tc>
          <w:tcPr>
            <w:tcW w:w="264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75%</w:t>
            </w:r>
          </w:p>
        </w:tc>
        <w:tc>
          <w:tcPr>
            <w:tcW w:w="146" w:type="dxa"/>
            <w:tcBorders/>
            <w:shd w:fill="CFF0FC" w:val="clear"/>
            <w:vAlign w:val="center"/>
          </w:tcPr>
          <w:p>
            <w:pPr>
              <w:pStyle w:val="TableContents"/>
              <w:bidi w:val="0"/>
              <w:spacing w:before="0" w:after="283"/>
              <w:jc w:val="left"/>
              <w:rPr/>
            </w:pPr>
            <w:r>
              <w:rPr/>
              <w:t> </w:t>
            </w:r>
          </w:p>
        </w:tc>
        <w:tc>
          <w:tcPr>
            <w:tcW w:w="28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45%</w:t>
            </w:r>
          </w:p>
        </w:tc>
      </w:tr>
      <w:tr>
        <w:trPr/>
        <w:tc>
          <w:tcPr>
            <w:tcW w:w="18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Charles Sermon</w:t>
            </w:r>
          </w:p>
        </w:tc>
        <w:tc>
          <w:tcPr>
            <w:tcW w:w="261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FFFFFF" w:val="clear"/>
            <w:vAlign w:val="center"/>
          </w:tcPr>
          <w:p>
            <w:pPr>
              <w:pStyle w:val="TableContents"/>
              <w:bidi w:val="0"/>
              <w:spacing w:before="0" w:after="283"/>
              <w:jc w:val="left"/>
              <w:rPr/>
            </w:pPr>
            <w:r>
              <w:rPr/>
              <w:t> </w:t>
            </w:r>
          </w:p>
        </w:tc>
        <w:tc>
          <w:tcPr>
            <w:tcW w:w="2643"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FFFFFF" w:val="clear"/>
            <w:vAlign w:val="center"/>
          </w:tcPr>
          <w:p>
            <w:pPr>
              <w:pStyle w:val="TableContents"/>
              <w:bidi w:val="0"/>
              <w:spacing w:before="0" w:after="283"/>
              <w:jc w:val="left"/>
              <w:rPr/>
            </w:pPr>
            <w:r>
              <w:rPr/>
              <w:t> </w:t>
            </w:r>
          </w:p>
        </w:tc>
        <w:tc>
          <w:tcPr>
            <w:tcW w:w="280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39%</w:t>
            </w:r>
          </w:p>
        </w:tc>
      </w:tr>
      <w:tr>
        <w:trPr/>
        <w:tc>
          <w:tcPr>
            <w:tcW w:w="18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c>
          <w:tcPr>
            <w:tcW w:w="261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c>
          <w:tcPr>
            <w:tcW w:w="146" w:type="dxa"/>
            <w:tcBorders/>
            <w:shd w:fill="CFF0FC" w:val="clear"/>
            <w:vAlign w:val="center"/>
          </w:tcPr>
          <w:p>
            <w:pPr>
              <w:pStyle w:val="TableContents"/>
              <w:bidi w:val="0"/>
              <w:spacing w:before="0" w:after="283"/>
              <w:jc w:val="left"/>
              <w:rPr/>
            </w:pPr>
            <w:r>
              <w:rPr/>
              <w:t> </w:t>
            </w:r>
          </w:p>
        </w:tc>
        <w:tc>
          <w:tcPr>
            <w:tcW w:w="2643"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c>
          <w:tcPr>
            <w:tcW w:w="146" w:type="dxa"/>
            <w:tcBorders/>
            <w:shd w:fill="CFF0FC" w:val="clear"/>
            <w:vAlign w:val="center"/>
          </w:tcPr>
          <w:p>
            <w:pPr>
              <w:pStyle w:val="TableContents"/>
              <w:bidi w:val="0"/>
              <w:spacing w:before="0" w:after="283"/>
              <w:jc w:val="left"/>
              <w:rPr/>
            </w:pPr>
            <w:r>
              <w:rPr/>
              <w:t> </w:t>
            </w:r>
          </w:p>
        </w:tc>
        <w:tc>
          <w:tcPr>
            <w:tcW w:w="280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40%</w:t>
            </w:r>
          </w:p>
        </w:tc>
      </w:tr>
    </w:tbl>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Equity-Based Incentive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equity-based incentive award plan is intended to align the interests of our named executive officers with those of our stockholders and to motivate them to make important contributions to our performance. In 2023, we granted stock options and performance based restricted stock units ("PSUs") to each of our named executive officers, as reflected in the “Outstanding Equity Awards at 2023 Fiscal Year End Table” below.</w:t>
      </w:r>
    </w:p>
    <w:p>
      <w:pPr>
        <w:pStyle w:val="TextBody"/>
        <w:bidi w:val="0"/>
        <w:spacing w:before="240" w:after="283"/>
        <w:jc w:val="left"/>
        <w:rPr>
          <w:rFonts w:ascii="Times New Roman" w:hAnsi="Times New Roman"/>
          <w:sz w:val="20"/>
        </w:rPr>
      </w:pPr>
      <w:r>
        <w:rPr>
          <w:rFonts w:ascii="Times New Roman" w:hAnsi="Times New Roman"/>
          <w:b/>
          <w:i/>
          <w:color w:val="000000"/>
          <w:sz w:val="20"/>
        </w:rPr>
        <w:t>Executive Officer Employment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Dr. Denise Scots-Knight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an employment agreement with Dr. Scots-Knight on July 29, 2015, as amended on September 3, 2021. This agreement entitles Dr. Scots-Knight to receive an annual base salary and an opportunity to earn an annual discretionary performance-based bonus, subject to the achievement of performance goals determined in accordance with our annual bonus plan. We currently contribute to Dr. Scots-Knight’s Self-Invested Personal Pension Scheme an amount equal to 10% of Dr. Scots-Knight’s annual salary, provided that she contributes 4% or more of her annual salary to that scheme. In lieu of a pension contribution, we may, at Dr. Scots-Knight’s request, pay a pro-rata amount equal to 10% of her base salary as additional compensation. Either party may terminate the employment agreement by giving the other party not less than 12 months’ written notice, provided that we may terminate Dr. Scots-Knight at any time with immediate effect for cause or by giving written notice to Dr. Scots-Knight that we will instead pay her basic salary for any remaining notice period. Dr. Scots-Knight’s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Dr. Scots-Knight equal to 18 months’ annual base salary and Dr. Scots-Knight’s target annual bonus in the event of a covered termination during the period commencing on a change in control of the Company and ending 12 months after such change in control. </w:t>
      </w:r>
    </w:p>
    <w:p>
      <w:pPr>
        <w:pStyle w:val="TextBody"/>
        <w:bidi w:val="0"/>
        <w:spacing w:before="240" w:after="283"/>
        <w:jc w:val="left"/>
        <w:rPr>
          <w:rFonts w:ascii="Times New Roman" w:hAnsi="Times New Roman"/>
          <w:sz w:val="20"/>
        </w:rPr>
      </w:pPr>
      <w:r>
        <w:rPr>
          <w:rFonts w:ascii="Times New Roman" w:hAnsi="Times New Roman"/>
          <w:b/>
          <w:i/>
          <w:color w:val="000000"/>
          <w:sz w:val="20"/>
        </w:rPr>
        <w:t>Charles Sermon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an employment agreement with Mr. Sermon on July 29, 2015 as amended on September 3, 2021. This agreement entitles Mr. Sermon to an annual base salary and an opportunity to earn an annual discretionary performance-based bonus, subject to the achievement of performance goals determined in accordance with our annual bonus plan. We have agreed to contribute to Mr. Sermon’s Self-Invested Personal Pension Scheme an amount equal to 10% of Mr. Sermon’s annual salary provided that he contributes 4% or more of his annual salary to that scheme. In lieu of a pension contribution, we may, at Mr. Sermon’s request, pay a pro-rata amount equal to 10% of his base salary as additional compensation. Either party may terminate the employment agreement by giving the other party not less than six months’ written notice, provided that we may terminate Mr. Sermon at any time with immediate effect for cause or by giving written notice to Mr. Sermon that we will instead pay his basic salary for any remaining notice period. Mr. Sermon’s employment agreement also contains restrictive covenants pursuant to which he has agreed to refrain from competing with us or soliciting our key employees for a period of six months following his termination of employment or soliciting our customers for a period of nine months following his termination of employment. The employment agreement includes the provision of accelerated vesting of share options and payments to Mr. Sermon equal to 12 months’ annual base salary and Mr. Sermon’s target annual bonus in the event of a covered termination during the period commencing on a change in control of the Company and ending 12 months after such change in control. </w:t>
      </w:r>
    </w:p>
    <w:p>
      <w:pPr>
        <w:pStyle w:val="TextBody"/>
        <w:bidi w:val="0"/>
        <w:spacing w:before="240" w:after="283"/>
        <w:jc w:val="left"/>
        <w:rPr>
          <w:rFonts w:ascii="Times New Roman" w:hAnsi="Times New Roman"/>
          <w:sz w:val="20"/>
        </w:rPr>
      </w:pPr>
      <w:r>
        <w:rPr>
          <w:rFonts w:ascii="Times New Roman" w:hAnsi="Times New Roman"/>
          <w:b/>
          <w:i/>
          <w:color w:val="000000"/>
          <w:sz w:val="20"/>
        </w:rPr>
        <w:t>Christine Fox</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entered into an employment agreement with Ms. Fox on October 20, 2020, as amended on September 3, 2021. The employment agreement entitles Ms. Fox to receive an annual base salary and an opportunity to earn an annual discretionary performance-based bonus, subject to the achievement of performance goals determined in accordance with our annual bonus plan. Ms. Fox is also eligible to participate in Mereo’s group personal pension scheme and we have agreed to contribute to the pension scheme an amount equal to 10% of Ms. Fox’s annual salary provided that she contributes 4% or more of her annual salary to that scheme. In lieu of a pension contribution, we may, at Ms. Fox’s request, pay a pro-rata amount equal to 10% of her base salary as additional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compensation. Either party may terminate the employment agreement by giving the other party not less than six months’ written notice, provided that Mereo may terminate Ms. Fox at any time with immediate effect for cause or by giving written notice to Ms. Fox that we will instead pay her basic salary for any remaining notice period. Ms. Fox’s employment agreement also contains restrictive covenants pursuant to which she has agreed to refrain from competing with us or soliciting our key employees for a period of six months following her termination of employment or soliciting our customers for a period of nine months following her termination of employment. The employment agreement includes the provision of accelerated vesting of share options and payments to Ms. Fox equal to 12 months’ annual base salary and Ms. Fox’s target annual bonus in the event of a covered termination during the period commencing on a change in control of the Company and ending 12 months after such change in control. </w:t>
      </w:r>
    </w:p>
    <w:p>
      <w:pPr>
        <w:pStyle w:val="TextBody"/>
        <w:bidi w:val="0"/>
        <w:spacing w:before="240" w:after="283"/>
        <w:jc w:val="left"/>
        <w:rPr>
          <w:rFonts w:ascii="Times New Roman" w:hAnsi="Times New Roman"/>
          <w:sz w:val="20"/>
        </w:rPr>
      </w:pPr>
      <w:r>
        <w:rPr>
          <w:rFonts w:ascii="Times New Roman" w:hAnsi="Times New Roman"/>
          <w:b/>
          <w:color w:val="000000"/>
          <w:sz w:val="20"/>
        </w:rPr>
        <w:t>Pension, Retirement or Similar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operates a defined contribution pension scheme which is available to all employees. Mereo makes payments of up to 10% of base salary for executives, including Mereo’s Chief Executive Officer, into any pension scheme or similar arrangement as the participating executive may reasonably request (or a payment in lieu thereof). Such payments are not counted for the purposes of determining bonuses or awards under the LTIP. We do not sponsor any qualified or non-qualified defined benefit plans for any of our employees or executives.</w:t>
      </w:r>
    </w:p>
    <w:p>
      <w:pPr>
        <w:pStyle w:val="TextBody"/>
        <w:bidi w:val="0"/>
        <w:spacing w:before="240" w:after="283"/>
        <w:jc w:val="left"/>
        <w:rPr>
          <w:rFonts w:ascii="Times New Roman" w:hAnsi="Times New Roman"/>
          <w:sz w:val="20"/>
        </w:rPr>
      </w:pPr>
      <w:r>
        <w:rPr>
          <w:rFonts w:ascii="Times New Roman" w:hAnsi="Times New Roman"/>
          <w:b/>
          <w:color w:val="000000"/>
          <w:sz w:val="20"/>
        </w:rPr>
        <w:t>Health and Welfare Benefits.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of our full-time employees, including our executive officers, are eligible to participate in certain medical, disability and life insurance benefit programs offered by us. We pay the premiums for term life insurance and long-term disability for all of our employees, including our executive officers. We also provide all employees, including executive officers, with paid time off benefits including, vacation, sick time and holidays.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Outstanding Equity Awards at 2023 Fiscal Year End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all outstanding stock options and stock awards held by each of our named executive officers as of December 31, 2023. All "Securities" within this table are expressed in ADSs, including awards over ordinary shares. Each ADS of the Company represents five ordinary shares.</w:t>
      </w:r>
    </w:p>
    <w:p>
      <w:pPr>
        <w:pStyle w:val="TextBody"/>
        <w:bidi w:val="0"/>
        <w:spacing w:before="240" w:after="283"/>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8"/>
        <w:gridCol w:w="146"/>
        <w:gridCol w:w="379"/>
        <w:gridCol w:w="1292"/>
        <w:gridCol w:w="146"/>
        <w:gridCol w:w="146"/>
        <w:gridCol w:w="886"/>
        <w:gridCol w:w="919"/>
        <w:gridCol w:w="146"/>
        <w:gridCol w:w="146"/>
        <w:gridCol w:w="146"/>
        <w:gridCol w:w="250"/>
        <w:gridCol w:w="546"/>
        <w:gridCol w:w="146"/>
        <w:gridCol w:w="146"/>
        <w:gridCol w:w="828"/>
        <w:gridCol w:w="146"/>
        <w:gridCol w:w="1185"/>
        <w:gridCol w:w="146"/>
        <w:gridCol w:w="270"/>
        <w:gridCol w:w="1085"/>
        <w:gridCol w:w="197"/>
      </w:tblGrid>
      <w:tr>
        <w:trPr/>
        <w:tc>
          <w:tcPr>
            <w:tcW w:w="9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90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1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6"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w:t>
              <w:br/>
              <w:t>Dr. or</w:t>
              <w:br/>
              <w:t>Ph.D or</w:t>
              <w:br/>
              <w:t>MBBS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Market Value of Shares of Stock That Have Not Vested</w:t>
              <w:br/>
              <w:t>($'000)</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0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Denise Scots-Knight</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308,949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9/25/2025</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5/20/2029</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86" w:type="dxa"/>
            <w:tcBorders/>
            <w:shd w:fill="CFF0FC" w:val="clear"/>
            <w:vAlign w:val="center"/>
          </w:tcPr>
          <w:p>
            <w:pPr>
              <w:pStyle w:val="TableContents"/>
              <w:bidi w:val="0"/>
              <w:spacing w:before="0" w:after="283"/>
              <w:jc w:val="left"/>
              <w:rPr/>
            </w:pPr>
            <w:r>
              <w:rPr/>
              <w:t> </w:t>
            </w:r>
          </w:p>
        </w:tc>
        <w:tc>
          <w:tcPr>
            <w:tcW w:w="91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7/23/2029</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167,708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7,292 (1)</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2/20/2030</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368,333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15,1667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527,083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572,917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1/14/2032</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1,150,000 (4)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1/25/2033</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470,150 (5)</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1,086,047</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Charles Sermon</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154,474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9/25/2025</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5/20/2029</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7/23/2029</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81,458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3,542 (1)</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2/20/2030</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106,250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43,750 (2)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131,770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143,230 (3)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1/14/2032</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9" w:type="dxa"/>
            <w:tcBorders/>
            <w:shd w:fill="FFFFFF" w:val="clear"/>
            <w:vAlign w:val="center"/>
          </w:tcPr>
          <w:p>
            <w:pPr>
              <w:pStyle w:val="TableContents"/>
              <w:bidi w:val="0"/>
              <w:spacing w:before="0" w:after="283"/>
              <w:jc w:val="left"/>
              <w:rPr/>
            </w:pPr>
            <w:r>
              <w:rPr/>
              <w:t> </w:t>
            </w:r>
          </w:p>
        </w:tc>
        <w:tc>
          <w:tcPr>
            <w:tcW w:w="129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400,000 (4)</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1/25/2033</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left"/>
              <w:rPr/>
            </w:pPr>
            <w:r>
              <w:rPr/>
              <w:t> </w:t>
            </w:r>
          </w:p>
        </w:tc>
        <w:tc>
          <w:tcPr>
            <w:tcW w:w="5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164,000 (5)</w:t>
            </w:r>
          </w:p>
        </w:tc>
        <w:tc>
          <w:tcPr>
            <w:tcW w:w="146" w:type="dxa"/>
            <w:tcBorders/>
            <w:shd w:fill="FFFFFF" w:val="clear"/>
            <w:vAlign w:val="center"/>
          </w:tcPr>
          <w:p>
            <w:pPr>
              <w:pStyle w:val="TableContents"/>
              <w:bidi w:val="0"/>
              <w:spacing w:before="0" w:after="283"/>
              <w:jc w:val="left"/>
              <w:rPr/>
            </w:pPr>
            <w:r>
              <w:rPr/>
              <w:t> </w:t>
            </w:r>
          </w:p>
        </w:tc>
        <w:tc>
          <w:tcPr>
            <w:tcW w:w="270" w:type="dxa"/>
            <w:tcBorders/>
            <w:shd w:fill="FFFFFF" w:val="clear"/>
            <w:vAlign w:val="center"/>
          </w:tcPr>
          <w:p>
            <w:pPr>
              <w:pStyle w:val="TableContents"/>
              <w:bidi w:val="0"/>
              <w:spacing w:before="0" w:after="283"/>
              <w:jc w:val="left"/>
              <w:rPr/>
            </w:pPr>
            <w:r>
              <w:rPr/>
              <w:t> </w:t>
            </w:r>
          </w:p>
        </w:tc>
        <w:tc>
          <w:tcPr>
            <w:tcW w:w="1085"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378,840</w:t>
            </w:r>
          </w:p>
        </w:tc>
        <w:tc>
          <w:tcPr>
            <w:tcW w:w="197" w:type="dxa"/>
            <w:tcBorders/>
            <w:shd w:fill="FFFFFF"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Christine Fox</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123,958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46,042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1/19/2031</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105,416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114,584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1/14/2032</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9" w:type="dxa"/>
            <w:tcBorders/>
            <w:shd w:fill="CFF0FC" w:val="clear"/>
            <w:vAlign w:val="center"/>
          </w:tcPr>
          <w:p>
            <w:pPr>
              <w:pStyle w:val="TableContents"/>
              <w:bidi w:val="0"/>
              <w:spacing w:before="0" w:after="283"/>
              <w:jc w:val="left"/>
              <w:rPr/>
            </w:pPr>
            <w:r>
              <w:rPr/>
              <w:t> </w:t>
            </w:r>
          </w:p>
        </w:tc>
        <w:tc>
          <w:tcPr>
            <w:tcW w:w="1292"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375,000 (4)</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1/25/2033</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5" w:type="dxa"/>
            <w:gridSpan w:val="2"/>
            <w:tcBorders/>
            <w:shd w:fill="CFF0FC" w:val="clear"/>
            <w:vAlign w:val="center"/>
          </w:tcPr>
          <w:p>
            <w:pPr>
              <w:pStyle w:val="TableContents"/>
              <w:bidi w:val="0"/>
              <w:spacing w:before="0" w:after="283"/>
              <w:jc w:val="left"/>
              <w:rPr/>
            </w:pPr>
            <w:r>
              <w:rPr/>
              <w:t> </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7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0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left"/>
              <w:rPr/>
            </w:pPr>
            <w:r>
              <w:rPr/>
              <w:t> </w:t>
            </w:r>
          </w:p>
        </w:tc>
        <w:tc>
          <w:tcPr>
            <w:tcW w:w="5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8"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150,000 (5)</w:t>
            </w:r>
          </w:p>
        </w:tc>
        <w:tc>
          <w:tcPr>
            <w:tcW w:w="146" w:type="dxa"/>
            <w:tcBorders/>
            <w:shd w:fill="CFF0FC" w:val="clear"/>
            <w:vAlign w:val="center"/>
          </w:tcPr>
          <w:p>
            <w:pPr>
              <w:pStyle w:val="TableContents"/>
              <w:bidi w:val="0"/>
              <w:spacing w:before="0" w:after="283"/>
              <w:jc w:val="left"/>
              <w:rPr/>
            </w:pPr>
            <w:r>
              <w:rPr/>
              <w:t> </w:t>
            </w:r>
          </w:p>
        </w:tc>
        <w:tc>
          <w:tcPr>
            <w:tcW w:w="270" w:type="dxa"/>
            <w:tcBorders/>
            <w:shd w:fill="CFF0FC" w:val="clear"/>
            <w:vAlign w:val="center"/>
          </w:tcPr>
          <w:p>
            <w:pPr>
              <w:pStyle w:val="TableContents"/>
              <w:bidi w:val="0"/>
              <w:spacing w:before="0" w:after="283"/>
              <w:jc w:val="left"/>
              <w:rPr/>
            </w:pPr>
            <w:r>
              <w:rPr/>
              <w:t> </w:t>
            </w:r>
          </w:p>
        </w:tc>
        <w:tc>
          <w:tcPr>
            <w:tcW w:w="1085"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346,500</w:t>
            </w:r>
          </w:p>
        </w:tc>
        <w:tc>
          <w:tcPr>
            <w:tcW w:w="197" w:type="dxa"/>
            <w:tcBorders/>
            <w:shd w:fill="CFF0FC" w:val="clear"/>
            <w:vAlign w:val="center"/>
          </w:tcPr>
          <w:p>
            <w:pPr>
              <w:pStyle w:val="TableContents"/>
              <w:bidi w:val="0"/>
              <w:spacing w:before="0" w:after="283"/>
              <w:jc w:val="left"/>
              <w:rPr/>
            </w:pPr>
            <w:r>
              <w:rPr/>
              <w:t> </w:t>
            </w:r>
          </w:p>
        </w:tc>
      </w:tr>
      <w:tr>
        <w:trPr/>
        <w:tc>
          <w:tcPr>
            <w:tcW w:w="90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7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05"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2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85"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5" w:type="dxa"/>
            <w:gridSpan w:val="2"/>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25% of the shares underlying this share option vested and became exercisable on February 20, 2021, with the remainder vesting in equal monthly installments for the three years thereafter.</w:t>
      </w:r>
    </w:p>
    <w:p>
      <w:pPr>
        <w:pStyle w:val="TextBody"/>
        <w:bidi w:val="0"/>
        <w:jc w:val="left"/>
        <w:rPr>
          <w:rFonts w:ascii="Times New Roman" w:hAnsi="Times New Roman"/>
          <w:color w:val="000000"/>
          <w:sz w:val="16"/>
        </w:rPr>
      </w:pPr>
      <w:r>
        <w:rPr>
          <w:rFonts w:ascii="Times New Roman" w:hAnsi="Times New Roman"/>
          <w:color w:val="000000"/>
          <w:sz w:val="16"/>
        </w:rPr>
        <w:t>(2) 25% of the shares underlying this share option vested and became exercisable on February 1, 2022, with the remainder vesting in equal monthly installments for the three years thereafter.</w:t>
      </w:r>
    </w:p>
    <w:p>
      <w:pPr>
        <w:pStyle w:val="TextBody"/>
        <w:bidi w:val="0"/>
        <w:jc w:val="left"/>
        <w:rPr>
          <w:rFonts w:ascii="Times New Roman" w:hAnsi="Times New Roman"/>
          <w:color w:val="000000"/>
          <w:sz w:val="16"/>
        </w:rPr>
      </w:pPr>
      <w:r>
        <w:rPr>
          <w:rFonts w:ascii="Times New Roman" w:hAnsi="Times New Roman"/>
          <w:color w:val="000000"/>
          <w:sz w:val="16"/>
        </w:rPr>
        <w:t>(3) 25% of the shares underlying this share option vested and became exercisable on January 14, 2023, with the remainder vesting in equal monthly installments for the three years thereafter.</w:t>
      </w:r>
    </w:p>
    <w:p>
      <w:pPr>
        <w:pStyle w:val="TextBody"/>
        <w:bidi w:val="0"/>
        <w:jc w:val="left"/>
        <w:rPr>
          <w:rFonts w:ascii="Times New Roman" w:hAnsi="Times New Roman"/>
          <w:color w:val="000000"/>
          <w:sz w:val="16"/>
        </w:rPr>
      </w:pPr>
      <w:r>
        <w:rPr>
          <w:rFonts w:ascii="Times New Roman" w:hAnsi="Times New Roman"/>
          <w:color w:val="000000"/>
          <w:sz w:val="16"/>
        </w:rPr>
        <w:t>(4) 25% of the shares underlying this share option will vest and become exercisable on January 25, 2024, with the remainder vesting in equal monthly installments for the three years thereafter.</w:t>
      </w:r>
    </w:p>
    <w:p>
      <w:pPr>
        <w:pStyle w:val="TextBody"/>
        <w:bidi w:val="0"/>
        <w:jc w:val="left"/>
        <w:rPr>
          <w:rFonts w:ascii="Times New Roman" w:hAnsi="Times New Roman"/>
          <w:color w:val="000000"/>
          <w:sz w:val="16"/>
        </w:rPr>
      </w:pPr>
      <w:r>
        <w:rPr>
          <w:rFonts w:ascii="Times New Roman" w:hAnsi="Times New Roman"/>
          <w:color w:val="000000"/>
          <w:sz w:val="16"/>
        </w:rPr>
        <w:t>(5) Each PSU vests upon satisfaction of four escalating ADS price threshold values over a two year performance period. The number included in this table reflects the number of PSUs eligible for vesting. If a minimum ADS price threshold is not met, such PSUs may vest at zero ADSs.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Mereo currently grants equity awards under the Mereo 2019 Equity Incentive Plan (the "2019 EIP") and the 2019 Non-Employee Equity Incentive Plan (the “2019 NED EIP”). There are also still outstanding awards under two previous plans, the 2015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Plan and the Mereo Share Option Plan, however no awards have been granted under these plans since 2016 and no further grants are envisaged. The key terms of the plans are disclosed within note 17 of the Annual Report on Form 10-K.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Non-Executive Directors' Remuneration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total compensation for each person who served as a non-executive member of our board of directors and received compensation for such service during the fiscal year ended December 31, 2023. Other than as set forth in the table and described more fully below, we did not pay any compensation, make any equity awards or awards to, or pay any other compensation to any of the members of our board of directors in 2023. We reimburse members of our board of directors for reasonable travel expenses. Dr. Scots-Knight, our Chief Executive Officer, did not receive any compensation for her service as a member of our board of directors in 2023. Dr. Scots-Knight’s compensation for service as an employee for fiscal years 2023 and 2022 is presented in “Executive Compensation—2023 Summary Compensation Table.”</w:t>
      </w:r>
    </w:p>
    <w:p>
      <w:pPr>
        <w:pStyle w:val="TextBody"/>
        <w:bidi w:val="0"/>
        <w:jc w:val="left"/>
        <w:rPr/>
      </w:pPr>
      <w:r>
        <w:rPr/>
        <w:t> </w:t>
      </w:r>
    </w:p>
    <w:tbl>
      <w:tblPr>
        <w:tblW w:w="9968" w:type="dxa"/>
        <w:jc w:val="left"/>
        <w:tblInd w:w="0" w:type="dxa"/>
        <w:tblLayout w:type="fixed"/>
        <w:tblCellMar>
          <w:top w:w="28" w:type="dxa"/>
          <w:left w:w="28" w:type="dxa"/>
          <w:bottom w:w="28" w:type="dxa"/>
          <w:right w:w="28" w:type="dxa"/>
        </w:tblCellMar>
      </w:tblPr>
      <w:tblGrid>
        <w:gridCol w:w="2356"/>
        <w:gridCol w:w="146"/>
        <w:gridCol w:w="413"/>
        <w:gridCol w:w="1912"/>
        <w:gridCol w:w="146"/>
        <w:gridCol w:w="146"/>
        <w:gridCol w:w="200"/>
        <w:gridCol w:w="1075"/>
        <w:gridCol w:w="146"/>
        <w:gridCol w:w="146"/>
        <w:gridCol w:w="346"/>
        <w:gridCol w:w="146"/>
        <w:gridCol w:w="245"/>
        <w:gridCol w:w="1135"/>
        <w:gridCol w:w="146"/>
        <w:gridCol w:w="146"/>
        <w:gridCol w:w="146"/>
        <w:gridCol w:w="781"/>
        <w:gridCol w:w="191"/>
      </w:tblGrid>
      <w:tr>
        <w:trPr/>
        <w:tc>
          <w:tcPr>
            <w:tcW w:w="23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5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3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Fees Earned or Paid in Cash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Stock 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Option Awards </w:t>
            </w:r>
            <w:r>
              <w:rPr>
                <w:rFonts w:ascii="Times New Roman" w:hAnsi="Times New Roman"/>
                <w:b/>
                <w:color w:val="000000"/>
                <w:sz w:val="11"/>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56" w:type="dxa"/>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46" w:type="dxa"/>
            <w:tcBorders/>
            <w:shd w:fill="FFFFFF" w:val="clear"/>
            <w:vAlign w:val="center"/>
          </w:tcPr>
          <w:p>
            <w:pPr>
              <w:pStyle w:val="TableContents"/>
              <w:bidi w:val="0"/>
              <w:spacing w:before="0" w:after="283"/>
              <w:jc w:val="center"/>
              <w:rPr/>
            </w:pPr>
            <w:r>
              <w:rPr/>
              <w:t> </w:t>
            </w:r>
          </w:p>
        </w:tc>
        <w:tc>
          <w:tcPr>
            <w:tcW w:w="232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5"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49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8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2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vAlign w:val="center"/>
          </w:tcPr>
          <w:p>
            <w:pPr>
              <w:pStyle w:val="TableContents"/>
              <w:bidi w:val="0"/>
              <w:spacing w:before="0" w:after="283"/>
              <w:jc w:val="center"/>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Jeremy Bender</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9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1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105,082</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Anders Ekblom</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74,894</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121,306</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Pierre Jacquet</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9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55,771</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1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102,184</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Annalisa Jenkins</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54,550</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100,963</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Deepika R. Pakianathan</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9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1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113,761</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Justin Roberts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Dr. Daniel Shames</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9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51,336</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1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97,748</w:t>
            </w:r>
          </w:p>
        </w:tc>
        <w:tc>
          <w:tcPr>
            <w:tcW w:w="191" w:type="dxa"/>
            <w:tcBorders/>
            <w:shd w:fill="CFF0FC" w:val="clear"/>
            <w:vAlign w:val="center"/>
          </w:tcPr>
          <w:p>
            <w:pPr>
              <w:pStyle w:val="TableContents"/>
              <w:bidi w:val="0"/>
              <w:spacing w:before="0" w:after="283"/>
              <w:jc w:val="left"/>
              <w:rPr/>
            </w:pPr>
            <w:r>
              <w:rPr/>
              <w:t> </w:t>
            </w:r>
          </w:p>
        </w:tc>
      </w:tr>
      <w:tr>
        <w:trPr/>
        <w:tc>
          <w:tcPr>
            <w:tcW w:w="23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Yoskowitz</w:t>
            </w:r>
          </w:p>
        </w:tc>
        <w:tc>
          <w:tcPr>
            <w:tcW w:w="146" w:type="dxa"/>
            <w:tcBorders/>
            <w:shd w:fill="FFFFFF" w:val="clear"/>
            <w:vAlign w:val="center"/>
          </w:tcPr>
          <w:p>
            <w:pPr>
              <w:pStyle w:val="TableContents"/>
              <w:bidi w:val="0"/>
              <w:spacing w:before="0" w:after="283"/>
              <w:jc w:val="left"/>
              <w:rPr/>
            </w:pPr>
            <w:r>
              <w:rPr/>
              <w:t> </w:t>
            </w:r>
          </w:p>
        </w:tc>
        <w:tc>
          <w:tcPr>
            <w:tcW w:w="413" w:type="dxa"/>
            <w:tcBorders/>
            <w:shd w:fill="FFFFFF" w:val="clear"/>
            <w:vAlign w:val="center"/>
          </w:tcPr>
          <w:p>
            <w:pPr>
              <w:pStyle w:val="TableContents"/>
              <w:bidi w:val="0"/>
              <w:spacing w:before="0" w:after="283"/>
              <w:jc w:val="left"/>
              <w:rPr/>
            </w:pPr>
            <w:r>
              <w:rPr/>
              <w:t> </w:t>
            </w:r>
          </w:p>
        </w:tc>
        <w:tc>
          <w:tcPr>
            <w:tcW w:w="1912"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7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48,076</w:t>
            </w:r>
          </w:p>
        </w:tc>
        <w:tc>
          <w:tcPr>
            <w:tcW w:w="146" w:type="dxa"/>
            <w:tcBorders/>
            <w:shd w:fill="FFFFFF" w:val="clear"/>
            <w:vAlign w:val="center"/>
          </w:tcPr>
          <w:p>
            <w:pPr>
              <w:pStyle w:val="TableContents"/>
              <w:bidi w:val="0"/>
              <w:spacing w:before="0" w:after="283"/>
              <w:jc w:val="left"/>
              <w:rPr/>
            </w:pPr>
            <w:r>
              <w:rPr/>
              <w:t> </w:t>
            </w:r>
          </w:p>
        </w:tc>
        <w:tc>
          <w:tcPr>
            <w:tcW w:w="492"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c>
          <w:tcPr>
            <w:tcW w:w="113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94,488</w:t>
            </w:r>
          </w:p>
        </w:tc>
        <w:tc>
          <w:tcPr>
            <w:tcW w:w="191" w:type="dxa"/>
            <w:tcBorders/>
            <w:shd w:fill="FFFFFF" w:val="clear"/>
            <w:vAlign w:val="center"/>
          </w:tcPr>
          <w:p>
            <w:pPr>
              <w:pStyle w:val="TableContents"/>
              <w:bidi w:val="0"/>
              <w:spacing w:before="0" w:after="283"/>
              <w:jc w:val="left"/>
              <w:rPr/>
            </w:pPr>
            <w:r>
              <w:rPr/>
              <w:t> </w:t>
            </w:r>
          </w:p>
        </w:tc>
      </w:tr>
      <w:tr>
        <w:trPr/>
        <w:tc>
          <w:tcPr>
            <w:tcW w:w="23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S. Wyzga</w:t>
            </w:r>
          </w:p>
        </w:tc>
        <w:tc>
          <w:tcPr>
            <w:tcW w:w="146" w:type="dxa"/>
            <w:tcBorders/>
            <w:shd w:fill="CFF0FC" w:val="clear"/>
            <w:vAlign w:val="center"/>
          </w:tcPr>
          <w:p>
            <w:pPr>
              <w:pStyle w:val="TableContents"/>
              <w:bidi w:val="0"/>
              <w:spacing w:before="0" w:after="283"/>
              <w:jc w:val="left"/>
              <w:rPr/>
            </w:pPr>
            <w:r>
              <w:rPr/>
              <w:t> </w:t>
            </w:r>
          </w:p>
        </w:tc>
        <w:tc>
          <w:tcPr>
            <w:tcW w:w="413" w:type="dxa"/>
            <w:tcBorders/>
            <w:shd w:fill="CFF0FC" w:val="clear"/>
            <w:vAlign w:val="center"/>
          </w:tcPr>
          <w:p>
            <w:pPr>
              <w:pStyle w:val="TableContents"/>
              <w:bidi w:val="0"/>
              <w:spacing w:before="0" w:after="283"/>
              <w:jc w:val="left"/>
              <w:rPr/>
            </w:pPr>
            <w:r>
              <w:rPr/>
              <w:t> </w:t>
            </w:r>
          </w:p>
        </w:tc>
        <w:tc>
          <w:tcPr>
            <w:tcW w:w="1912"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07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110,384</w:t>
            </w:r>
          </w:p>
        </w:tc>
        <w:tc>
          <w:tcPr>
            <w:tcW w:w="146" w:type="dxa"/>
            <w:tcBorders/>
            <w:shd w:fill="CFF0FC" w:val="clear"/>
            <w:vAlign w:val="center"/>
          </w:tcPr>
          <w:p>
            <w:pPr>
              <w:pStyle w:val="TableContents"/>
              <w:bidi w:val="0"/>
              <w:spacing w:before="0" w:after="283"/>
              <w:jc w:val="lef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45" w:type="dxa"/>
            <w:tcBorders/>
            <w:shd w:fill="CFF0FC" w:val="clear"/>
            <w:vAlign w:val="center"/>
          </w:tcPr>
          <w:p>
            <w:pPr>
              <w:pStyle w:val="TableContents"/>
              <w:bidi w:val="0"/>
              <w:spacing w:before="0" w:after="283"/>
              <w:jc w:val="left"/>
              <w:rPr/>
            </w:pPr>
            <w:r>
              <w:rPr/>
              <w:t> </w:t>
            </w:r>
          </w:p>
        </w:tc>
        <w:tc>
          <w:tcPr>
            <w:tcW w:w="113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46,412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156,797</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 Compensation paid to all non-executive directors is denominated in pounds sterling. For the purposes of this table, all 2023 amounts have been converted based on the pound sterling/U.S. dollar exchange rate in effect as of December 31, 2023 (£1/$1.273) and all 2022 amounts have been converted based on the pound sterling/U.S. dollar exchange rate in effect as of December 31, 2022 (£1/$1.2103).</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 Amounts reflect the grant date fair value of awards granted in 2023 and 2022 in accordance with the Financial Accounting Standards Board’s Accounting Standards Codification Topic 718, or ASC 718. Such grant date fair value does not take into account any estimated forfeitures related to service-vesting conditions. For information regarding assumptions underlying the valuation of equity awards, see note 17 to our financial statements for the year ended December 31, 2023. These amounts do not correspond to the actual value that may be recognized by the named executive officers upon vesting of applicable awards.</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 Mr. Roberts has waived all remuneration in respect of his appointment as a non-executive director.</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Non-Executive Director Compensation Policy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non-executive directors are eligible to earn cash fees for service on the board of directors and for service on each committee on which the director is a member. The chairperson of each committee receives a higher fee for such service. Non-executive directors may voluntarily elect to convert their annual cash fees into Deferred RSUs (over ADSs). The number of Deferred RSUs granted is determined by dividing the amount of the annual cash compensation by the average closing trading price of the Company’s ADSs over the most recent 30 trading days as of the grant date. These Deferred RSUs are delivered under the terms of the existing 2019 NED Plan and they vest in substantially equal monthly installments over the plan year. Payment of Deferred RSUs in ADSs will generally be made 180 days following separation of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to annual cash fees or Deferred RSUs, as elected, equity incentive awards are granted to non-executive directors in line with the 2019 NED Plan. In February 2023, a total of 55,000 equity incentive awards in the form of market value options over ADSs, were granted to each non-executive director at an exercise price of $0.94 per ADS, with a vesting period of one year; vesting is in equal monthly installments over the one-year period following grant date. No performance conditions were attached to the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fees payable to directors for service on the board of directors and for service on each committee of the board of directors on which the director is a member are as follows:</w:t>
      </w:r>
    </w:p>
    <w:p>
      <w:pPr>
        <w:pStyle w:val="TextBody"/>
        <w:bidi w:val="0"/>
        <w:jc w:val="left"/>
        <w:rPr/>
      </w:pPr>
      <w:r>
        <w:rPr/>
        <w:t> </w:t>
      </w:r>
    </w:p>
    <w:tbl>
      <w:tblPr>
        <w:tblW w:w="8524" w:type="dxa"/>
        <w:jc w:val="left"/>
        <w:tblInd w:w="0" w:type="dxa"/>
        <w:tblLayout w:type="fixed"/>
        <w:tblCellMar>
          <w:top w:w="28" w:type="dxa"/>
          <w:left w:w="28" w:type="dxa"/>
          <w:bottom w:w="28" w:type="dxa"/>
          <w:right w:w="28" w:type="dxa"/>
        </w:tblCellMar>
      </w:tblPr>
      <w:tblGrid>
        <w:gridCol w:w="4261"/>
        <w:gridCol w:w="309"/>
        <w:gridCol w:w="1431"/>
        <w:gridCol w:w="146"/>
        <w:gridCol w:w="146"/>
        <w:gridCol w:w="361"/>
        <w:gridCol w:w="1679"/>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Member Annual Fee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Chairperson Annual Fee</w:t>
            </w:r>
            <w:r>
              <w:rPr>
                <w:rFonts w:ascii="Times New Roman" w:hAnsi="Times New Roman"/>
                <w:color w:val="000000"/>
                <w:sz w:val="16"/>
              </w:rPr>
              <w:t> </w:t>
            </w:r>
            <w:r>
              <w:rPr>
                <w:rFonts w:ascii="Times New Roman" w:hAnsi="Times New Roman"/>
                <w:b/>
                <w:color w:val="000000"/>
                <w:sz w:val="11"/>
              </w:rPr>
              <w:t>(1)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40"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($'000)</w:t>
            </w:r>
          </w:p>
        </w:tc>
        <w:tc>
          <w:tcPr>
            <w:tcW w:w="191" w:type="dxa"/>
            <w:tcBorders/>
            <w:shd w:fill="FFFFFF" w:val="clear"/>
            <w:vAlign w:val="center"/>
          </w:tcPr>
          <w:p>
            <w:pPr>
              <w:pStyle w:val="TableContents"/>
              <w:bidi w:val="0"/>
              <w:spacing w:before="0" w:after="283"/>
              <w:jc w:val="center"/>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of Directors</w:t>
            </w:r>
          </w:p>
        </w:tc>
        <w:tc>
          <w:tcPr>
            <w:tcW w:w="309" w:type="dxa"/>
            <w:tcBorders/>
            <w:shd w:fill="CFF0FC" w:val="clear"/>
            <w:vAlign w:val="center"/>
          </w:tcPr>
          <w:p>
            <w:pPr>
              <w:pStyle w:val="TableContents"/>
              <w:bidi w:val="0"/>
              <w:spacing w:before="0" w:after="283"/>
              <w:jc w:val="left"/>
              <w:rPr/>
            </w:pPr>
            <w:r>
              <w:rPr/>
              <w:t> </w:t>
            </w:r>
          </w:p>
        </w:tc>
        <w:tc>
          <w:tcPr>
            <w:tcW w:w="14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40,991</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Audit and Risk Committee</w:t>
            </w:r>
          </w:p>
        </w:tc>
        <w:tc>
          <w:tcPr>
            <w:tcW w:w="309"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19,732</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Remuneration Committee</w:t>
            </w:r>
          </w:p>
        </w:tc>
        <w:tc>
          <w:tcPr>
            <w:tcW w:w="309" w:type="dxa"/>
            <w:tcBorders/>
            <w:shd w:fill="CFF0FC" w:val="clear"/>
            <w:vAlign w:val="center"/>
          </w:tcPr>
          <w:p>
            <w:pPr>
              <w:pStyle w:val="TableContents"/>
              <w:bidi w:val="0"/>
              <w:spacing w:before="0" w:after="283"/>
              <w:jc w:val="left"/>
              <w:rPr/>
            </w:pPr>
            <w:r>
              <w:rPr/>
              <w:t> </w:t>
            </w:r>
          </w:p>
        </w:tc>
        <w:tc>
          <w:tcPr>
            <w:tcW w:w="14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11,712</w:t>
            </w:r>
          </w:p>
        </w:tc>
        <w:tc>
          <w:tcPr>
            <w:tcW w:w="191" w:type="dxa"/>
            <w:tcBorders/>
            <w:shd w:fill="CFF0FC" w:val="clear"/>
            <w:vAlign w:val="center"/>
          </w:tcPr>
          <w:p>
            <w:pPr>
              <w:pStyle w:val="TableContents"/>
              <w:bidi w:val="0"/>
              <w:spacing w:before="0" w:after="283"/>
              <w:jc w:val="left"/>
              <w:rPr/>
            </w:pPr>
            <w:r>
              <w:rPr/>
              <w:t> </w:t>
            </w:r>
          </w:p>
        </w:tc>
      </w:tr>
      <w:tr>
        <w:trPr/>
        <w:tc>
          <w:tcPr>
            <w:tcW w:w="42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Nomination and Corporate Governance Committee</w:t>
            </w:r>
          </w:p>
        </w:tc>
        <w:tc>
          <w:tcPr>
            <w:tcW w:w="309" w:type="dxa"/>
            <w:tcBorders/>
            <w:shd w:fill="FFFFFF" w:val="clear"/>
            <w:vAlign w:val="center"/>
          </w:tcPr>
          <w:p>
            <w:pPr>
              <w:pStyle w:val="TableContents"/>
              <w:bidi w:val="0"/>
              <w:spacing w:before="0" w:after="283"/>
              <w:jc w:val="left"/>
              <w:rPr/>
            </w:pPr>
            <w:r>
              <w:rPr/>
              <w:t> </w:t>
            </w:r>
          </w:p>
        </w:tc>
        <w:tc>
          <w:tcPr>
            <w:tcW w:w="14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67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8,911</w:t>
            </w:r>
          </w:p>
        </w:tc>
        <w:tc>
          <w:tcPr>
            <w:tcW w:w="191" w:type="dxa"/>
            <w:tcBorders/>
            <w:shd w:fill="FFFFFF" w:val="clear"/>
            <w:vAlign w:val="center"/>
          </w:tcPr>
          <w:p>
            <w:pPr>
              <w:pStyle w:val="TableContents"/>
              <w:bidi w:val="0"/>
              <w:spacing w:before="0" w:after="283"/>
              <w:jc w:val="left"/>
              <w:rPr/>
            </w:pPr>
            <w:r>
              <w:rPr/>
              <w:t> </w:t>
            </w:r>
          </w:p>
        </w:tc>
      </w:tr>
      <w:tr>
        <w:trPr/>
        <w:tc>
          <w:tcPr>
            <w:tcW w:w="42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Committee</w:t>
            </w:r>
          </w:p>
        </w:tc>
        <w:tc>
          <w:tcPr>
            <w:tcW w:w="309" w:type="dxa"/>
            <w:tcBorders/>
            <w:shd w:fill="CFF0FC" w:val="clear"/>
            <w:vAlign w:val="center"/>
          </w:tcPr>
          <w:p>
            <w:pPr>
              <w:pStyle w:val="TableContents"/>
              <w:bidi w:val="0"/>
              <w:spacing w:before="0" w:after="283"/>
              <w:jc w:val="left"/>
              <w:rPr/>
            </w:pPr>
            <w:r>
              <w:rPr/>
              <w:t> </w:t>
            </w:r>
          </w:p>
        </w:tc>
        <w:tc>
          <w:tcPr>
            <w:tcW w:w="14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67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10,184</w:t>
            </w:r>
          </w:p>
        </w:tc>
        <w:tc>
          <w:tcPr>
            <w:tcW w:w="191"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(1) Compensation in the form of annual cash fees or deferred RSUs, as elected, paid to non-executive directors is denominated in pounds sterling. For the purposes of this table, all 2023 amounts have been converted based on the pound sterling/U.S. dollar exchange rate in effect as of December 31, 2023 (£1/$1.273).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also reimburse our non-executive directors for reasonable out-of-pocket expenses incurred in connection with attending our board of director and committee meetings.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Non-Executive Directors - Outstanding Equity Awards at 2023 Fiscal Year End Table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information regarding all outstanding stock awards and stock options held by each of our non-executive directors as of December 31, 2023:</w:t>
      </w:r>
    </w:p>
    <w:p>
      <w:pPr>
        <w:pStyle w:val="TextBody"/>
        <w:bidi w:val="0"/>
        <w:spacing w:before="2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942"/>
        <w:gridCol w:w="146"/>
        <w:gridCol w:w="423"/>
        <w:gridCol w:w="1266"/>
        <w:gridCol w:w="146"/>
        <w:gridCol w:w="146"/>
        <w:gridCol w:w="895"/>
        <w:gridCol w:w="929"/>
        <w:gridCol w:w="146"/>
        <w:gridCol w:w="146"/>
        <w:gridCol w:w="252"/>
        <w:gridCol w:w="549"/>
        <w:gridCol w:w="146"/>
        <w:gridCol w:w="146"/>
        <w:gridCol w:w="833"/>
        <w:gridCol w:w="146"/>
        <w:gridCol w:w="587"/>
        <w:gridCol w:w="612"/>
        <w:gridCol w:w="146"/>
        <w:gridCol w:w="146"/>
        <w:gridCol w:w="316"/>
        <w:gridCol w:w="946"/>
        <w:gridCol w:w="195"/>
      </w:tblGrid>
      <w:tr>
        <w:trPr/>
        <w:tc>
          <w:tcPr>
            <w:tcW w:w="9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4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023" w:type="dxa"/>
            <w:gridSpan w:val="1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Stock Awards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Name</w:t>
              <w:br/>
              <w:t>Dr. or</w:t>
              <w:br/>
              <w:t>Ph.D or</w:t>
              <w:br/>
              <w:t>MBBS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Securities Underlying Unexercised Options (#) Unexercisable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Exercise 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Option Expiration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Number of Shares of Stock That Have Not Vested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2"/>
              </w:rPr>
            </w:pPr>
            <w:r>
              <w:rPr>
                <w:rFonts w:ascii="Times New Roman" w:hAnsi="Times New Roman"/>
                <w:b/>
                <w:color w:val="000000"/>
                <w:sz w:val="12"/>
              </w:rPr>
              <w:t>Market Value of Shares of Stock That Have Not Vested</w:t>
              <w:br/>
              <w:t>($'000)</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4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Jeremy Bender</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1/19/2031</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12,017</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Anders Ekblom</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43,252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8.63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9/25/2025</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5/20/2029</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7/23/2029</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2/20/2030</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6,640 (3)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15,338</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Pierre Jacquet</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33,393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4,945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11,423</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Annalisa Jenkins</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12/1/2032</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4,752 (3)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10,977</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Deepika R. Pakianathan</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5/20/2029</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7/23/2029</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2/20/2030</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Justin Roberts (1)</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612"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Dr. Daniel Shames</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0.79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4,495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10,383</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Marc Yoskowitz</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95" w:type="dxa"/>
            <w:tcBorders/>
            <w:shd w:fill="FFFFFF" w:val="clear"/>
            <w:vAlign w:val="center"/>
          </w:tcPr>
          <w:p>
            <w:pPr>
              <w:pStyle w:val="TableContents"/>
              <w:bidi w:val="0"/>
              <w:spacing w:before="0" w:after="283"/>
              <w:jc w:val="left"/>
              <w:rPr/>
            </w:pPr>
            <w:r>
              <w:rPr/>
              <w:t> </w:t>
            </w:r>
          </w:p>
        </w:tc>
        <w:tc>
          <w:tcPr>
            <w:tcW w:w="92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0.79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12/1/2032</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23" w:type="dxa"/>
            <w:tcBorders/>
            <w:shd w:fill="FFFFFF" w:val="clear"/>
            <w:vAlign w:val="center"/>
          </w:tcPr>
          <w:p>
            <w:pPr>
              <w:pStyle w:val="TableContents"/>
              <w:bidi w:val="0"/>
              <w:spacing w:before="0" w:after="283"/>
              <w:jc w:val="left"/>
              <w:rPr/>
            </w:pPr>
            <w:r>
              <w:rPr/>
              <w:t> </w:t>
            </w:r>
          </w:p>
        </w:tc>
        <w:tc>
          <w:tcPr>
            <w:tcW w:w="126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2" w:type="dxa"/>
            <w:tcBorders/>
            <w:shd w:fill="FFFFFF" w:val="clear"/>
            <w:vAlign w:val="center"/>
          </w:tcPr>
          <w:p>
            <w:pPr>
              <w:pStyle w:val="TableContents"/>
              <w:bidi w:val="0"/>
              <w:spacing w:before="0" w:after="283"/>
              <w:jc w:val="left"/>
              <w:rPr/>
            </w:pPr>
            <w:r>
              <w:rPr/>
              <w:t> </w:t>
            </w:r>
          </w:p>
        </w:tc>
        <w:tc>
          <w:tcPr>
            <w:tcW w:w="549"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262" w:type="dxa"/>
            <w:gridSpan w:val="2"/>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3,982 (3)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9,198</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89"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824"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01"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199" w:type="dxa"/>
            <w:gridSpan w:val="2"/>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343 (3)</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16"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792</w:t>
            </w:r>
          </w:p>
        </w:tc>
        <w:tc>
          <w:tcPr>
            <w:tcW w:w="195" w:type="dxa"/>
            <w:tcBorders/>
            <w:shd w:fill="FFFFFF"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rFonts w:ascii="Times New Roman" w:hAnsi="Times New Roman"/>
                <w:color w:val="000000"/>
                <w:sz w:val="12"/>
              </w:rPr>
            </w:pPr>
            <w:r>
              <w:rPr>
                <w:rFonts w:ascii="Times New Roman" w:hAnsi="Times New Roman"/>
                <w:color w:val="000000"/>
                <w:sz w:val="12"/>
              </w:rPr>
              <w:t>Michael S. Wyzga</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5/20/2029</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7/23/2029</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11,000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1.84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2/20/2030</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31,500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2.72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2/1/2031</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55,000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95" w:type="dxa"/>
            <w:tcBorders/>
            <w:shd w:fill="CFF0FC" w:val="clear"/>
            <w:vAlign w:val="center"/>
          </w:tcPr>
          <w:p>
            <w:pPr>
              <w:pStyle w:val="TableContents"/>
              <w:bidi w:val="0"/>
              <w:spacing w:before="0" w:after="283"/>
              <w:jc w:val="left"/>
              <w:rPr/>
            </w:pPr>
            <w:r>
              <w:rPr/>
              <w:t> </w:t>
            </w:r>
          </w:p>
        </w:tc>
        <w:tc>
          <w:tcPr>
            <w:tcW w:w="92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1.31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2/1/2032</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23" w:type="dxa"/>
            <w:tcBorders/>
            <w:shd w:fill="CFF0FC" w:val="clear"/>
            <w:vAlign w:val="center"/>
          </w:tcPr>
          <w:p>
            <w:pPr>
              <w:pStyle w:val="TableContents"/>
              <w:bidi w:val="0"/>
              <w:spacing w:before="0" w:after="283"/>
              <w:jc w:val="left"/>
              <w:rPr/>
            </w:pPr>
            <w:r>
              <w:rPr/>
              <w:t> </w:t>
            </w:r>
          </w:p>
        </w:tc>
        <w:tc>
          <w:tcPr>
            <w:tcW w:w="126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45,833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9,167 (2)</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2" w:type="dxa"/>
            <w:tcBorders/>
            <w:shd w:fill="CFF0FC" w:val="clear"/>
            <w:vAlign w:val="center"/>
          </w:tcPr>
          <w:p>
            <w:pPr>
              <w:pStyle w:val="TableContents"/>
              <w:bidi w:val="0"/>
              <w:spacing w:before="0" w:after="283"/>
              <w:jc w:val="left"/>
              <w:rPr/>
            </w:pPr>
            <w:r>
              <w:rPr/>
              <w:t> </w:t>
            </w:r>
          </w:p>
        </w:tc>
        <w:tc>
          <w:tcPr>
            <w:tcW w:w="549"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0.94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2/1/2033</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62" w:type="dxa"/>
            <w:gridSpan w:val="2"/>
            <w:tcBorders/>
            <w:shd w:fill="CFF0FC" w:val="clear"/>
            <w:vAlign w:val="center"/>
          </w:tcPr>
          <w:p>
            <w:pPr>
              <w:pStyle w:val="TableContents"/>
              <w:bidi w:val="0"/>
              <w:spacing w:before="0" w:after="283"/>
              <w:jc w:val="left"/>
              <w:rPr/>
            </w:pPr>
            <w:r>
              <w:rPr/>
              <w:t> </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3,429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7,921</w:t>
            </w:r>
          </w:p>
        </w:tc>
        <w:tc>
          <w:tcPr>
            <w:tcW w:w="195" w:type="dxa"/>
            <w:tcBorders/>
            <w:shd w:fill="CFF0FC" w:val="clear"/>
            <w:vAlign w:val="center"/>
          </w:tcPr>
          <w:p>
            <w:pPr>
              <w:pStyle w:val="TableContents"/>
              <w:bidi w:val="0"/>
              <w:spacing w:before="0" w:after="283"/>
              <w:jc w:val="left"/>
              <w:rPr/>
            </w:pPr>
            <w:r>
              <w:rPr/>
              <w:t> </w:t>
            </w:r>
          </w:p>
        </w:tc>
      </w:tr>
      <w:tr>
        <w:trPr/>
        <w:tc>
          <w:tcPr>
            <w:tcW w:w="94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689"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24"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01"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33"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199" w:type="dxa"/>
            <w:gridSpan w:val="2"/>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9,786 (3)</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16" w:type="dxa"/>
            <w:tcBorders/>
            <w:shd w:fill="CFF0FC" w:val="clear"/>
            <w:vAlign w:val="center"/>
          </w:tcPr>
          <w:p>
            <w:pPr>
              <w:pStyle w:val="TableContents"/>
              <w:bidi w:val="0"/>
              <w:spacing w:before="0" w:after="283"/>
              <w:jc w:val="left"/>
              <w:rPr/>
            </w:pPr>
            <w:r>
              <w:rPr/>
              <w:t> </w:t>
            </w:r>
          </w:p>
        </w:tc>
        <w:tc>
          <w:tcPr>
            <w:tcW w:w="946" w:type="dxa"/>
            <w:tcBorders/>
            <w:shd w:fill="CFF0FC" w:val="clear"/>
            <w:vAlign w:val="center"/>
          </w:tcPr>
          <w:p>
            <w:pPr>
              <w:pStyle w:val="TableContents"/>
              <w:bidi w:val="0"/>
              <w:spacing w:before="0" w:after="283"/>
              <w:jc w:val="right"/>
              <w:rPr>
                <w:rFonts w:ascii="Times New Roman" w:hAnsi="Times New Roman"/>
                <w:color w:val="000000"/>
                <w:sz w:val="12"/>
              </w:rPr>
            </w:pPr>
            <w:r>
              <w:rPr>
                <w:rFonts w:ascii="Times New Roman" w:hAnsi="Times New Roman"/>
                <w:color w:val="000000"/>
                <w:sz w:val="12"/>
              </w:rPr>
              <w:t>22,606</w:t>
            </w:r>
          </w:p>
        </w:tc>
        <w:tc>
          <w:tcPr>
            <w:tcW w:w="195" w:type="dxa"/>
            <w:tcBorders/>
            <w:shd w:fill="CFF0FC" w:val="clear"/>
            <w:vAlign w:val="center"/>
          </w:tcPr>
          <w:p>
            <w:pPr>
              <w:pStyle w:val="TableContents"/>
              <w:bidi w:val="0"/>
              <w:spacing w:before="0" w:after="283"/>
              <w:jc w:val="left"/>
              <w:rPr/>
            </w:pPr>
            <w:r>
              <w:rPr/>
              <w:t> </w:t>
            </w:r>
          </w:p>
        </w:tc>
      </w:tr>
    </w:tbl>
    <w:p>
      <w:pPr>
        <w:pStyle w:val="TextBody"/>
        <w:pBdr>
          <w:bottom w:val="single" w:sz="6" w:space="1" w:color="000000"/>
        </w:pBdr>
        <w:bidi w:val="0"/>
        <w:jc w:val="left"/>
        <w:rPr/>
      </w:pPr>
      <w:r>
        <w:rPr/>
        <w:t> </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(1) Mr. Roberts has waived all remuneration in respect of his appointment as a non-executive director.</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(2) These options vest in substantially equal monthly installments over a one year period from the February 1, 2023 grant date and fully vested on February 1, 2024.</w:t>
      </w:r>
    </w:p>
    <w:p>
      <w:pPr>
        <w:pStyle w:val="TextBody"/>
        <w:bidi w:val="0"/>
        <w:spacing w:before="40" w:after="283"/>
        <w:jc w:val="left"/>
        <w:rPr>
          <w:rFonts w:ascii="Times New Roman" w:hAnsi="Times New Roman"/>
          <w:color w:val="000000"/>
          <w:sz w:val="16"/>
        </w:rPr>
      </w:pPr>
      <w:r>
        <w:rPr>
          <w:rFonts w:ascii="Times New Roman" w:hAnsi="Times New Roman"/>
          <w:color w:val="000000"/>
          <w:sz w:val="16"/>
        </w:rPr>
        <w:t>(3) Each Deferred RSU was granted to non-executive directors who elected to receive them in the form of ADSs in lieu of annual cash compensation. Deferred RSUs vest in substantially equal monthly installments over the plan year following the grant date and became fully vested in January 2024. Payment of Deferred RSUs in ADSs will generally be made 180 days following separation of service.</w:t>
      </w:r>
    </w:p>
    <w:p>
      <w:pPr>
        <w:pStyle w:val="TextBody"/>
        <w:bidi w:val="0"/>
        <w:spacing w:before="240" w:after="283"/>
        <w:jc w:val="left"/>
        <w:rPr>
          <w:rFonts w:ascii="Times New Roman" w:hAnsi="Times New Roman"/>
          <w:sz w:val="20"/>
        </w:rPr>
      </w:pPr>
      <w:r>
        <w:rPr>
          <w:rFonts w:ascii="Times New Roman" w:hAnsi="Times New Roman"/>
          <w:b/>
          <w:color w:val="000000"/>
          <w:sz w:val="20"/>
        </w:rPr>
        <w:t>Non-Executive Director Service Contracts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remuneration of the non-executive directors is determined by the Mereo Board as a whole, based on a review of current practices in other companies. Mereo has entered into service contracts with Mereo’s non-executive directors for their services, which are subject to a three-month termination period. There are no arrangements under which any non-executive director is entitled to receive compensation upon the early termination of his or her appointment.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2" w:name="item_12_security_ownership_certain"/>
      <w:bookmarkEnd w:id="22"/>
      <w:r>
        <w:rPr>
          <w:rFonts w:ascii="Times New Roman" w:hAnsi="Times New Roman"/>
          <w:b/>
          <w:color w:val="000000"/>
          <w:sz w:val="20"/>
        </w:rPr>
        <w:t>Item 12. Security Ownership of Certain Beneficial Owners and Management and Related Stockholder Matters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sets forth information relating to the beneficial ownership of Mereo ordinary shares as of February 29, 2024 by each person known by Mereo to own beneficially 5% or more of the outstanding Mereo ordinary shares.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number of Mereo ordinary shares beneficially owned by each person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Mereo ordinary shares held by that person.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percentage of Mereo ordinary shares beneficially owned as of February 29, 2024 is computed on the basis of 701,287,029 ordinary shares outstanding as of February 29, 2024. Mereo ordinary shares that a person has the right to acquire within 60 days of February 29, 2024 are deemed outstanding for purposes of computing the percentage ownership of the person holding such rights, but are not deemed outstanding for purposes of computing the percentage ownership of any other person. </w:t>
      </w:r>
    </w:p>
    <w:p>
      <w:pPr>
        <w:pStyle w:val="TextBody"/>
        <w:bidi w:val="0"/>
        <w:spacing w:before="240" w:after="283"/>
        <w:jc w:val="left"/>
        <w:rPr/>
      </w:pPr>
      <w:r>
        <w:rPr/>
        <w:t> </w:t>
      </w:r>
    </w:p>
    <w:tbl>
      <w:tblPr>
        <w:tblW w:w="9530" w:type="dxa"/>
        <w:jc w:val="left"/>
        <w:tblInd w:w="0" w:type="dxa"/>
        <w:tblLayout w:type="fixed"/>
        <w:tblCellMar>
          <w:top w:w="28" w:type="dxa"/>
          <w:left w:w="28" w:type="dxa"/>
          <w:bottom w:w="28" w:type="dxa"/>
          <w:right w:w="28" w:type="dxa"/>
        </w:tblCellMar>
      </w:tblPr>
      <w:tblGrid>
        <w:gridCol w:w="5311"/>
        <w:gridCol w:w="146"/>
        <w:gridCol w:w="200"/>
        <w:gridCol w:w="1420"/>
        <w:gridCol w:w="146"/>
        <w:gridCol w:w="146"/>
        <w:gridCol w:w="374"/>
        <w:gridCol w:w="1471"/>
        <w:gridCol w:w="316"/>
      </w:tblGrid>
      <w:tr>
        <w:trPr/>
        <w:tc>
          <w:tcPr>
            <w:tcW w:w="5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31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Name and Address of Beneficial Owner</w:t>
            </w:r>
          </w:p>
        </w:tc>
        <w:tc>
          <w:tcPr>
            <w:tcW w:w="146" w:type="dxa"/>
            <w:tcBorders/>
            <w:shd w:fill="FFFFFF" w:val="cle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Ordinary</w:t>
              <w:br/>
              <w:t>Shares Beneficially</w:t>
              <w:br/>
              <w:t xml:space="preserve">Owned </w:t>
            </w:r>
            <w:r>
              <w:rPr>
                <w:rFonts w:ascii="Times New Roman" w:hAnsi="Times New Roman"/>
                <w:b/>
                <w:color w:val="000000"/>
                <w:sz w:val="11"/>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Ordinary</w:t>
              <w:br/>
              <w:t>Shares</w:t>
              <w:br/>
              <w:t>Beneficially Owned</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5% or Greater Shareholders:</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45"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Rubric Capital Management LP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99,714,985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Adage Capital Management LP </w:t>
            </w:r>
            <w:r>
              <w:rPr>
                <w:rFonts w:ascii="Times New Roman" w:hAnsi="Times New Roman"/>
                <w:color w:val="000000"/>
                <w:sz w:val="13"/>
              </w:rPr>
              <w:t>(3)</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50,250,000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Entities affiliated with Mangrove Partners IM, LLC </w:t>
            </w:r>
            <w:r>
              <w:rPr>
                <w:rFonts w:ascii="Times New Roman" w:hAnsi="Times New Roman"/>
                <w:color w:val="000000"/>
                <w:sz w:val="13"/>
              </w:rPr>
              <w:t>(4)</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43,764,465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Rock Springs Capital Management LP </w:t>
            </w:r>
            <w:r>
              <w:rPr>
                <w:rFonts w:ascii="Times New Roman" w:hAnsi="Times New Roman"/>
                <w:color w:val="000000"/>
                <w:sz w:val="13"/>
              </w:rPr>
              <w:t>(5)</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39,919,255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Entities affiliated with Suvretta Capital Management, LLC </w:t>
            </w:r>
            <w:r>
              <w:rPr>
                <w:rFonts w:ascii="Times New Roman" w:hAnsi="Times New Roman"/>
                <w:color w:val="000000"/>
                <w:sz w:val="13"/>
              </w:rPr>
              <w:t>(6)</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36,854,190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Named Executive Officers</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45"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Denise Scots-Knight </w:t>
            </w:r>
            <w:r>
              <w:rPr>
                <w:rFonts w:ascii="Times New Roman" w:hAnsi="Times New Roman"/>
                <w:color w:val="000000"/>
                <w:sz w:val="13"/>
              </w:rPr>
              <w:t>(7)</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13,045,769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Charles Sermon </w:t>
            </w:r>
            <w:r>
              <w:rPr>
                <w:rFonts w:ascii="Times New Roman" w:hAnsi="Times New Roman"/>
                <w:color w:val="000000"/>
                <w:sz w:val="13"/>
              </w:rPr>
              <w:t>(8)</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4,126,439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Christine Fox </w:t>
            </w:r>
            <w:r>
              <w:rPr>
                <w:rFonts w:ascii="Times New Roman" w:hAnsi="Times New Roman"/>
                <w:color w:val="000000"/>
                <w:sz w:val="13"/>
              </w:rPr>
              <w:t>(9)</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1,945,310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w:t>
            </w:r>
          </w:p>
        </w:tc>
        <w:tc>
          <w:tcPr>
            <w:tcW w:w="146" w:type="dxa"/>
            <w:tcBorders/>
            <w:shd w:fill="CFF0FC" w:val="clear"/>
            <w:vAlign w:val="center"/>
          </w:tcPr>
          <w:p>
            <w:pPr>
              <w:pStyle w:val="TableContents"/>
              <w:bidi w:val="0"/>
              <w:spacing w:before="0" w:after="283"/>
              <w:jc w:val="left"/>
              <w:rPr/>
            </w:pPr>
            <w:r>
              <w:rPr/>
              <w:t> </w:t>
            </w:r>
          </w:p>
        </w:tc>
        <w:tc>
          <w:tcPr>
            <w:tcW w:w="1620"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845"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Jeremy Bender </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Anders Ekblom </w:t>
            </w:r>
            <w:r>
              <w:rPr>
                <w:rFonts w:ascii="Times New Roman" w:hAnsi="Times New Roman"/>
                <w:color w:val="000000"/>
                <w:sz w:val="13"/>
              </w:rPr>
              <w:t>(11)</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Pierre Jacquet </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754,465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0.11</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Annalisa Jenkins </w:t>
            </w:r>
            <w:r>
              <w:rPr>
                <w:rFonts w:ascii="Times New Roman" w:hAnsi="Times New Roman"/>
                <w:color w:val="000000"/>
                <w:sz w:val="13"/>
              </w:rPr>
              <w:t>(10)</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Deepika R. Pakianathan </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Justin Roberts </w:t>
            </w:r>
            <w:r>
              <w:rPr>
                <w:rFonts w:ascii="Times New Roman" w:hAnsi="Times New Roman"/>
                <w:color w:val="000000"/>
                <w:sz w:val="13"/>
              </w:rPr>
              <w:t>(12)</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Dr. Daniel Shames </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Marc Yoskowitz </w:t>
            </w:r>
            <w:r>
              <w:rPr>
                <w:rFonts w:ascii="Times New Roman" w:hAnsi="Times New Roman"/>
                <w:color w:val="000000"/>
                <w:sz w:val="13"/>
              </w:rPr>
              <w:t>(10)</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358,335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Michael S. Wyzga </w:t>
            </w:r>
            <w:r>
              <w:rPr>
                <w:rFonts w:ascii="Times New Roman" w:hAnsi="Times New Roman"/>
                <w:color w:val="000000"/>
                <w:sz w:val="13"/>
              </w:rPr>
              <w:t>(10)</w:t>
            </w:r>
          </w:p>
        </w:tc>
        <w:tc>
          <w:tcPr>
            <w:tcW w:w="14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42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855,000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left"/>
              <w:rPr/>
            </w:pPr>
            <w:r>
              <w:rPr/>
              <w:t> </w:t>
            </w:r>
          </w:p>
        </w:tc>
        <w:tc>
          <w:tcPr>
            <w:tcW w:w="14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11" w:type="dxa"/>
            <w:tcBorders/>
            <w:shd w:fill="CFF0FC" w:val="cle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All Executive Officers and Directors as a group (14 persons)</w:t>
            </w:r>
          </w:p>
        </w:tc>
        <w:tc>
          <w:tcPr>
            <w:tcW w:w="146"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142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28,240,928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74" w:type="dxa"/>
            <w:tcBorders/>
            <w:shd w:fill="CFF0FC" w:val="clear"/>
            <w:vAlign w:val="center"/>
          </w:tcPr>
          <w:p>
            <w:pPr>
              <w:pStyle w:val="TableContents"/>
              <w:bidi w:val="0"/>
              <w:spacing w:before="0" w:after="283"/>
              <w:jc w:val="left"/>
              <w:rPr/>
            </w:pPr>
            <w:r>
              <w:rPr/>
              <w:t> </w:t>
            </w:r>
          </w:p>
        </w:tc>
        <w:tc>
          <w:tcPr>
            <w:tcW w:w="14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pBdr>
          <w:bottom w:val="single" w:sz="6" w:space="1" w:color="000000"/>
        </w:pBdr>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(1) Ordinary shares figures include ordinary shares represented by ADSs.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16"/>
        </w:rPr>
        <w:t>(2) Based solely on information contained in the Form 3 filed by Rubric Capital Management LP with the SEC on January 2, 2024. The address of the principal business office of Rubric Capital Management LP is 155 East 44th Street, Suite 1630, New York, NY 10017.</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(3) Based solely on information contained in Schedule 13G filed by Adage Capital Partners GP, L.L.C. ("ACGP”) with the SEC on February 5, 2024. Shares are directly held by Adage Capital Partners, L.P. (“ACP”). Adage Capital Partners GP, L.L.C. (“ACPGP”) is general partner of ACP. Adage Capital Management, L.P. (“ACM”) is the investment manager of ACP. Robert Atchinson and Robert Gross are managing members of Adage Capital Advisors, LLC, managing member of ACPGP, and managing members of Adage Capital Partners, LLC, general partner of ACM. The address of the principal business office of the entities affiliated with ACM is 200 Clarendon Street, 52nd Floor, Boston, Massachusetts 02116</w:t>
      </w:r>
    </w:p>
    <w:p>
      <w:pPr>
        <w:pStyle w:val="TextBody"/>
        <w:bidi w:val="0"/>
        <w:jc w:val="left"/>
        <w:rPr>
          <w:rFonts w:ascii="Times New Roman" w:hAnsi="Times New Roman"/>
          <w:color w:val="000000"/>
          <w:sz w:val="16"/>
        </w:rPr>
      </w:pPr>
      <w:r>
        <w:rPr>
          <w:rFonts w:ascii="Times New Roman" w:hAnsi="Times New Roman"/>
          <w:color w:val="000000"/>
          <w:sz w:val="16"/>
        </w:rPr>
        <w:t>(4) Based solely on information contained in Schedule 13G filed by Mangrove Partners IM, LLC ("Mangrove Partners”) with the SEC on February 14, 2024. The ordinary shares are held by the Mangrove Partners Master Fund, Ltd., a Cayman Islands limited liability company (“Master Fund”). Beneficial ownership of the ordinary shares is claimed by (i) Mangrove Partners which serves as the investment manager of the Master Fund, and (ii) Nathaniel August who is the principal of Mangrove Partners. The address of the principal business office of the entities affiliated with Mangrove Partners is c/o Delaware Corporations LLC, 1000 N. West Street, Suite 1501, Wilmington, DE 19801</w:t>
      </w:r>
    </w:p>
    <w:p>
      <w:pPr>
        <w:pStyle w:val="TextBody"/>
        <w:bidi w:val="0"/>
        <w:jc w:val="left"/>
        <w:rPr>
          <w:rFonts w:ascii="Times New Roman" w:hAnsi="Times New Roman"/>
          <w:color w:val="000000"/>
          <w:sz w:val="16"/>
        </w:rPr>
      </w:pPr>
      <w:r>
        <w:rPr>
          <w:rFonts w:ascii="Times New Roman" w:hAnsi="Times New Roman"/>
          <w:color w:val="000000"/>
          <w:sz w:val="16"/>
        </w:rPr>
        <w:t>(5) Based solely on information contained in Schedule 13G filed by Rock Springs Capital Management LP (“RCSM”) with the SEC on February 14, 2024. Shares are held directly by the Rock Springs Capital Master Fund LP (“Master Fund”), which is a Cayman Island exempted limited partnership, and Four Pines Master Fund LP (“Four Pines”), which is a Cayman Islands exempted limited partnership, and indirectly held by RSCM, a Delaware limited partnership, and Rock Springs Capital LLC (“RSC”), a Delaware limited liability company. RSCM serves as the investment manager to each of the Master Fund and Four Pines. RSC is the general partner of RSCM. The address of the principal business office of the entities affiliated with RCSM is 650 South Exeter, Suite 1070 Baltimore, MD 21202</w:t>
      </w:r>
    </w:p>
    <w:p>
      <w:pPr>
        <w:pStyle w:val="TextBody"/>
        <w:bidi w:val="0"/>
        <w:jc w:val="left"/>
        <w:rPr>
          <w:rFonts w:ascii="Times New Roman" w:hAnsi="Times New Roman"/>
          <w:sz w:val="20"/>
        </w:rPr>
      </w:pPr>
      <w:r>
        <w:rPr>
          <w:rFonts w:ascii="Times New Roman" w:hAnsi="Times New Roman"/>
          <w:color w:val="000000"/>
          <w:sz w:val="16"/>
        </w:rPr>
        <w:t>(6) Based solely on information contained in Schedule 13G filed by Suvretta Capital Management, LLC (“Suvretta”) with the SEC on February 13, 2024. Suvretta is the investment manager of Averill Master Fund, Ltd. (“Averill Master Fund”). Aaron Cowen a control person of Suvretta and Averill Madison Master Fund, Ltd. Each of</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Suvretta, Averill Master Fund and Aaron Cowen disclaims beneficial ownership except to the extent of their pecuniary interest therein. The address for Suvretta and Aaron Cowen is 540 Madison Avenue, New York, New York 10022. The address for Averill Master Fund is P.O. Box 309, Ugland House, Grand Cayman KY1-1104, Cayman Islands.</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(7) Includes 560,413 ADSs beneficially owned, plus 4 ordinary shares beneficially owned, plus 2,048,740 ADSs underling share awards that are exercisable within 60 days of February 29, 2024.</w:t>
      </w:r>
    </w:p>
    <w:p>
      <w:pPr>
        <w:pStyle w:val="TextBody"/>
        <w:bidi w:val="0"/>
        <w:jc w:val="left"/>
        <w:rPr>
          <w:rFonts w:ascii="Times New Roman" w:hAnsi="Times New Roman"/>
          <w:color w:val="000000"/>
          <w:sz w:val="16"/>
        </w:rPr>
      </w:pPr>
      <w:r>
        <w:rPr>
          <w:rFonts w:ascii="Times New Roman" w:hAnsi="Times New Roman"/>
          <w:color w:val="000000"/>
          <w:sz w:val="16"/>
        </w:rPr>
        <w:t>(8) Includes 132,376 ADSs beneficially owned, plus 4 ordinary shares beneficially owned, plus 692,911 ADSs underling share awards that are exercisable within 60 days of February 29, 2024.</w:t>
      </w:r>
    </w:p>
    <w:p>
      <w:pPr>
        <w:pStyle w:val="TextBody"/>
        <w:bidi w:val="0"/>
        <w:jc w:val="left"/>
        <w:rPr>
          <w:rFonts w:ascii="Times New Roman" w:hAnsi="Times New Roman"/>
          <w:color w:val="000000"/>
          <w:sz w:val="16"/>
        </w:rPr>
      </w:pPr>
      <w:r>
        <w:rPr>
          <w:rFonts w:ascii="Times New Roman" w:hAnsi="Times New Roman"/>
          <w:color w:val="000000"/>
          <w:sz w:val="16"/>
        </w:rPr>
        <w:t>(9) Includes 10,000 ADSs beneficially owned plus 379,062 ADSs underling share awards that are exercisable within 60 days of February 29, 2024.</w:t>
      </w:r>
    </w:p>
    <w:p>
      <w:pPr>
        <w:pStyle w:val="TextBody"/>
        <w:bidi w:val="0"/>
        <w:jc w:val="left"/>
        <w:rPr>
          <w:rFonts w:ascii="Times New Roman" w:hAnsi="Times New Roman"/>
          <w:color w:val="000000"/>
          <w:sz w:val="16"/>
        </w:rPr>
      </w:pPr>
      <w:r>
        <w:rPr>
          <w:rFonts w:ascii="Times New Roman" w:hAnsi="Times New Roman"/>
          <w:color w:val="000000"/>
          <w:sz w:val="16"/>
        </w:rPr>
        <w:t>(10) All holdings are ADSs underling share awards that are exercisable within 60 days of February 29, 2024.</w:t>
      </w:r>
    </w:p>
    <w:p>
      <w:pPr>
        <w:pStyle w:val="TextBody"/>
        <w:bidi w:val="0"/>
        <w:jc w:val="left"/>
        <w:rPr>
          <w:rFonts w:ascii="Times New Roman" w:hAnsi="Times New Roman"/>
          <w:color w:val="000000"/>
          <w:sz w:val="16"/>
        </w:rPr>
      </w:pPr>
      <w:r>
        <w:rPr>
          <w:rFonts w:ascii="Times New Roman" w:hAnsi="Times New Roman"/>
          <w:color w:val="000000"/>
          <w:sz w:val="16"/>
        </w:rPr>
        <w:t>(11) Includes 37,940 ADSs beneficially owned plus 214,252 ADSs underling share awards that are exercisable within 60 days of February 29, 2024.</w:t>
      </w:r>
    </w:p>
    <w:p>
      <w:pPr>
        <w:pStyle w:val="TextBody"/>
        <w:bidi w:val="0"/>
        <w:jc w:val="left"/>
        <w:rPr>
          <w:rFonts w:ascii="Times New Roman" w:hAnsi="Times New Roman"/>
          <w:color w:val="000000"/>
          <w:sz w:val="16"/>
        </w:rPr>
      </w:pPr>
      <w:r>
        <w:rPr>
          <w:rFonts w:ascii="Times New Roman" w:hAnsi="Times New Roman"/>
          <w:color w:val="000000"/>
          <w:sz w:val="16"/>
        </w:rPr>
        <w:t>(12) Mr. Roberts is a partner of Rubric Capital Management LP, which has ultimate voting and investment power over the ordinary shares and ADSs held by Rubric Capital Management LP. He disclaims beneficial ownership of such shares except to the extent of any pecuniary interest therein. Mr. Roberts has waived all remuneration in respect of his appointment as a non-executive director.</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following table summarizes information about our equity compensation plans as of December 31, 2023.</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944"/>
        <w:gridCol w:w="309"/>
        <w:gridCol w:w="2198"/>
        <w:gridCol w:w="146"/>
        <w:gridCol w:w="146"/>
        <w:gridCol w:w="404"/>
        <w:gridCol w:w="1297"/>
        <w:gridCol w:w="146"/>
        <w:gridCol w:w="146"/>
        <w:gridCol w:w="404"/>
        <w:gridCol w:w="2871"/>
        <w:gridCol w:w="194"/>
      </w:tblGrid>
      <w:tr>
        <w:trPr/>
        <w:tc>
          <w:tcPr>
            <w:tcW w:w="194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944" w:type="dxa"/>
            <w:tcBorders/>
            <w:shd w:fill="FFFFFF" w:val="clear"/>
            <w:vAlign w:val="center"/>
          </w:tcPr>
          <w:p>
            <w:pPr>
              <w:pStyle w:val="TableContents"/>
              <w:bidi w:val="0"/>
              <w:spacing w:before="0" w:after="283"/>
              <w:jc w:val="left"/>
              <w:rPr/>
            </w:pPr>
            <w:r>
              <w:rPr/>
              <w:t> </w:t>
            </w:r>
          </w:p>
        </w:tc>
        <w:tc>
          <w:tcPr>
            <w:tcW w:w="250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 of Ordinary Shares to be Issued upon Exercise of Outstanding Options, RSUs, DRSUs and PSUs</w:t>
            </w:r>
            <w:r>
              <w:rPr>
                <w:rFonts w:ascii="Times New Roman" w:hAnsi="Times New Roman"/>
                <w:b/>
                <w:color w:val="000000"/>
                <w:sz w:val="11"/>
              </w:rPr>
              <w:t>(2)</w:t>
            </w:r>
            <w:r>
              <w:rPr>
                <w:rFonts w:ascii="Times New Roman" w:hAnsi="Times New Roman"/>
                <w:color w:val="000000"/>
                <w:sz w:val="16"/>
              </w:rPr>
              <w:t> </w:t>
            </w:r>
            <w:r>
              <w:rPr>
                <w:rFonts w:ascii="Times New Roman" w:hAnsi="Times New Roman"/>
                <w:b/>
                <w:color w:val="000000"/>
                <w:sz w:val="16"/>
              </w:rPr>
              <w:br/>
              <w:t>(#)</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70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Weighted Average Exercise Price of Outstanding Options </w:t>
            </w:r>
            <w:r>
              <w:rPr>
                <w:rFonts w:ascii="Times New Roman" w:hAnsi="Times New Roman"/>
                <w:b/>
                <w:color w:val="000000"/>
                <w:sz w:val="11"/>
              </w:rPr>
              <w:t>(3)</w:t>
            </w:r>
            <w:r>
              <w:rPr>
                <w:rFonts w:ascii="Times New Roman" w:hAnsi="Times New Roman"/>
                <w:color w:val="000000"/>
                <w:sz w:val="16"/>
              </w:rPr>
              <w:t> </w:t>
            </w:r>
            <w:r>
              <w:rPr>
                <w:rFonts w:ascii="Times New Roman" w:hAnsi="Times New Roman"/>
                <w:b/>
                <w:color w:val="000000"/>
                <w:sz w:val="16"/>
              </w:rPr>
              <w:b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27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Number of Ordinary Shares Remaining Available for Future Issuance Under Equity Compensation Plans (Excluding Securities Reflected in the First Column) </w:t>
            </w:r>
            <w:r>
              <w:rPr>
                <w:rFonts w:ascii="Times New Roman" w:hAnsi="Times New Roman"/>
                <w:b/>
                <w:color w:val="000000"/>
                <w:sz w:val="11"/>
              </w:rPr>
              <w:t>(4)</w:t>
            </w:r>
            <w:r>
              <w:rPr>
                <w:rFonts w:ascii="Times New Roman" w:hAnsi="Times New Roman"/>
                <w:b/>
                <w:color w:val="000000"/>
                <w:sz w:val="16"/>
              </w:rPr>
              <w:br/>
              <w:t> (#)</w:t>
            </w:r>
          </w:p>
        </w:tc>
        <w:tc>
          <w:tcPr>
            <w:tcW w:w="1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1944"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Equity compensation plans approved by shareholders </w:t>
            </w:r>
            <w:r>
              <w:rPr>
                <w:rFonts w:ascii="Times New Roman" w:hAnsi="Times New Roman"/>
                <w:color w:val="000000"/>
                <w:sz w:val="13"/>
              </w:rPr>
              <w:t>(1)</w:t>
            </w:r>
          </w:p>
        </w:tc>
        <w:tc>
          <w:tcPr>
            <w:tcW w:w="309" w:type="dxa"/>
            <w:tcBorders/>
            <w:shd w:fill="CFF0FC" w:val="clear"/>
            <w:vAlign w:val="center"/>
          </w:tcPr>
          <w:p>
            <w:pPr>
              <w:pStyle w:val="TableContents"/>
              <w:bidi w:val="0"/>
              <w:spacing w:before="0" w:after="283"/>
              <w:jc w:val="left"/>
              <w:rPr/>
            </w:pPr>
            <w:r>
              <w:rPr/>
              <w:t> </w:t>
            </w:r>
          </w:p>
        </w:tc>
        <w:tc>
          <w:tcPr>
            <w:tcW w:w="21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75,399,815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129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04" w:type="dxa"/>
            <w:tcBorders/>
            <w:shd w:fill="CFF0FC" w:val="clear"/>
            <w:vAlign w:val="center"/>
          </w:tcPr>
          <w:p>
            <w:pPr>
              <w:pStyle w:val="TableContents"/>
              <w:bidi w:val="0"/>
              <w:spacing w:before="0" w:after="283"/>
              <w:jc w:val="left"/>
              <w:rPr/>
            </w:pPr>
            <w:r>
              <w:rPr/>
              <w:t> </w:t>
            </w:r>
          </w:p>
        </w:tc>
        <w:tc>
          <w:tcPr>
            <w:tcW w:w="28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23,257,557</w:t>
            </w:r>
          </w:p>
        </w:tc>
        <w:tc>
          <w:tcPr>
            <w:tcW w:w="194"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6"/>
        </w:rPr>
      </w:pPr>
      <w:r>
        <w:rPr>
          <w:rFonts w:ascii="Times New Roman" w:hAnsi="Times New Roman"/>
          <w:color w:val="000000"/>
          <w:sz w:val="16"/>
        </w:rPr>
        <w:t>(1) This category consists of our Mereo 2019 Equity Incentive Plan, the 2019 Non-Employee Equity Incentive Plan, the 2015 Plan, and the Mereo Share Option Plan.</w:t>
      </w:r>
    </w:p>
    <w:p>
      <w:pPr>
        <w:pStyle w:val="TextBody"/>
        <w:bidi w:val="0"/>
        <w:jc w:val="left"/>
        <w:rPr>
          <w:rFonts w:ascii="Times New Roman" w:hAnsi="Times New Roman"/>
          <w:color w:val="000000"/>
          <w:sz w:val="16"/>
        </w:rPr>
      </w:pPr>
      <w:r>
        <w:rPr>
          <w:rFonts w:ascii="Times New Roman" w:hAnsi="Times New Roman"/>
          <w:color w:val="000000"/>
          <w:sz w:val="16"/>
        </w:rPr>
        <w:t>(2) Consists of: (i) 62,613,030 ordinary shares issuable upon the exercise of outstanding time-based stock options, (ii) 2,446,125 ordinary shares issuable in settlement of outstanding restricted stock units awarded, (iii) 3,649,910 ordinary shares issuable in settlement of outstanding deferred restricted stock units awarded, and (iv) 6,690,750 ordinary shares issuable in settlement of outstanding performance units awarded.</w:t>
      </w:r>
    </w:p>
    <w:p>
      <w:pPr>
        <w:pStyle w:val="TextBody"/>
        <w:bidi w:val="0"/>
        <w:jc w:val="left"/>
        <w:rPr>
          <w:rFonts w:ascii="Times New Roman" w:hAnsi="Times New Roman"/>
          <w:color w:val="000000"/>
          <w:sz w:val="16"/>
        </w:rPr>
      </w:pPr>
      <w:r>
        <w:rPr>
          <w:rFonts w:ascii="Times New Roman" w:hAnsi="Times New Roman"/>
          <w:color w:val="000000"/>
          <w:sz w:val="16"/>
        </w:rPr>
        <w:t>(3) The weighted-average exercise price includes all outstanding stock options but does not include restricted stock units, deferred restricted stock units, or performance units, all of which do not have an exercise price.</w:t>
      </w:r>
    </w:p>
    <w:p>
      <w:pPr>
        <w:pStyle w:val="TextBody"/>
        <w:bidi w:val="0"/>
        <w:jc w:val="left"/>
        <w:rPr>
          <w:rFonts w:ascii="Times New Roman" w:hAnsi="Times New Roman"/>
          <w:sz w:val="20"/>
        </w:rPr>
      </w:pPr>
      <w:r>
        <w:rPr>
          <w:rFonts w:ascii="Times New Roman" w:hAnsi="Times New Roman"/>
          <w:color w:val="000000"/>
          <w:sz w:val="16"/>
        </w:rPr>
        <w:t>(4) On January 23, 2024, we filed a Form S-8 to register an additional 37,234,627 ordinary shares for issuance under the above named plans.</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23" w:name="item_13_certain_relationships_and_rela"/>
      <w:bookmarkEnd w:id="23"/>
      <w:r>
        <w:rPr>
          <w:rFonts w:ascii="Times New Roman" w:hAnsi="Times New Roman"/>
          <w:b/>
          <w:color w:val="000000"/>
          <w:sz w:val="20"/>
        </w:rPr>
        <w:t>Item 13. Certain Relationships and Related Transactions, and Director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is a description of related party transactions we have entered into since January 1, 2022, or currently in effect with any member of our board of directors or executive officers and the holders of more than 5% of our ordinary shares or ADSs. </w:t>
      </w:r>
    </w:p>
    <w:p>
      <w:pPr>
        <w:pStyle w:val="TextBody"/>
        <w:bidi w:val="0"/>
        <w:spacing w:before="240" w:after="283"/>
        <w:jc w:val="left"/>
        <w:rPr>
          <w:rFonts w:ascii="Times New Roman" w:hAnsi="Times New Roman"/>
          <w:sz w:val="20"/>
        </w:rPr>
      </w:pPr>
      <w:r>
        <w:rPr>
          <w:rFonts w:ascii="Times New Roman" w:hAnsi="Times New Roman"/>
          <w:b/>
          <w:color w:val="000000"/>
          <w:sz w:val="20"/>
        </w:rPr>
        <w:t>Transactions with Mereo’s Executive Officers and Directors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employment agreements or consultancy agreements with our executive officers. See “Item 11. Executive Compensation—Executive Officer Employment Agreements.”</w:t>
      </w:r>
    </w:p>
    <w:p>
      <w:pPr>
        <w:pStyle w:val="TextBody"/>
        <w:bidi w:val="0"/>
        <w:spacing w:before="240" w:after="283"/>
        <w:jc w:val="left"/>
        <w:rPr>
          <w:rFonts w:ascii="Times New Roman" w:hAnsi="Times New Roman"/>
          <w:sz w:val="20"/>
        </w:rPr>
      </w:pPr>
      <w:r>
        <w:rPr>
          <w:rFonts w:ascii="Times New Roman" w:hAnsi="Times New Roman"/>
          <w:b/>
          <w:color w:val="000000"/>
          <w:sz w:val="20"/>
        </w:rPr>
        <w:t>Employee Benefit Trust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2016, we established an Employee Benefit Trust (“EBT”) for the purpose of holding ordinary shares (subsequently ADSs) to satisfy the exercise of options under the Company’s share-based incentive schemes.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funding was loaned to the EBT by the Company during the year ended December 31, 2023 or 2022. During the years ended December 31, 2023 and 2022, no ordinary shares were purchased by the EBT. A total of 15,926 ADSs (2022: 15,645) held by the EBT were used in the year-ended December 31, 2023 to satisfy the exercise of options under the Company’s share- based incentive schemes. As of December 31, 2023 the EBT holds 184,680 ADSs (2022: 206,606) along with $21,949 in cash (2022: $21,472). </w:t>
      </w:r>
    </w:p>
    <w:p>
      <w:pPr>
        <w:pStyle w:val="TextBody"/>
        <w:bidi w:val="0"/>
        <w:spacing w:before="240" w:after="283"/>
        <w:jc w:val="left"/>
        <w:rPr>
          <w:rFonts w:ascii="Times New Roman" w:hAnsi="Times New Roman"/>
          <w:sz w:val="20"/>
        </w:rPr>
      </w:pPr>
      <w:r>
        <w:rPr>
          <w:rFonts w:ascii="Times New Roman" w:hAnsi="Times New Roman"/>
          <w:b/>
          <w:color w:val="000000"/>
          <w:sz w:val="20"/>
        </w:rPr>
        <w:t>Indemnity Agreements</w:t>
      </w:r>
      <w:r>
        <w:rPr>
          <w:rFonts w:ascii="Times New Roman" w:hAnsi="Times New Roman"/>
          <w:color w:val="00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entered into deeds of indemnity with each of our directors. See “Item 10. Directors, Executive Officers and Corporate Governance—Insurance and Indemnification.”</w:t>
      </w:r>
    </w:p>
    <w:p>
      <w:pPr>
        <w:pStyle w:val="TextBody"/>
        <w:bidi w:val="0"/>
        <w:spacing w:before="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Related Person Transaction Policy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Board has a written related person transaction policy, which sets forth the policies and procedures for the review and approval or ratification of related person transactions. This policy will cover, any transaction or proposed transactions between us and a related person that are material to us or the related person, including without limitation, purchases of goods or services by or from the related person or entities in which the related person has a material interest, indebtedness, guarantees of indebtedness and employment by us of a related person. In reviewing and approving any such transactions, our audit and risk committee is tasked to consider all relevant facts and circumstances, including, but not limited to, whether the transaction is on terms comparable to those that could be obtained in an arm’s length transaction and the extent of the related person’s interest in the transaction. </w:t>
      </w:r>
    </w:p>
    <w:p>
      <w:pPr>
        <w:pStyle w:val="TextBody"/>
        <w:bidi w:val="0"/>
        <w:spacing w:before="240" w:after="283"/>
        <w:jc w:val="left"/>
        <w:rPr>
          <w:rFonts w:ascii="Times New Roman" w:hAnsi="Times New Roman"/>
          <w:b/>
          <w:color w:val="000000"/>
          <w:sz w:val="20"/>
        </w:rPr>
      </w:pPr>
      <w:bookmarkStart w:id="24" w:name="item_14_principal_accounting_fees_and"/>
      <w:bookmarkEnd w:id="24"/>
      <w:r>
        <w:rPr>
          <w:rFonts w:ascii="Times New Roman" w:hAnsi="Times New Roman"/>
          <w:b/>
          <w:color w:val="000000"/>
          <w:sz w:val="20"/>
        </w:rPr>
        <w:t>Item 14. Principal Accounting Fees and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September 20, 2023, our Board of Directors, following the recommendation of the audit and risk committee, dismissed BDO LLP (“BDO”) as our independent registered public accounting firm and appointed PricewaterhouseCoopers LLP (United Kingdom) (“PwC”) as our new independent registered public accounting firm effective immediately.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BDO had served as our independent registered public accounting firm for the year ended December 31, 2022 and until September 20, 2023 while we reported as a foreign private issuer and prepared our financial statements in accordance with IFRS.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PwC has served as our independent registered public accountants since September 20, 2023 and was appointed by our Board of Directors to act as our independent auditor for the fiscal year ending December 31, 2023 and has audited our financial statements prepared in accordance with U.S. GAAP for the years ended December 31, 2023 and 2022.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sets forth a summary of the fees billed to us by our auditors for professional services rendered for the years ended December 31, 2023 and 2022. All such audit and audit-related services were pre-approved by the Audit Committee.</w:t>
      </w:r>
    </w:p>
    <w:p>
      <w:pPr>
        <w:pStyle w:val="TextBody"/>
        <w:bidi w:val="0"/>
        <w:jc w:val="left"/>
        <w:rPr/>
      </w:pPr>
      <w:r>
        <w:rPr/>
        <w:t> </w:t>
      </w:r>
    </w:p>
    <w:tbl>
      <w:tblPr>
        <w:tblW w:w="3822" w:type="dxa"/>
        <w:jc w:val="left"/>
        <w:tblInd w:w="0" w:type="dxa"/>
        <w:tblLayout w:type="fixed"/>
        <w:tblCellMar>
          <w:top w:w="28" w:type="dxa"/>
          <w:left w:w="28" w:type="dxa"/>
          <w:bottom w:w="28" w:type="dxa"/>
          <w:right w:w="28" w:type="dxa"/>
        </w:tblCellMar>
      </w:tblPr>
      <w:tblGrid>
        <w:gridCol w:w="1771"/>
        <w:gridCol w:w="146"/>
        <w:gridCol w:w="146"/>
        <w:gridCol w:w="571"/>
        <w:gridCol w:w="146"/>
        <w:gridCol w:w="146"/>
        <w:gridCol w:w="181"/>
        <w:gridCol w:w="524"/>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Types of Fees</w:t>
            </w:r>
          </w:p>
        </w:tc>
        <w:tc>
          <w:tcPr>
            <w:tcW w:w="146" w:type="dxa"/>
            <w:tcBorders/>
            <w:shd w:fill="FFFFFF" w:val="clear"/>
            <w:vAlign w:val="center"/>
          </w:tcPr>
          <w:p>
            <w:pPr>
              <w:pStyle w:val="TableContents"/>
              <w:bidi w:val="0"/>
              <w:spacing w:before="0" w:after="283"/>
              <w:jc w:val="center"/>
              <w:rPr/>
            </w:pPr>
            <w:r>
              <w:rPr/>
              <w:t> </w:t>
            </w:r>
          </w:p>
        </w:tc>
        <w:tc>
          <w:tcPr>
            <w:tcW w:w="71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 fees </w:t>
            </w:r>
            <w:r>
              <w:rPr>
                <w:rFonts w:ascii="Times New Roman" w:hAnsi="Times New Roman"/>
                <w:color w:val="000000"/>
                <w:sz w:val="13"/>
              </w:rPr>
              <w:t>(1)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Audit-related fees </w:t>
            </w:r>
            <w:r>
              <w:rPr>
                <w:rFonts w:ascii="Times New Roman" w:hAnsi="Times New Roman"/>
                <w:color w:val="000000"/>
                <w:sz w:val="13"/>
              </w:rPr>
              <w:t>(2)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191" w:type="dxa"/>
            <w:tcBorders/>
            <w:shd w:fill="FFFFFF" w:val="cle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fees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All other fees </w:t>
            </w:r>
            <w:r>
              <w:rPr>
                <w:rFonts w:ascii="Times New Roman" w:hAnsi="Times New Roman"/>
                <w:color w:val="000000"/>
                <w:sz w:val="13"/>
              </w:rPr>
              <w:t>(3)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Fees</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6"/>
        </w:rPr>
        <w:t xml:space="preserve">(1) </w:t>
      </w:r>
      <w:r>
        <w:rPr>
          <w:rFonts w:ascii="Times New Roman" w:hAnsi="Times New Roman"/>
          <w:color w:val="242424"/>
          <w:sz w:val="16"/>
        </w:rPr>
        <w:t>There was a change in registered auditor during the year. Of this amount, $ 1.0 million was in relation to the current auditors and includes amounts paid for the company's transition from IFRS to US GAAP.</w:t>
      </w:r>
    </w:p>
    <w:p>
      <w:pPr>
        <w:pStyle w:val="TextBody"/>
        <w:bidi w:val="0"/>
        <w:jc w:val="left"/>
        <w:rPr>
          <w:rFonts w:ascii="Times New Roman" w:hAnsi="Times New Roman"/>
          <w:sz w:val="20"/>
        </w:rPr>
      </w:pPr>
      <w:r>
        <w:rPr>
          <w:rFonts w:ascii="Times New Roman" w:hAnsi="Times New Roman"/>
          <w:color w:val="000000"/>
          <w:sz w:val="16"/>
        </w:rPr>
        <w:t xml:space="preserve">(2) </w:t>
      </w:r>
      <w:r>
        <w:rPr>
          <w:rFonts w:ascii="Times New Roman" w:hAnsi="Times New Roman"/>
          <w:color w:val="242424"/>
          <w:sz w:val="16"/>
        </w:rPr>
        <w:t>These fees were in relation to the former auditors and were all approved by the audit committee pursuant to its pre-approval policies.</w:t>
      </w:r>
    </w:p>
    <w:p>
      <w:pPr>
        <w:pStyle w:val="TextBody"/>
        <w:bidi w:val="0"/>
        <w:jc w:val="left"/>
        <w:rPr>
          <w:rFonts w:ascii="Times New Roman" w:hAnsi="Times New Roman"/>
          <w:color w:val="242424"/>
          <w:sz w:val="16"/>
        </w:rPr>
      </w:pPr>
      <w:r>
        <w:rPr>
          <w:rFonts w:ascii="Times New Roman" w:hAnsi="Times New Roman"/>
          <w:color w:val="242424"/>
          <w:sz w:val="16"/>
        </w:rPr>
        <w:t>(3) These fees were in relation to the current auditors and were all approved by the audit committee pursuant to its pre-approval policies.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fiscal years ended December 31, 2023 and 2022, we were billed approximately $1.27 million and $0.49 million, respectively, for professional services rendered by our independent auditors for the audit of our financial statements, which includes the audits of our wholly-owned subsidiaries.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Audit-Related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the fiscal years ended December 31, 2023 and 2022, we were billed approximately $0.21 million and $0.10 million, respectively, for professional services rendered by our independent auditors for audit-related services. These include the review of our interim financial statements, review of our registration statement and related consents and issuance of comfort letters.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Tax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All Other Fees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the fiscal year ended December 31, 2023 we were billed less than $0.1 million for software provided by our independent auditors.</w:t>
      </w:r>
    </w:p>
    <w:p>
      <w:pPr>
        <w:pStyle w:val="TextBody"/>
        <w:bidi w:val="0"/>
        <w:spacing w:before="240" w:after="283"/>
        <w:jc w:val="left"/>
        <w:rPr>
          <w:rFonts w:ascii="Times New Roman" w:hAnsi="Times New Roman"/>
          <w:sz w:val="20"/>
        </w:rPr>
      </w:pPr>
      <w:r>
        <w:rPr>
          <w:rFonts w:ascii="Times New Roman" w:hAnsi="Times New Roman"/>
          <w:b/>
          <w:color w:val="000000"/>
          <w:sz w:val="20"/>
        </w:rPr>
        <w:t>Pre-Approval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and risk committee has adopted a policy and procedures for the pre-approval of audit, review and attest services and permitted non-audit services rendered by PwC. The policy generally permits the audit and risk committee to pre-approve, on an annual basis, specified services in the defined categories of audit services, audit-related services, tax services and other permitted non-audit services. Pre-approval may also be given as part of the audit and risk committee’s approval of the scope of the engagement of the auditor or on an individual, explicit, case-by-case basis before the auditor is engaged to provide each service.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audit and risk committee has determined that the rendering of certain services other than audit services by PwC are compatible with maintaining the accounting firm’s independence.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audit and risk committee has delegated to its chair the authority, from time to time, to pre-approve non-audit services not prohibited by law to be performed by our independent auditors and the associated fees, provided that the estimated fees for such permitted non-audit services do not exceed specified thresholds and provided that the chair shall report any decisions to pre-approve such non-audit services and fees to our full audit and risk committee at its next regular meeting. </w:t>
      </w:r>
    </w:p>
    <w:p>
      <w:pPr>
        <w:pStyle w:val="TextBody"/>
        <w:bidi w:val="0"/>
        <w:spacing w:before="24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5" w:name="part_iv"/>
      <w:bookmarkEnd w:id="25"/>
      <w:r>
        <w:rPr>
          <w:rFonts w:ascii="Times New Roman" w:hAnsi="Times New Roman"/>
          <w:b/>
          <w:color w:val="000000"/>
          <w:sz w:val="20"/>
        </w:rPr>
        <w:t>PART IV</w:t>
      </w:r>
    </w:p>
    <w:p>
      <w:pPr>
        <w:pStyle w:val="TextBody"/>
        <w:bidi w:val="0"/>
        <w:spacing w:before="240" w:after="283"/>
        <w:jc w:val="left"/>
        <w:rPr>
          <w:rFonts w:ascii="Times New Roman" w:hAnsi="Times New Roman"/>
          <w:b/>
          <w:color w:val="000000"/>
          <w:sz w:val="20"/>
        </w:rPr>
      </w:pPr>
      <w:bookmarkStart w:id="26" w:name="item_15_exhibits_and_financial_state"/>
      <w:bookmarkEnd w:id="26"/>
      <w:r>
        <w:rPr>
          <w:rFonts w:ascii="Times New Roman" w:hAnsi="Times New Roman"/>
          <w:b/>
          <w:color w:val="000000"/>
          <w:sz w:val="20"/>
        </w:rPr>
        <w:t>Item 15. Exhibits and Financial Statement Schedules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part of this Annual Report on Form 10</w:t>
        <w:noBreakHyphen/>
        <w:t>K, the consolidated financial statements are as follows:</w:t>
      </w:r>
    </w:p>
    <w:p>
      <w:pPr>
        <w:pStyle w:val="TextBody"/>
        <w:bidi w:val="0"/>
        <w:spacing w:before="240" w:after="283"/>
        <w:jc w:val="left"/>
        <w:rPr/>
      </w:pPr>
      <w:r>
        <w:rPr/>
        <w:t> </w:t>
      </w:r>
    </w:p>
    <w:tbl>
      <w:tblPr>
        <w:tblW w:w="5931" w:type="dxa"/>
        <w:jc w:val="left"/>
        <w:tblInd w:w="0" w:type="dxa"/>
        <w:tblLayout w:type="fixed"/>
        <w:tblCellMar>
          <w:top w:w="28" w:type="dxa"/>
          <w:left w:w="28" w:type="dxa"/>
          <w:bottom w:w="28" w:type="dxa"/>
          <w:right w:w="28" w:type="dxa"/>
        </w:tblCellMar>
      </w:tblPr>
      <w:tblGrid>
        <w:gridCol w:w="5360"/>
        <w:gridCol w:w="571"/>
      </w:tblGrid>
      <w:tr>
        <w:trPr/>
        <w:tc>
          <w:tcPr>
            <w:tcW w:w="53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536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Financial Statements</w:t>
            </w:r>
          </w:p>
        </w:tc>
        <w:tc>
          <w:tcPr>
            <w:tcW w:w="5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rFonts w:ascii="Times New Roman" w:hAnsi="Times New Roman"/>
                <w:color w:val="000000"/>
                <w:sz w:val="20"/>
              </w:rPr>
            </w:pPr>
            <w:r>
              <w:rPr>
                <w:rFonts w:ascii="Times New Roman" w:hAnsi="Times New Roman"/>
                <w:color w:val="000000"/>
                <w:sz w:val="20"/>
              </w:rPr>
              <w:t>Report of independent registered public accounting firm</w:t>
            </w:r>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F-2</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hyperlink w:anchor="consolidated_balance_sheets">
              <w:r>
                <w:rPr>
                  <w:rStyle w:val="InternetLink"/>
                  <w:rFonts w:ascii="Times New Roman" w:hAnsi="Times New Roman"/>
                  <w:color w:val="0000FF"/>
                  <w:sz w:val="20"/>
                  <w:u w:val="single"/>
                </w:rPr>
                <w:t>Consolidated balance sheets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F-3</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hyperlink w:anchor="statements_of_comprehensive_loss">
              <w:r>
                <w:rPr>
                  <w:rStyle w:val="InternetLink"/>
                  <w:rFonts w:ascii="Times New Roman" w:hAnsi="Times New Roman"/>
                  <w:color w:val="0000FF"/>
                  <w:sz w:val="20"/>
                  <w:u w:val="single"/>
                </w:rPr>
                <w:t>Consolidated statements of operations and comprehensive loss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F-4</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F-5</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hyperlink w:anchor="statements_of_changes_in_equity">
              <w:r>
                <w:rPr>
                  <w:rStyle w:val="InternetLink"/>
                  <w:rFonts w:ascii="Times New Roman" w:hAnsi="Times New Roman"/>
                  <w:color w:val="0000FF"/>
                  <w:sz w:val="20"/>
                  <w:u w:val="single"/>
                </w:rPr>
                <w:t>Consolidated statements of shareholders’ equity</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F-6</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F-7</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53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bl>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Financial Statement Schedules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schedules have been omitted because they are not required, not applicable, not present in amounts sufficient to require submission of the schedule, or the required information is otherwise included.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Exhibit Index</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is a list of exhibits filed as part of this Annual Report on Form 10</w:t>
        <w:noBreakHyphen/>
        <w:t>K or are incorporated herein by reference.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"https://www.sec.gov/Archives/edgar/data/1719714/000119312519076867/d680874df4a.htm" \l "rom680874_1001"</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Agreement and Plan of Merger and Reorganization, dated December 5, 2018, by and among Mereo BioPharma Group plc, Mereo US Holdings Inc., Mereo MergerCo One Inc. and OncoMed Pharmaceuticals, Inc. (incorporated by reference to Exhibit 2.1 to Mereo’s Form F-4/A filed March 15, 2019 (File No. 333- 229351)).</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"https://www.sec.gov/Archives/edgar/data/1719714/000119312519076867/d680874df4a.htm" \l "rom680874_1001"</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3">
              <w:r>
                <w:rPr>
                  <w:rStyle w:val="InternetLink"/>
                  <w:rFonts w:ascii="Times New Roman" w:hAnsi="Times New Roman"/>
                  <w:color w:val="0000FF"/>
                  <w:sz w:val="20"/>
                  <w:u w:val="single"/>
                </w:rPr>
                <w:t>BCT197 Asset Purchase Agreement, dated July 28, 2015, by and between Mereo BioPharma 1 Limited and Novartis Pharma AG (incorporated by reference to Exhibit 10.20 to Mereo’s Form F-4 filed January 25, 2019 (File No. 333-229351)).</w:t>
              </w:r>
            </w:hyperlink>
            <w:hyperlink r:id="rId4">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
              <w:r>
                <w:rPr>
                  <w:rStyle w:val="InternetLink"/>
                  <w:rFonts w:ascii="Times New Roman" w:hAnsi="Times New Roman"/>
                  <w:color w:val="0000FF"/>
                  <w:sz w:val="20"/>
                  <w:u w:val="single"/>
                </w:rPr>
                <w:t>Addendum to the Asset Purchase Agreement, dated April 12, 2016, by and between Mereo BioPharma 1 Limited and Novartis Pharma AG (incorporated by reference to Exhibit 10.20.3 to Mereo’s Form F-4 filed January 25, 2019 (File No. 333-229351)).</w:t>
              </w:r>
            </w:hyperlink>
            <w:hyperlink r:id="rId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7">
              <w:r>
                <w:rPr>
                  <w:rStyle w:val="InternetLink"/>
                  <w:rFonts w:ascii="Times New Roman" w:hAnsi="Times New Roman"/>
                  <w:color w:val="0000FF"/>
                  <w:sz w:val="20"/>
                  <w:u w:val="single"/>
                </w:rPr>
                <w:t>Addendum to the Asset Purchase Agreement, dated October 4, 2017, by and between Mereo BioPharma 1 Limited and Novartis Pharma AG (incorporated by reference to Exhibit 10.20.2 to Mereo’s Form F-4 filed January 25, 2019 (File No. 333-229351)).</w:t>
              </w:r>
            </w:hyperlink>
            <w:hyperlink r:id="rId8">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2.2.3</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9">
              <w:r>
                <w:rPr>
                  <w:rStyle w:val="InternetLink"/>
                  <w:rFonts w:ascii="Times New Roman" w:hAnsi="Times New Roman"/>
                  <w:color w:val="0000FF"/>
                  <w:sz w:val="20"/>
                  <w:u w:val="single"/>
                </w:rPr>
                <w:t>Amendment Agreement for BCT197, dated October 19, 2018, by and between Mereo BioPharma 1 Limited and Novartis Pharma AG (incorporated into by reference to Exhibit 10.20.1 to Mereo’s Form F-4 filed January 25, 2019 (File No. 333-229351)).</w:t>
              </w:r>
            </w:hyperlink>
            <w:hyperlink r:id="rId10">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11">
              <w:r>
                <w:rPr>
                  <w:rStyle w:val="InternetLink"/>
                  <w:rFonts w:ascii="Times New Roman" w:hAnsi="Times New Roman"/>
                  <w:color w:val="0000FF"/>
                  <w:sz w:val="20"/>
                  <w:u w:val="single"/>
                </w:rPr>
                <w:t>BGS649 Asset Purchase Agreement, dated July 28, 2015, by and between Mereo BioPharma 2 Limited and Novartis Pharma AG (incorporated by reference to Exhibit 10.21 to Mereo’s Form F-4 filed January 25, 2019 (File No. 333-229351)).</w:t>
              </w:r>
            </w:hyperlink>
            <w:hyperlink r:id="rId12">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13">
              <w:r>
                <w:rPr>
                  <w:rStyle w:val="InternetLink"/>
                  <w:rFonts w:ascii="Times New Roman" w:hAnsi="Times New Roman"/>
                  <w:color w:val="0000FF"/>
                  <w:sz w:val="20"/>
                  <w:u w:val="single"/>
                </w:rPr>
                <w:t>Addendum to the Asset Purchase Agreement, dated August 17, 2017, by and between Mereo BioPharma 2 Limited and Novartis Pharma AG (incorporated by reference to Exhibit 10.21.2 to Mereo’s Form F-4 filed January 25, 2019 (File No. 333-229351)).</w:t>
              </w:r>
            </w:hyperlink>
            <w:hyperlink r:id="rId14">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Agreement for BGS649, dated October 19, 2018, by and between Mereo BioPharma 2 Limited and Novartis Pharma AG (incorporated by reference to Exhibit 10.21.1 to Mereo’s Form F-4 filed January 25, 2019 (File No. 333-229351)).</w:t>
              </w:r>
            </w:hyperlink>
            <w:hyperlink r:id="rId1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2.4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17">
              <w:r>
                <w:rPr>
                  <w:rStyle w:val="InternetLink"/>
                  <w:rFonts w:ascii="Times New Roman" w:hAnsi="Times New Roman"/>
                  <w:color w:val="0000FF"/>
                  <w:sz w:val="20"/>
                  <w:u w:val="single"/>
                </w:rPr>
                <w:t>BPS804 Asset Purchase Agreement, dated July 28, 2015, by and between Mereo BioPharma 3 Limited and Novartis Pharma AG (incorporated by reference to Exhibit 10.22 to Mereo’s Form F-4 filed January 25, 2019 (File No. 333-229351)).</w:t>
              </w:r>
            </w:hyperlink>
            <w:hyperlink r:id="rId18">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19">
              <w:r>
                <w:rPr>
                  <w:rStyle w:val="InternetLink"/>
                  <w:rFonts w:ascii="Times New Roman" w:hAnsi="Times New Roman"/>
                  <w:color w:val="0000FF"/>
                  <w:sz w:val="20"/>
                  <w:u w:val="single"/>
                </w:rPr>
                <w:t>Addendum to the Asset Purchase Agreement, dated December 21, 2016, by and between Mereo BioPharma 3 Limited and Novartis Pharma AG (incorporated by reference to Exhibit 10.22.2 to Mereo’s Form F-4 filed January 25, 2019 (File No. 333-229351)).</w:t>
              </w:r>
            </w:hyperlink>
            <w:hyperlink r:id="rId20">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21">
              <w:r>
                <w:rPr>
                  <w:rStyle w:val="InternetLink"/>
                  <w:rFonts w:ascii="Times New Roman" w:hAnsi="Times New Roman"/>
                  <w:color w:val="0000FF"/>
                  <w:sz w:val="20"/>
                  <w:u w:val="single"/>
                </w:rPr>
                <w:t>Amendment Agreement, dated August 10, 2018, by and between Mereo BioPharma 3 Limited and Novartis Pharma AG (incorporated by reference to Exhibit 10.22.1 to Mereo’s Form F-4 filed January 25, 2019 (File No. 333-229351)).</w:t>
              </w:r>
            </w:hyperlink>
            <w:hyperlink r:id="rId22">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23">
              <w:r>
                <w:rPr>
                  <w:rStyle w:val="InternetLink"/>
                  <w:rFonts w:ascii="Times New Roman" w:hAnsi="Times New Roman"/>
                  <w:color w:val="0000FF"/>
                  <w:sz w:val="20"/>
                  <w:u w:val="single"/>
                </w:rPr>
                <w:t>Articles of Association of the Company (incorporated by reference to Exhibit 3.1 to the Company’s Form 6-K, filed with the SEC on December 18, 2022 (File No. 001-38452)).</w:t>
              </w:r>
            </w:hyperlink>
            <w:hyperlink r:id="rId24">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25">
              <w:r>
                <w:rPr>
                  <w:rStyle w:val="InternetLink"/>
                  <w:rFonts w:ascii="Times New Roman" w:hAnsi="Times New Roman"/>
                  <w:color w:val="0000FF"/>
                  <w:sz w:val="20"/>
                  <w:u w:val="single"/>
                </w:rPr>
                <w:t>Form of American Depositary Receipt of Mereo BioPharma Group plc (incorporated by reference to Exhibit 4.3 to Mereo’s Form F-4/A filed March 15, 2019 (File No. 333-229351)).</w:t>
              </w:r>
            </w:hyperlink>
            <w:hyperlink r:id="rId2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4_2.htm">
              <w:r>
                <w:rPr>
                  <w:rStyle w:val="InternetLink"/>
                  <w:rFonts w:ascii="Times New Roman" w:hAnsi="Times New Roman"/>
                  <w:color w:val="0000FF"/>
                  <w:sz w:val="20"/>
                  <w:u w:val="single"/>
                </w:rPr>
                <w:t>Description of Securities Registered under Section 12 of the Exchange Act.</w:t>
              </w:r>
            </w:hyperlink>
            <w:hyperlink w:anchor="mreo-ex4_2.htm">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27">
              <w:r>
                <w:rPr>
                  <w:rStyle w:val="InternetLink"/>
                  <w:rFonts w:ascii="Times New Roman" w:hAnsi="Times New Roman"/>
                  <w:color w:val="0000FF"/>
                  <w:sz w:val="20"/>
                  <w:u w:val="single"/>
                </w:rPr>
                <w:t>Sublicense Agreement, dated July 29, 2015, by and between Mereo BioPharma 3 Limited and Novartis Pharma AG (incorporated by reference to Exhibit 10.23 to Mereo’s Form F-4 filed January 25, 2019 (File No. 333- 229351)).</w:t>
              </w:r>
            </w:hyperlink>
            <w:hyperlink r:id="rId28">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29">
              <w:r>
                <w:rPr>
                  <w:rStyle w:val="InternetLink"/>
                  <w:rFonts w:ascii="Times New Roman" w:hAnsi="Times New Roman"/>
                  <w:color w:val="0000FF"/>
                  <w:sz w:val="20"/>
                  <w:u w:val="single"/>
                </w:rPr>
                <w:t>Exclusive License and Option Agreement, dated October 28, 2017, by and between Mereo BioPharma 4 Limited and AstraZeneca AB (incorporated by reference to Exhibit 10.24 to Mereo’s Form F-4 filed January 25, 2019 (File No. 333-229351)).</w:t>
              </w:r>
            </w:hyperlink>
            <w:hyperlink r:id="rId30">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Deed of Indemnity for members of the board of directors of Mereo BioPharma Group plc (incorporated by reference to Exhibit 10.26 to Mereo’s Form F-4 filed January 25, 2019 (File No. 333-229351)).</w:t>
              </w:r>
            </w:hyperlink>
            <w:hyperlink r:id="rId32">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fldChar w:fldCharType="begin"/>
            </w:r>
            <w:r>
              <w:rPr>
                <w:rStyle w:val="InternetLink"/>
                <w:sz w:val="20"/>
                <w:u w:val="single"/>
                <w:rFonts w:ascii="Times New Roman" w:hAnsi="Times New Roman"/>
                <w:color w:val="0000FF"/>
              </w:rPr>
              <w:instrText xml:space="preserve"> HYPERLINK "https://www.sec.gov/Archives/edgar/data/1719714/000119312519076867/d680874df4a.htm" \l "rom680874_1002"</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Form of Contingent Value Rights Agreement by and between Computershare, Inc., as rights agent, and Mereo BioPharma Group plc (incorporated by reference to Annex B to Mereo’s Form F-4/A filed March 15, 2019 (File No. 333-229351)).</w:t>
            </w:r>
            <w:r>
              <w:rPr>
                <w:rStyle w:val="InternetLink"/>
                <w:sz w:val="20"/>
                <w:u w:val="single"/>
                <w:rFonts w:ascii="Times New Roman" w:hAnsi="Times New Roman"/>
                <w:color w:val="0000FF"/>
              </w:rPr>
              <w:fldChar w:fldCharType="end"/>
            </w:r>
            <w:r>
              <w:fldChar w:fldCharType="begin"/>
            </w:r>
            <w:r>
              <w:rPr>
                <w:rStyle w:val="InternetLink"/>
                <w:sz w:val="20"/>
                <w:rFonts w:ascii="Times New Roman" w:hAnsi="Times New Roman"/>
                <w:color w:val="0000FF"/>
              </w:rPr>
              <w:instrText xml:space="preserve"> HYPERLINK "https://www.sec.gov/Archives/edgar/data/1719714/000119312519076867/d680874df4a.htm" \l "rom680874_1002"</w:instrText>
            </w:r>
            <w:r>
              <w:rPr>
                <w:rStyle w:val="InternetLink"/>
                <w:sz w:val="20"/>
                <w:rFonts w:ascii="Times New Roman" w:hAnsi="Times New Roman"/>
                <w:color w:val="0000FF"/>
              </w:rPr>
              <w:fldChar w:fldCharType="separate"/>
            </w:r>
            <w:r>
              <w:rPr>
                <w:rStyle w:val="InternetLink"/>
                <w:rFonts w:ascii="Times New Roman" w:hAnsi="Times New Roman"/>
                <w:color w:val="0000FF"/>
                <w:sz w:val="20"/>
              </w:rPr>
              <w:t xml:space="preserve"> </w:t>
            </w:r>
            <w:r>
              <w:rPr>
                <w:rStyle w:val="InternetLink"/>
                <w:sz w:val="20"/>
                <w:rFonts w:ascii="Times New Roman" w:hAnsi="Times New Roman"/>
                <w:color w:val="0000FF"/>
              </w:rPr>
              <w:fldChar w:fldCharType="end"/>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10.5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jc w:val="left"/>
              <w:rPr/>
            </w:pPr>
            <w:hyperlink r:id="rId33">
              <w:r>
                <w:rPr>
                  <w:rStyle w:val="InternetLink"/>
                  <w:rFonts w:ascii="Times New Roman" w:hAnsi="Times New Roman"/>
                  <w:color w:val="0000FF"/>
                  <w:sz w:val="20"/>
                  <w:u w:val="single"/>
                </w:rPr>
                <w:t>Mereo BioPharma Group plc 2019 Equity Incentive Plan, as amended on February 13, 2020 and January 15, 2021</w:t>
              </w:r>
            </w:hyperlink>
          </w:p>
          <w:p>
            <w:pPr>
              <w:pStyle w:val="TableContents"/>
              <w:bidi w:val="0"/>
              <w:spacing w:before="0" w:after="283"/>
              <w:jc w:val="left"/>
              <w:rPr/>
            </w:pPr>
            <w:hyperlink r:id="rId34">
              <w:r>
                <w:rPr>
                  <w:rStyle w:val="InternetLink"/>
                  <w:rFonts w:ascii="Times New Roman" w:hAnsi="Times New Roman"/>
                  <w:color w:val="0000FF"/>
                  <w:sz w:val="20"/>
                  <w:u w:val="single"/>
                </w:rPr>
                <w:t>(incorporated by reference to Exhibit 99.1 to the Company’s Form S-8 filed January 15, 2021 (File No. 333-252147))</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10.6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35">
              <w:r>
                <w:rPr>
                  <w:rStyle w:val="InternetLink"/>
                  <w:rFonts w:ascii="Times New Roman" w:hAnsi="Times New Roman"/>
                  <w:color w:val="0000FF"/>
                  <w:sz w:val="20"/>
                  <w:u w:val="single"/>
                </w:rPr>
                <w:t>Deed of Consent and Amendment to Convertible Loan Note Instrument, dated December 17, 2020 between Mereo BioPharma Group plc. and the Noteholders named therein (incorporated by reference to Exhibit 4.21 to Mereo’s 20-F filed March 31, 2021 (File No. 001-38452)).</w:t>
              </w:r>
            </w:hyperlink>
            <w:hyperlink r:id="rId3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10.7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jc w:val="left"/>
              <w:rPr/>
            </w:pPr>
            <w:hyperlink r:id="rId37">
              <w:r>
                <w:rPr>
                  <w:rStyle w:val="InternetLink"/>
                  <w:rFonts w:ascii="Times New Roman" w:hAnsi="Times New Roman"/>
                  <w:color w:val="0000FF"/>
                  <w:sz w:val="20"/>
                  <w:u w:val="single"/>
                </w:rPr>
                <w:t>Mereo BioPharma Group plc 2019 Non-Employee Equity Incentive Plan, as amended on February 13, 2020 and</w:t>
              </w:r>
            </w:hyperlink>
          </w:p>
          <w:p>
            <w:pPr>
              <w:pStyle w:val="TableContents"/>
              <w:bidi w:val="0"/>
              <w:jc w:val="left"/>
              <w:rPr/>
            </w:pPr>
            <w:hyperlink r:id="rId38">
              <w:r>
                <w:rPr>
                  <w:rStyle w:val="InternetLink"/>
                  <w:rFonts w:ascii="Times New Roman" w:hAnsi="Times New Roman"/>
                  <w:color w:val="0000FF"/>
                  <w:sz w:val="20"/>
                  <w:u w:val="single"/>
                </w:rPr>
                <w:t>January 15, 2021 (incorporated by reference to Exhibit 99.2 to the Company’s Form S-8 filed January 15, 2021</w:t>
              </w:r>
            </w:hyperlink>
          </w:p>
          <w:p>
            <w:pPr>
              <w:pStyle w:val="TableContents"/>
              <w:bidi w:val="0"/>
              <w:spacing w:before="0" w:after="283"/>
              <w:jc w:val="left"/>
              <w:rPr/>
            </w:pPr>
            <w:hyperlink r:id="rId39">
              <w:r>
                <w:rPr>
                  <w:rStyle w:val="InternetLink"/>
                  <w:rFonts w:ascii="Times New Roman" w:hAnsi="Times New Roman"/>
                  <w:color w:val="0000FF"/>
                  <w:sz w:val="20"/>
                  <w:u w:val="single"/>
                </w:rPr>
                <w:t>(File No. 333-252147)).</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Amended Convertible Loan Note Instrument, dated December 18, 2020 relating to Mereo BioPharma Group plc. (incorporated by reference to Exhibit 4.22 to Mereo’s 20-F filed March 31, 2021 (File No. 001-38452)).</w:t>
              </w:r>
            </w:hyperlink>
            <w:hyperlink r:id="rId41">
              <w:r>
                <w:rPr>
                  <w:rStyle w:val="InternetLink"/>
                  <w:rFonts w:ascii="Times New Roman" w:hAnsi="Times New Roman"/>
                  <w:color w:val="0000FF"/>
                  <w:sz w:val="20"/>
                </w:rPr>
                <w:t xml:space="preserve"> </w:t>
              </w:r>
            </w:hyperlink>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2">
              <w:r>
                <w:rPr>
                  <w:rStyle w:val="InternetLink"/>
                  <w:rFonts w:ascii="Times New Roman" w:hAnsi="Times New Roman"/>
                  <w:color w:val="0000FF"/>
                  <w:sz w:val="20"/>
                  <w:u w:val="single"/>
                </w:rPr>
                <w:t>Form of Amended Convertible Loan Note Instrument, dated February 5, 2021 relating to Mereo BioPharma Group plc. (incorporated by reference to Exhibit 4.23 to Mereo’s 20-F filed March 31, 2021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3">
              <w:r>
                <w:rPr>
                  <w:rStyle w:val="InternetLink"/>
                  <w:rFonts w:ascii="Times New Roman" w:hAnsi="Times New Roman"/>
                  <w:color w:val="0000FF"/>
                  <w:sz w:val="20"/>
                  <w:u w:val="single"/>
                </w:rPr>
                <w:t>Form of Amended Convertible Loan Note Instrument, dated March 29, 2021 relating to Mereo BioPharma Group plc. (incorporated by reference to Exhibit 4.24 to Mereo’s 20-F filed March 31, 2021 (File No. 001-38452)).</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r:id="rId44">
              <w:r>
                <w:rPr>
                  <w:rStyle w:val="InternetLink"/>
                  <w:rFonts w:ascii="Times New Roman" w:hAnsi="Times New Roman"/>
                  <w:color w:val="0000FF"/>
                  <w:sz w:val="20"/>
                  <w:u w:val="single"/>
                </w:rPr>
                <w:t>Deed of Consent and Amendment to Warrant Instrument, dated March 29, 2021 between Mereo BioPharma Group plc. and the Alpha-1 Project, Inc. (incorporated by reference to Exhibit 4.25 to Mereo’s 20-F filed March 31, 2021 (File No. 001-38452)).</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5">
              <w:r>
                <w:rPr>
                  <w:rStyle w:val="InternetLink"/>
                  <w:rFonts w:ascii="Times New Roman" w:hAnsi="Times New Roman"/>
                  <w:color w:val="0000FF"/>
                  <w:sz w:val="20"/>
                  <w:u w:val="single"/>
                </w:rPr>
                <w:t>Employment Agreement, dated July 1, 2020 between Mereo BioPharma Group plc and John Lewicki (incorporated by reference to Exhibit 4.27 to Mereo’s 20-F filed March 31, 2021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6">
              <w:r>
                <w:rPr>
                  <w:rStyle w:val="InternetLink"/>
                  <w:rFonts w:ascii="Times New Roman" w:hAnsi="Times New Roman"/>
                  <w:color w:val="0000FF"/>
                  <w:sz w:val="20"/>
                  <w:u w:val="single"/>
                </w:rPr>
                <w:t>License Agreement, dated January 13, 2020, between OncoMed Pharmaceuticals, Inc., Mereo BioPharma Group plc and Oncologie, Inc. (incorporated by reference to Exhibit 4.45 to Mereo’s Form 20-F filed March 31, 2021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7">
              <w:r>
                <w:rPr>
                  <w:rStyle w:val="InternetLink"/>
                  <w:rFonts w:ascii="Times New Roman" w:hAnsi="Times New Roman"/>
                  <w:color w:val="0000FF"/>
                  <w:sz w:val="20"/>
                  <w:u w:val="single"/>
                </w:rPr>
                <w:t>Form of Convertible Loan Instrument, dated February 10, 2020 relating to Mereo BioPharma Group plc (incorporated by reference to Exhibit 4.28 to Mereo’s 20-F filed March 31, 2022 (File No. 001-38452)).</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10.15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8">
              <w:r>
                <w:rPr>
                  <w:rStyle w:val="InternetLink"/>
                  <w:rFonts w:ascii="Times New Roman" w:hAnsi="Times New Roman"/>
                  <w:color w:val="0000FF"/>
                  <w:sz w:val="20"/>
                  <w:u w:val="single"/>
                </w:rPr>
                <w:t>Form of Warrant Instrument, dated February 10, 2020 relating to Mereo BioPharma Group plc (incorporated by reference to Exhibit 4.29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49">
              <w:r>
                <w:rPr>
                  <w:rStyle w:val="InternetLink"/>
                  <w:rFonts w:ascii="Times New Roman" w:hAnsi="Times New Roman"/>
                  <w:color w:val="0000FF"/>
                  <w:sz w:val="20"/>
                  <w:u w:val="single"/>
                </w:rPr>
                <w:t>Deed of Consent and Amendment to Note Instrument, dated November 24, 2020 between Mereo BioPharma Group plc. and Novartis Pharma AG (incorporated by reference to Exhibit 4.30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0">
              <w:r>
                <w:rPr>
                  <w:rStyle w:val="InternetLink"/>
                  <w:rFonts w:ascii="Times New Roman" w:hAnsi="Times New Roman"/>
                  <w:color w:val="0000FF"/>
                  <w:sz w:val="20"/>
                  <w:u w:val="single"/>
                </w:rPr>
                <w:t>Deed of Consent and Amendment to Warrant Instrument, dated November 24, 2020 between Mereo BioPharma Group plc. and Novartis Pharma AG (incorporated by reference to Exhibit 4.31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10.18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1">
              <w:r>
                <w:rPr>
                  <w:rStyle w:val="InternetLink"/>
                  <w:rFonts w:ascii="Times New Roman" w:hAnsi="Times New Roman"/>
                  <w:color w:val="0000FF"/>
                  <w:sz w:val="20"/>
                  <w:u w:val="single"/>
                </w:rPr>
                <w:t>Collaboration and License Agreement, dated December 17, 2020, between Mereo BioPharma 3 Limited and Ultragenyx Pharmaceutical Inc. (incorporated by reference to Exhibit 4.32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10.19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2">
              <w:r>
                <w:rPr>
                  <w:rStyle w:val="InternetLink"/>
                  <w:rFonts w:ascii="Times New Roman" w:hAnsi="Times New Roman"/>
                  <w:color w:val="0000FF"/>
                  <w:sz w:val="20"/>
                  <w:u w:val="single"/>
                </w:rPr>
                <w:t>Amended and restated Contract of Employment, dated September 3, 2021, between Mereo BioPharma Group plc and Denise Scots-Knight (incorporated by reference to Exhibit 4.33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3">
              <w:r>
                <w:rPr>
                  <w:rStyle w:val="InternetLink"/>
                  <w:rFonts w:ascii="Times New Roman" w:hAnsi="Times New Roman"/>
                  <w:color w:val="0000FF"/>
                  <w:sz w:val="20"/>
                  <w:u w:val="single"/>
                </w:rPr>
                <w:t>Amended and restated Contract of Employment, dated September 3, 2021, between Mereo BioPharma Group plc and Christine Fox (incorporated by reference to Exhibit 4.34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10.21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4">
              <w:r>
                <w:rPr>
                  <w:rStyle w:val="InternetLink"/>
                  <w:rFonts w:ascii="Times New Roman" w:hAnsi="Times New Roman"/>
                  <w:color w:val="0000FF"/>
                  <w:sz w:val="20"/>
                  <w:u w:val="single"/>
                </w:rPr>
                <w:t>Amended and restated Contract of Employment, dated September 3, 2021, between Mereo BioPharma Group plc and Charles Sermon (incorporated by reference to Exhibit 4.36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5">
              <w:r>
                <w:rPr>
                  <w:rStyle w:val="InternetLink"/>
                  <w:rFonts w:ascii="Times New Roman" w:hAnsi="Times New Roman"/>
                  <w:color w:val="0000FF"/>
                  <w:sz w:val="20"/>
                  <w:u w:val="single"/>
                </w:rPr>
                <w:t>Amended and restated Contract of Employment, dated September 16, 2021, between Mereo BioPharma Group plc and Alexandra (Wills) Hughes-Wilson (incorporated by reference to Exhibit 4.37 to Mereo’s 20-F filed March 31, 2022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10.23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6">
              <w:r>
                <w:rPr>
                  <w:rStyle w:val="InternetLink"/>
                  <w:rFonts w:ascii="Times New Roman" w:hAnsi="Times New Roman"/>
                  <w:color w:val="0000FF"/>
                  <w:sz w:val="20"/>
                  <w:u w:val="single"/>
                </w:rPr>
                <w:t>Form of Change in Control and Severance Agreement for Executives employed by Mereo Biopharma 5, Inc. (incorporated by reference to Exhibit 4.40 to Mereo’s 20-F filed March 31, 2022 (File No. 001-38452)).</w:t>
              </w:r>
            </w:hyperlink>
            <w:hyperlink r:id="rId57">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8">
              <w:r>
                <w:rPr>
                  <w:rStyle w:val="InternetLink"/>
                  <w:rFonts w:ascii="Times New Roman" w:hAnsi="Times New Roman"/>
                  <w:color w:val="0000FF"/>
                  <w:sz w:val="20"/>
                  <w:u w:val="single"/>
                </w:rPr>
                <w:t>Form of Letter of Appointment for members of the board of directors of Mereo BioPharma Group plc. (incorporated by reference to Exhibit 4.17 to Mereo’s Form F-4 filed March 28, 2023 (File No. 333-229351)).</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11"/>
        <w:gridCol w:w="146"/>
        <w:gridCol w:w="9248"/>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48"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 of Exhibit</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10.25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59">
              <w:r>
                <w:rPr>
                  <w:rStyle w:val="InternetLink"/>
                  <w:rFonts w:ascii="Times New Roman" w:hAnsi="Times New Roman"/>
                  <w:color w:val="0000FF"/>
                  <w:sz w:val="20"/>
                  <w:u w:val="single"/>
                </w:rPr>
                <w:t>Deed of Consent and Amendment to Note Instrument, dated February 9, 2023 between Mereo BioPharma Group plc and Novartis Pharma AG (incorporated by reference to Exhibit 4.46 to Mereo’s Form 20-F filed March 28, 2023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60">
              <w:r>
                <w:rPr>
                  <w:rStyle w:val="InternetLink"/>
                  <w:rFonts w:ascii="Times New Roman" w:hAnsi="Times New Roman"/>
                  <w:color w:val="0000FF"/>
                  <w:sz w:val="20"/>
                  <w:u w:val="single"/>
                </w:rPr>
                <w:t>Form of Warrant Instrument, dated February 10, 2023, relating to Mereo BioPharma Group plc (incorporated by reference to Exhibit 4.47 to Mereo’s Form 20-F filed March 28, 2023 (File No. 001-38452)).</w:t>
              </w:r>
            </w:hyperlink>
            <w:hyperlink r:id="rId61">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10.27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62">
              <w:r>
                <w:rPr>
                  <w:rStyle w:val="InternetLink"/>
                  <w:rFonts w:ascii="Times New Roman" w:hAnsi="Times New Roman"/>
                  <w:color w:val="0000FF"/>
                  <w:sz w:val="20"/>
                  <w:u w:val="single"/>
                </w:rPr>
                <w:t>Deferred Compensation Plan for Non-Employee Directors, as amended on December 13, 2023 (incorporated by reference to Exhibit 4.3 to Mereo’s S-8 filed January 23, 2024 (File No. 333-276656)).</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10.28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63">
              <w:r>
                <w:rPr>
                  <w:rStyle w:val="InternetLink"/>
                  <w:rFonts w:ascii="Times New Roman" w:hAnsi="Times New Roman"/>
                  <w:color w:val="0000FF"/>
                  <w:sz w:val="20"/>
                  <w:u w:val="single"/>
                </w:rPr>
                <w:t>Form of Performance Based Restricted Stock Unit Award Agreement under the Plan (incorporated by reference to Exhibit 4.4 to Mereo’s Form S-8 filed January 24, 2023 (File No. 333-269388))</w:t>
              </w:r>
            </w:hyperlink>
            <w:hyperlink r:id="rId64">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65">
              <w:r>
                <w:rPr>
                  <w:rStyle w:val="InternetLink"/>
                  <w:rFonts w:ascii="Times New Roman" w:hAnsi="Times New Roman"/>
                  <w:color w:val="0000FF"/>
                  <w:sz w:val="20"/>
                  <w:u w:val="single"/>
                </w:rPr>
                <w:t>Form of Restricted Stock Unit Award Agreement under the Plans (incorporated by reference to Exhibit 4.5 to Mereo’s Form S-8 filed January 24, 2023 (File No. 333-269388))</w:t>
              </w:r>
            </w:hyperlink>
            <w:hyperlink r:id="rId66">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10_30.htm">
              <w:r>
                <w:rPr>
                  <w:rStyle w:val="InternetLink"/>
                  <w:rFonts w:ascii="Times New Roman" w:hAnsi="Times New Roman"/>
                  <w:color w:val="0000FF"/>
                  <w:sz w:val="20"/>
                  <w:u w:val="single"/>
                </w:rPr>
                <w:t>License Agreement, dated December 11, 2023, between Mereo BioPharma Group plc and ReproNovo SA.</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19.1*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hyperlink w:anchor="mreo-ex19_1.htm">
              <w:r>
                <w:rPr>
                  <w:rStyle w:val="InternetLink"/>
                  <w:rFonts w:ascii="Times New Roman" w:hAnsi="Times New Roman"/>
                  <w:color w:val="0000FF"/>
                  <w:sz w:val="20"/>
                  <w:u w:val="single"/>
                </w:rPr>
                <w:t>Insider Trading Policy</w:t>
              </w:r>
            </w:hyperlink>
            <w:hyperlink w:anchor="mreo-ex19_1.htm">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9248" w:type="dxa"/>
            <w:tcBorders/>
            <w:vAlign w:val="center"/>
          </w:tcPr>
          <w:p>
            <w:pPr>
              <w:pStyle w:val="TableContents"/>
              <w:bidi w:val="0"/>
              <w:spacing w:before="0" w:after="283"/>
              <w:jc w:val="left"/>
              <w:rPr/>
            </w:pPr>
            <w:r>
              <w:rPr/>
              <w:t> </w:t>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21.1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r:id="rId67">
              <w:r>
                <w:rPr>
                  <w:rStyle w:val="InternetLink"/>
                  <w:rFonts w:ascii="Times New Roman" w:hAnsi="Times New Roman"/>
                  <w:color w:val="0000FF"/>
                  <w:sz w:val="20"/>
                  <w:u w:val="single"/>
                </w:rPr>
                <w:t>List of Subsidiaries of Mereo BioPharma Group plc. (incorporated by reference to Exhibit 8.1 Mereo’s Form 20-F filed March 28, 2023 (File No. 001-38452))</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23_1.htm">
              <w:r>
                <w:rPr>
                  <w:rStyle w:val="InternetLink"/>
                  <w:rFonts w:ascii="Times New Roman" w:hAnsi="Times New Roman"/>
                  <w:color w:val="0000FF"/>
                  <w:sz w:val="20"/>
                  <w:u w:val="single"/>
                </w:rPr>
                <w:t>Consent of PricewaterhouseCoopers LLP, Independent Registered Public Accounting Firm.</w:t>
              </w:r>
            </w:hyperlink>
            <w:r>
              <w:rPr>
                <w:rFonts w:ascii="Times New Roman" w:hAnsi="Times New Roman"/>
                <w:color w:val="000000"/>
                <w:sz w:val="20"/>
              </w:rPr>
              <w:t xml:space="preserve">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power_of_attorney">
              <w:r>
                <w:rPr>
                  <w:rStyle w:val="InternetLink"/>
                  <w:rFonts w:ascii="Times New Roman" w:hAnsi="Times New Roman"/>
                  <w:color w:val="0000FF"/>
                  <w:sz w:val="20"/>
                  <w:u w:val="single"/>
                </w:rPr>
                <w:t>Power of Attorney (included on signature page of this report).</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31_1.htm">
              <w:r>
                <w:rPr>
                  <w:rStyle w:val="InternetLink"/>
                  <w:rFonts w:ascii="Times New Roman" w:hAnsi="Times New Roman"/>
                  <w:color w:val="0000FF"/>
                  <w:sz w:val="20"/>
                  <w:u w:val="single"/>
                </w:rPr>
                <w:t>Certification Pursuant to Section 302 of the Sarbanes-Oxley Act of 2002.</w:t>
              </w:r>
            </w:hyperlink>
            <w:hyperlink w:anchor="mreo-ex31_1.htm">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31_2.htm">
              <w:r>
                <w:rPr>
                  <w:rStyle w:val="InternetLink"/>
                  <w:rFonts w:ascii="Times New Roman" w:hAnsi="Times New Roman"/>
                  <w:color w:val="0000FF"/>
                  <w:sz w:val="20"/>
                  <w:u w:val="single"/>
                </w:rPr>
                <w:t>Certification Pursuant to Section 302 of the Sarbanes-Oxley Act of 2002.</w:t>
              </w:r>
            </w:hyperlink>
            <w:hyperlink w:anchor="mreo-ex31_2.htm">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32.1* </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32_1.htm">
              <w:r>
                <w:rPr>
                  <w:rStyle w:val="InternetLink"/>
                  <w:rFonts w:ascii="Times New Roman" w:hAnsi="Times New Roman"/>
                  <w:color w:val="0000FF"/>
                  <w:sz w:val="20"/>
                  <w:u w:val="single"/>
                </w:rPr>
                <w:t>Certification Pursuant to 18 U.S.C. Section 1350, as adopted pursuant to Section 906 of the Sarbanes-Oxley Act of 2002.</w:t>
              </w:r>
            </w:hyperlink>
            <w:hyperlink w:anchor="mreo-ex32_1.htm">
              <w:r>
                <w:rPr>
                  <w:rStyle w:val="InternetLink"/>
                  <w:rFonts w:ascii="Times New Roman" w:hAnsi="Times New Roman"/>
                  <w:color w:val="0000FF"/>
                  <w:sz w:val="20"/>
                </w:rPr>
                <w:t xml:space="preserve"> </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32_2.htm">
              <w:r>
                <w:rPr>
                  <w:rStyle w:val="InternetLink"/>
                  <w:rFonts w:ascii="Times New Roman" w:hAnsi="Times New Roman"/>
                  <w:color w:val="0000FF"/>
                  <w:sz w:val="20"/>
                  <w:u w:val="single"/>
                </w:rPr>
                <w:t>Certification Pursuant to 18 U.S.C. Section 1350, as adopted pursuant to Section 906 of the Sarbanes-Oxley Act of 2002</w:t>
              </w:r>
            </w:hyperlink>
            <w:r>
              <w:rPr>
                <w:rFonts w:ascii="Times New Roman" w:hAnsi="Times New Roman"/>
                <w:color w:val="000000"/>
                <w:sz w:val="20"/>
              </w:rPr>
              <w:t xml:space="preserve">. </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pPr>
            <w:hyperlink w:anchor="mreo-ex97_1.htm">
              <w:r>
                <w:rPr>
                  <w:rStyle w:val="InternetLink"/>
                  <w:rFonts w:ascii="Times New Roman" w:hAnsi="Times New Roman"/>
                  <w:color w:val="0000FF"/>
                  <w:sz w:val="20"/>
                  <w:u w:val="single"/>
                </w:rPr>
                <w:t>Mereo BioPharma Group plc Compensation Recovery Policy</w:t>
              </w:r>
            </w:hyperlink>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following materials from this Annual Report on Form 10-K formatted in XBRL (Extensible Business Reporting Language) are furnished herewith: (i) the Report of Independent Registered Public Accounting Firm, (ii) the consolidated statements of financial position data, (iii) the consolidated statements of comprehensive loss data, (iv) the consolidated statements of changes in shareholders’ equity (capital deficiency), (v) the consolidated statements of cash flows, and (vi) the notes to consolidated financial statements, in each case tagged as blocks of text and in detail.</w:t>
            </w:r>
          </w:p>
        </w:tc>
      </w:tr>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vAlign w:val="center"/>
          </w:tcPr>
          <w:p>
            <w:pPr>
              <w:pStyle w:val="TableContents"/>
              <w:bidi w:val="0"/>
              <w:spacing w:before="0" w:after="283"/>
              <w:jc w:val="left"/>
              <w:rPr>
                <w:sz w:val="4"/>
                <w:szCs w:val="4"/>
              </w:rPr>
            </w:pPr>
            <w:r>
              <w:rPr>
                <w:sz w:val="4"/>
                <w:szCs w:val="4"/>
              </w:rPr>
            </w:r>
          </w:p>
        </w:tc>
        <w:tc>
          <w:tcPr>
            <w:tcW w:w="9248"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xml:space="preserve"> Portions of this exhibit are subject to a previously filed confidential treatment order pursuant to Rule 406 under the Securities Act. </w:t>
      </w:r>
    </w:p>
    <w:p>
      <w:pPr>
        <w:pStyle w:val="TextBody"/>
        <w:bidi w:val="0"/>
        <w:jc w:val="left"/>
        <w:rPr>
          <w:rFonts w:ascii="Times New Roman" w:hAnsi="Times New Roman"/>
          <w:color w:val="000000"/>
          <w:sz w:val="20"/>
        </w:rPr>
      </w:pPr>
      <w:r>
        <w:rPr>
          <w:rFonts w:ascii="Times New Roman" w:hAnsi="Times New Roman"/>
          <w:color w:val="000000"/>
          <w:sz w:val="20"/>
        </w:rPr>
        <w:t xml:space="preserve"> Confidential portions of this exhibit were redacted pursuant to Item 601(b)(10) of Regulation S-K and the Company agrees to furnish supplementally to the Commission a copy of any omissions upon request. </w:t>
      </w:r>
    </w:p>
    <w:p>
      <w:pPr>
        <w:pStyle w:val="TextBody"/>
        <w:bidi w:val="0"/>
        <w:jc w:val="left"/>
        <w:rPr>
          <w:rFonts w:ascii="Times New Roman" w:hAnsi="Times New Roman"/>
          <w:color w:val="000000"/>
          <w:sz w:val="20"/>
        </w:rPr>
      </w:pPr>
      <w:r>
        <w:rPr>
          <w:rFonts w:ascii="Times New Roman" w:hAnsi="Times New Roman"/>
          <w:color w:val="000000"/>
          <w:sz w:val="20"/>
        </w:rPr>
        <w:t xml:space="preserve"> Certain portions of this exhibit have been omitted because they are not material and they are the type of information that the Registrant treats as private or confidential. </w:t>
      </w:r>
    </w:p>
    <w:p>
      <w:pPr>
        <w:pStyle w:val="TextBody"/>
        <w:bidi w:val="0"/>
        <w:spacing w:before="240" w:after="283"/>
        <w:jc w:val="left"/>
        <w:rPr>
          <w:rFonts w:ascii="Times New Roman" w:hAnsi="Times New Roman"/>
          <w:b/>
          <w:color w:val="000000"/>
          <w:sz w:val="20"/>
        </w:rPr>
      </w:pPr>
      <w:bookmarkStart w:id="27" w:name="item_16_form_10_k_summa"/>
      <w:bookmarkEnd w:id="27"/>
      <w:r>
        <w:rPr>
          <w:rFonts w:ascii="Times New Roman" w:hAnsi="Times New Roman"/>
          <w:b/>
          <w:color w:val="000000"/>
          <w:sz w:val="20"/>
        </w:rPr>
        <w:t>Item 16. Form 10</w:t>
        <w:noBreakHyphen/>
        <w:t>K Summary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Section 13 or 15(d) of the Securities Exchange Act of 1934, the registrant has duly caused this report to be signed on its behalf by the undersigned, hereunto duly authorized, on March 27, 2024.</w:t>
      </w:r>
    </w:p>
    <w:p>
      <w:pPr>
        <w:pStyle w:val="TextBody"/>
        <w:bidi w:val="0"/>
        <w:jc w:val="left"/>
        <w:rPr/>
      </w:pPr>
      <w:r>
        <w:rPr/>
        <w:t> </w:t>
      </w:r>
    </w:p>
    <w:tbl>
      <w:tblPr>
        <w:tblW w:w="3329" w:type="dxa"/>
        <w:jc w:val="left"/>
        <w:tblInd w:w="0" w:type="dxa"/>
        <w:tblLayout w:type="fixed"/>
        <w:tblCellMar>
          <w:top w:w="28" w:type="dxa"/>
          <w:left w:w="28" w:type="dxa"/>
          <w:bottom w:w="28" w:type="dxa"/>
          <w:right w:w="28" w:type="dxa"/>
        </w:tblCellMar>
      </w:tblPr>
      <w:tblGrid>
        <w:gridCol w:w="161"/>
        <w:gridCol w:w="406"/>
        <w:gridCol w:w="631"/>
        <w:gridCol w:w="2131"/>
      </w:tblGrid>
      <w:tr>
        <w:trPr/>
        <w:tc>
          <w:tcPr>
            <w:tcW w:w="16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6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Denise Scots-Knight</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13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Denise Scots-Knight</w:t>
            </w:r>
          </w:p>
        </w:tc>
      </w:tr>
      <w:tr>
        <w:trPr/>
        <w:tc>
          <w:tcPr>
            <w:tcW w:w="161"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63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131" w:type="dxa"/>
            <w:tcBorders/>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Chief Executive Officer</w:t>
            </w:r>
          </w:p>
        </w:tc>
      </w:tr>
    </w:tbl>
    <w:p>
      <w:pPr>
        <w:pStyle w:val="TextBody"/>
        <w:bidi w:val="0"/>
        <w:jc w:val="left"/>
        <w:rPr/>
      </w:pPr>
      <w:r>
        <w:rPr/>
        <w:t> </w:t>
      </w:r>
    </w:p>
    <w:p>
      <w:pPr>
        <w:pStyle w:val="TextBody"/>
        <w:bidi w:val="0"/>
        <w:jc w:val="center"/>
        <w:rPr>
          <w:rFonts w:ascii="Times New Roman" w:hAnsi="Times New Roman"/>
          <w:b/>
          <w:color w:val="000000"/>
          <w:sz w:val="20"/>
        </w:rPr>
      </w:pPr>
      <w:bookmarkStart w:id="29" w:name="power_of_attorney"/>
      <w:bookmarkEnd w:id="29"/>
      <w:r>
        <w:rPr>
          <w:rFonts w:ascii="Times New Roman" w:hAnsi="Times New Roman"/>
          <w:b/>
          <w:color w:val="000000"/>
          <w:sz w:val="20"/>
        </w:rPr>
        <w:t>POWER OF ATTORNEY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KNOW ALL PERSONS BY THESE PRESENTS, that each person whose signature appears below constitutes and appoints Denise Scots-Knight and Christine Fox, and each of them, as his or her true and lawful attorney-in-fact and agent, with full power of substitution and resubstitution, for him or her and in his or her name, place and stead, in any and all capacities, to sign any and all amendments to this Annual Report on Form 10</w:t>
        <w:noBreakHyphen/>
        <w:t>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or his substitute or substitutes, may lawfully do or cause to be done by virtue hereof.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March 27, 2024, in the capacities indicated.</w:t>
      </w:r>
    </w:p>
    <w:p>
      <w:pPr>
        <w:pStyle w:val="TextBody"/>
        <w:bidi w:val="0"/>
        <w:jc w:val="left"/>
        <w:rPr/>
      </w:pPr>
      <w:r>
        <w:rPr/>
        <w:t> </w:t>
      </w:r>
    </w:p>
    <w:tbl>
      <w:tblPr>
        <w:tblW w:w="7645" w:type="dxa"/>
        <w:jc w:val="left"/>
        <w:tblInd w:w="0" w:type="dxa"/>
        <w:tblLayout w:type="fixed"/>
        <w:tblCellMar>
          <w:top w:w="28" w:type="dxa"/>
          <w:left w:w="28" w:type="dxa"/>
          <w:bottom w:w="28" w:type="dxa"/>
          <w:right w:w="28" w:type="dxa"/>
        </w:tblCellMar>
      </w:tblPr>
      <w:tblGrid>
        <w:gridCol w:w="2086"/>
        <w:gridCol w:w="146"/>
        <w:gridCol w:w="3826"/>
        <w:gridCol w:w="146"/>
        <w:gridCol w:w="1441"/>
      </w:tblGrid>
      <w:tr>
        <w:trPr/>
        <w:tc>
          <w:tcPr>
            <w:tcW w:w="20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2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441" w:type="dxa"/>
            <w:tcBorders/>
            <w:shd w:fill="FFFFFF" w:val="clear"/>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2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08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Denise Scots-Knight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 and 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Denise Scots-Knight</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i/>
                <w:color w:val="000000"/>
                <w:sz w:val="20"/>
              </w:rPr>
            </w:pPr>
            <w:r>
              <w:rPr>
                <w:rFonts w:ascii="Times New Roman" w:hAnsi="Times New Roman"/>
                <w:i/>
                <w:color w:val="000000"/>
                <w:sz w:val="20"/>
              </w:rPr>
              <w:t>(Principal Executive Officer)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Christine Fox</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Christine Fox</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Principal Accounting and Financial Officer</w:t>
            </w:r>
            <w:r>
              <w:rPr>
                <w:rFonts w:ascii="Times New Roman" w:hAnsi="Times New Roman"/>
                <w:color w:val="000000"/>
                <w:sz w:val="20"/>
              </w:rPr>
              <w:t>)</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Michael Wyzga</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Wyzga</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Jeremy Bender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Jeremy Bender</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Anders Ekblom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Anders Ekblom</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Pierre Jacquet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Pierre Jacquet</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Annalisa Jenkins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Annalisa Jenkins</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Deepika Pakianathan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Deepika Pakianathan</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Justin Roberts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Justin Roberts</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Daniel Shames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Daniel Shames</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r>
        <w:trPr/>
        <w:tc>
          <w:tcPr>
            <w:tcW w:w="208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382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1441" w:type="dxa"/>
            <w:tcBorders/>
            <w:vAlign w:val="center"/>
          </w:tcPr>
          <w:p>
            <w:pPr>
              <w:pStyle w:val="TableContents"/>
              <w:bidi w:val="0"/>
              <w:spacing w:before="0" w:after="283"/>
              <w:jc w:val="lef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 Yoskowitz</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March 27, 2024</w:t>
            </w:r>
          </w:p>
        </w:tc>
      </w:tr>
      <w:tr>
        <w:trPr/>
        <w:tc>
          <w:tcPr>
            <w:tcW w:w="2086" w:type="dxa"/>
            <w:tcBorders/>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 Yoskowitz</w:t>
            </w:r>
          </w:p>
        </w:tc>
        <w:tc>
          <w:tcPr>
            <w:tcW w:w="146" w:type="dxa"/>
            <w:tcBorders/>
            <w:vAlign w:val="center"/>
          </w:tcPr>
          <w:p>
            <w:pPr>
              <w:pStyle w:val="TableContents"/>
              <w:bidi w:val="0"/>
              <w:spacing w:before="0" w:after="283"/>
              <w:jc w:val="center"/>
              <w:rPr/>
            </w:pPr>
            <w:r>
              <w:rPr/>
              <w:t> </w:t>
            </w:r>
          </w:p>
        </w:tc>
        <w:tc>
          <w:tcPr>
            <w:tcW w:w="3826" w:type="dxa"/>
            <w:tcBorders/>
            <w:vAlign w:val="center"/>
          </w:tcPr>
          <w:p>
            <w:pPr>
              <w:pStyle w:val="TableContents"/>
              <w:bidi w:val="0"/>
              <w:spacing w:before="0" w:after="283"/>
              <w:jc w:val="center"/>
              <w:rPr/>
            </w:pPr>
            <w:r>
              <w:rPr/>
              <w:t> </w:t>
            </w:r>
          </w:p>
        </w:tc>
        <w:tc>
          <w:tcPr>
            <w:tcW w:w="146" w:type="dxa"/>
            <w:tcBorders/>
            <w:vAlign w:val="center"/>
          </w:tcPr>
          <w:p>
            <w:pPr>
              <w:pStyle w:val="TableContents"/>
              <w:bidi w:val="0"/>
              <w:spacing w:before="0" w:after="283"/>
              <w:jc w:val="center"/>
              <w:rPr/>
            </w:pPr>
            <w:r>
              <w:rPr/>
              <w:t> </w:t>
            </w:r>
          </w:p>
        </w:tc>
        <w:tc>
          <w:tcPr>
            <w:tcW w:w="1441" w:type="dxa"/>
            <w:tcBorders/>
            <w:vAlign w:val="center"/>
          </w:tcPr>
          <w:p>
            <w:pPr>
              <w:pStyle w:val="TableContents"/>
              <w:bidi w:val="0"/>
              <w:spacing w:before="0" w:after="283"/>
              <w:jc w:val="center"/>
              <w:rPr/>
            </w:pPr>
            <w:r>
              <w:rPr/>
              <w:t> </w:t>
            </w:r>
          </w:p>
        </w:tc>
      </w:tr>
    </w:tbl>
    <w:p>
      <w:pPr>
        <w:pStyle w:val="TextBody"/>
        <w:bidi w:val="0"/>
        <w:jc w:val="left"/>
        <w:rPr/>
      </w:pPr>
      <w:bookmarkStart w:id="30" w:name="consolidatedstatementsofcomprehensivelos"/>
      <w:bookmarkStart w:id="31" w:name="consolidatedstatementsofcashflows_427062"/>
      <w:bookmarkStart w:id="32" w:name="consolidatedstatementsofoperations_36938"/>
      <w:bookmarkStart w:id="33" w:name="reportofindependentregisteredpublicaccou"/>
      <w:bookmarkStart w:id="34" w:name="consolidatedbalancesheets_720971"/>
      <w:bookmarkStart w:id="35" w:name="notestoconsolidatedfinancialstatements_2"/>
      <w:bookmarkStart w:id="36" w:name="consolidatedstatementsofchangesinequity_"/>
      <w:bookmarkEnd w:id="30"/>
      <w:bookmarkEnd w:id="31"/>
      <w:bookmarkEnd w:id="32"/>
      <w:bookmarkEnd w:id="33"/>
      <w:bookmarkEnd w:id="34"/>
      <w:bookmarkEnd w:id="35"/>
      <w:bookmarkEnd w:id="36"/>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jc w:val="left"/>
        <w:rPr/>
      </w:pPr>
      <w:r>
        <w:rPr/>
        <w:t> </w:t>
      </w:r>
    </w:p>
    <w:tbl>
      <w:tblPr>
        <w:tblW w:w="6831" w:type="dxa"/>
        <w:jc w:val="left"/>
        <w:tblInd w:w="0" w:type="dxa"/>
        <w:tblLayout w:type="fixed"/>
        <w:tblCellMar>
          <w:top w:w="28" w:type="dxa"/>
          <w:left w:w="28" w:type="dxa"/>
          <w:bottom w:w="28" w:type="dxa"/>
          <w:right w:w="28" w:type="dxa"/>
        </w:tblCellMar>
      </w:tblPr>
      <w:tblGrid>
        <w:gridCol w:w="6260"/>
        <w:gridCol w:w="571"/>
      </w:tblGrid>
      <w:tr>
        <w:trPr/>
        <w:tc>
          <w:tcPr>
            <w:tcW w:w="626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6260" w:type="dxa"/>
            <w:tcBorders/>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Audited Financial Statements</w:t>
            </w:r>
          </w:p>
        </w:tc>
        <w:tc>
          <w:tcPr>
            <w:tcW w:w="571"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reportofindependentregisteredpublicaccou">
              <w:r>
                <w:rPr>
                  <w:rStyle w:val="InternetLink"/>
                  <w:rFonts w:ascii="Times New Roman" w:hAnsi="Times New Roman"/>
                  <w:color w:val="0000FF"/>
                  <w:sz w:val="20"/>
                  <w:u w:val="single"/>
                </w:rPr>
                <w:t>Report of independent registered public accounting firm (PCAOB ID 876)</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F-2</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consolidated_balance_sheets">
              <w:r>
                <w:rPr>
                  <w:rStyle w:val="InternetLink"/>
                  <w:rFonts w:ascii="Times New Roman" w:hAnsi="Times New Roman"/>
                  <w:color w:val="0000FF"/>
                  <w:sz w:val="20"/>
                  <w:u w:val="single"/>
                </w:rPr>
                <w:t>Consolidated balance sheets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F-3</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statements_of_comprehensive_loss">
              <w:r>
                <w:rPr>
                  <w:rStyle w:val="InternetLink"/>
                  <w:rFonts w:ascii="Times New Roman" w:hAnsi="Times New Roman"/>
                  <w:color w:val="0000FF"/>
                  <w:sz w:val="20"/>
                  <w:u w:val="single"/>
                </w:rPr>
                <w:t>Consolidated statements of operations and comprehensive loss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F-4</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consolidated_statements_of_cash_flows">
              <w:r>
                <w:rPr>
                  <w:rStyle w:val="InternetLink"/>
                  <w:rFonts w:ascii="Times New Roman" w:hAnsi="Times New Roman"/>
                  <w:color w:val="0000FF"/>
                  <w:sz w:val="20"/>
                  <w:u w:val="single"/>
                </w:rPr>
                <w:t>Consolidated statements of cash flows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F-5</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statements_of_changes_in_equity">
              <w:r>
                <w:rPr>
                  <w:rStyle w:val="InternetLink"/>
                  <w:rFonts w:ascii="Times New Roman" w:hAnsi="Times New Roman"/>
                  <w:color w:val="0000FF"/>
                  <w:sz w:val="20"/>
                  <w:u w:val="single"/>
                </w:rPr>
                <w:t>Consolidated statements of changes in equity</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F-6</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hyperlink w:anchor="notes_consolidated_financial_statements">
              <w:r>
                <w:rPr>
                  <w:rStyle w:val="InternetLink"/>
                  <w:rFonts w:ascii="Times New Roman" w:hAnsi="Times New Roman"/>
                  <w:color w:val="0000FF"/>
                  <w:sz w:val="20"/>
                  <w:u w:val="single"/>
                </w:rPr>
                <w:t>Notes to consolidated financial statements</w:t>
              </w:r>
            </w:hyperlink>
          </w:p>
        </w:tc>
        <w:tc>
          <w:tcPr>
            <w:tcW w:w="571" w:type="dxa"/>
            <w:tcBorders/>
            <w:vAlign w:val="center"/>
          </w:tcPr>
          <w:p>
            <w:pPr>
              <w:pStyle w:val="TableContents"/>
              <w:pBdr/>
              <w:bidi w:val="0"/>
              <w:spacing w:before="0" w:after="283"/>
              <w:ind w:left="0" w:right="0" w:hanging="154"/>
              <w:jc w:val="center"/>
              <w:rPr>
                <w:rFonts w:ascii="Times New Roman" w:hAnsi="Times New Roman"/>
                <w:color w:val="000000"/>
                <w:sz w:val="20"/>
              </w:rPr>
            </w:pPr>
            <w:r>
              <w:rPr>
                <w:rFonts w:ascii="Times New Roman" w:hAnsi="Times New Roman"/>
                <w:color w:val="000000"/>
                <w:sz w:val="20"/>
              </w:rPr>
              <w:t>F-7</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r>
        <w:trPr/>
        <w:tc>
          <w:tcPr>
            <w:tcW w:w="6260" w:type="dxa"/>
            <w:tcBorders/>
            <w:vAlign w:val="center"/>
          </w:tcPr>
          <w:p>
            <w:pPr>
              <w:pStyle w:val="TableContents"/>
              <w:bidi w:val="0"/>
              <w:spacing w:before="0" w:after="283"/>
              <w:ind w:left="0" w:right="0" w:firstLine="154"/>
              <w:jc w:val="left"/>
              <w:rPr/>
            </w:pPr>
            <w:r>
              <w:rPr/>
              <w:t> </w:t>
            </w:r>
          </w:p>
        </w:tc>
        <w:tc>
          <w:tcPr>
            <w:tcW w:w="571" w:type="dxa"/>
            <w:tcBorders/>
            <w:vAlign w:val="center"/>
          </w:tcPr>
          <w:p>
            <w:pPr>
              <w:pStyle w:val="TableContents"/>
              <w:pBdr/>
              <w:bidi w:val="0"/>
              <w:spacing w:before="0" w:after="283"/>
              <w:ind w:left="0" w:right="0" w:hanging="154"/>
              <w:jc w:val="center"/>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the Board of Directors and Shareholders of Mereo BioPharma Group plc</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Mereo BioPharma Group plc and its subsidiaries (the “Company”) as of December 31, 2023 and December 31, 2022, and the related consolidated statements of operations and comprehensive loss, changes in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2023 and December 31, 2022, and the results of its operations and its cash flows for the years then ended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Basis for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r>
    </w:p>
    <w:p>
      <w:pPr>
        <w:pStyle w:val="TextBody"/>
        <w:bidi w:val="0"/>
        <w:jc w:val="left"/>
        <w:rPr>
          <w:rFonts w:ascii="Times New Roman" w:hAnsi="Times New Roman"/>
          <w:color w:val="000000"/>
          <w:sz w:val="20"/>
        </w:rPr>
      </w:pPr>
      <w:r>
        <w:rPr>
          <w:rFonts w:ascii="Times New Roman" w:hAnsi="Times New Roman"/>
          <w:color w:val="000000"/>
          <w:sz w:val="20"/>
        </w:rPr>
        <w:t>Reading, United Kingdom</w:t>
      </w:r>
    </w:p>
    <w:p>
      <w:pPr>
        <w:pStyle w:val="TextBody"/>
        <w:bidi w:val="0"/>
        <w:jc w:val="left"/>
        <w:rPr>
          <w:rFonts w:ascii="Times New Roman" w:hAnsi="Times New Roman"/>
          <w:color w:val="000000"/>
          <w:sz w:val="20"/>
        </w:rPr>
      </w:pPr>
      <w:r>
        <w:rPr>
          <w:rFonts w:ascii="Times New Roman" w:hAnsi="Times New Roman"/>
          <w:color w:val="000000"/>
          <w:sz w:val="20"/>
        </w:rPr>
        <w:t>March 27,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2023.</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MEREO BIOPHARMA GROUP PLC</w:t>
      </w:r>
    </w:p>
    <w:p>
      <w:pPr>
        <w:pStyle w:val="TextBody"/>
        <w:bidi w:val="0"/>
        <w:jc w:val="center"/>
        <w:rPr>
          <w:rFonts w:ascii="Times New Roman" w:hAnsi="Times New Roman"/>
          <w:color w:val="000000"/>
          <w:sz w:val="20"/>
        </w:rPr>
      </w:pPr>
      <w:bookmarkStart w:id="37" w:name="consolidated_balance_sheets"/>
      <w:bookmarkEnd w:id="37"/>
      <w:r>
        <w:rPr>
          <w:rFonts w:ascii="Times New Roman" w:hAnsi="Times New Roman"/>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252"/>
        <w:gridCol w:w="946"/>
        <w:gridCol w:w="211"/>
        <w:gridCol w:w="841"/>
        <w:gridCol w:w="166"/>
        <w:gridCol w:w="146"/>
        <w:gridCol w:w="211"/>
        <w:gridCol w:w="841"/>
        <w:gridCol w:w="591"/>
      </w:tblGrid>
      <w:tr>
        <w:trPr/>
        <w:tc>
          <w:tcPr>
            <w:tcW w:w="625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252" w:type="dxa"/>
            <w:tcBorders/>
            <w:shd w:fill="FFFFFF" w:val="clear"/>
            <w:vAlign w:val="center"/>
          </w:tcPr>
          <w:p>
            <w:pPr>
              <w:pStyle w:val="TableContents"/>
              <w:bidi w:val="0"/>
              <w:spacing w:before="0" w:after="283"/>
              <w:jc w:val="center"/>
              <w:rPr/>
            </w:pPr>
            <w:r>
              <w:rPr/>
              <w:t> </w:t>
            </w:r>
          </w:p>
        </w:tc>
        <w:tc>
          <w:tcPr>
            <w:tcW w:w="946" w:type="dxa"/>
            <w:tcBorders/>
            <w:shd w:fill="FFFFFF" w:val="cle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2" w:type="dxa"/>
            <w:tcBorders/>
            <w:shd w:fill="FFFFFF" w:val="clear"/>
            <w:vAlign w:val="center"/>
          </w:tcPr>
          <w:p>
            <w:pPr>
              <w:pStyle w:val="TableContents"/>
              <w:bidi w:val="0"/>
              <w:spacing w:before="0" w:after="283"/>
              <w:jc w:val="left"/>
              <w:rPr>
                <w:sz w:val="4"/>
                <w:szCs w:val="4"/>
              </w:rPr>
            </w:pPr>
            <w:r>
              <w:rPr>
                <w:sz w:val="4"/>
                <w:szCs w:val="4"/>
              </w:rPr>
            </w:r>
          </w:p>
        </w:tc>
        <w:tc>
          <w:tcPr>
            <w:tcW w:w="946" w:type="dxa"/>
            <w:tcBorders/>
            <w:shd w:fill="FFFFFF" w:val="cle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9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25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Current assets:</w:t>
            </w:r>
          </w:p>
        </w:tc>
        <w:tc>
          <w:tcPr>
            <w:tcW w:w="946" w:type="dxa"/>
            <w:tcBorders/>
            <w:shd w:fill="FFFFFF" w:val="clear"/>
            <w:vAlign w:val="center"/>
          </w:tcPr>
          <w:p>
            <w:pPr>
              <w:pStyle w:val="TableContents"/>
              <w:bidi w:val="0"/>
              <w:spacing w:before="0" w:after="283"/>
              <w:ind w:left="400" w:right="0" w:firstLine="400"/>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625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Cash and cash equivalents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57,421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68,182</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5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Prepaid expenses and other current assets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25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Research and development incentives receivables</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9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63,760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75,197</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and equipment, net</w:t>
            </w:r>
          </w:p>
        </w:tc>
        <w:tc>
          <w:tcPr>
            <w:tcW w:w="9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52"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right-of-use assets</w:t>
            </w:r>
          </w:p>
        </w:tc>
        <w:tc>
          <w:tcPr>
            <w:tcW w:w="946" w:type="dxa"/>
            <w:tcBorders/>
            <w:shd w:fill="FFFFFF" w:val="clear"/>
            <w:vAlign w:val="center"/>
          </w:tcPr>
          <w:p>
            <w:pPr>
              <w:pStyle w:val="TableContents"/>
              <w:bidi w:val="0"/>
              <w:spacing w:before="0" w:after="283"/>
              <w:ind w:left="400" w:right="0" w:firstLine="4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Intangible assets</w:t>
            </w:r>
          </w:p>
        </w:tc>
        <w:tc>
          <w:tcPr>
            <w:tcW w:w="946" w:type="dxa"/>
            <w:tcBorders/>
            <w:shd w:fill="CFF0FC" w:val="clear"/>
            <w:vAlign w:val="center"/>
          </w:tcPr>
          <w:p>
            <w:pPr>
              <w:pStyle w:val="TableContents"/>
              <w:bidi w:val="0"/>
              <w:spacing w:before="0" w:after="283"/>
              <w:ind w:left="400" w:right="0" w:firstLine="4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9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77,413</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52"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Liabilities</w:t>
            </w:r>
          </w:p>
        </w:tc>
        <w:tc>
          <w:tcPr>
            <w:tcW w:w="946" w:type="dxa"/>
            <w:tcBorders/>
            <w:shd w:fill="CFF0FC" w:val="clear"/>
            <w:vAlign w:val="center"/>
          </w:tcPr>
          <w:p>
            <w:pPr>
              <w:pStyle w:val="TableContents"/>
              <w:bidi w:val="0"/>
              <w:spacing w:before="0" w:after="283"/>
              <w:ind w:left="200" w:right="0" w:firstLine="200"/>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ind w:left="0" w:right="0" w:firstLine="200"/>
              <w:jc w:val="right"/>
              <w:rPr/>
            </w:pPr>
            <w:r>
              <w:rPr/>
              <w:t> </w:t>
            </w:r>
          </w:p>
        </w:tc>
      </w:tr>
      <w:tr>
        <w:trPr/>
        <w:tc>
          <w:tcPr>
            <w:tcW w:w="6252"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Current liabilities:</w:t>
            </w:r>
          </w:p>
        </w:tc>
        <w:tc>
          <w:tcPr>
            <w:tcW w:w="946" w:type="dxa"/>
            <w:tcBorders/>
            <w:shd w:fill="FFFFFF" w:val="clear"/>
            <w:vAlign w:val="center"/>
          </w:tcPr>
          <w:p>
            <w:pPr>
              <w:pStyle w:val="TableContents"/>
              <w:bidi w:val="0"/>
              <w:spacing w:before="0" w:after="283"/>
              <w:ind w:left="600" w:right="0" w:firstLine="600"/>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ind w:left="0" w:right="0" w:firstLine="400"/>
              <w:jc w:val="right"/>
              <w:rPr/>
            </w:pPr>
            <w:r>
              <w:rPr/>
              <w:t> </w:t>
            </w:r>
          </w:p>
        </w:tc>
      </w:tr>
      <w:tr>
        <w:trPr/>
        <w:tc>
          <w:tcPr>
            <w:tcW w:w="625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Accounts payable</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3,492</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5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Accrued expenses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25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Convertible loan notes – current</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13,326</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5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Warrant liabilities – current</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591" w:type="dxa"/>
            <w:tcBorders/>
            <w:shd w:fill="FFFFFF" w:val="clear"/>
            <w:vAlign w:val="center"/>
          </w:tcPr>
          <w:p>
            <w:pPr>
              <w:pStyle w:val="TableContents"/>
              <w:bidi w:val="0"/>
              <w:spacing w:before="0" w:after="283"/>
              <w:ind w:left="0" w:right="0" w:firstLine="400"/>
              <w:jc w:val="left"/>
              <w:rPr/>
            </w:pPr>
            <w:r>
              <w:rPr/>
              <w:t> </w:t>
            </w:r>
          </w:p>
        </w:tc>
      </w:tr>
      <w:tr>
        <w:trPr/>
        <w:tc>
          <w:tcPr>
            <w:tcW w:w="6252" w:type="dxa"/>
            <w:tcBorders/>
            <w:shd w:fill="CFF0FC"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Operating lease liabilities – current</w:t>
            </w:r>
          </w:p>
        </w:tc>
        <w:tc>
          <w:tcPr>
            <w:tcW w:w="946" w:type="dxa"/>
            <w:tcBorders/>
            <w:shd w:fill="CFF0FC" w:val="clear"/>
            <w:vAlign w:val="center"/>
          </w:tcPr>
          <w:p>
            <w:pPr>
              <w:pStyle w:val="TableContents"/>
              <w:bidi w:val="0"/>
              <w:spacing w:before="0" w:after="283"/>
              <w:ind w:left="800" w:right="0" w:firstLine="8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591" w:type="dxa"/>
            <w:tcBorders/>
            <w:shd w:fill="CFF0FC" w:val="clear"/>
            <w:vAlign w:val="center"/>
          </w:tcPr>
          <w:p>
            <w:pPr>
              <w:pStyle w:val="TableContents"/>
              <w:bidi w:val="0"/>
              <w:spacing w:before="0" w:after="283"/>
              <w:ind w:left="0" w:right="0" w:firstLine="400"/>
              <w:jc w:val="left"/>
              <w:rPr/>
            </w:pPr>
            <w:r>
              <w:rPr/>
              <w:t> </w:t>
            </w:r>
          </w:p>
        </w:tc>
      </w:tr>
      <w:tr>
        <w:trPr/>
        <w:tc>
          <w:tcPr>
            <w:tcW w:w="6252" w:type="dxa"/>
            <w:tcBorders/>
            <w:shd w:fill="FFFFFF" w:val="cle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Other current liabilities</w:t>
            </w:r>
          </w:p>
        </w:tc>
        <w:tc>
          <w:tcPr>
            <w:tcW w:w="946" w:type="dxa"/>
            <w:tcBorders/>
            <w:shd w:fill="FFFFFF" w:val="clear"/>
            <w:vAlign w:val="center"/>
          </w:tcPr>
          <w:p>
            <w:pPr>
              <w:pStyle w:val="TableContents"/>
              <w:bidi w:val="0"/>
              <w:spacing w:before="0" w:after="283"/>
              <w:ind w:left="800" w:right="0" w:firstLine="8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946" w:type="dxa"/>
            <w:tcBorders/>
            <w:shd w:fill="CFF0FC" w:val="clear"/>
            <w:vAlign w:val="center"/>
          </w:tcPr>
          <w:p>
            <w:pPr>
              <w:pStyle w:val="TableContents"/>
              <w:bidi w:val="0"/>
              <w:spacing w:before="0" w:after="283"/>
              <w:ind w:left="400" w:right="0" w:firstLine="4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52"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Convertible loan notes – non current</w:t>
            </w:r>
          </w:p>
        </w:tc>
        <w:tc>
          <w:tcPr>
            <w:tcW w:w="946" w:type="dxa"/>
            <w:tcBorders/>
            <w:shd w:fill="FFFFFF" w:val="clear"/>
            <w:vAlign w:val="center"/>
          </w:tcPr>
          <w:p>
            <w:pPr>
              <w:pStyle w:val="TableContents"/>
              <w:bidi w:val="0"/>
              <w:spacing w:before="0" w:after="283"/>
              <w:ind w:left="600" w:right="0" w:firstLine="6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color w:val="000000"/>
              </w:rPr>
            </w:pPr>
            <w:r>
              <w:rPr>
                <w:color w:val="000000"/>
              </w:rPr>
              <w:t>—</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Warrant liabilities – non current</w:t>
            </w:r>
          </w:p>
        </w:tc>
        <w:tc>
          <w:tcPr>
            <w:tcW w:w="946" w:type="dxa"/>
            <w:tcBorders/>
            <w:shd w:fill="CFF0FC" w:val="clear"/>
            <w:vAlign w:val="center"/>
          </w:tcPr>
          <w:p>
            <w:pPr>
              <w:pStyle w:val="TableContents"/>
              <w:bidi w:val="0"/>
              <w:spacing w:before="0" w:after="283"/>
              <w:ind w:left="600" w:right="0" w:firstLine="6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591" w:type="dxa"/>
            <w:tcBorders/>
            <w:shd w:fill="CFF0FC" w:val="clear"/>
            <w:vAlign w:val="center"/>
          </w:tcPr>
          <w:p>
            <w:pPr>
              <w:pStyle w:val="TableContents"/>
              <w:bidi w:val="0"/>
              <w:spacing w:before="0" w:after="283"/>
              <w:ind w:left="0" w:right="0" w:firstLine="200"/>
              <w:jc w:val="left"/>
              <w:rPr/>
            </w:pPr>
            <w:r>
              <w:rPr/>
              <w:t> </w:t>
            </w:r>
          </w:p>
        </w:tc>
      </w:tr>
      <w:tr>
        <w:trPr/>
        <w:tc>
          <w:tcPr>
            <w:tcW w:w="6252" w:type="dxa"/>
            <w:tcBorders/>
            <w:shd w:fill="FFFFFF"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Operating lease liabilities – non current</w:t>
            </w:r>
          </w:p>
        </w:tc>
        <w:tc>
          <w:tcPr>
            <w:tcW w:w="946" w:type="dxa"/>
            <w:tcBorders/>
            <w:shd w:fill="FFFFFF" w:val="clear"/>
            <w:vAlign w:val="center"/>
          </w:tcPr>
          <w:p>
            <w:pPr>
              <w:pStyle w:val="TableContents"/>
              <w:bidi w:val="0"/>
              <w:spacing w:before="0" w:after="283"/>
              <w:ind w:left="600" w:right="0" w:firstLine="6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Other non-current liabilities</w:t>
            </w:r>
          </w:p>
        </w:tc>
        <w:tc>
          <w:tcPr>
            <w:tcW w:w="946" w:type="dxa"/>
            <w:tcBorders/>
            <w:shd w:fill="CFF0FC" w:val="clear"/>
            <w:vAlign w:val="center"/>
          </w:tcPr>
          <w:p>
            <w:pPr>
              <w:pStyle w:val="TableContents"/>
              <w:bidi w:val="0"/>
              <w:spacing w:before="0" w:after="283"/>
              <w:ind w:left="600" w:right="0" w:firstLine="6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9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15,962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26,011</w:t>
            </w:r>
          </w:p>
        </w:tc>
        <w:tc>
          <w:tcPr>
            <w:tcW w:w="591" w:type="dxa"/>
            <w:tcBorders/>
            <w:shd w:fill="FFFFFF" w:val="clear"/>
            <w:vAlign w:val="center"/>
          </w:tcPr>
          <w:p>
            <w:pPr>
              <w:pStyle w:val="TableContents"/>
              <w:bidi w:val="0"/>
              <w:spacing w:before="0" w:after="283"/>
              <w:ind w:left="0" w:right="0" w:firstLine="200"/>
              <w:jc w:val="left"/>
              <w:rPr/>
            </w:pPr>
            <w:r>
              <w:rPr/>
              <w:t> </w:t>
            </w:r>
          </w:p>
        </w:tc>
      </w:tr>
      <w:tr>
        <w:trPr/>
        <w:tc>
          <w:tcPr>
            <w:tcW w:w="625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Commitments and contingencies (note 19)</w:t>
            </w:r>
          </w:p>
        </w:tc>
        <w:tc>
          <w:tcPr>
            <w:tcW w:w="9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591" w:type="dxa"/>
            <w:tcBorders/>
            <w:shd w:fill="CFF0FC" w:val="clear"/>
            <w:vAlign w:val="center"/>
          </w:tcPr>
          <w:p>
            <w:pPr>
              <w:pStyle w:val="TableContents"/>
              <w:bidi w:val="0"/>
              <w:spacing w:before="0" w:after="283"/>
              <w:jc w:val="right"/>
              <w:rPr/>
            </w:pPr>
            <w:r>
              <w:rPr/>
              <w:t> </w:t>
            </w:r>
          </w:p>
        </w:tc>
      </w:tr>
      <w:tr>
        <w:trPr/>
        <w:tc>
          <w:tcPr>
            <w:tcW w:w="6252"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52" w:type="dxa"/>
            <w:tcBorders/>
            <w:shd w:fill="FFFFFF"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Shareholders’ Equity</w:t>
            </w:r>
          </w:p>
        </w:tc>
        <w:tc>
          <w:tcPr>
            <w:tcW w:w="946" w:type="dxa"/>
            <w:tcBorders/>
            <w:shd w:fill="FFFFFF" w:val="clear"/>
            <w:vAlign w:val="center"/>
          </w:tcPr>
          <w:p>
            <w:pPr>
              <w:pStyle w:val="TableContents"/>
              <w:bidi w:val="0"/>
              <w:spacing w:before="0" w:after="283"/>
              <w:ind w:left="200" w:right="0" w:firstLine="200"/>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right"/>
              <w:rPr/>
            </w:pPr>
            <w:r>
              <w:rPr/>
              <w:t> </w:t>
            </w:r>
          </w:p>
        </w:tc>
        <w:tc>
          <w:tcPr>
            <w:tcW w:w="591" w:type="dxa"/>
            <w:tcBorders/>
            <w:shd w:fill="FFFFFF" w:val="clear"/>
            <w:vAlign w:val="center"/>
          </w:tcPr>
          <w:p>
            <w:pPr>
              <w:pStyle w:val="TableContents"/>
              <w:bidi w:val="0"/>
              <w:spacing w:before="0" w:after="283"/>
              <w:jc w:val="right"/>
              <w:rPr/>
            </w:pPr>
            <w:r>
              <w:rPr/>
              <w:t> </w:t>
            </w:r>
          </w:p>
        </w:tc>
      </w:tr>
      <w:tr>
        <w:trPr/>
        <w:tc>
          <w:tcPr>
            <w:tcW w:w="6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Ordinary shares, par value £0.003 per share; 701,217,089 shares issued at December 31, 2023 (2022: 624,928,519).</w:t>
            </w:r>
          </w:p>
        </w:tc>
        <w:tc>
          <w:tcPr>
            <w:tcW w:w="9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591" w:type="dxa"/>
            <w:tcBorders/>
            <w:shd w:fill="CFF0FC" w:val="clear"/>
            <w:vAlign w:val="center"/>
          </w:tcPr>
          <w:p>
            <w:pPr>
              <w:pStyle w:val="TableContents"/>
              <w:bidi w:val="0"/>
              <w:spacing w:before="0" w:after="283"/>
              <w:jc w:val="left"/>
              <w:rPr/>
            </w:pPr>
            <w:r>
              <w:rPr/>
              <w:t> </w:t>
            </w:r>
          </w:p>
        </w:tc>
      </w:tr>
      <w:tr>
        <w:trPr/>
        <w:tc>
          <w:tcPr>
            <w:tcW w:w="6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Treasury shares</w:t>
            </w:r>
          </w:p>
        </w:tc>
        <w:tc>
          <w:tcPr>
            <w:tcW w:w="9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946" w:type="dxa"/>
            <w:tcBorders/>
            <w:shd w:fill="CFF0FC" w:val="clear"/>
            <w:vAlign w:val="center"/>
          </w:tcPr>
          <w:p>
            <w:pPr>
              <w:pStyle w:val="TableContents"/>
              <w:bidi w:val="0"/>
              <w:spacing w:before="0" w:after="283"/>
              <w:ind w:left="200" w:right="0" w:firstLine="200"/>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486,107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476,521</w:t>
            </w:r>
          </w:p>
        </w:tc>
        <w:tc>
          <w:tcPr>
            <w:tcW w:w="591" w:type="dxa"/>
            <w:tcBorders/>
            <w:shd w:fill="CFF0FC" w:val="clear"/>
            <w:vAlign w:val="center"/>
          </w:tcPr>
          <w:p>
            <w:pPr>
              <w:pStyle w:val="TableContents"/>
              <w:bidi w:val="0"/>
              <w:spacing w:before="0" w:after="283"/>
              <w:jc w:val="left"/>
              <w:rPr/>
            </w:pPr>
            <w:r>
              <w:rPr/>
              <w:t> </w:t>
            </w:r>
          </w:p>
        </w:tc>
      </w:tr>
      <w:tr>
        <w:trPr/>
        <w:tc>
          <w:tcPr>
            <w:tcW w:w="6252"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946" w:type="dxa"/>
            <w:tcBorders/>
            <w:shd w:fill="FFFFFF" w:val="clear"/>
            <w:vAlign w:val="center"/>
          </w:tcPr>
          <w:p>
            <w:pPr>
              <w:pStyle w:val="TableContents"/>
              <w:bidi w:val="0"/>
              <w:spacing w:before="0" w:after="283"/>
              <w:ind w:left="200" w:right="0" w:firstLine="200"/>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(419,630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(404,575</w:t>
            </w:r>
          </w:p>
        </w:tc>
        <w:tc>
          <w:tcPr>
            <w:tcW w:w="59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2"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9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(21,687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5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9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51,402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52" w:type="dxa"/>
            <w:tcBorders/>
            <w:shd w:fill="CFF0FC" w:val="clear"/>
            <w:vAlign w:val="center"/>
          </w:tcPr>
          <w:p>
            <w:pPr>
              <w:pStyle w:val="TableContents"/>
              <w:bidi w:val="0"/>
              <w:spacing w:before="0" w:after="283"/>
              <w:ind w:left="0" w:right="0" w:firstLine="200"/>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946" w:type="dxa"/>
            <w:tcBorders/>
            <w:shd w:fill="CFF0FC" w:val="clear"/>
            <w:vAlign w:val="center"/>
          </w:tcPr>
          <w:p>
            <w:pPr>
              <w:pStyle w:val="TableContents"/>
              <w:bidi w:val="0"/>
              <w:spacing w:before="0" w:after="283"/>
              <w:ind w:left="200" w:right="0" w:firstLine="200"/>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66,499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77,413</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MEREO BIOPHARMA GROUP PLC</w:t>
      </w:r>
    </w:p>
    <w:p>
      <w:pPr>
        <w:pStyle w:val="TextBody"/>
        <w:bidi w:val="0"/>
        <w:jc w:val="center"/>
        <w:rPr>
          <w:rFonts w:ascii="Times New Roman" w:hAnsi="Times New Roman"/>
          <w:color w:val="000000"/>
          <w:sz w:val="20"/>
        </w:rPr>
      </w:pPr>
      <w:bookmarkStart w:id="38" w:name="statements_of_comprehensive_loss"/>
      <w:bookmarkEnd w:id="38"/>
      <w:r>
        <w:rPr>
          <w:rFonts w:ascii="Times New Roman" w:hAnsi="Times New Roman"/>
          <w:color w:val="000000"/>
          <w:sz w:val="20"/>
        </w:rPr>
        <w:t>CONSOLIDATED STATEMENTS OF OPERATIONS AND COMPREHENSIVE LOSS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2"/>
        <w:gridCol w:w="146"/>
        <w:gridCol w:w="211"/>
        <w:gridCol w:w="1141"/>
        <w:gridCol w:w="166"/>
        <w:gridCol w:w="146"/>
        <w:gridCol w:w="211"/>
        <w:gridCol w:w="1141"/>
        <w:gridCol w:w="411"/>
      </w:tblGrid>
      <w:tr>
        <w:trPr/>
        <w:tc>
          <w:tcPr>
            <w:tcW w:w="66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0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411" w:type="dxa"/>
            <w:tcBorders/>
            <w:shd w:fill="CFF0FC"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ind w:left="0" w:right="0" w:firstLine="200"/>
              <w:jc w:val="right"/>
              <w:rPr/>
            </w:pPr>
            <w:r>
              <w:rPr/>
              <w:t> </w:t>
            </w:r>
          </w:p>
        </w:tc>
      </w:tr>
      <w:tr>
        <w:trPr/>
        <w:tc>
          <w:tcPr>
            <w:tcW w:w="66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6632"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(29,465</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(28,416</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(54,426</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income/(expenses)</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352" w:type="dxa"/>
            <w:gridSpan w:val="2"/>
            <w:tcBorders/>
            <w:shd w:fill="CFF0FC" w:val="clear"/>
            <w:vAlign w:val="center"/>
          </w:tcPr>
          <w:p>
            <w:pPr>
              <w:pStyle w:val="TableContents"/>
              <w:bidi w:val="0"/>
              <w:spacing w:before="0" w:after="283"/>
              <w:jc w:val="right"/>
              <w:rPr/>
            </w:pPr>
            <w:r>
              <w:rPr/>
              <w:t> </w:t>
            </w:r>
          </w:p>
        </w:tc>
        <w:tc>
          <w:tcPr>
            <w:tcW w:w="411" w:type="dxa"/>
            <w:tcBorders/>
            <w:shd w:fill="CFF0FC" w:val="clear"/>
            <w:vAlign w:val="center"/>
          </w:tcPr>
          <w:p>
            <w:pPr>
              <w:pStyle w:val="TableContents"/>
              <w:bidi w:val="0"/>
              <w:spacing w:before="0" w:after="283"/>
              <w:jc w:val="right"/>
              <w:rPr/>
            </w:pPr>
            <w:r>
              <w:rPr/>
              <w:t> </w:t>
            </w:r>
          </w:p>
        </w:tc>
      </w:tr>
      <w:tr>
        <w:trPr/>
        <w:tc>
          <w:tcPr>
            <w:tcW w:w="6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w:t>
            </w:r>
          </w:p>
        </w:tc>
        <w:tc>
          <w:tcPr>
            <w:tcW w:w="411" w:type="dxa"/>
            <w:tcBorders/>
            <w:shd w:fill="FFFFFF" w:val="clear"/>
            <w:vAlign w:val="center"/>
          </w:tcPr>
          <w:p>
            <w:pPr>
              <w:pStyle w:val="TableContents"/>
              <w:bidi w:val="0"/>
              <w:spacing w:before="0" w:after="283"/>
              <w:jc w:val="left"/>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the fair value of financial instruments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411" w:type="dxa"/>
            <w:tcBorders/>
            <w:shd w:fill="FFFFFF" w:val="clear"/>
            <w:vAlign w:val="center"/>
          </w:tcPr>
          <w:p>
            <w:pPr>
              <w:pStyle w:val="TableContents"/>
              <w:bidi w:val="0"/>
              <w:spacing w:before="0" w:after="283"/>
              <w:jc w:val="left"/>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transaction (loss)/gain, net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411" w:type="dxa"/>
            <w:tcBorders/>
            <w:shd w:fill="CFF0FC" w:val="cle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(expenses)/income,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1,086</w:t>
            </w:r>
          </w:p>
        </w:tc>
        <w:tc>
          <w:tcPr>
            <w:tcW w:w="411" w:type="dxa"/>
            <w:tcBorders/>
            <w:shd w:fill="FFFFFF" w:val="clear"/>
            <w:vAlign w:val="center"/>
          </w:tcPr>
          <w:p>
            <w:pPr>
              <w:pStyle w:val="TableContents"/>
              <w:bidi w:val="0"/>
              <w:spacing w:before="0" w:after="283"/>
              <w:jc w:val="left"/>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from research and development tax credit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 before income tax</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(42,938</w:t>
            </w:r>
          </w:p>
        </w:tc>
        <w:tc>
          <w:tcPr>
            <w:tcW w:w="4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per share –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outstanding –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659,453,921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603,196,403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352" w:type="dxa"/>
            <w:gridSpan w:val="2"/>
            <w:tcBorders/>
            <w:shd w:fill="FFFFFF" w:val="clear"/>
            <w:vAlign w:val="center"/>
          </w:tcPr>
          <w:p>
            <w:pPr>
              <w:pStyle w:val="TableContents"/>
              <w:bidi w:val="0"/>
              <w:spacing w:before="0" w:after="283"/>
              <w:jc w:val="right"/>
              <w:rPr/>
            </w:pPr>
            <w:r>
              <w:rPr/>
              <w:t> </w:t>
            </w:r>
          </w:p>
        </w:tc>
        <w:tc>
          <w:tcPr>
            <w:tcW w:w="411" w:type="dxa"/>
            <w:tcBorders/>
            <w:shd w:fill="FFFFFF" w:val="clear"/>
            <w:vAlign w:val="center"/>
          </w:tcPr>
          <w:p>
            <w:pPr>
              <w:pStyle w:val="TableContents"/>
              <w:bidi w:val="0"/>
              <w:spacing w:before="0" w:after="283"/>
              <w:jc w:val="right"/>
              <w:rPr/>
            </w:pPr>
            <w:r>
              <w:rPr/>
              <w:t> </w:t>
            </w:r>
          </w:p>
        </w:tc>
      </w:tr>
      <w:tr>
        <w:trPr/>
        <w:tc>
          <w:tcPr>
            <w:tcW w:w="6632"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4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income/(loss) – Foreign currency transaction adjustments, net of tax</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2"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comprehensive loss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(52,880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MEREO BIOPHARMA GROUP PLC </w:t>
      </w:r>
    </w:p>
    <w:p>
      <w:pPr>
        <w:pStyle w:val="TextBody"/>
        <w:bidi w:val="0"/>
        <w:jc w:val="center"/>
        <w:rPr>
          <w:rFonts w:ascii="Times New Roman" w:hAnsi="Times New Roman"/>
          <w:color w:val="000000"/>
          <w:sz w:val="20"/>
        </w:rPr>
      </w:pPr>
      <w:bookmarkStart w:id="39" w:name="consolidated_statements_of_cash_flows"/>
      <w:bookmarkEnd w:id="39"/>
      <w:r>
        <w:rPr>
          <w:rFonts w:ascii="Times New Roman" w:hAnsi="Times New Roman"/>
          <w:color w:val="000000"/>
          <w:sz w:val="20"/>
        </w:rPr>
        <w:t xml:space="preserve">CONSOLIDATED STATEMENTS OF CASH FLOWS </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left"/>
        <w:rPr/>
      </w:pPr>
      <w:r>
        <w:rPr/>
        <w:t> </w:t>
      </w:r>
    </w:p>
    <w:tbl>
      <w:tblPr>
        <w:tblW w:w="9951" w:type="dxa"/>
        <w:jc w:val="left"/>
        <w:tblInd w:w="0" w:type="dxa"/>
        <w:tblLayout w:type="fixed"/>
        <w:tblCellMar>
          <w:top w:w="28" w:type="dxa"/>
          <w:left w:w="28" w:type="dxa"/>
          <w:bottom w:w="28" w:type="dxa"/>
          <w:right w:w="28" w:type="dxa"/>
        </w:tblCellMar>
      </w:tblPr>
      <w:tblGrid>
        <w:gridCol w:w="6931"/>
        <w:gridCol w:w="146"/>
        <w:gridCol w:w="212"/>
        <w:gridCol w:w="740"/>
        <w:gridCol w:w="167"/>
        <w:gridCol w:w="146"/>
        <w:gridCol w:w="212"/>
        <w:gridCol w:w="786"/>
        <w:gridCol w:w="611"/>
      </w:tblGrid>
      <w:tr>
        <w:trPr/>
        <w:tc>
          <w:tcPr>
            <w:tcW w:w="6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4,924</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4,768</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Depreciation</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intangible assets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Amortization of operating lease right-of-use assets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708</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Change in fair value of warrants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(9,286</w:t>
            </w:r>
          </w:p>
        </w:tc>
        <w:tc>
          <w:tcPr>
            <w:tcW w:w="611" w:type="dxa"/>
            <w:tcBorders/>
            <w:shd w:fill="FFFFFF"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4,103</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Foreign currency transaction loss/(gain)</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2,347</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(2,723</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Other (income)/expenses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400"/>
              <w:jc w:val="righ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Research and development incentives receivable</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(3,467</w:t>
            </w:r>
          </w:p>
        </w:tc>
        <w:tc>
          <w:tcPr>
            <w:tcW w:w="611" w:type="dxa"/>
            <w:tcBorders/>
            <w:shd w:fill="CFF0FC" w:val="cle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617</w:t>
            </w:r>
          </w:p>
        </w:tc>
        <w:tc>
          <w:tcPr>
            <w:tcW w:w="611" w:type="dxa"/>
            <w:tcBorders/>
            <w:shd w:fill="FFFFFF" w:val="clear"/>
            <w:vAlign w:val="center"/>
          </w:tcPr>
          <w:p>
            <w:pPr>
              <w:pStyle w:val="TableContents"/>
              <w:bidi w:val="0"/>
              <w:spacing w:before="0" w:after="283"/>
              <w:ind w:left="0" w:right="0" w:firstLine="400"/>
              <w:jc w:val="left"/>
              <w:rPr/>
            </w:pPr>
            <w:r>
              <w:rPr/>
              <w:t> </w:t>
            </w:r>
          </w:p>
        </w:tc>
      </w:tr>
      <w:tr>
        <w:trPr/>
        <w:tc>
          <w:tcPr>
            <w:tcW w:w="6931" w:type="dxa"/>
            <w:tcBorders/>
            <w:shd w:fill="CFF0FC"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w:t>
            </w:r>
          </w:p>
        </w:tc>
        <w:tc>
          <w:tcPr>
            <w:tcW w:w="611" w:type="dxa"/>
            <w:tcBorders/>
            <w:shd w:fill="CFF0FC" w:val="clear"/>
            <w:vAlign w:val="center"/>
          </w:tcPr>
          <w:p>
            <w:pPr>
              <w:pStyle w:val="TableContents"/>
              <w:bidi w:val="0"/>
              <w:spacing w:before="0" w:after="283"/>
              <w:ind w:left="0" w:right="0" w:firstLine="400"/>
              <w:jc w:val="left"/>
              <w:rPr/>
            </w:pPr>
            <w:r>
              <w:rPr/>
              <w:t> </w:t>
            </w:r>
          </w:p>
        </w:tc>
      </w:tr>
      <w:tr>
        <w:trPr/>
        <w:tc>
          <w:tcPr>
            <w:tcW w:w="6931" w:type="dxa"/>
            <w:tcBorders/>
            <w:shd w:fill="FFFFFF" w:val="cle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(21,132</w:t>
            </w:r>
          </w:p>
        </w:tc>
        <w:tc>
          <w:tcPr>
            <w:tcW w:w="167"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(48,821</w:t>
            </w:r>
          </w:p>
        </w:tc>
        <w:tc>
          <w:tcPr>
            <w:tcW w:w="61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6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color w:val="000000"/>
              </w:rPr>
            </w:pPr>
            <w:r>
              <w:rPr>
                <w:color w:val="000000"/>
              </w:rPr>
              <w:t>—</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6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out-licensing</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color w:val="000000"/>
              </w:rPr>
            </w:pPr>
            <w:r>
              <w:rPr>
                <w:color w:val="000000"/>
              </w:rPr>
              <w:t>—</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intangible assets</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by/(used in) investing activities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(419</w:t>
            </w:r>
          </w:p>
        </w:tc>
        <w:tc>
          <w:tcPr>
            <w:tcW w:w="167"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1,987</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right"/>
              <w:rPr/>
            </w:pPr>
            <w:r>
              <w:rPr/>
              <w:t> </w:t>
            </w:r>
          </w:p>
        </w:tc>
        <w:tc>
          <w:tcPr>
            <w:tcW w:w="167"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998"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TAP agreement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ordinary shares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11,605</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on issuance of ordinary shares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color w:val="000000"/>
              </w:rPr>
            </w:pPr>
            <w:r>
              <w:rPr>
                <w:color w:val="000000"/>
              </w:rPr>
              <w:t>—</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Transaction costs on convertible loan notes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6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color w:val="000000"/>
              </w:rPr>
            </w:pPr>
            <w:r>
              <w:rPr>
                <w:color w:val="000000"/>
              </w:rPr>
              <w:t>—</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Redemption of convertible loan notes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7,973</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200</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(13,579</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(46,634</w:t>
            </w:r>
          </w:p>
        </w:tc>
        <w:tc>
          <w:tcPr>
            <w:tcW w:w="6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January 1</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68,182</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127,398</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w:t>
            </w:r>
          </w:p>
        </w:tc>
        <w:tc>
          <w:tcPr>
            <w:tcW w:w="146" w:type="dxa"/>
            <w:tcBorders/>
            <w:shd w:fill="FFFFFF" w:val="cle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2,818</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(12,582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3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December 31</w:t>
            </w:r>
          </w:p>
        </w:tc>
        <w:tc>
          <w:tcPr>
            <w:tcW w:w="146" w:type="dxa"/>
            <w:tcBorders/>
            <w:shd w:fill="CFF0FC" w:val="cle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57,421</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68,182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left"/>
              <w:rPr/>
            </w:pPr>
            <w:r>
              <w:rPr/>
              <w:t> </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884</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(received)/paid for income taxes</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78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w:t>
            </w:r>
          </w:p>
        </w:tc>
        <w:tc>
          <w:tcPr>
            <w:tcW w:w="611" w:type="dxa"/>
            <w:tcBorders/>
            <w:shd w:fill="FFFFFF" w:val="clear"/>
            <w:vAlign w:val="center"/>
          </w:tcPr>
          <w:p>
            <w:pPr>
              <w:pStyle w:val="TableContents"/>
              <w:bidi w:val="0"/>
              <w:spacing w:before="0" w:after="283"/>
              <w:jc w:val="lef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the amounts included in the measurement of operating lease liabilities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611" w:type="dxa"/>
            <w:tcBorders/>
            <w:shd w:fill="CFF0FC" w:val="clear"/>
            <w:vAlign w:val="center"/>
          </w:tcPr>
          <w:p>
            <w:pPr>
              <w:pStyle w:val="TableContents"/>
              <w:bidi w:val="0"/>
              <w:spacing w:before="0" w:after="283"/>
              <w:jc w:val="left"/>
              <w:rPr/>
            </w:pPr>
            <w:r>
              <w:rPr/>
              <w:t> </w:t>
            </w:r>
          </w:p>
        </w:tc>
      </w:tr>
      <w:tr>
        <w:trPr/>
        <w:tc>
          <w:tcPr>
            <w:tcW w:w="693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non-cash investing and financing activities</w:t>
            </w:r>
          </w:p>
        </w:tc>
        <w:tc>
          <w:tcPr>
            <w:tcW w:w="146"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right"/>
              <w:rPr/>
            </w:pPr>
            <w:r>
              <w:rPr/>
              <w:t> </w:t>
            </w:r>
          </w:p>
        </w:tc>
        <w:tc>
          <w:tcPr>
            <w:tcW w:w="16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98" w:type="dxa"/>
            <w:gridSpan w:val="2"/>
            <w:tcBorders/>
            <w:shd w:fill="FFFFFF" w:val="clear"/>
            <w:vAlign w:val="center"/>
          </w:tcPr>
          <w:p>
            <w:pPr>
              <w:pStyle w:val="TableContents"/>
              <w:bidi w:val="0"/>
              <w:spacing w:before="0" w:after="283"/>
              <w:jc w:val="right"/>
              <w:rPr/>
            </w:pPr>
            <w:r>
              <w:rPr/>
              <w:t> </w:t>
            </w:r>
          </w:p>
        </w:tc>
        <w:tc>
          <w:tcPr>
            <w:tcW w:w="611" w:type="dxa"/>
            <w:tcBorders/>
            <w:shd w:fill="FFFFFF" w:val="clear"/>
            <w:vAlign w:val="center"/>
          </w:tcPr>
          <w:p>
            <w:pPr>
              <w:pStyle w:val="TableContents"/>
              <w:bidi w:val="0"/>
              <w:spacing w:before="0" w:after="283"/>
              <w:jc w:val="right"/>
              <w:rPr/>
            </w:pPr>
            <w:r>
              <w:rPr/>
              <w:t> </w:t>
            </w:r>
          </w:p>
        </w:tc>
      </w:tr>
      <w:tr>
        <w:trPr/>
        <w:tc>
          <w:tcPr>
            <w:tcW w:w="69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Conversion of notes into ordinary shares</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4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5,318</w:t>
            </w:r>
          </w:p>
        </w:tc>
        <w:tc>
          <w:tcPr>
            <w:tcW w:w="167"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2" w:type="dxa"/>
            <w:tcBorders/>
            <w:shd w:fill="CFF0FC" w:val="clear"/>
            <w:vAlign w:val="center"/>
          </w:tcPr>
          <w:p>
            <w:pPr>
              <w:pStyle w:val="TableContents"/>
              <w:bidi w:val="0"/>
              <w:spacing w:before="0" w:after="283"/>
              <w:jc w:val="left"/>
              <w:rPr/>
            </w:pPr>
            <w:r>
              <w:rPr/>
              <w:t> </w:t>
            </w:r>
          </w:p>
        </w:tc>
        <w:tc>
          <w:tcPr>
            <w:tcW w:w="78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3,428</w:t>
            </w:r>
          </w:p>
        </w:tc>
        <w:tc>
          <w:tcPr>
            <w:tcW w:w="611"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MEREO BIOPHARMA GROUP PLC </w:t>
      </w:r>
    </w:p>
    <w:p>
      <w:pPr>
        <w:pStyle w:val="TextBody"/>
        <w:bidi w:val="0"/>
        <w:jc w:val="center"/>
        <w:rPr>
          <w:rFonts w:ascii="Times New Roman" w:hAnsi="Times New Roman"/>
          <w:color w:val="000000"/>
          <w:sz w:val="20"/>
        </w:rPr>
      </w:pPr>
      <w:bookmarkStart w:id="40" w:name="statements_of_changes_in_equity"/>
      <w:bookmarkEnd w:id="40"/>
      <w:r>
        <w:rPr>
          <w:rFonts w:ascii="Times New Roman" w:hAnsi="Times New Roman"/>
          <w:color w:val="000000"/>
          <w:sz w:val="20"/>
        </w:rPr>
        <w:t xml:space="preserve">CONSOLIDATED STATEMENTS OF CHANGES IN EQUITY </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amounts)</w:t>
      </w:r>
    </w:p>
    <w:p>
      <w:pPr>
        <w:pStyle w:val="TextBody"/>
        <w:bidi w:val="0"/>
        <w:jc w:val="center"/>
        <w:rPr/>
      </w:pPr>
      <w:r>
        <w:rPr/>
        <w:t> </w:t>
      </w:r>
    </w:p>
    <w:tbl>
      <w:tblPr>
        <w:tblW w:w="11310" w:type="dxa"/>
        <w:jc w:val="left"/>
        <w:tblInd w:w="0" w:type="dxa"/>
        <w:tblLayout w:type="fixed"/>
        <w:tblCellMar>
          <w:top w:w="28" w:type="dxa"/>
          <w:left w:w="28" w:type="dxa"/>
          <w:bottom w:w="28" w:type="dxa"/>
          <w:right w:w="28" w:type="dxa"/>
        </w:tblCellMar>
      </w:tblPr>
      <w:tblGrid>
        <w:gridCol w:w="1081"/>
        <w:gridCol w:w="146"/>
        <w:gridCol w:w="146"/>
        <w:gridCol w:w="1006"/>
        <w:gridCol w:w="146"/>
        <w:gridCol w:w="146"/>
        <w:gridCol w:w="196"/>
        <w:gridCol w:w="511"/>
        <w:gridCol w:w="146"/>
        <w:gridCol w:w="146"/>
        <w:gridCol w:w="146"/>
        <w:gridCol w:w="826"/>
        <w:gridCol w:w="166"/>
        <w:gridCol w:w="146"/>
        <w:gridCol w:w="196"/>
        <w:gridCol w:w="571"/>
        <w:gridCol w:w="166"/>
        <w:gridCol w:w="146"/>
        <w:gridCol w:w="196"/>
        <w:gridCol w:w="691"/>
        <w:gridCol w:w="166"/>
        <w:gridCol w:w="146"/>
        <w:gridCol w:w="267"/>
        <w:gridCol w:w="904"/>
        <w:gridCol w:w="166"/>
        <w:gridCol w:w="146"/>
        <w:gridCol w:w="217"/>
        <w:gridCol w:w="834"/>
        <w:gridCol w:w="166"/>
        <w:gridCol w:w="146"/>
        <w:gridCol w:w="233"/>
        <w:gridCol w:w="788"/>
        <w:gridCol w:w="21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0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7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1" w:type="dxa"/>
            <w:gridSpan w:val="2"/>
            <w:tcBorders/>
            <w:shd w:fill="FFFFFF" w:val="cle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shareholders’</w:t>
            </w:r>
          </w:p>
        </w:tc>
        <w:tc>
          <w:tcPr>
            <w:tcW w:w="211" w:type="dxa"/>
            <w:tcBorders/>
            <w:shd w:fill="FFFFFF" w:val="clear"/>
            <w:vAlign w:val="center"/>
          </w:tcPr>
          <w:p>
            <w:pPr>
              <w:pStyle w:val="TableContents"/>
              <w:bidi w:val="0"/>
              <w:spacing w:before="0" w:after="283"/>
              <w:jc w:val="center"/>
              <w:rPr/>
            </w:pPr>
            <w:r>
              <w:rPr/>
              <w:t> </w:t>
            </w:r>
          </w:p>
        </w:tc>
      </w:tr>
      <w:tr>
        <w:trPr/>
        <w:tc>
          <w:tcPr>
            <w:tcW w:w="10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(loss)/income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584,908,239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2,333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1,081,255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476,768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(11,027</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(374,436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92,198</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(42,220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(42,220</w:t>
            </w:r>
          </w:p>
        </w:tc>
        <w:tc>
          <w:tcPr>
            <w:tcW w:w="21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(10,660</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(10,660</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4,768</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options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(78,225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loan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40,020,280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(5,001</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12,081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7,225</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warrants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624,928,519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1,003,030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(1,335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476,521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(21,687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(404,575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51,402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(29,466</w:t>
            </w:r>
          </w:p>
        </w:tc>
        <w:tc>
          <w:tcPr>
            <w:tcW w:w="166"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(29,466</w:t>
            </w:r>
          </w:p>
        </w:tc>
        <w:tc>
          <w:tcPr>
            <w:tcW w:w="21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Foreign currency translation adjustments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4,202</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Share-based compensation</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share options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(79,630</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deferred restricted stock unit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501,380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Conversion of loan notes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27,420,095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(6,569</w:t>
            </w:r>
          </w:p>
        </w:tc>
        <w:tc>
          <w:tcPr>
            <w:tcW w:w="166"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14,411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7,950</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ordinary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06"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48,367,095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1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11,284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7" w:type="dxa"/>
            <w:tcBorders/>
            <w:shd w:fill="CFF0FC" w:val="clear"/>
            <w:vAlign w:val="center"/>
          </w:tcPr>
          <w:p>
            <w:pPr>
              <w:pStyle w:val="TableContents"/>
              <w:bidi w:val="0"/>
              <w:spacing w:before="0" w:after="283"/>
              <w:jc w:val="left"/>
              <w:rPr/>
            </w:pPr>
            <w:r>
              <w:rPr/>
              <w:t> </w:t>
            </w:r>
          </w:p>
        </w:tc>
        <w:tc>
          <w:tcPr>
            <w:tcW w:w="90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834"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3" w:type="dxa"/>
            <w:tcBorders/>
            <w:shd w:fill="CFF0FC" w:val="clear"/>
            <w:vAlign w:val="center"/>
          </w:tcPr>
          <w:p>
            <w:pPr>
              <w:pStyle w:val="TableContents"/>
              <w:bidi w:val="0"/>
              <w:spacing w:before="0" w:after="283"/>
              <w:jc w:val="left"/>
              <w:rPr/>
            </w:pPr>
            <w:r>
              <w:rPr/>
              <w:t> </w:t>
            </w:r>
          </w:p>
        </w:tc>
        <w:tc>
          <w:tcPr>
            <w:tcW w:w="788" w:type="dxa"/>
            <w:tcBorders/>
            <w:shd w:fill="CFF0FC"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11,470</w:t>
            </w:r>
          </w:p>
        </w:tc>
        <w:tc>
          <w:tcPr>
            <w:tcW w:w="211" w:type="dxa"/>
            <w:tcBorders/>
            <w:shd w:fill="CFF0FC" w:val="clear"/>
            <w:vAlign w:val="center"/>
          </w:tcPr>
          <w:p>
            <w:pPr>
              <w:pStyle w:val="TableContents"/>
              <w:bidi w:val="0"/>
              <w:spacing w:before="0" w:after="283"/>
              <w:jc w:val="left"/>
              <w:rPr/>
            </w:pPr>
            <w:r>
              <w:rPr/>
              <w:t> </w:t>
            </w:r>
          </w:p>
        </w:tc>
      </w:tr>
      <w:tr>
        <w:trPr/>
        <w:tc>
          <w:tcPr>
            <w:tcW w:w="1081" w:type="dxa"/>
            <w:tcBorders/>
            <w:shd w:fill="FFFFFF" w:val="cle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warrants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0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1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90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33" w:type="dxa"/>
            <w:tcBorders/>
            <w:shd w:fill="FFFFFF" w:val="clear"/>
            <w:vAlign w:val="center"/>
          </w:tcPr>
          <w:p>
            <w:pPr>
              <w:pStyle w:val="TableContents"/>
              <w:bidi w:val="0"/>
              <w:spacing w:before="0" w:after="283"/>
              <w:jc w:val="left"/>
              <w:rPr/>
            </w:pPr>
            <w:r>
              <w:rPr/>
              <w:t> </w:t>
            </w:r>
          </w:p>
        </w:tc>
        <w:tc>
          <w:tcPr>
            <w:tcW w:w="788" w:type="dxa"/>
            <w:tcBorders/>
            <w:shd w:fill="FFFFFF" w:val="cle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11" w:type="dxa"/>
            <w:tcBorders/>
            <w:shd w:fill="FFFFFF" w:val="clear"/>
            <w:vAlign w:val="center"/>
          </w:tcPr>
          <w:p>
            <w:pPr>
              <w:pStyle w:val="TableContents"/>
              <w:bidi w:val="0"/>
              <w:spacing w:before="0" w:after="283"/>
              <w:jc w:val="left"/>
              <w:rPr/>
            </w:pPr>
            <w:r>
              <w:rPr/>
              <w:t> </w:t>
            </w:r>
          </w:p>
        </w:tc>
      </w:tr>
      <w:tr>
        <w:trPr/>
        <w:tc>
          <w:tcPr>
            <w:tcW w:w="1081" w:type="dxa"/>
            <w:tcBorders/>
            <w:shd w:fill="CFF0FC" w:val="cle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701,217,089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923,400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(1,230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486,107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9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(17,485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(419,630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7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50,537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MEREO BIOPHARMA GROUP PLC </w:t>
      </w:r>
    </w:p>
    <w:p>
      <w:pPr>
        <w:pStyle w:val="TextBody"/>
        <w:bidi w:val="0"/>
        <w:jc w:val="center"/>
        <w:rPr>
          <w:rFonts w:ascii="Times New Roman" w:hAnsi="Times New Roman"/>
          <w:color w:val="000000"/>
          <w:sz w:val="20"/>
        </w:rPr>
      </w:pPr>
      <w:r>
        <w:rPr>
          <w:rFonts w:ascii="Times New Roman" w:hAnsi="Times New Roman"/>
          <w:color w:val="000000"/>
          <w:sz w:val="20"/>
        </w:rPr>
        <w:t>NOTES TO CONSOLIDATED FINANCIAL STATEMENTS</w:t>
      </w:r>
    </w:p>
    <w:p>
      <w:pPr>
        <w:pStyle w:val="TextBody"/>
        <w:bidi w:val="0"/>
        <w:spacing w:before="240" w:after="283"/>
        <w:jc w:val="left"/>
        <w:rPr>
          <w:rFonts w:ascii="Times New Roman" w:hAnsi="Times New Roman"/>
          <w:b/>
          <w:color w:val="000000"/>
          <w:sz w:val="20"/>
        </w:rPr>
      </w:pPr>
      <w:bookmarkStart w:id="41" w:name="notes_consolidated_financial_statements"/>
      <w:bookmarkEnd w:id="41"/>
      <w:r>
        <w:rPr>
          <w:rFonts w:ascii="Times New Roman" w:hAnsi="Times New Roman"/>
          <w:b/>
          <w:color w:val="000000"/>
          <w:sz w:val="20"/>
        </w:rPr>
        <w:t>1. Nature of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Mereo BioPharma Group plc (the “Company” or “Mereo”) is United Kingdom (“U.K.”) based biopharmaceutical company focused on the development of innovative therapeutics for rare diseases. The Company has developed a portfolio of late-stage clinical product candidates, and its two rare disease product candidates are setrusumab for the treatment of osteogenesis imperfecta (“OI”) and alvelestat primarily for the treatment of severe alpha-1 antitrypsin deficiency-associated lung disease (“AATD-LD”).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a public limited company incorporated and domiciled in the U.K., and registered in England, with shares publicly traded on the Nasdaq Capital Market via American Depositary Shares (“ADSs”) under the ticker symbol “MREO”. The Company’s registered office is located at Fourth Floor, 1 Cavendish Place, London, W1G 0QF, United Kingdom.</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Basis of presentation and summary of significant accounting policies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presentation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conformity with accounting principles generally accepted in the United States of America (“U.S. GAAP”) and pursuant to the rules and regulations of the Securities and Exchange Commission ("SEC") for annual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consolidated financial statements are presented in U.S. dollars (“$”), which is the reporting currency of the Company. The functional currency of the Company is pound sterling (“£”). The functional currency of consolidated subsidiaries are pound sterling and U.S. dollar. All amounts disclosed in the consolidated financial statements and notes have been rounded to the nearest thousand, unless otherwise stated.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the end of the second quarter of 2023, the Company determined that it no longer qualified as a Foreign Private Issuer under SEC rules. As a result, beginning January 1, 2024, the Company was required to report with the SEC on domestic forms and comply with domestic company rules in the United States. The transition to U.S. GAAP was made retrospectively for all periods from the Company’s inception.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prepared its financial statements on the basis that it will continue as a going concern. In accordance with the Financial Accounting Standards Board (“FASB”), Accounting Standards Update (“ASU”) 2014-15, Disclosure of Uncertainties about an Entity’s Ability to Continue as a Going Concern (Subtopic 205-40), the Company has evaluated whether there are conditions and events, considered in the aggregate, that raise substantial doubt about the Company’s ability to continue as a going concern.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risks common to companies in the biotechnology industry, including but not limited to, risks of delays in initiating or continuing research programs and clinical trials, risks of failure of preclinical studies and clinical trials, the need to obtain marketing approval for any drug product candidate that it may identify and develop, the need to successfully commercialize and gain market acceptance of its product candidates, if approved, dependence on key personnel and collaboration partners, protection of proprietary technology, compliance with government regulations, development by competitors of technological innovations, and the ability to secure additional capital to fund operations. Product candidates currently under development will require significant additional research and development efforts, including preclinical and clinical testing and regulatory approval prior to commercialization. Even if the Company’s research and development efforts are successful, it is uncertain when, if ever, the Company will realize significant revenue from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historically been loss making and anticipates that it will continue to incur losses for the foreseeable future and had an accumulated deficit of $419.6 million as of December 31, 2023. The Company has funded these losses through a combination of public equity, private equity and debt financings, and it expects it will continue to do so until such time as it can generate significant revenue from product sales, or other commercial revenues, if ever, or through licensing and/or collaboration agreements for its rare disease or oncology product candidates. Although management continues to pursue these plans, there is no assurance that the Company will be successful in obtaining sufficient funding on terms acceptable to the Company to fund continuing operations, if at all.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Geopolitical events, including the ongoing global conflicts and increasing economic and political uncertainty have continued in 2023. This has led to significant increases in commodity prices, energy and fuel prices, credit and capital market instability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(particularly in the life sciences sector) and supply chain interruptions, all of which have contributed to increasing inflation and higher market interest rates. This may in turn adversely impact the Company’s ability to deliver its goals. As of December 31, 2023, the Company had cash and cash equivalents of $57.4 million. The Directors and Management have reviewed the financial projections of the Company for the 12 months subsequent to the date of filing of this Annual Report on Form 10-K including consideration of severe but plausible scenarios that may affect the Company in that period. The Company expects that its cash and cash equivalents as of December 31, 2023 will be sufficient to fund its operations and capital expenditure requirements for at least twelve months from the date of filing of this Annual Report on Form 10-K.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Basis of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consolidated financial information comprises the financial statements of Mereo BioPharma Group plc and its wholly owned subsidiaries. All intercompany balances and transactions have been eliminated on consolidation.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an employee benefit trust (“EBT”) to facilitate share transactions pursuant to employee share schemes. Although the trust is a separate legal entity from the Company, it is consolidated into the Company’s results in accordance with the rules in ASC Topic 810, Consolidations (“ASC 810”) on special purpose entities. The Company is deemed to control the trust principally because the trust cannot operate without the funding the Company provides.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income and expenses during the reporting periods. Significant estimates and assumptions reflected in these financial statements include, but are not limited to, revenue recognition on contracts with customers and convertible loan notes. Estimates are periodically reviewed in light of changes in circumstances, facts and experience. Changes in estimates are recorded in the period in which they become known. Actual results could differ from those estimates.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Segmental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segments are defined as components of an enterprise about which separate discrete information is available for evaluation by the chief operating decision maker in deciding how to allocate resources and assess performance. The Company and the Company’s chief operating decision maker, the Company’s Chief Executive Officer, view the Company’s operations and manage its business as a single operating segment, which is the business of developing rare disease therapies; however, the Company operates in two geographic regions: the U.K. and the U.S. The Company’s non-current assets are primarily located in the U.K. As of December 31, 2023, $0.1 million (2022: $0.1 million) of property and equipment are located in the U.S.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 and significant counterparties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dependent on a number of third parties for the delivery of its programs and, where required, pays upfront deposits and fees in advance of the delivery of services. The Company considers all of its material counterparties to be creditworthy and the credit risk for each of its major counterparties to be low, but continues to assess credit risk as part of its management of these third-party relationships. Financial instruments that subject the Company to credit risk consists primarily of cash and cash equivalents. The Company places cash and cash equivalents with established financial institutions with strong credit ratings. The Company’s maximum exposure to credit risk for the components of the balance sheet of December 31, 2023 are the carrying amounts. The Company has no significant off-balance sheet risk or concentration of credit risk, such as foreign exchange contracts, options contracts, or other foreign hedging arrangements.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ongoing major or central operations are the development of product candidates to key clinical milestones and either strategically partnering them or further developing such product candidates through regulatory approval and potentially commercialization. The Company may enter into a range of different agreements with third parties, including but not limited to: (i) licensing agreements where the global rights to a product candidate are licensed to a partner; and (ii) collaboration agreements where rights to a product candidate are licensed to a partner but the Company retains certain rights, for example to further develop or commercialize the product candidate in specified geographical territories. Under both licensing and collaboration agreements, rights to product candidates are provided to a partner typically in exchange for consideration in the form of upfront payments and/or development, regulatory, commercial or other similar milestones, and royalties on commercial sales, should regulatory approval be obtained for the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terms of these arrangements typically include payment to the Company of one or more of the following: nonrefundable, upfront license fees; payments for research and development services; fees upon the exercise of options to obtain additional services or licenses; payments based upon the achievement of defined collaboration objectives; future regulatory and sales-based milestone payments; and royalties on net sales of future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the Company has performed significant development activities for its product candidates, including the setrusumab and leflutrozole partnerships described in Note 14, receipts from agreements with third parties are considered to be proceeds derived from customers of the Company’s ongoing major or central operations and therefore the Company recognizes revenue in accordance with ASC Topic 606, Revenue from Contracts with Customers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When this is not the case and the third parties are not receiving outputs from the Company's ongoing or major central operations, such as in the Navicixizumab (“Navi”) partnership described in Note 15, the third parties are not considered to be customers and the Company accounts for receipts from these agreements as other income in accordance with ASC Topic 610, Gains and Losses from the Derecognition of Non-financial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Under ASC 606, an entity recognizes revenue when its customer obtains control of promised goods or services, in an amount that reflects the consideration which the entity expects to receive in exchange for those goods or services.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determine revenue recognition for arrangements that the Company determines are within the scope of ASC 606, it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Company satisfies the performance obligations. The Company only applies the five-step model to contracts when it is probable that the entity will collect substantially all of the consideration it is entitled to in exchange for the goods or services it transfers to the customer. As part of the accounting for these arrangements, the Company must make significant judgments, including identifying performance obligations in the contract, estimating the amount of variable consideration to include in the transaction price and allocating the transaction price to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Once a contract is determined to be within the scope of ASC 606, the Company assesses the goods or services promised within the contract and determines those that are performance obligations. Arrangements that include rights to additional goods or services that are exercisable at a customer’s discretion are generally considered options. The Company assesses if these options provide a material right to the customer and if so, they are considered performance obligations.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Performance obligations are promised goods or services in a contract to transfer a distinct good or service to the customer. The promised goods or services in the Company’s contracts with customers primarily consist of license rights to the Company’s intellectual property, research and development services and options to obtain additional licenses, such as a commercialization license for a potential product candidate. Promised goods or services are considered distinct when: (i) the customer can benefit from the good or service on its own or together with other readily available resources, and (ii) the promised good or service is separately identifiable from other promises in the contract. In assessing whether promised goods or services are distinct, the Company considers factors such as the stage of development of the underlying intellectual property, the capabilities of the collaboration partner to develop the intellectual property on their own and whether the required expertise is readily available. In addition, the Company considers whether the customer can benefit from a promise for its intended purpose without the receipt of the remaining promises, whether the value of the promise is dependent on the unsatisfied promises, whether there are other vendors that could provide the remaining promises, and whether it is separately identifiable from the remaining promises.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estimates the transaction price based on the amount of consideration the Company expects to receive for transferring the promised goods or services in the contract. The consideration may include both fixed consideration and variable consideration. At the inception of each arrangement that includes variable consideration, the Company evaluates the amount of the potential payments and the likelihood that the payments will be received. The Company utilizes either the most likely amount method or expected value method to estimate variable consideration to include in the transaction price based on which method better predicts the amount of consideration expected to be received. The amount included in the transaction price is constrained to the amount for which it is probable that a significant reversal of cumulative revenue recognized will not occur. At the end of each subsequent reporting period, the Company reevaluates the estimated variable consideration included in the transaction price and any related constraint, and if necessary, adjusts its estimate of the overall transaction price. Any such adjustments are recorded on a cumulative catch-up basis in the period of adjustment. The initial transaction price of a contract does not include amounts associated with customer option payments.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After the transaction price is determined, it is allocated to the identified performance obligations based on the estimated standalone selling price. The Company must develop assumptions that require judgment to determine the standalone selling price for each performance obligation identified in the contract. The Company utilizes key assumptions to determine the standalone selling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price, which may include other comparable transactions, pricing considered in negotiating the transaction, probabilities of technical and regulatory success and the estimated costs. Based on the current agreements in effect, there is limited judgment in determining the revenue and transaction price. Certain variable consideration is allocated specifically to one or more performance obligations in a contract when the terms of the variable consideration relate to the satisfaction of the performance obligation and the resulting amounts allocated to each performance obligation are consistent with the amounts the Company would expect to receive for each performance obligation.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then recognizes as revenue the amount of the transaction price that is allocated to the respective performance obligation when (or as) each performance obligation is satisfied at a point in time or over time, and if over time, the facts and circumstances of each respective contract will be used to determine the revenue recognition pattern. The Company currently does not have any revenue that is being recognized over a time period.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Payments to third parties arising as a direct consequence of the revenue recognized are also recorded within cost of revenue in the Company’s consolidated statements of operations and comprehensive loss.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License revenue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 approved product candidates and accordingly has not generated any revenue from commercial product sales. Revenue to date has been generated principally from licensing arrangements and collaboration agreements with a small number of the Company's customers.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 license to the Company's intellectual property is determined to be distinct from the other performance obligations identified in the arrangement, the Company recognizes revenues from non-refundable, upfront fees allocated to the license at such time as the license is transferred to the licensee and the licensee is able to use, and benefit from, the license. </w:t>
      </w:r>
    </w:p>
    <w:p>
      <w:pPr>
        <w:pStyle w:val="TextBody"/>
        <w:bidi w:val="0"/>
        <w:spacing w:before="240" w:after="283"/>
        <w:jc w:val="left"/>
        <w:rPr>
          <w:rFonts w:ascii="Times New Roman" w:hAnsi="Times New Roman"/>
          <w:sz w:val="20"/>
        </w:rPr>
      </w:pPr>
      <w:r>
        <w:rPr>
          <w:rFonts w:ascii="Times New Roman" w:hAnsi="Times New Roman"/>
          <w:i/>
          <w:color w:val="000000"/>
          <w:sz w:val="20"/>
        </w:rPr>
        <w:t>Contingent milestone payments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licensing arrangements and collaboration agreements may include development, regulatory and sales milestones. ASC 606 constrains the amount of variable consideration included in the transaction price in that either all, or a portion, of variable consideration should be included in the transaction price. The variable consideration should be included only to the extent that it is probable that a significant reversal in the amount of cumulative revenue recognized will not occur when the uncertainty associated with the variable consideration is subsequently resolved. The Company evaluates the probability of the milestones being reached and estimates the amount to be included in the transaction price using the most likely amount method. The Company evaluates factors such as the scientific, clinical, regulatory, commercial and other risks that much be overcome to achieve the particular milestone in making this assessment. If it is probable that a significant revenue reversal would not occur, the associated milestone value is included in the transaction price. Milestone payments that are not within the Company's control, such as regulatory approvals, are not considered probable of being achieved until those approvals are received. At the end of each reporting period, the Company re-evaluates the probability of achievement of such milestones and any related constraints and, if necessary, adjusts the estimate of the overall transaction price. Any such adjustments are recorded on a cumulative catch up basis, which would affect revenue and net loss in the period of adjustment.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 (</w:t>
      </w:r>
      <w:r>
        <w:rPr>
          <w:rFonts w:ascii="Times New Roman" w:hAnsi="Times New Roman"/>
          <w:color w:val="000000"/>
          <w:sz w:val="20"/>
        </w:rPr>
        <w:t>“</w:t>
      </w:r>
      <w:r>
        <w:rPr>
          <w:rFonts w:ascii="Times New Roman" w:hAnsi="Times New Roman"/>
          <w:b/>
          <w:i/>
          <w:color w:val="000000"/>
          <w:sz w:val="20"/>
        </w:rPr>
        <w:t>R&amp;D</w:t>
      </w:r>
      <w:r>
        <w:rPr>
          <w:rFonts w:ascii="Times New Roman" w:hAnsi="Times New Roman"/>
          <w:color w:val="000000"/>
          <w:sz w:val="20"/>
        </w:rPr>
        <w:t>”</w:t>
      </w:r>
      <w:r>
        <w:rPr>
          <w:rFonts w:ascii="Times New Roman" w:hAnsi="Times New Roman"/>
          <w:b/>
          <w:i/>
          <w:color w:val="000000"/>
          <w:sz w:val="20"/>
        </w:rPr>
        <w: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Research and development costs are expensed as incurred on an accruals basis in accordance with ASC Topic 730, Research and Development (“ASC 730”) because they have no alternative future uses. These expenses are comprised of the costs of the Company’s proprietary research and development efforts, including preclinical studies, clinical trials, manufacturing costs, employee salaries and benefits and share-based compensation expense, contract services including external research and development expenses incurred under arrangements with third parties such as contract research organizations (“CROs”), facilities costs, overhead costs and other related expenses. Intellectual property costs incurred on each drug candidate and costs associated with pre-commercial activities to support pricing and reimbursement by health technology assessment authorities and payor decision-makers in Europe are excluded from R&amp;D expenses and are recognized within general and administrative expenses. Research and development costs that are paid in advance of performance are recorded as a prepaid expense and expensed over the service period as the services are provided. Accruals and prepayments for research and development expenses typically include fees and costs to be paid to CROs in relation to clinical trials and contract manufacturing organizations (“CMOs”) in relation to the manufacture of drug substance and drug product. These accruals and prepayments are calculated each period based on regular review and challenge by the relevant program manager of the detailed activity analysis provided directly by CROs and CMOs to determine their completeness and accuracy.</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Income taxes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income taxes in accordance with ASC Topic 740, Income Taxes (“ASC 740”), using the asset and liability method, which requires the recognition of deferred tax assets and liabilities for the expected future tax consequences of events that have been recognized in the consolidated financial statements or in its tax returns. Deferred tax assets and liabilities are determined based on the difference between the financial statements and tax basis of assets and liabilities using enacted tax rates in effect for the year in which the differences are expected to reverse. Changes in deferred tax assets and liabilities are recorded in the provision for income taxes. The Company assesses the likelihood that deferred tax assets will be recovered in the future to the extent management believes, based upon the weight of available evidence, that it is more likely than not that all or a portion of the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 Deferred tax assets and liabilities are offset when there is a legally enforceable right to set off current tax assets against current tax liabilities and when they relate to income taxes levied by the same taxation authority and the Company intends to settle its current tax assets and liabilities on a net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accounts for uncertainty in income taxes by applying a two-step process to determine the amount of tax benefit to be recognized. First, the tax position is evaluated to determine the likelihood that it will be sustained upon external examination by the taxing authorities. If the tax position is deemed more-likely-than-not to be sustained, the tax position is then assessed as the amount of benefit to recognize in the consolidated financial statements. The amount of benefits that may be used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recognizes interest related to unrecognized tax benefits within interest expense in the accompanying consolidated statements of operations and comprehensive loss. As of December 31, 2023 and 2022, no material accrued interest is included on the related tax liability line in the consolidated balance sheets.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U.K. R&amp;D tax credit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corporate taxation in the U.K. Due to the nature of the business, the Company has generated operating losses since inception. The benefit from R&amp;D tax credits is recognized in the consolidated statements of operations and comprehensive loss, and represents the research and development tax credits recoverable in the U.K.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U.K. R&amp;D tax credit is fully refundable to the Company and is not dependent on current or future taxable income. As a result, the Company has recorded the entire benefit from the U.K. R&amp;D tax credit as a benefit which is included in net loss before income tax and, accordingly, not reflected it as part of the income tax provision. If, in the future, any U.K. R&amp;D tax credits generated are needed to offset a corporate income tax liability in the U.K., the relevant portion would be recorded as a benefit within the income tax provision and any refundable portion not dependent on taxable income would continue to be recorded within the benefit from research and development tax credit in the consolidated statement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company that carries out extensive R&amp;D activities, it benefits from the U.K. HM Revenue and Customs (“HMRC”) small and medium sized enterprises research and development relief, or SME R&amp;D Relief, which provides relief against U.K. Corporation Tax and enables it to surrender some of its trading losses that arise from its research and development activities for a cash rebate. To date, a cash rebate of up to 33.35% of eligible R&amp;D expenditure has been available, but the cash rebate reduced to a maximum of 27% for R&amp;D intensive companies where at least 40% of their total expenditure in on qualifying R&amp;D, or to 18.6% of eligible R&amp;D expenditure for other companies, with effect from April 1, 2023 pursuant to changes made by the Finance Act 2023. Certain subcontracted qualifying research expenditures are eligible for a cash rebate though the rate of the cash rebate also reduced with effect from April 1, 2023, from up to 21.67% of the subcontracted expenditures to 17.53% for R&amp;D intensive companies or 12.09% for other companies. The difference in cash rebate for qualifying subcontracted expenditure vs. other qualifying expenditure is due to a statutory restriction of 65% being applied to unconnected qualifying subcontracted expenditure, thus restricting the benefit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may not be able to continue to claim payable R&amp;D tax credits in the future because it may no longer qualify as a small or medium sized company. In that case, the Company would expect to benefit from the taxable credit for qualifying R&amp;D expenditure under the R&amp;D Expenditure Credit (RDEC) scheme available to large companies which may be either offset against corporation tax liabilities or paid net of tax as a cash credit where there is no liability in the future. Expenditure subcontracted to other companies is not however a qualifying cost under the RDEC scheme. Subcontracted expenditure however is in most cases not a qualifying cost under the current RDEC scheme but is expected to be a qualifying cost (unless it relates to non-qualifying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subcontracted overseas) under the new merged RDEC scheme, that will come into force for accounting periods beginning on or after April 1,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event the Company generates revenues in the future, it may also benefit from the U.K. “patent box” regime that allows profits attributable to revenues from patents or patented product candidates to be taxed at an effective rate of 10%. This relief applies to profits earned following election into the regime. When taken in combination with the enhanced relief available on our R&amp;D expenditures, the Company expects a long-term lower rate of corporation tax to apply to it. If, however, there are unexpected adverse changes to the U.K. R&amp;D tax credit regime or the “patent box” regime, or for any reason it is unable to qualify for such advantageous tax legislation, or it is unable to use net operating loss and tax credit carryforwards and certain built-in losses to reduce future tax payments, the Company's business, results of operations, and financial condition may be adversely affected. In particular, HM Treasury and HMRC launched a consultation in January 2023 entitled “R&amp;D Tax Reliefs Review, Consultation on a single scheme” which seeks views on the possible merger of the SME R&amp;D Relief scheme and the RDEC scheme applicable to large companies, the outcome of which may be further changes to the reliefs available. If it is decided to merge the schemes, any new regime is expected to apply with effect from April 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maintains its consolidated financial statements in its functional currency, which is pound sterling. This is also the functional currency of the wholly-owned subsidiaries which are consolidated, with the exception of Mereo BioPharma 5, which has U.S dollars as its functional currency. Monetary assets and liabilities denominated in currencies other than the functional currency are translated into the functional currency at rates of exchange prevailing at the balance sheet dates. Non-monetary assets and liabilities denominated in foreign currencies are translated into the functional currency at the exchange rates prevailing at the date of the transaction. Exchange gains or losses arising from foreign currency transactions are included in the consolidated statements of operations and comprehensive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financial reporting purposes, the consolidated financial statements of the Company have been presented in U.S. dollars, the reporting currency. The financial statements of entities are translated from their functional currency into U.S. dollars as follows: assets and liabilities are translated at the exchange rates at the balance sheet dates, revenue, operating expenses and other income/ (expense), net are translated at the average exchange rates for the periods presented, and shareholders’ equity is translated at the prevailing historical exchange rates. Translation adjustments are not included in determining net loss but are included as a foreign exchange adjustment to other comprehensive income, a component of shareholders’ equity.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Property and equipment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is stated at cost, net of accumulated depreciation and accumulated impairment losses, if any. Such cost includes the cost of replacing part of the equipment if the recognition criteria are met. All other repair and maintenance costs are recognized in profit or loss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Depreciation is computed using the straight-line method over the estimated useful lives of the related assets. Useful lives of various property and equipment are as follows:</w:t>
      </w:r>
    </w:p>
    <w:p>
      <w:pPr>
        <w:pStyle w:val="TextBody"/>
        <w:bidi w:val="0"/>
        <w:jc w:val="left"/>
        <w:rPr/>
      </w:pPr>
      <w:r>
        <w:rPr/>
        <w:t> </w:t>
      </w:r>
    </w:p>
    <w:tbl>
      <w:tblPr>
        <w:tblW w:w="4907" w:type="dxa"/>
        <w:jc w:val="left"/>
        <w:tblInd w:w="0" w:type="dxa"/>
        <w:tblLayout w:type="fixed"/>
        <w:tblCellMar>
          <w:top w:w="28" w:type="dxa"/>
          <w:left w:w="28" w:type="dxa"/>
          <w:bottom w:w="28" w:type="dxa"/>
          <w:right w:w="28" w:type="dxa"/>
        </w:tblCellMar>
      </w:tblPr>
      <w:tblGrid>
        <w:gridCol w:w="2161"/>
        <w:gridCol w:w="2746"/>
      </w:tblGrid>
      <w:tr>
        <w:trPr/>
        <w:tc>
          <w:tcPr>
            <w:tcW w:w="21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161" w:type="dxa"/>
            <w:tcBorders/>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Leasehold improvements</w:t>
            </w:r>
          </w:p>
        </w:tc>
        <w:tc>
          <w:tcPr>
            <w:tcW w:w="2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shorter of lease term or ten years</w:t>
            </w:r>
          </w:p>
        </w:tc>
      </w:tr>
      <w:tr>
        <w:trPr/>
        <w:tc>
          <w:tcPr>
            <w:tcW w:w="2161" w:type="dxa"/>
            <w:tcBorders/>
            <w:vAlign w:val="center"/>
          </w:tcPr>
          <w:p>
            <w:pPr>
              <w:pStyle w:val="TableContents"/>
              <w:bidi w:val="0"/>
              <w:spacing w:before="0" w:after="283"/>
              <w:jc w:val="left"/>
              <w:rPr/>
            </w:pPr>
            <w:r>
              <w:rPr/>
              <w:t> </w:t>
            </w:r>
          </w:p>
        </w:tc>
        <w:tc>
          <w:tcPr>
            <w:tcW w:w="2746" w:type="dxa"/>
            <w:tcBorders/>
            <w:vAlign w:val="center"/>
          </w:tcPr>
          <w:p>
            <w:pPr>
              <w:pStyle w:val="TableContents"/>
              <w:bidi w:val="0"/>
              <w:spacing w:before="0" w:after="283"/>
              <w:ind w:left="0" w:right="0" w:firstLine="360"/>
              <w:jc w:val="left"/>
              <w:rPr/>
            </w:pPr>
            <w:r>
              <w:rPr/>
              <w:t> </w:t>
            </w:r>
          </w:p>
        </w:tc>
      </w:tr>
      <w:tr>
        <w:trPr/>
        <w:tc>
          <w:tcPr>
            <w:tcW w:w="2161" w:type="dxa"/>
            <w:tcBorders/>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Office equipment</w:t>
            </w:r>
          </w:p>
        </w:tc>
        <w:tc>
          <w:tcPr>
            <w:tcW w:w="2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five years</w:t>
            </w:r>
          </w:p>
        </w:tc>
      </w:tr>
      <w:tr>
        <w:trPr/>
        <w:tc>
          <w:tcPr>
            <w:tcW w:w="2161" w:type="dxa"/>
            <w:tcBorders/>
            <w:vAlign w:val="center"/>
          </w:tcPr>
          <w:p>
            <w:pPr>
              <w:pStyle w:val="TableContents"/>
              <w:bidi w:val="0"/>
              <w:spacing w:before="0" w:after="283"/>
              <w:jc w:val="left"/>
              <w:rPr/>
            </w:pPr>
            <w:r>
              <w:rPr/>
              <w:t> </w:t>
            </w:r>
          </w:p>
        </w:tc>
        <w:tc>
          <w:tcPr>
            <w:tcW w:w="2746" w:type="dxa"/>
            <w:tcBorders/>
            <w:vAlign w:val="center"/>
          </w:tcPr>
          <w:p>
            <w:pPr>
              <w:pStyle w:val="TableContents"/>
              <w:bidi w:val="0"/>
              <w:spacing w:before="0" w:after="283"/>
              <w:ind w:left="0" w:right="0" w:firstLine="360"/>
              <w:jc w:val="left"/>
              <w:rPr/>
            </w:pPr>
            <w:r>
              <w:rPr/>
              <w:t> </w:t>
            </w:r>
          </w:p>
        </w:tc>
      </w:tr>
      <w:tr>
        <w:trPr/>
        <w:tc>
          <w:tcPr>
            <w:tcW w:w="2161" w:type="dxa"/>
            <w:tcBorders/>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IT equipment</w:t>
            </w:r>
          </w:p>
        </w:tc>
        <w:tc>
          <w:tcPr>
            <w:tcW w:w="27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three years</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statement of operations and comprehensive loss when the asset is derecognized.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residual values, useful lives and methods of depreciation of property, plant and equipment are reviewed annually and adjusted prospectively, if appropriate.</w:t>
      </w:r>
    </w:p>
    <w:p>
      <w:pPr>
        <w:pStyle w:val="TextBody"/>
        <w:bidi w:val="0"/>
        <w:spacing w:before="240" w:after="283"/>
        <w:jc w:val="left"/>
        <w:rPr/>
      </w:pPr>
      <w:r>
        <w:rPr/>
        <w:t>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Leases are accounted for under ASC Topic 842, Leases (“ASC 842”). The Company only has operating leases. The Company assesses whether a contract is, or contains, a lease at inception of the contract. The Company recognizes a right-of-use (“ROU”) asset and a corresponding liability with respect to all lease arrangements in which it is a lessee. ROU assets and liabilities are recognized at the commencement date based on the present value of remaining lease payments. For this purpose, the Company considers only payments that are fixed and determinable at the time of commencement.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lease terms may include options to extend or terminate the lease. When it is reasonably certain the Company will exercise such options the term of the lease will be amended and the ROU asset and corresponding liability will be measured based on inclusion the option term. The Company accounts for lease and non-lease components separately. The non-lease components are service and maintenance charges and are accounted for separately. There are no variable lease costs associated with the current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Operating leases are included in right-of-use assets and in current and non-current operating lease liabilities on the Company's consolidated balance sheets.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Lease expense for lease payments is considered operating lease costs and is recognized on a straight-line basis over the lease term. The lease terms for the underlying assets is as follows:</w:t>
      </w:r>
    </w:p>
    <w:p>
      <w:pPr>
        <w:pStyle w:val="TextBody"/>
        <w:bidi w:val="0"/>
        <w:jc w:val="left"/>
        <w:rPr/>
      </w:pPr>
      <w:r>
        <w:rPr/>
        <w:t> </w:t>
      </w:r>
    </w:p>
    <w:tbl>
      <w:tblPr>
        <w:tblW w:w="4082" w:type="dxa"/>
        <w:jc w:val="left"/>
        <w:tblInd w:w="0" w:type="dxa"/>
        <w:tblLayout w:type="fixed"/>
        <w:tblCellMar>
          <w:top w:w="28" w:type="dxa"/>
          <w:left w:w="28" w:type="dxa"/>
          <w:bottom w:w="28" w:type="dxa"/>
          <w:right w:w="28" w:type="dxa"/>
        </w:tblCellMar>
      </w:tblPr>
      <w:tblGrid>
        <w:gridCol w:w="2611"/>
        <w:gridCol w:w="1471"/>
      </w:tblGrid>
      <w:tr>
        <w:trPr/>
        <w:tc>
          <w:tcPr>
            <w:tcW w:w="2611"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2611" w:type="dxa"/>
            <w:tcBorders/>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 (building)</w:t>
            </w:r>
          </w:p>
        </w:tc>
        <w:tc>
          <w:tcPr>
            <w:tcW w:w="1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six to nine years</w:t>
            </w:r>
          </w:p>
        </w:tc>
      </w:tr>
      <w:tr>
        <w:trPr/>
        <w:tc>
          <w:tcPr>
            <w:tcW w:w="2611" w:type="dxa"/>
            <w:tcBorders/>
            <w:vAlign w:val="center"/>
          </w:tcPr>
          <w:p>
            <w:pPr>
              <w:pStyle w:val="TableContents"/>
              <w:bidi w:val="0"/>
              <w:spacing w:before="0" w:after="283"/>
              <w:jc w:val="left"/>
              <w:rPr/>
            </w:pPr>
            <w:r>
              <w:rPr/>
              <w:t> </w:t>
            </w:r>
          </w:p>
        </w:tc>
        <w:tc>
          <w:tcPr>
            <w:tcW w:w="1471" w:type="dxa"/>
            <w:tcBorders/>
            <w:vAlign w:val="center"/>
          </w:tcPr>
          <w:p>
            <w:pPr>
              <w:pStyle w:val="TableContents"/>
              <w:bidi w:val="0"/>
              <w:spacing w:before="0" w:after="283"/>
              <w:ind w:left="0" w:right="0" w:firstLine="360"/>
              <w:jc w:val="left"/>
              <w:rPr/>
            </w:pPr>
            <w:r>
              <w:rPr/>
              <w:t> </w:t>
            </w:r>
          </w:p>
        </w:tc>
      </w:tr>
      <w:tr>
        <w:trPr/>
        <w:tc>
          <w:tcPr>
            <w:tcW w:w="2611" w:type="dxa"/>
            <w:tcBorders/>
            <w:vAlign w:val="center"/>
          </w:tcPr>
          <w:p>
            <w:pPr>
              <w:pStyle w:val="TableContents"/>
              <w:bidi w:val="0"/>
              <w:spacing w:before="0" w:after="0"/>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Right-of-use asset (equipment)</w:t>
            </w:r>
          </w:p>
        </w:tc>
        <w:tc>
          <w:tcPr>
            <w:tcW w:w="14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one to two years</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Identifiable intangible assets within the scope of ASC 730 that are purchased from others for a particular research and development project outside of a business combination, and that have no alternative future uses are expensed as incurred.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Intangible assets that have an alternative future use, or which are outside the scope of ASC 730, are accounted for under ASC Topic 350, Intangibles – Goodwill and Other (“ASC 350”) and are initially recorded at cost, which is the fair value of the consideration paid on the acquisition date. Consideration that is contingent on future events is included in the cost of the asset only when the contingency is resolved and the consideration is issued or becomes issuable.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Assets that have been acquired in a business combination are initially recorded at fair value.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are amortized over their estimated useful economic life from the date they are available for use and are recognized in general and administrative expenses. An intangible asset is derecognized on disposal, or when no future economic benefits are expected from use or disposal. Gains or losses arising from derecognition of an intangible asset, measured as the difference between the net disposal proceeds and the carrying amount of the asset, are recognized in profit or loss when the asset is derecognized.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financial instruments consist of cash and cash equivalents, accounts receivable, accounts payable, certain accrued expenses, contingent consideration, warrant liabilities and the liability components of convertible loan notes and other financing arrangements. Cash, cash equivalents, accounts receivable, accounts payable and accrued expenses are initially recorded and subsequently measured at cost, which is considered to approximate their fair value due to the short-term nature of such financial instruments. The carrying value of warrant liabilities and convertible loan notes is explained in the sections below.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Embedded derivatives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reviews the terms of convertible loan notes and other hybrid financing arrangements to determine whether there are embedded derivative instruments, including conversion options that are required to be bifurcated and accounted for separately either as a derivative financial instrument or an equity instrument.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Derivative financial instruments are initially measured at fair value, and then re-valued at each reporting date, with changes in the fair value reported in the consolidated statements of operations and comprehensive loss as a component of net income.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discount from face value of the liability component remaining from allocating some or all of the proceeds of the hybrid instrument to the derivative, together with the stated rate of interest on the instrument, is amortized over the life of the instrument through periodic charges to consolidated statements of operations and comprehensive loss, using the effective interest method. Embedded derivatives that are bifurcated and recognized as liability instruments are presented in a separate line in the balance sheets.</w:t>
      </w:r>
    </w:p>
    <w:p>
      <w:pPr>
        <w:pStyle w:val="TextBody"/>
        <w:bidi w:val="0"/>
        <w:spacing w:before="240" w:after="283"/>
        <w:jc w:val="left"/>
        <w:rPr>
          <w:rFonts w:ascii="Times New Roman" w:hAnsi="Times New Roman"/>
          <w:sz w:val="20"/>
        </w:rPr>
      </w:pPr>
      <w:r>
        <w:rPr>
          <w:rFonts w:ascii="Times New Roman" w:hAnsi="Times New Roman"/>
          <w:color w:val="000000"/>
          <w:sz w:val="20"/>
        </w:rPr>
        <w:t>Embedded derivative instruments that meet the criteria of equity instruments under ASC Topic 815-40, Contracts in Entity’s Own Equity (</w:t>
      </w:r>
      <w:r>
        <w:rPr>
          <w:rFonts w:ascii="Times New Roman" w:hAnsi="Times New Roman"/>
          <w:i/>
          <w:color w:val="000000"/>
          <w:sz w:val="20"/>
        </w:rPr>
        <w:t>Subtopic 815-40</w:t>
      </w:r>
      <w:r>
        <w:rPr>
          <w:rFonts w:ascii="Times New Roman" w:hAnsi="Times New Roman"/>
          <w:color w:val="000000"/>
          <w:sz w:val="20"/>
        </w:rPr>
        <w:t xml:space="preserve">) are initially recognized within additional paid-in capital at an amount determined by allocating the proceeds between the debt and equity components based on their relative fair values.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Convertible loan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Convertible loan notes are accounted for in accordance with ASC Topic 470-20, Debt with Conversion and Other Options as amended by ASU 2020-06, Debt with Conversion and Other Options (Subtopic 470-20) and Derivatives and Hedging—Contracts in Entity’s Own Equity (Subtopic 815-40) which the Company early adopted on January 1, 2021 on a fully retrospective basis.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described in Note 11, the Company issued two hybrid financial instruments in 2020; the Novartis Loan Note and the Private Placement Loan Notes, which both included multiple instruments, including convertible loan notes and warrants. For both hybrid financial instruments, pursuant to ASC Subtopic 470-20, the Company separately accounted for the liability component of the convertible loan notes, the embedded conversion option and the warrants.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case of the Novartis Loan Note, both the conversion option and the warrants were separately accounted for as equity instruments upon issuance. The conversion option and warrants are accounted for as equity instruments as they met the requirements to be considered indexed to the Company's own shares under Subtopic 815-40.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case of the Private Placement Loan Notes, both the conversion option and the warrants were initially separately accounted for as derivative instruments under ASC 815, however upon the passing of certain resolutions of the Company’s shareholders on June 30, 2020, the classification of the conversion option was reassessed and reclassified as an equity instrument. The warrants continued to be separately accounted for as derivative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Consideration received for hybrid financial instruments containing convertible debt is initially allocated to the fair value of separately recognized derivative instruments that will be subsequently remeasured at fair value under ASC 815, including the warrants issued with the Private Placement Loan Notes. The remaining consideration is allocated to the liability portion of the convertible loan notes and any other separately recognized equity instruments, such as the embedded conversion option, based on the relative fair value of each instrument.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none of the embedded derivatives are required to be subsequently remeasured at fair value, including the Novartis Loan Note, the consideration is allocated to all elements based on the relative fair value of each instrument. As the conversion option in the Novartis Loan Note is classified as an equity instrument, it qualifies for the scope exception for contracts indexed to the Company's own equity and as such is allocated to additional paid-in capital and accounted for at the initial recognition amount.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Changes to the terms of convertible loan notes are evaluated to determine whether they constitute an extinguishment or modification. Changes are accounted for as an extinguishment if:</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they cause the present value of the cash flows under the terms of the new debt instrument to be at least 10% different from the present value of the remaining cash flows under the terms of the original instrument; 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they change the fair value of the embedded conversion option by more than 10% of the carrying amount of the original debt instrument immediately before the modification; or</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they add a substantive conversion option or eliminate a conversion option that was substantive at the date of the modification or exchange.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Where changes are extinguishments, the liability component is derecognized and new component recognized in the same way as described above on initial recognition. The difference between the carrying value of the original debt and the fair value of the new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component will be recognized as an extinguishment gain or loss. In the current year no extinguishment gain or loss is recognized in the consolidated statements of operations and comprehensive loss.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Where changes are modifications, the carrying value of the liability component is adjusted to the present value of the modified cash flows discounted at the original effective interest rate, net of identifiable transaction costs, with the difference recognized by accreting the new carrying value to its face value using a revised effective interest rate and the accretion recognized in interest income. If the conversion option had previously been classified as a financial liability, but had been reclassified to equity (as was the case with the Private Placement Loan Notes) the carrying value of the liability is also adjusted to reflect any increase (but not decrease) in the fair value of the embedded, un-separated, conversion option with a corresponding adjustment to additional paid-in capital. The revised carrying value is accreted to the value of the principal plus accrued interest payable at maturity using the new effective interest rate.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Upon any conversion of the convertible loan notes in accordance with the conversion privileges provided in the terms of the instrument, the carrying value is adjusted for any unamortized capitalized transaction costs, which are recognized within interest expense. The carrying value is reduced by the cash consideration received and any excess or deficit after recognizing the nominal value of the ordinary shares issued is recognized within additional paid-in capital.</w:t>
      </w:r>
    </w:p>
    <w:p>
      <w:pPr>
        <w:pStyle w:val="TextBody"/>
        <w:bidi w:val="0"/>
        <w:spacing w:before="240" w:after="283"/>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issued warrants as part of a private placement transaction on June 30, 2020 and to its previous lenders pursuant to the terms of its loan facility in August 2017 and October 2018. The private placement warrants expired in June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warrants were classified as liabilities as they included provisions that could require cash settlement. The warrant instruments are recorded at fair value, with changes in the fair value recognized in the consolidated statements of operations and comprehensive loss as a component of net loss, where the terms of the warrant instruments allow for cashless exercise.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Equity classified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issued the following equity classified warrants: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Warrants issued in conjunction with the Novartis Loan Note in 2020. The value allocated to these warrants was recognized in equity at issuance as described above.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2018, the Group entered into a funding agreement with The Alpha-1 Project (“TAP”), which provided for total payments of $0.4 million, of which the final installment of $0.1 million was received in May 2023. In exchange for funding, the Company issued warrants allowing TAP to subscribe for ordinary shares in the Company. Under the agreement, TAP is potentially entitled to receive a payment equivalent to the amounts received by Mereo (up to a maximum of $0.4 million) conditional on and within thirty days of the first regulatory approval for alvelestat. The agreement is accounted for as a compound instrument that includes both debt and equity components with the carrying value of each component established based on the relative fair value of each component. The amount allocated to the liability component is accreted back to the face value over the period to the earliest reasonable repayment date using the effective interest method. The amount allocated to the warrants was recognized in additional paid-in capital and is not subsequently remeasured.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follows the guidance in ASC Topic 820, Fair Value Measurements and Disclosures (“ASC 820”) which defines fair value and establishes a fair value hierarchy that prioritizes the inputs to valuation techniques used to measure fair value.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uses valuation techniques that are appropriate in the circumstances and for which sufficient data are available to measure fair value, maximizing the use of relevant observable inputs and minimizing the use of unobservable inputs.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assets and liabilities for which fair value is measured or disclosed in the consolidated financial statements are categorized within the fair value hierarchy, described as follows, based on the lowest level input that is significant to the fair value measurement as a whole: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1 — quoted (unadjusted) market prices in active markets for identical assets or liabilities.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2 — valuation techniques for which the lowest level input that is significant to the fair value measurement is directly or indirectly observable.</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Level 3 — valuation techniques for which the lowest level input that is significant to the fair value measurement is unobservable.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For assets and liabilities that are recognized in the consolidated financial statements on a recurring basis, the Company determines whether transfers have occurred between levels in the hierarchy by reassessing categorization (based on the lowest level input that is significant to the fair value measurement as a whole) at the end of each reporting period. There were no transfers within the fair value hierarchy during the years ended December 31, 2023 and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Cash and cash equivalents in the consolidated balance sheets comprise cash at banks along with short-term deposits with a maturity of three months or less.</w:t>
      </w:r>
    </w:p>
    <w:p>
      <w:pPr>
        <w:pStyle w:val="TextBody"/>
        <w:bidi w:val="0"/>
        <w:spacing w:before="240" w:after="283"/>
        <w:jc w:val="left"/>
        <w:rPr>
          <w:rFonts w:ascii="Times New Roman" w:hAnsi="Times New Roman"/>
          <w:sz w:val="20"/>
        </w:rPr>
      </w:pPr>
      <w:r>
        <w:rPr>
          <w:rFonts w:ascii="Times New Roman" w:hAnsi="Times New Roman"/>
          <w:b/>
          <w:i/>
          <w:color w:val="000000"/>
          <w:sz w:val="20"/>
        </w:rPr>
        <w:t>Share-based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Employees (including executives) and non-executive directors of the Company receive remuneration in the form of share-based compensation, whereby employees and non-executive directors render services as consideration for equity instruments (equity settled transactions). Incentives in the form of ADSs are provided to employees and non-executive directors under various plans.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ASC Topic 718, Stock Compensation (“ASC 718”), the total amounts to be expensed for these incentives are expensed through the consolidated statements of operations and comprehensive loss and are measured based on the grant-date fair value of the awards and recognized over the period during which the employee or non-executive director is required to perform services in exchange for the award (generally the vesting period of the award).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accordance with ASC 718, the cancellation of share options is accounted for as an acceleration of the vesting period and therefore any amount unrecognized that would otherwise have been recorded in future accounting periods is recognized immediately. The Company has elected to recognize the effect of forfeitures on share-based compensation when they occur. Any differences in compensation recognized at the time of forfeiture are recorded as a cumulative adjustment in the period in which the forfeiture occurs.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Treasury shares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EBT holds ADSs as treasury shares to satisfy the exercise of options under the Company’s share-based incentive schemes. The EBT is a Jersey-based trust which was initially funded by a loan from the Company, which it utilized to purchase shares in sufficient quantity to fulfill the envisaged awards. In accordance with ASC Topic 505, Equity (“ASC 505”), these shares will be deducted from ordinary shares on the consolidated balance sheet at their nominal value. Shares held by the EBT are included in the consolidated balance sheets as a reduction in additional paid-in capital.</w:t>
      </w:r>
    </w:p>
    <w:p>
      <w:pPr>
        <w:pStyle w:val="TextBody"/>
        <w:bidi w:val="0"/>
        <w:spacing w:before="240" w:after="283"/>
        <w:jc w:val="left"/>
        <w:rPr>
          <w:rFonts w:ascii="Times New Roman" w:hAnsi="Times New Roman"/>
          <w:sz w:val="20"/>
        </w:rPr>
      </w:pPr>
      <w:r>
        <w:rPr>
          <w:rFonts w:ascii="Times New Roman" w:hAnsi="Times New Roman"/>
          <w:b/>
          <w:i/>
          <w:color w:val="000000"/>
          <w:sz w:val="20"/>
        </w:rPr>
        <w:t>Comprehensive income/(loss)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Comprehensive income/(loss) includes net income/(loss) as well as other changes in shareholders’ equity that result from transactions and economic events other than those with shareholders. The Company records unrealized gains and losses related to foreign currency translation as a component of other comprehensive loss in the consolidated statements of operations and comprehensive loss.</w:t>
      </w:r>
    </w:p>
    <w:p>
      <w:pPr>
        <w:pStyle w:val="TextBody"/>
        <w:bidi w:val="0"/>
        <w:spacing w:before="240" w:after="283"/>
        <w:jc w:val="left"/>
        <w:rPr>
          <w:rFonts w:ascii="Times New Roman" w:hAnsi="Times New Roman"/>
          <w:sz w:val="20"/>
        </w:rPr>
      </w:pPr>
      <w:r>
        <w:rPr>
          <w:rFonts w:ascii="Times New Roman" w:hAnsi="Times New Roman"/>
          <w:b/>
          <w:i/>
          <w:color w:val="000000"/>
          <w:sz w:val="20"/>
        </w:rPr>
        <w:t>Ordinary shares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Ordinary shares are classified in shareholders’ equity and represent issued share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Additional paid-in capital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Additional paid-in capital is classified in shareholders’ equity and includes the difference between the price paid per share and the nominal value. The equity element of share-based compensation is also recognized in additional paid-in capital as are derivative instruments that meet the requirements for equity classification.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Incremental costs incurred and directly attributable to the offering of equity securities are deducted from the related proceeds of the offering. The net amount is recorded as additional paid-in capital in the period when such shares are issued. Where such expenses are incurred prior to the offering, they are recorded in prepayments until the offering completes. Other costs incurred in such offerings are expensed as incurred and included in general and administrative expenses.</w:t>
      </w:r>
    </w:p>
    <w:p>
      <w:pPr>
        <w:pStyle w:val="TextBody"/>
        <w:bidi w:val="0"/>
        <w:spacing w:before="240" w:after="283"/>
        <w:jc w:val="left"/>
        <w:rPr>
          <w:rFonts w:ascii="Times New Roman" w:hAnsi="Times New Roman"/>
          <w:sz w:val="20"/>
        </w:rPr>
      </w:pPr>
      <w:r>
        <w:rPr>
          <w:rFonts w:ascii="Times New Roman" w:hAnsi="Times New Roman"/>
          <w:b/>
          <w:i/>
          <w:color w:val="000000"/>
          <w:sz w:val="20"/>
        </w:rPr>
        <w:t>Net income/(loss) per share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net income/(loss) per share is computed by dividing the net income/(loss) attributable to ordinary shareholders by the weighted-average number of ordinary shares outstanding for the reporting period without consideration for potentially dilutive securities. Net income/(loss) attributable to ordinary shareholders is computed as if all net income/(loss) for the period had been distributed. During periods in which the Company incurred a net loss, the Company allocates no net loss to participating securities because they do not have a contractual obligation to share in the net loss of the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computes diluted net income/(loss) per ordinary share after giving consideration to all potentially dilutive ordinary equivalents, including share options outstanding during the period, except where the effect of such non-participating securities would be antidilutive.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Diluted net income/(loss) per share is computed by dividing the net income/(loss) attributable to ordinary shareholders by the weighted average number of ordinary shares and dilutive ordinary share equivalents outstanding for the period, determined using the treasury stock and if-converted methods.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3. 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2023, the FASB issued ASU 2023-07, Improvements to Reportable Segment Disclosures. </w:t>
      </w:r>
      <w:r>
        <w:rPr>
          <w:rFonts w:ascii="Times New Roman" w:hAnsi="Times New Roman"/>
          <w:color w:val="2D2D2D"/>
          <w:sz w:val="20"/>
        </w:rPr>
        <w:t xml:space="preserve">The amendments </w:t>
      </w:r>
    </w:p>
    <w:p>
      <w:pPr>
        <w:pStyle w:val="TextBody"/>
        <w:bidi w:val="0"/>
        <w:jc w:val="left"/>
        <w:rPr>
          <w:rFonts w:ascii="Times New Roman" w:hAnsi="Times New Roman"/>
          <w:sz w:val="20"/>
        </w:rPr>
      </w:pPr>
      <w:r>
        <w:rPr>
          <w:rFonts w:ascii="Times New Roman" w:hAnsi="Times New Roman"/>
          <w:color w:val="000000"/>
          <w:sz w:val="20"/>
        </w:rPr>
        <w:t xml:space="preserve">require incremental disclosures related to a public entity’s reportable segments but does not change the definition of a segment, the method for determining segments, or the criteria for aggregating operating segments into reportable segments. </w:t>
      </w:r>
      <w:r>
        <w:rPr>
          <w:rFonts w:ascii="Times New Roman" w:hAnsi="Times New Roman"/>
          <w:color w:val="2D2D2D"/>
          <w:sz w:val="20"/>
        </w:rPr>
        <w:t>The biggest change in the ASU is the requirement for a public entity to disclose its significant segment expense categories and amounts for each reportable segment.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FASB issued ASU 2023-09, Improvements to Income Tax disclosures. The standard requires disaggregated information about a reporting entity’s effective tax rate reconciliation as well as information on income taxes paid.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key provisions under effective tax rate reconciliations are as follows: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ASU requires public business entities, on an annual basis, to provide a tabular rate reconciliation (using both percentages and reporting currency amounts) of the reported income tax expense (or benefit) from continuing operations, to the product of the income (or loss) from continuing operations before income taxes and the applicable statutory federal income tax rate of the country of domicile using specific categories,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Separate disclosure for any reconciling items within certain categories that are equal to or greater than a specified quantitative threshold. </w:t>
      </w:r>
      <w:r>
        <w:rPr>
          <w:rFonts w:ascii="Times New Roman" w:hAnsi="Times New Roman"/>
          <w:color w:val="2D2D2D"/>
          <w:sz w:val="20"/>
        </w:rPr>
        <w:t>The quantitative threshold for the designated categories requiring further disaggregation is 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key provisions under income taxes paid are as follows: </w:t>
      </w:r>
    </w:p>
    <w:p>
      <w:pPr>
        <w:pStyle w:val="TextBody"/>
        <w:bidi w:val="0"/>
        <w:spacing w:before="120" w:after="283"/>
        <w:jc w:val="left"/>
        <w:rPr>
          <w:color w:val="2D2D2D"/>
        </w:rPr>
      </w:pPr>
      <w:r>
        <w:rPr>
          <w:color w:val="2D2D2D"/>
        </w:rPr>
        <w:t>•</w:t>
      </w:r>
    </w:p>
    <w:p>
      <w:pPr>
        <w:pStyle w:val="TextBody"/>
        <w:bidi w:val="0"/>
        <w:spacing w:before="120" w:after="283"/>
        <w:jc w:val="left"/>
        <w:rPr>
          <w:rFonts w:ascii="Times New Roman" w:hAnsi="Times New Roman"/>
          <w:color w:val="2D2D2D"/>
          <w:sz w:val="20"/>
        </w:rPr>
      </w:pPr>
      <w:r>
        <w:rPr>
          <w:rFonts w:ascii="Times New Roman" w:hAnsi="Times New Roman"/>
          <w:color w:val="2D2D2D"/>
          <w:sz w:val="20"/>
        </w:rPr>
        <w:t>The ASU requires all reporting entities to disclose the year-to-date amount of income taxes paid (net of refunds received) disaggregated by federal, state, and foreign; and</w:t>
      </w:r>
    </w:p>
    <w:p>
      <w:pPr>
        <w:pStyle w:val="TextBody"/>
        <w:bidi w:val="0"/>
        <w:spacing w:before="120" w:after="283"/>
        <w:jc w:val="left"/>
        <w:rPr>
          <w:color w:val="2D2D2D"/>
        </w:rPr>
      </w:pPr>
      <w:r>
        <w:rPr>
          <w:color w:val="2D2D2D"/>
        </w:rPr>
        <w:t>•</w:t>
      </w:r>
    </w:p>
    <w:p>
      <w:pPr>
        <w:pStyle w:val="TextBody"/>
        <w:bidi w:val="0"/>
        <w:spacing w:before="120" w:after="283"/>
        <w:jc w:val="left"/>
        <w:rPr>
          <w:rFonts w:ascii="Times New Roman" w:hAnsi="Times New Roman"/>
          <w:color w:val="2D2D2D"/>
          <w:sz w:val="20"/>
        </w:rPr>
      </w:pPr>
      <w:r>
        <w:rPr>
          <w:rFonts w:ascii="Times New Roman" w:hAnsi="Times New Roman"/>
          <w:color w:val="2D2D2D"/>
          <w:sz w:val="20"/>
        </w:rPr>
        <w:t>It also requires additional disaggregated information on income taxes paid (net of refunds received) to an individual jurisdiction equal to or greater than 5% of total income taxes paid (net of refunds received). An entity may identify a country, state, or local territory as an individual jurisdiction.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ASU 2023-07 is effective for fiscal periods beginning after December 15, 2023 and ASU 2023-09 is effective for fiscal periods beginning after December 15, 2024. We are currently evaluating the impact of the adoption of these ASU's on our consolidated financial statements, but do not believe the adoption of these standards will have a material impact on our consolidated financial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March 2024, the SEC adopted final rules under SEC Release No. 33-11275, The Enhancement and Standardization of Climate-Related Disclosures for Investors, which requires registrants to provide certain climate-related information in their registration statements and annual reports. As it pertains to the financial statements, the final rules require the financial statement footnotes to include certain disclosures regarding the amounts of expenses (or capitalized costs) incurred that relate to severe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weather events and other natural conditions, as well as other disclosures regarding the material impact on financial estimates and assumptions of severe weather events and other natural conditions or disclosed targets or transition plans. It also requires disclosure of financial statements amounts related to carbon offsets and renewable energy credits. The disclosures will be required at the earliest in the annual financial statements for the year ended December 31, 2025 (or potentially later depending on the company’s filer status at the time). The company is currently evaluating the impact of this on its consolidated financial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accounting standards that have been issued with the FASB or other standards-setting bodies that do not require adoption until a future date are not expected to have a material impact on the Company's consolidated financial statements upon adoption.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Fair value measurement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financial instruments consist of cash and cash equivalents, accounts receivable, accounts payable, certain accrued expenses, contingent consideration, warrant liability and convertible loan notes. The carrying amounts of cash and cash equivalents, accounts receivable, accounts payable and accrued expenses approximate their fair value due to the short-term nature of those financial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the Company’s financial assets and liabilities measured at fair value on a recurring basis and classified under the appropriate level of the fair value hierarchy as described above:</w:t>
      </w:r>
    </w:p>
    <w:p>
      <w:pPr>
        <w:pStyle w:val="TextBody"/>
        <w:bidi w:val="0"/>
        <w:jc w:val="left"/>
        <w:rPr/>
      </w:pPr>
      <w:r>
        <w:rPr/>
        <w:t> </w:t>
      </w:r>
    </w:p>
    <w:tbl>
      <w:tblPr>
        <w:tblW w:w="5894" w:type="dxa"/>
        <w:jc w:val="left"/>
        <w:tblInd w:w="0" w:type="dxa"/>
        <w:tblLayout w:type="fixed"/>
        <w:tblCellMar>
          <w:top w:w="28" w:type="dxa"/>
          <w:left w:w="28" w:type="dxa"/>
          <w:bottom w:w="28" w:type="dxa"/>
          <w:right w:w="28" w:type="dxa"/>
        </w:tblCellMar>
      </w:tblPr>
      <w:tblGrid>
        <w:gridCol w:w="1771"/>
        <w:gridCol w:w="146"/>
        <w:gridCol w:w="181"/>
        <w:gridCol w:w="524"/>
        <w:gridCol w:w="146"/>
        <w:gridCol w:w="146"/>
        <w:gridCol w:w="217"/>
        <w:gridCol w:w="518"/>
        <w:gridCol w:w="146"/>
        <w:gridCol w:w="146"/>
        <w:gridCol w:w="188"/>
        <w:gridCol w:w="547"/>
        <w:gridCol w:w="146"/>
        <w:gridCol w:w="146"/>
        <w:gridCol w:w="217"/>
        <w:gridCol w:w="518"/>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86" w:type="dxa"/>
            <w:gridSpan w:val="14"/>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As at December 31, 2023</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CFF0FC" w:val="clear"/>
            <w:vAlign w:val="center"/>
          </w:tcPr>
          <w:p>
            <w:pPr>
              <w:pStyle w:val="TableContents"/>
              <w:bidi w:val="0"/>
              <w:spacing w:before="0" w:after="283"/>
              <w:jc w:val="left"/>
              <w:rPr/>
            </w:pPr>
            <w:r>
              <w:rPr/>
              <w:t> </w:t>
            </w:r>
          </w:p>
        </w:tc>
        <w:tc>
          <w:tcPr>
            <w:tcW w:w="70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735" w:type="dxa"/>
            <w:gridSpan w:val="2"/>
            <w:tcBorders/>
            <w:shd w:fill="CFF0FC" w:val="clear"/>
            <w:vAlign w:val="center"/>
          </w:tcPr>
          <w:p>
            <w:pPr>
              <w:pStyle w:val="TableContents"/>
              <w:bidi w:val="0"/>
              <w:spacing w:before="0" w:after="283"/>
              <w:jc w:val="center"/>
              <w:rPr/>
            </w:pPr>
            <w:r>
              <w:rPr/>
              <w:t> </w:t>
            </w:r>
          </w:p>
        </w:tc>
        <w:tc>
          <w:tcPr>
            <w:tcW w:w="191" w:type="dxa"/>
            <w:tcBorders/>
            <w:shd w:fill="CFF0FC"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tbl>
      <w:tblPr>
        <w:tblW w:w="5894" w:type="dxa"/>
        <w:jc w:val="left"/>
        <w:tblInd w:w="0" w:type="dxa"/>
        <w:tblLayout w:type="fixed"/>
        <w:tblCellMar>
          <w:top w:w="28" w:type="dxa"/>
          <w:left w:w="28" w:type="dxa"/>
          <w:bottom w:w="28" w:type="dxa"/>
          <w:right w:w="28" w:type="dxa"/>
        </w:tblCellMar>
      </w:tblPr>
      <w:tblGrid>
        <w:gridCol w:w="1771"/>
        <w:gridCol w:w="146"/>
        <w:gridCol w:w="181"/>
        <w:gridCol w:w="524"/>
        <w:gridCol w:w="146"/>
        <w:gridCol w:w="146"/>
        <w:gridCol w:w="217"/>
        <w:gridCol w:w="518"/>
        <w:gridCol w:w="146"/>
        <w:gridCol w:w="146"/>
        <w:gridCol w:w="188"/>
        <w:gridCol w:w="547"/>
        <w:gridCol w:w="146"/>
        <w:gridCol w:w="146"/>
        <w:gridCol w:w="188"/>
        <w:gridCol w:w="547"/>
        <w:gridCol w:w="191"/>
      </w:tblGrid>
      <w:tr>
        <w:trPr/>
        <w:tc>
          <w:tcPr>
            <w:tcW w:w="17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3786" w:type="dxa"/>
            <w:gridSpan w:val="14"/>
            <w:tcBorders/>
            <w:shd w:fill="FFFFFF" w:val="cle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As at December 31, 2022</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Financial liabilities</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35"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17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524"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7" w:type="dxa"/>
            <w:tcBorders/>
            <w:shd w:fill="CFF0FC" w:val="clear"/>
            <w:vAlign w:val="center"/>
          </w:tcPr>
          <w:p>
            <w:pPr>
              <w:pStyle w:val="TableContents"/>
              <w:bidi w:val="0"/>
              <w:spacing w:before="0" w:after="283"/>
              <w:jc w:val="left"/>
              <w:rPr/>
            </w:pPr>
            <w:r>
              <w:rPr/>
              <w:t> </w:t>
            </w:r>
          </w:p>
        </w:tc>
        <w:tc>
          <w:tcPr>
            <w:tcW w:w="51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54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91" w:type="dxa"/>
            <w:tcBorders/>
            <w:shd w:fill="CFF0FC" w:val="clear"/>
            <w:vAlign w:val="center"/>
          </w:tcPr>
          <w:p>
            <w:pPr>
              <w:pStyle w:val="TableContents"/>
              <w:bidi w:val="0"/>
              <w:spacing w:before="0" w:after="283"/>
              <w:jc w:val="left"/>
              <w:rPr/>
            </w:pPr>
            <w:r>
              <w:rPr/>
              <w:t> </w:t>
            </w:r>
          </w:p>
        </w:tc>
      </w:tr>
      <w:tr>
        <w:trPr/>
        <w:tc>
          <w:tcPr>
            <w:tcW w:w="17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CVR liability</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51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There were no transfers between Level 1 and Level 2 during the years ended December 31, 2023 and 2022.</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i/>
          <w:color w:val="000000"/>
          <w:sz w:val="20"/>
        </w:rPr>
        <w:t>Contingent Value Rights Agreement Liability ("CVR liability")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2019, the Company acquired OncoMed and subsequently renamed it Mereo BioPharma 5, Inc. The Company makes a provision for the estimated fair value of amounts payable to the former shareholders of Mereo BioPharma 5, Inc. under a Contingent Value Rights Agreement (“CVR”), established at the time of the acquisition of Mereo BioPharma 5, Inc which is accounted for as a contingent consideration liability. The CVR will expire on April 23,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and 2022, the Company estimates the fair value of the liability for its obligations under the CVR to be $nil (2022: $nil). Total potential payments under the CVR on a gross, undiscounted basis, are approximately $80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CVR liability is estimated based on a risk-adjusted, probability-based scenario. Under this approach the likelihood of future payments being made to the former shareholders of Mereo BioPharma 5, Inc. under the CVR is considered. The estimate could materially change over time in line with the development plan and potential subsequent commercialization of the product. These rights are contingent upon achieving certain milestones relating to two product candidates: etigilimab (“TIGIT”) and Navi. If the achievements are not met by April 2024, the agreement will expire. The CVR liability was $nil throughout both 2022 and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presents the changes in material Level 3 items for the years ended December 31, 2023 and December 31, 2022.</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4163" w:type="dxa"/>
        <w:jc w:val="left"/>
        <w:tblInd w:w="0" w:type="dxa"/>
        <w:tblLayout w:type="fixed"/>
        <w:tblCellMar>
          <w:top w:w="28" w:type="dxa"/>
          <w:left w:w="28" w:type="dxa"/>
          <w:bottom w:w="28" w:type="dxa"/>
          <w:right w:w="28" w:type="dxa"/>
        </w:tblCellMar>
      </w:tblPr>
      <w:tblGrid>
        <w:gridCol w:w="1971"/>
        <w:gridCol w:w="146"/>
        <w:gridCol w:w="389"/>
        <w:gridCol w:w="1246"/>
        <w:gridCol w:w="411"/>
      </w:tblGrid>
      <w:tr>
        <w:trPr/>
        <w:tc>
          <w:tcPr>
            <w:tcW w:w="1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labilities</w:t>
            </w:r>
          </w:p>
        </w:tc>
        <w:tc>
          <w:tcPr>
            <w:tcW w:w="411" w:type="dxa"/>
            <w:tcBorders/>
            <w:shd w:fill="FFFFFF" w:val="clear"/>
            <w:vAlign w:val="center"/>
          </w:tcPr>
          <w:p>
            <w:pPr>
              <w:pStyle w:val="TableContents"/>
              <w:bidi w:val="0"/>
              <w:spacing w:before="0" w:after="283"/>
              <w:jc w:val="center"/>
              <w:rPr/>
            </w:pPr>
            <w:r>
              <w:rPr/>
              <w:t> </w:t>
            </w:r>
          </w:p>
        </w:tc>
      </w:tr>
      <w:tr>
        <w:trPr/>
        <w:tc>
          <w:tcPr>
            <w:tcW w:w="19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January 1, 2022</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1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FFFFFF" w:val="clear"/>
            <w:vAlign w:val="center"/>
          </w:tcPr>
          <w:p>
            <w:pPr>
              <w:pStyle w:val="TableContents"/>
              <w:bidi w:val="0"/>
              <w:spacing w:before="0" w:after="283"/>
              <w:jc w:val="left"/>
              <w:rPr/>
            </w:pPr>
            <w:r>
              <w:rPr/>
              <w:t> </w:t>
            </w:r>
          </w:p>
        </w:tc>
        <w:tc>
          <w:tcPr>
            <w:tcW w:w="389" w:type="dxa"/>
            <w:tcBorders/>
            <w:shd w:fill="FFFFFF" w:val="clear"/>
            <w:vAlign w:val="center"/>
          </w:tcPr>
          <w:p>
            <w:pPr>
              <w:pStyle w:val="TableContents"/>
              <w:bidi w:val="0"/>
              <w:spacing w:before="0" w:after="283"/>
              <w:jc w:val="left"/>
              <w:rPr/>
            </w:pPr>
            <w:r>
              <w:rPr/>
              <w:t> </w:t>
            </w:r>
          </w:p>
        </w:tc>
        <w:tc>
          <w:tcPr>
            <w:tcW w:w="124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411" w:type="dxa"/>
            <w:tcBorders/>
            <w:shd w:fill="FFFFFF"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2022</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Change in fair value</w:t>
            </w:r>
          </w:p>
        </w:tc>
        <w:tc>
          <w:tcPr>
            <w:tcW w:w="146" w:type="dxa"/>
            <w:tcBorders/>
            <w:shd w:fill="CFF0FC" w:val="clear"/>
            <w:vAlign w:val="center"/>
          </w:tcPr>
          <w:p>
            <w:pPr>
              <w:pStyle w:val="TableContents"/>
              <w:bidi w:val="0"/>
              <w:spacing w:before="0" w:after="283"/>
              <w:jc w:val="left"/>
              <w:rPr/>
            </w:pPr>
            <w:r>
              <w:rPr/>
              <w:t> </w:t>
            </w:r>
          </w:p>
        </w:tc>
        <w:tc>
          <w:tcPr>
            <w:tcW w:w="389" w:type="dxa"/>
            <w:tcBorders/>
            <w:shd w:fill="CFF0FC" w:val="clear"/>
            <w:vAlign w:val="center"/>
          </w:tcPr>
          <w:p>
            <w:pPr>
              <w:pStyle w:val="TableContents"/>
              <w:bidi w:val="0"/>
              <w:spacing w:before="0" w:after="283"/>
              <w:jc w:val="left"/>
              <w:rPr/>
            </w:pPr>
            <w:r>
              <w:rPr/>
              <w:t> </w:t>
            </w:r>
          </w:p>
        </w:tc>
        <w:tc>
          <w:tcPr>
            <w:tcW w:w="124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411" w:type="dxa"/>
            <w:tcBorders/>
            <w:shd w:fill="CFF0FC" w:val="cle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97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FFFFFF" w:val="clear"/>
            <w:vAlign w:val="center"/>
          </w:tcPr>
          <w:p>
            <w:pPr>
              <w:pStyle w:val="TableContents"/>
              <w:bidi w:val="0"/>
              <w:spacing w:before="0" w:after="283"/>
              <w:jc w:val="left"/>
              <w:rPr/>
            </w:pPr>
            <w:r>
              <w:rPr/>
              <w:t> </w:t>
            </w:r>
          </w:p>
        </w:tc>
        <w:tc>
          <w:tcPr>
            <w:tcW w:w="3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7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December 31, 2023</w:t>
            </w:r>
          </w:p>
        </w:tc>
        <w:tc>
          <w:tcPr>
            <w:tcW w:w="146" w:type="dxa"/>
            <w:tcBorders/>
            <w:shd w:fill="CFF0FC" w:val="clear"/>
            <w:vAlign w:val="center"/>
          </w:tcPr>
          <w:p>
            <w:pPr>
              <w:pStyle w:val="TableContents"/>
              <w:bidi w:val="0"/>
              <w:spacing w:before="0" w:after="283"/>
              <w:jc w:val="left"/>
              <w:rPr/>
            </w:pPr>
            <w:r>
              <w:rPr/>
              <w:t> </w:t>
            </w:r>
          </w:p>
        </w:tc>
        <w:tc>
          <w:tcPr>
            <w:tcW w:w="3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significant unobservable inputs used in the fair value measurements categorized within Level 3 of the fair value hierarchy, together with a quantitative sensitivity analysis as at December 31, 2023 and 2022 are as follows:</w:t>
      </w:r>
    </w:p>
    <w:p>
      <w:pPr>
        <w:pStyle w:val="TextBody"/>
        <w:bidi w:val="0"/>
        <w:spacing w:before="1" w:after="283"/>
        <w:jc w:val="both"/>
        <w:rPr/>
      </w:pPr>
      <w:r>
        <w:rPr/>
        <w:t> </w:t>
      </w:r>
    </w:p>
    <w:tbl>
      <w:tblPr>
        <w:tblW w:w="10205" w:type="dxa"/>
        <w:jc w:val="left"/>
        <w:tblInd w:w="0" w:type="dxa"/>
        <w:tblLayout w:type="fixed"/>
        <w:tblCellMar>
          <w:top w:w="28" w:type="dxa"/>
          <w:left w:w="28" w:type="dxa"/>
          <w:bottom w:w="28" w:type="dxa"/>
          <w:right w:w="28" w:type="dxa"/>
        </w:tblCellMar>
      </w:tblPr>
      <w:tblGrid>
        <w:gridCol w:w="1284"/>
        <w:gridCol w:w="1095"/>
        <w:gridCol w:w="1813"/>
        <w:gridCol w:w="640"/>
        <w:gridCol w:w="5373"/>
      </w:tblGrid>
      <w:tr>
        <w:trPr/>
        <w:tc>
          <w:tcPr>
            <w:tcW w:w="1284" w:type="dxa"/>
            <w:tcBorders/>
            <w:shd w:fill="FFFFFF" w:val="clear"/>
            <w:vAlign w:val="center"/>
          </w:tcPr>
          <w:p>
            <w:pPr>
              <w:pStyle w:val="TableContents"/>
              <w:bidi w:val="0"/>
              <w:spacing w:before="0" w:after="283"/>
              <w:jc w:val="left"/>
              <w:rPr>
                <w:sz w:val="4"/>
                <w:szCs w:val="4"/>
              </w:rPr>
            </w:pPr>
            <w:r>
              <w:rPr>
                <w:sz w:val="4"/>
                <w:szCs w:val="4"/>
              </w:rPr>
            </w:r>
          </w:p>
        </w:tc>
        <w:tc>
          <w:tcPr>
            <w:tcW w:w="1095" w:type="dxa"/>
            <w:tcBorders/>
            <w:shd w:fill="FFFFFF" w:val="clear"/>
            <w:vAlign w:val="center"/>
          </w:tcPr>
          <w:p>
            <w:pPr>
              <w:pStyle w:val="TableContents"/>
              <w:bidi w:val="0"/>
              <w:spacing w:before="0" w:after="283"/>
              <w:jc w:val="left"/>
              <w:rPr>
                <w:sz w:val="4"/>
                <w:szCs w:val="4"/>
              </w:rPr>
            </w:pPr>
            <w:r>
              <w:rPr>
                <w:sz w:val="4"/>
                <w:szCs w:val="4"/>
              </w:rPr>
            </w:r>
          </w:p>
        </w:tc>
        <w:tc>
          <w:tcPr>
            <w:tcW w:w="1813" w:type="dxa"/>
            <w:tcBorders/>
            <w:shd w:fill="FFFFFF" w:val="clear"/>
            <w:vAlign w:val="center"/>
          </w:tcPr>
          <w:p>
            <w:pPr>
              <w:pStyle w:val="TableContents"/>
              <w:bidi w:val="0"/>
              <w:spacing w:before="0" w:after="283"/>
              <w:jc w:val="left"/>
              <w:rPr>
                <w:sz w:val="4"/>
                <w:szCs w:val="4"/>
              </w:rPr>
            </w:pPr>
            <w:r>
              <w:rPr>
                <w:sz w:val="4"/>
                <w:szCs w:val="4"/>
              </w:rPr>
            </w:r>
          </w:p>
        </w:tc>
        <w:tc>
          <w:tcPr>
            <w:tcW w:w="640" w:type="dxa"/>
            <w:tcBorders/>
            <w:shd w:fill="FFFFFF" w:val="clear"/>
            <w:vAlign w:val="center"/>
          </w:tcPr>
          <w:p>
            <w:pPr>
              <w:pStyle w:val="TableContents"/>
              <w:bidi w:val="0"/>
              <w:spacing w:before="0" w:after="283"/>
              <w:jc w:val="left"/>
              <w:rPr>
                <w:sz w:val="4"/>
                <w:szCs w:val="4"/>
              </w:rPr>
            </w:pPr>
            <w:r>
              <w:rPr>
                <w:sz w:val="4"/>
                <w:szCs w:val="4"/>
              </w:rPr>
            </w:r>
          </w:p>
        </w:tc>
        <w:tc>
          <w:tcPr>
            <w:tcW w:w="5373" w:type="dxa"/>
            <w:tcBorders/>
            <w:shd w:fill="FFFFFF" w:val="clear"/>
            <w:vAlign w:val="center"/>
          </w:tcPr>
          <w:p>
            <w:pPr>
              <w:pStyle w:val="TableContents"/>
              <w:bidi w:val="0"/>
              <w:spacing w:before="0" w:after="283"/>
              <w:jc w:val="left"/>
              <w:rPr>
                <w:sz w:val="4"/>
                <w:szCs w:val="4"/>
              </w:rPr>
            </w:pPr>
            <w:r>
              <w:rPr>
                <w:sz w:val="4"/>
                <w:szCs w:val="4"/>
              </w:rPr>
            </w:r>
          </w:p>
        </w:tc>
      </w:tr>
      <w:tr>
        <w:trPr/>
        <w:tc>
          <w:tcPr>
            <w:tcW w:w="1284" w:type="dxa"/>
            <w:tcBorders/>
            <w:vAlign w:val="center"/>
          </w:tcPr>
          <w:p>
            <w:pPr>
              <w:pStyle w:val="TableContents"/>
              <w:bidi w:val="0"/>
              <w:spacing w:before="0" w:after="283"/>
              <w:jc w:val="left"/>
              <w:rPr/>
            </w:pPr>
            <w:r>
              <w:rPr/>
              <w:t> </w:t>
            </w:r>
          </w:p>
        </w:tc>
        <w:tc>
          <w:tcPr>
            <w:tcW w:w="1095"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Valuation technique</w:t>
            </w:r>
          </w:p>
        </w:tc>
        <w:tc>
          <w:tcPr>
            <w:tcW w:w="181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Significant unobservable inputs</w:t>
            </w:r>
          </w:p>
        </w:tc>
        <w:tc>
          <w:tcPr>
            <w:tcW w:w="640"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Input range</w:t>
            </w:r>
          </w:p>
        </w:tc>
        <w:tc>
          <w:tcPr>
            <w:tcW w:w="5373" w:type="dxa"/>
            <w:tcBorders/>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Sensitivity of the input to fair value</w:t>
            </w:r>
          </w:p>
        </w:tc>
      </w:tr>
      <w:tr>
        <w:trPr/>
        <w:tc>
          <w:tcPr>
            <w:tcW w:w="128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Warrant liability related to the private placement warrants</w:t>
            </w:r>
          </w:p>
        </w:tc>
        <w:tc>
          <w:tcPr>
            <w:tcW w:w="109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Black- Scholes model</w:t>
            </w:r>
          </w:p>
        </w:tc>
        <w:tc>
          <w:tcPr>
            <w:tcW w:w="1813"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Expected volatility</w:t>
            </w:r>
          </w:p>
        </w:tc>
        <w:tc>
          <w:tcPr>
            <w:tcW w:w="640" w:type="dxa"/>
            <w:tcBorders/>
            <w:shd w:fill="CFF0FC" w:val="clear"/>
            <w:vAlign w:val="center"/>
          </w:tcPr>
          <w:p>
            <w:pPr>
              <w:pStyle w:val="TableContents"/>
              <w:bidi w:val="0"/>
              <w:jc w:val="left"/>
              <w:rPr>
                <w:rFonts w:ascii="Times New Roman" w:hAnsi="Times New Roman"/>
                <w:color w:val="000000"/>
                <w:sz w:val="20"/>
              </w:rPr>
            </w:pPr>
            <w:r>
              <w:rPr>
                <w:rFonts w:ascii="Times New Roman" w:hAnsi="Times New Roman"/>
                <w:color w:val="000000"/>
                <w:sz w:val="20"/>
              </w:rPr>
              <w:t>2023: n/a</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2022: 95.5%</w:t>
            </w:r>
          </w:p>
        </w:tc>
        <w:tc>
          <w:tcPr>
            <w:tcW w:w="53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warrants expired in June 2023, therefore the fair value at December 31, 2023 was $nil</w:t>
            </w:r>
          </w:p>
        </w:tc>
      </w:tr>
      <w:tr>
        <w:trPr/>
        <w:tc>
          <w:tcPr>
            <w:tcW w:w="1284"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CVR liability</w:t>
            </w:r>
          </w:p>
        </w:tc>
        <w:tc>
          <w:tcPr>
            <w:tcW w:w="109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Discounted cash flow</w:t>
            </w:r>
          </w:p>
        </w:tc>
        <w:tc>
          <w:tcPr>
            <w:tcW w:w="1813" w:type="dxa"/>
            <w:tcBorders/>
            <w:shd w:fill="FFFFFF" w:val="clear"/>
            <w:vAlign w:val="center"/>
          </w:tcPr>
          <w:p>
            <w:pPr>
              <w:pStyle w:val="TableContents"/>
              <w:bidi w:val="0"/>
              <w:jc w:val="left"/>
              <w:rPr/>
            </w:pPr>
            <w:r>
              <w:rPr>
                <w:color w:val="000000"/>
              </w:rPr>
              <w:t>  </w:t>
            </w:r>
            <w:r>
              <w:rPr>
                <w:rFonts w:ascii="Times New Roman" w:hAnsi="Times New Roman"/>
                <w:color w:val="000000"/>
                <w:sz w:val="20"/>
              </w:rPr>
              <w:t xml:space="preserve">Ongoing uncertainty in the </w:t>
            </w:r>
          </w:p>
          <w:p>
            <w:pPr>
              <w:pStyle w:val="TableContents"/>
              <w:bidi w:val="0"/>
              <w:jc w:val="left"/>
              <w:rPr/>
            </w:pPr>
            <w:r>
              <w:rPr>
                <w:color w:val="000000"/>
              </w:rPr>
              <w:t>  </w:t>
            </w:r>
            <w:r>
              <w:rPr>
                <w:rFonts w:ascii="Times New Roman" w:hAnsi="Times New Roman"/>
                <w:color w:val="000000"/>
                <w:sz w:val="20"/>
              </w:rPr>
              <w:t xml:space="preserve">clinical development of the </w:t>
            </w:r>
          </w:p>
          <w:p>
            <w:pPr>
              <w:pStyle w:val="TableContents"/>
              <w:bidi w:val="0"/>
              <w:spacing w:before="0" w:after="283"/>
              <w:jc w:val="left"/>
              <w:rPr/>
            </w:pPr>
            <w:r>
              <w:rPr>
                <w:color w:val="000000"/>
              </w:rPr>
              <w:t>  </w:t>
            </w:r>
            <w:r>
              <w:rPr>
                <w:rFonts w:ascii="Times New Roman" w:hAnsi="Times New Roman"/>
                <w:color w:val="000000"/>
                <w:sz w:val="20"/>
              </w:rPr>
              <w:t xml:space="preserve">Navi product </w:t>
            </w:r>
          </w:p>
        </w:tc>
        <w:tc>
          <w:tcPr>
            <w:tcW w:w="640" w:type="dxa"/>
            <w:tcBorders/>
            <w:shd w:fill="FFFFFF" w:val="clear"/>
            <w:vAlign w:val="center"/>
          </w:tcPr>
          <w:p>
            <w:pPr>
              <w:pStyle w:val="TableContents"/>
              <w:bidi w:val="0"/>
              <w:spacing w:before="0" w:after="283"/>
              <w:jc w:val="left"/>
              <w:rPr/>
            </w:pPr>
            <w:r>
              <w:rPr/>
              <w:t> </w:t>
            </w:r>
          </w:p>
        </w:tc>
        <w:tc>
          <w:tcPr>
            <w:tcW w:w="537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Total potential future payments relating to the contingent consideration liability on a gross, undiscounted basis are approximately $80 million. However, the agreement expires in April 2024. If none of the milestones are achieved, then no further payments will be required. </w:t>
            </w:r>
          </w:p>
        </w:tc>
      </w:tr>
      <w:tr>
        <w:trPr/>
        <w:tc>
          <w:tcPr>
            <w:tcW w:w="1284" w:type="dxa"/>
            <w:tcBorders/>
            <w:shd w:fill="CFF0FC" w:val="clear"/>
            <w:vAlign w:val="center"/>
          </w:tcPr>
          <w:p>
            <w:pPr>
              <w:pStyle w:val="TableContents"/>
              <w:bidi w:val="0"/>
              <w:spacing w:before="0" w:after="283"/>
              <w:jc w:val="left"/>
              <w:rPr/>
            </w:pPr>
            <w:r>
              <w:rPr/>
              <w:t> </w:t>
            </w:r>
          </w:p>
        </w:tc>
        <w:tc>
          <w:tcPr>
            <w:tcW w:w="1095" w:type="dxa"/>
            <w:tcBorders/>
            <w:shd w:fill="CFF0FC" w:val="clear"/>
            <w:vAlign w:val="center"/>
          </w:tcPr>
          <w:p>
            <w:pPr>
              <w:pStyle w:val="TableContents"/>
              <w:bidi w:val="0"/>
              <w:spacing w:before="0" w:after="283"/>
              <w:jc w:val="left"/>
              <w:rPr/>
            </w:pPr>
            <w:r>
              <w:rPr/>
              <w:t> </w:t>
            </w:r>
          </w:p>
        </w:tc>
        <w:tc>
          <w:tcPr>
            <w:tcW w:w="1813" w:type="dxa"/>
            <w:tcBorders/>
            <w:shd w:fill="CFF0FC" w:val="clear"/>
            <w:vAlign w:val="center"/>
          </w:tcPr>
          <w:p>
            <w:pPr>
              <w:pStyle w:val="TableContents"/>
              <w:bidi w:val="0"/>
              <w:jc w:val="left"/>
              <w:rPr/>
            </w:pPr>
            <w:r>
              <w:rPr>
                <w:color w:val="000000"/>
              </w:rPr>
              <w:t>  </w:t>
            </w:r>
            <w:r>
              <w:rPr>
                <w:rFonts w:ascii="Times New Roman" w:hAnsi="Times New Roman"/>
                <w:color w:val="000000"/>
                <w:sz w:val="20"/>
              </w:rPr>
              <w:t xml:space="preserve">Regulatory approval and </w:t>
            </w:r>
          </w:p>
          <w:p>
            <w:pPr>
              <w:pStyle w:val="TableContents"/>
              <w:bidi w:val="0"/>
              <w:spacing w:before="0" w:after="283"/>
              <w:jc w:val="left"/>
              <w:rPr>
                <w:color w:val="000000"/>
              </w:rPr>
            </w:pPr>
            <w:r>
              <w:rPr>
                <w:color w:val="000000"/>
              </w:rPr>
              <w:t>  </w:t>
            </w:r>
            <w:r>
              <w:rPr>
                <w:rFonts w:ascii="Times New Roman" w:hAnsi="Times New Roman"/>
                <w:color w:val="000000"/>
                <w:sz w:val="20"/>
              </w:rPr>
              <w:t>commercialization risks</w:t>
            </w:r>
          </w:p>
        </w:tc>
        <w:tc>
          <w:tcPr>
            <w:tcW w:w="640" w:type="dxa"/>
            <w:tcBorders/>
            <w:shd w:fill="CFF0FC" w:val="clear"/>
            <w:vAlign w:val="center"/>
          </w:tcPr>
          <w:p>
            <w:pPr>
              <w:pStyle w:val="TableContents"/>
              <w:bidi w:val="0"/>
              <w:spacing w:before="0" w:after="283"/>
              <w:jc w:val="left"/>
              <w:rPr/>
            </w:pPr>
            <w:r>
              <w:rPr/>
              <w:t> </w:t>
            </w:r>
          </w:p>
        </w:tc>
        <w:tc>
          <w:tcPr>
            <w:tcW w:w="5373"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Sensitivity of the input to fair value is primarily driven by uncertainty in the clinical development of the Navi product. Future potential payments under the CVR arrangement are contingent on i) future development milestones and ii) future sales of the Navi product, following regulatory approval and commercialization. In January 2020, the Company entered into the license agreement. Although pursuant to the license agreement the Company is entitled to additional payments of up to $302 million, there continues to be no expectation of any milestone or royalty payments under the license agreement before the CVR arrangement expires in April 2024.</w:t>
            </w:r>
          </w:p>
        </w:tc>
      </w:tr>
    </w:tbl>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5. Prepaid expenses and other current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Prepaid expenses and other current assets consisted of the following:</w:t>
      </w:r>
    </w:p>
    <w:p>
      <w:pPr>
        <w:pStyle w:val="TextBody"/>
        <w:bidi w:val="0"/>
        <w:jc w:val="both"/>
        <w:rPr/>
      </w:pPr>
      <w:r>
        <w:rPr/>
        <w:t> </w:t>
      </w:r>
    </w:p>
    <w:tbl>
      <w:tblPr>
        <w:tblW w:w="5779" w:type="dxa"/>
        <w:jc w:val="left"/>
        <w:tblInd w:w="0" w:type="dxa"/>
        <w:tblLayout w:type="fixed"/>
        <w:tblCellMar>
          <w:top w:w="28" w:type="dxa"/>
          <w:left w:w="28" w:type="dxa"/>
          <w:bottom w:w="28" w:type="dxa"/>
          <w:right w:w="28" w:type="dxa"/>
        </w:tblCellMar>
      </w:tblPr>
      <w:tblGrid>
        <w:gridCol w:w="3586"/>
        <w:gridCol w:w="146"/>
        <w:gridCol w:w="211"/>
        <w:gridCol w:w="571"/>
        <w:gridCol w:w="146"/>
        <w:gridCol w:w="146"/>
        <w:gridCol w:w="211"/>
        <w:gridCol w:w="571"/>
        <w:gridCol w:w="19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VAT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research and development services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2,348</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taxes receivable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Insurance claim receivable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Security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w:t>
            </w:r>
          </w:p>
        </w:tc>
        <w:tc>
          <w:tcPr>
            <w:tcW w:w="191" w:type="dxa"/>
            <w:tcBorders/>
            <w:shd w:fill="CFF0FC" w:val="clear"/>
            <w:vAlign w:val="center"/>
          </w:tcPr>
          <w:p>
            <w:pPr>
              <w:pStyle w:val="TableContents"/>
              <w:bidi w:val="0"/>
              <w:spacing w:before="0" w:after="283"/>
              <w:jc w:val="left"/>
              <w:rPr/>
            </w:pPr>
            <w:r>
              <w:rPr/>
              <w:t> </w:t>
            </w:r>
          </w:p>
        </w:tc>
      </w:tr>
      <w:tr>
        <w:trPr/>
        <w:tc>
          <w:tcPr>
            <w:tcW w:w="35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prepaid expense and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6. Property and equipment, net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Property and equipment, net consists of the following:</w:t>
      </w:r>
    </w:p>
    <w:p>
      <w:pPr>
        <w:pStyle w:val="TextBody"/>
        <w:bidi w:val="0"/>
        <w:jc w:val="both"/>
        <w:rPr/>
      </w:pPr>
      <w:r>
        <w:rPr/>
        <w:t> </w:t>
      </w:r>
    </w:p>
    <w:tbl>
      <w:tblPr>
        <w:tblW w:w="5705" w:type="dxa"/>
        <w:jc w:val="left"/>
        <w:tblInd w:w="0" w:type="dxa"/>
        <w:tblLayout w:type="fixed"/>
        <w:tblCellMar>
          <w:top w:w="28" w:type="dxa"/>
          <w:left w:w="28" w:type="dxa"/>
          <w:bottom w:w="28" w:type="dxa"/>
          <w:right w:w="28" w:type="dxa"/>
        </w:tblCellMar>
      </w:tblPr>
      <w:tblGrid>
        <w:gridCol w:w="2886"/>
        <w:gridCol w:w="146"/>
        <w:gridCol w:w="254"/>
        <w:gridCol w:w="689"/>
        <w:gridCol w:w="200"/>
        <w:gridCol w:w="176"/>
        <w:gridCol w:w="254"/>
        <w:gridCol w:w="689"/>
        <w:gridCol w:w="411"/>
      </w:tblGrid>
      <w:tr>
        <w:trPr/>
        <w:tc>
          <w:tcPr>
            <w:tcW w:w="2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00" w:type="dxa"/>
            <w:tcBorders/>
            <w:shd w:fill="FFFFFF" w:val="clear"/>
            <w:vAlign w:val="center"/>
          </w:tcPr>
          <w:p>
            <w:pPr>
              <w:pStyle w:val="TableContents"/>
              <w:bidi w:val="0"/>
              <w:spacing w:before="0" w:after="283"/>
              <w:jc w:val="center"/>
              <w:rPr/>
            </w:pPr>
            <w:r>
              <w:rPr/>
              <w:t> </w:t>
            </w:r>
          </w:p>
        </w:tc>
        <w:tc>
          <w:tcPr>
            <w:tcW w:w="176" w:type="dxa"/>
            <w:tcBorders/>
            <w:shd w:fill="FFFFFF" w:val="clear"/>
            <w:vAlign w:val="center"/>
          </w:tcPr>
          <w:p>
            <w:pPr>
              <w:pStyle w:val="TableContents"/>
              <w:bidi w:val="0"/>
              <w:spacing w:before="0" w:after="283"/>
              <w:jc w:val="left"/>
              <w:rPr/>
            </w:pPr>
            <w:r>
              <w:rPr/>
              <w:t> </w:t>
            </w:r>
          </w:p>
        </w:tc>
        <w:tc>
          <w:tcPr>
            <w:tcW w:w="94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411" w:type="dxa"/>
            <w:tcBorders/>
            <w:shd w:fill="FFFFFF" w:val="clear"/>
            <w:vAlign w:val="center"/>
          </w:tcPr>
          <w:p>
            <w:pPr>
              <w:pStyle w:val="TableContents"/>
              <w:bidi w:val="0"/>
              <w:spacing w:before="0" w:after="283"/>
              <w:ind w:left="0" w:right="0" w:firstLine="200"/>
              <w:jc w:val="center"/>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w:t>
            </w:r>
          </w:p>
        </w:tc>
        <w:tc>
          <w:tcPr>
            <w:tcW w:w="200" w:type="dxa"/>
            <w:tcBorders/>
            <w:shd w:fill="CFF0FC" w:val="clear"/>
            <w:vAlign w:val="center"/>
          </w:tcPr>
          <w:p>
            <w:pPr>
              <w:pStyle w:val="TableContents"/>
              <w:bidi w:val="0"/>
              <w:spacing w:before="0" w:after="283"/>
              <w:jc w:val="left"/>
              <w:rPr/>
            </w:pPr>
            <w:r>
              <w:rPr/>
              <w:t> </w:t>
            </w:r>
          </w:p>
        </w:tc>
        <w:tc>
          <w:tcPr>
            <w:tcW w:w="176" w:type="dxa"/>
            <w:tcBorders/>
            <w:shd w:fill="CFF0FC" w:val="clear"/>
            <w:vAlign w:val="center"/>
          </w:tcPr>
          <w:p>
            <w:pPr>
              <w:pStyle w:val="TableContents"/>
              <w:bidi w:val="0"/>
              <w:spacing w:before="0" w:after="283"/>
              <w:jc w:val="left"/>
              <w:rPr/>
            </w:pPr>
            <w:r>
              <w:rPr/>
              <w:t> </w:t>
            </w:r>
          </w:p>
        </w:tc>
        <w:tc>
          <w:tcPr>
            <w:tcW w:w="25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w:t>
            </w:r>
          </w:p>
        </w:tc>
        <w:tc>
          <w:tcPr>
            <w:tcW w:w="411" w:type="dxa"/>
            <w:tcBorders/>
            <w:shd w:fill="CFF0FC" w:val="cle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Office equipment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IT equipment</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at cost</w:t>
            </w:r>
          </w:p>
        </w:tc>
        <w:tc>
          <w:tcPr>
            <w:tcW w:w="14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20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254" w:type="dxa"/>
            <w:tcBorders/>
            <w:shd w:fill="FFFFFF" w:val="clear"/>
            <w:vAlign w:val="center"/>
          </w:tcPr>
          <w:p>
            <w:pPr>
              <w:pStyle w:val="TableContents"/>
              <w:bidi w:val="0"/>
              <w:spacing w:before="0" w:after="283"/>
              <w:jc w:val="left"/>
              <w:rPr/>
            </w:pPr>
            <w:r>
              <w:rPr/>
              <w:t> </w:t>
            </w:r>
          </w:p>
        </w:tc>
        <w:tc>
          <w:tcPr>
            <w:tcW w:w="68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1,287</w:t>
            </w:r>
          </w:p>
        </w:tc>
        <w:tc>
          <w:tcPr>
            <w:tcW w:w="411" w:type="dxa"/>
            <w:tcBorders/>
            <w:shd w:fill="FFFFFF" w:val="clear"/>
            <w:vAlign w:val="center"/>
          </w:tcPr>
          <w:p>
            <w:pPr>
              <w:pStyle w:val="TableContents"/>
              <w:bidi w:val="0"/>
              <w:spacing w:before="0" w:after="283"/>
              <w:ind w:left="0" w:right="0" w:firstLine="200"/>
              <w:jc w:val="left"/>
              <w:rPr/>
            </w:pPr>
            <w:r>
              <w:rPr/>
              <w:t> </w:t>
            </w:r>
          </w:p>
        </w:tc>
      </w:tr>
      <w:tr>
        <w:trPr/>
        <w:tc>
          <w:tcPr>
            <w:tcW w:w="288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88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year ended December 31, 2023 was $0.2 million (2022: $0.2 million).</w:t>
      </w:r>
    </w:p>
    <w:p>
      <w:pPr>
        <w:pStyle w:val="TextBody"/>
        <w:bidi w:val="0"/>
        <w:spacing w:before="240" w:after="283"/>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7. Intangible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Intangible assets consists of the following:</w:t>
      </w:r>
    </w:p>
    <w:p>
      <w:pPr>
        <w:pStyle w:val="TextBody"/>
        <w:bidi w:val="0"/>
        <w:jc w:val="both"/>
        <w:rPr/>
      </w:pPr>
      <w:r>
        <w:rPr/>
        <w:t> </w:t>
      </w:r>
    </w:p>
    <w:tbl>
      <w:tblPr>
        <w:tblW w:w="5300" w:type="dxa"/>
        <w:jc w:val="left"/>
        <w:tblInd w:w="0" w:type="dxa"/>
        <w:tblLayout w:type="fixed"/>
        <w:tblCellMar>
          <w:top w:w="28" w:type="dxa"/>
          <w:left w:w="28" w:type="dxa"/>
          <w:bottom w:w="28" w:type="dxa"/>
          <w:right w:w="28" w:type="dxa"/>
        </w:tblCellMar>
      </w:tblPr>
      <w:tblGrid>
        <w:gridCol w:w="2701"/>
        <w:gridCol w:w="146"/>
        <w:gridCol w:w="289"/>
        <w:gridCol w:w="783"/>
        <w:gridCol w:w="227"/>
        <w:gridCol w:w="200"/>
        <w:gridCol w:w="289"/>
        <w:gridCol w:w="474"/>
        <w:gridCol w:w="1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0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27"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c>
          <w:tcPr>
            <w:tcW w:w="76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License</w:t>
            </w:r>
          </w:p>
        </w:tc>
        <w:tc>
          <w:tcPr>
            <w:tcW w:w="146"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227" w:type="dxa"/>
            <w:tcBorders/>
            <w:shd w:fill="CFF0FC" w:val="clear"/>
            <w:vAlign w:val="center"/>
          </w:tcPr>
          <w:p>
            <w:pPr>
              <w:pStyle w:val="TableContents"/>
              <w:bidi w:val="0"/>
              <w:spacing w:before="0" w:after="283"/>
              <w:jc w:val="left"/>
              <w:rPr/>
            </w:pPr>
            <w:r>
              <w:rPr/>
              <w:t> </w:t>
            </w:r>
          </w:p>
        </w:tc>
        <w:tc>
          <w:tcPr>
            <w:tcW w:w="200" w:type="dxa"/>
            <w:tcBorders/>
            <w:shd w:fill="CFF0FC" w:val="clear"/>
            <w:vAlign w:val="center"/>
          </w:tcPr>
          <w:p>
            <w:pPr>
              <w:pStyle w:val="TableContents"/>
              <w:bidi w:val="0"/>
              <w:spacing w:before="0" w:after="283"/>
              <w:jc w:val="left"/>
              <w:rPr/>
            </w:pPr>
            <w:r>
              <w:rPr/>
              <w:t> </w:t>
            </w:r>
          </w:p>
        </w:tc>
        <w:tc>
          <w:tcPr>
            <w:tcW w:w="289"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70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 net</w:t>
            </w:r>
          </w:p>
        </w:tc>
        <w:tc>
          <w:tcPr>
            <w:tcW w:w="146" w:type="dxa"/>
            <w:tcBorders/>
            <w:shd w:fill="CFF0FC" w:val="cle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1,089</w:t>
            </w:r>
          </w:p>
        </w:tc>
        <w:tc>
          <w:tcPr>
            <w:tcW w:w="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2023, the Company acquired an intangible asset of $1.5 million related to a license agreement. Corresponding deferred consideration liabilities totaling $1.5 million were also recognized in other current and other non-current liabilities. The license is amortized on a straight-line basis over its useful economic life. </w:t>
      </w:r>
    </w:p>
    <w:p>
      <w:pPr>
        <w:pStyle w:val="TextBody"/>
        <w:bidi w:val="0"/>
        <w:jc w:val="both"/>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8. Leases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2015, Mereo entered into a lease agreement under which the Company leased office space located on the fourth floor of One Cavendish Place, London, with a lease term ending in August 2025. In June 2021, the Company entered into a new lease agreement to lease additional office space located on the fifth floor of that building for a lease period ending in June 2026. At the same time, the Company entered into a revisionary lease to extend the term for the original fourth floor lease to be co-terminus with the fifth floor, ending in June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2022, the Company’s lease for office space in Redwood City, California expired, and certain equipment was disposed. In the year-ended December 31, 2023, the Company made lease payments of $0.8 million (2022: $1.2 million) and total lease expenses included in the statements of operations and comprehensive loss were $0.7 million (2022: $0.9 million). There were no material variable lease costs. The amount of operating right of use assets recognized was $1.2 million in the year ended December 31, 2023 (2022: $1.7 million). Amortization of the right of use assets recognized in the statements of operations and comprehensive loss was $0.5 million in the year ended December 31, 2023 (2022: $0.7 million).</w:t>
      </w:r>
    </w:p>
    <w:p>
      <w:pPr>
        <w:pStyle w:val="TextBody"/>
        <w:bidi w:val="0"/>
        <w:jc w:val="both"/>
        <w:rPr/>
      </w:pPr>
      <w:r>
        <w:rPr/>
        <w:t> </w:t>
      </w:r>
    </w:p>
    <w:tbl>
      <w:tblPr>
        <w:tblW w:w="7601" w:type="dxa"/>
        <w:jc w:val="left"/>
        <w:tblInd w:w="0" w:type="dxa"/>
        <w:tblLayout w:type="fixed"/>
        <w:tblCellMar>
          <w:top w:w="28" w:type="dxa"/>
          <w:left w:w="28" w:type="dxa"/>
          <w:bottom w:w="28" w:type="dxa"/>
          <w:right w:w="28" w:type="dxa"/>
        </w:tblCellMar>
      </w:tblPr>
      <w:tblGrid>
        <w:gridCol w:w="4876"/>
        <w:gridCol w:w="146"/>
        <w:gridCol w:w="201"/>
        <w:gridCol w:w="643"/>
        <w:gridCol w:w="374"/>
        <w:gridCol w:w="201"/>
        <w:gridCol w:w="201"/>
        <w:gridCol w:w="643"/>
        <w:gridCol w:w="316"/>
      </w:tblGrid>
      <w:tr>
        <w:trPr/>
        <w:tc>
          <w:tcPr>
            <w:tcW w:w="4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8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7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74" w:type="dxa"/>
            <w:tcBorders/>
            <w:shd w:fill="FFFFFF" w:val="clear"/>
            <w:vAlign w:val="center"/>
          </w:tcPr>
          <w:p>
            <w:pPr>
              <w:pStyle w:val="TableContents"/>
              <w:bidi w:val="0"/>
              <w:spacing w:before="0" w:after="283"/>
              <w:jc w:val="center"/>
              <w:rPr/>
            </w:pPr>
            <w:r>
              <w:rPr/>
              <w:t> </w:t>
            </w:r>
          </w:p>
        </w:tc>
        <w:tc>
          <w:tcPr>
            <w:tcW w:w="201" w:type="dxa"/>
            <w:tcBorders/>
            <w:shd w:fill="FFFFFF" w:val="clear"/>
            <w:vAlign w:val="center"/>
          </w:tcPr>
          <w:p>
            <w:pPr>
              <w:pStyle w:val="TableContents"/>
              <w:bidi w:val="0"/>
              <w:spacing w:before="0" w:after="283"/>
              <w:jc w:val="left"/>
              <w:rPr/>
            </w:pPr>
            <w:r>
              <w:rPr/>
              <w:t> </w:t>
            </w:r>
          </w:p>
        </w:tc>
        <w:tc>
          <w:tcPr>
            <w:tcW w:w="844"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16" w:type="dxa"/>
            <w:tcBorders/>
            <w:shd w:fill="FFFFFF" w:val="clear"/>
            <w:vAlign w:val="center"/>
          </w:tcPr>
          <w:p>
            <w:pPr>
              <w:pStyle w:val="TableContents"/>
              <w:bidi w:val="0"/>
              <w:spacing w:before="0" w:after="283"/>
              <w:jc w:val="center"/>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leases</w:t>
            </w:r>
          </w:p>
        </w:tc>
        <w:tc>
          <w:tcPr>
            <w:tcW w:w="146" w:type="dxa"/>
            <w:tcBorders/>
            <w:shd w:fill="CFF0FC" w:val="clear"/>
            <w:vAlign w:val="center"/>
          </w:tcPr>
          <w:p>
            <w:pPr>
              <w:pStyle w:val="TableContents"/>
              <w:bidi w:val="0"/>
              <w:spacing w:before="0" w:after="283"/>
              <w:jc w:val="lef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374" w:type="dxa"/>
            <w:tcBorders/>
            <w:shd w:fill="CFF0FC" w:val="clear"/>
            <w:vAlign w:val="center"/>
          </w:tcPr>
          <w:p>
            <w:pPr>
              <w:pStyle w:val="TableContents"/>
              <w:bidi w:val="0"/>
              <w:spacing w:before="0" w:after="283"/>
              <w:jc w:val="right"/>
              <w:rPr/>
            </w:pPr>
            <w:r>
              <w:rPr/>
              <w:t> </w:t>
            </w:r>
          </w:p>
        </w:tc>
        <w:tc>
          <w:tcPr>
            <w:tcW w:w="201" w:type="dxa"/>
            <w:tcBorders/>
            <w:shd w:fill="CFF0FC" w:val="clear"/>
            <w:vAlign w:val="center"/>
          </w:tcPr>
          <w:p>
            <w:pPr>
              <w:pStyle w:val="TableContents"/>
              <w:bidi w:val="0"/>
              <w:spacing w:before="0" w:after="283"/>
              <w:jc w:val="left"/>
              <w:rPr/>
            </w:pPr>
            <w:r>
              <w:rPr/>
              <w:t> </w:t>
            </w:r>
          </w:p>
        </w:tc>
        <w:tc>
          <w:tcPr>
            <w:tcW w:w="844" w:type="dxa"/>
            <w:gridSpan w:val="2"/>
            <w:tcBorders/>
            <w:shd w:fill="CFF0FC" w:val="clear"/>
            <w:vAlign w:val="center"/>
          </w:tcPr>
          <w:p>
            <w:pPr>
              <w:pStyle w:val="TableContents"/>
              <w:bidi w:val="0"/>
              <w:spacing w:before="0" w:after="283"/>
              <w:jc w:val="right"/>
              <w:rPr/>
            </w:pPr>
            <w:r>
              <w:rPr/>
              <w:t> </w:t>
            </w:r>
          </w:p>
        </w:tc>
        <w:tc>
          <w:tcPr>
            <w:tcW w:w="316" w:type="dxa"/>
            <w:tcBorders/>
            <w:shd w:fill="CFF0FC" w:val="clear"/>
            <w:vAlign w:val="center"/>
          </w:tcPr>
          <w:p>
            <w:pPr>
              <w:pStyle w:val="TableContents"/>
              <w:bidi w:val="0"/>
              <w:spacing w:before="0" w:after="283"/>
              <w:jc w:val="right"/>
              <w:rPr/>
            </w:pPr>
            <w:r>
              <w:rPr/>
              <w:t> </w:t>
            </w:r>
          </w:p>
        </w:tc>
      </w:tr>
      <w:tr>
        <w:trPr/>
        <w:tc>
          <w:tcPr>
            <w:tcW w:w="48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lease term (years)</w:t>
            </w:r>
          </w:p>
        </w:tc>
        <w:tc>
          <w:tcPr>
            <w:tcW w:w="146"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w:t>
            </w:r>
          </w:p>
        </w:tc>
        <w:tc>
          <w:tcPr>
            <w:tcW w:w="374"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201" w:type="dxa"/>
            <w:tcBorders/>
            <w:shd w:fill="FFFFFF" w:val="clear"/>
            <w:vAlign w:val="center"/>
          </w:tcPr>
          <w:p>
            <w:pPr>
              <w:pStyle w:val="TableContents"/>
              <w:bidi w:val="0"/>
              <w:spacing w:before="0" w:after="283"/>
              <w:jc w:val="left"/>
              <w:rPr/>
            </w:pPr>
            <w:r>
              <w:rPr/>
              <w:t> </w:t>
            </w:r>
          </w:p>
        </w:tc>
        <w:tc>
          <w:tcPr>
            <w:tcW w:w="643"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316" w:type="dxa"/>
            <w:tcBorders/>
            <w:shd w:fill="FFFFFF" w:val="clear"/>
            <w:vAlign w:val="center"/>
          </w:tcPr>
          <w:p>
            <w:pPr>
              <w:pStyle w:val="TableContents"/>
              <w:bidi w:val="0"/>
              <w:spacing w:before="0" w:after="283"/>
              <w:jc w:val="left"/>
              <w:rPr/>
            </w:pPr>
            <w:r>
              <w:rPr/>
              <w:t> </w:t>
            </w:r>
          </w:p>
        </w:tc>
      </w:tr>
      <w:tr>
        <w:trPr/>
        <w:tc>
          <w:tcPr>
            <w:tcW w:w="48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6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7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1" w:type="dxa"/>
            <w:tcBorders/>
            <w:shd w:fill="CFF0FC" w:val="clear"/>
            <w:vAlign w:val="center"/>
          </w:tcPr>
          <w:p>
            <w:pPr>
              <w:pStyle w:val="TableContents"/>
              <w:bidi w:val="0"/>
              <w:spacing w:before="0" w:after="283"/>
              <w:jc w:val="left"/>
              <w:rPr/>
            </w:pPr>
            <w:r>
              <w:rPr/>
              <w:t> </w:t>
            </w:r>
          </w:p>
        </w:tc>
        <w:tc>
          <w:tcPr>
            <w:tcW w:w="201" w:type="dxa"/>
            <w:tcBorders/>
            <w:shd w:fill="CFF0FC" w:val="clear"/>
            <w:vAlign w:val="center"/>
          </w:tcPr>
          <w:p>
            <w:pPr>
              <w:pStyle w:val="TableContents"/>
              <w:bidi w:val="0"/>
              <w:spacing w:before="0" w:after="283"/>
              <w:jc w:val="left"/>
              <w:rPr/>
            </w:pPr>
            <w:r>
              <w:rPr/>
              <w:t> </w:t>
            </w:r>
          </w:p>
        </w:tc>
        <w:tc>
          <w:tcPr>
            <w:tcW w:w="643"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7761" w:type="dxa"/>
        <w:jc w:val="left"/>
        <w:tblInd w:w="0" w:type="dxa"/>
        <w:tblLayout w:type="fixed"/>
        <w:tblCellMar>
          <w:top w:w="28" w:type="dxa"/>
          <w:left w:w="28" w:type="dxa"/>
          <w:bottom w:w="28" w:type="dxa"/>
          <w:right w:w="28" w:type="dxa"/>
        </w:tblCellMar>
      </w:tblPr>
      <w:tblGrid>
        <w:gridCol w:w="5161"/>
        <w:gridCol w:w="146"/>
        <w:gridCol w:w="280"/>
        <w:gridCol w:w="559"/>
        <w:gridCol w:w="193"/>
        <w:gridCol w:w="193"/>
        <w:gridCol w:w="280"/>
        <w:gridCol w:w="758"/>
        <w:gridCol w:w="191"/>
      </w:tblGrid>
      <w:tr>
        <w:trPr/>
        <w:tc>
          <w:tcPr>
            <w:tcW w:w="5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9"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3" w:type="dxa"/>
            <w:tcBorders/>
            <w:shd w:fill="FFFFFF" w:val="clear"/>
            <w:vAlign w:val="center"/>
          </w:tcPr>
          <w:p>
            <w:pPr>
              <w:pStyle w:val="TableContents"/>
              <w:bidi w:val="0"/>
              <w:spacing w:before="0" w:after="283"/>
              <w:jc w:val="center"/>
              <w:rPr/>
            </w:pPr>
            <w:r>
              <w:rPr/>
              <w:t> </w:t>
            </w:r>
          </w:p>
        </w:tc>
        <w:tc>
          <w:tcPr>
            <w:tcW w:w="193" w:type="dxa"/>
            <w:tcBorders/>
            <w:shd w:fill="FFFFFF" w:val="clear"/>
            <w:vAlign w:val="center"/>
          </w:tcPr>
          <w:p>
            <w:pPr>
              <w:pStyle w:val="TableContents"/>
              <w:bidi w:val="0"/>
              <w:spacing w:before="0" w:after="283"/>
              <w:jc w:val="left"/>
              <w:rPr/>
            </w:pPr>
            <w:r>
              <w:rPr/>
              <w:t> </w:t>
            </w:r>
          </w:p>
        </w:tc>
        <w:tc>
          <w:tcPr>
            <w:tcW w:w="103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51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paid for amounts included in the measurement of lease</w:t>
              <w:br/>
              <w:t>   liabilities:</w:t>
            </w:r>
          </w:p>
        </w:tc>
        <w:tc>
          <w:tcPr>
            <w:tcW w:w="146" w:type="dxa"/>
            <w:tcBorders/>
            <w:shd w:fill="CFF0FC" w:val="clear"/>
            <w:vAlign w:val="center"/>
          </w:tcPr>
          <w:p>
            <w:pPr>
              <w:pStyle w:val="TableContents"/>
              <w:bidi w:val="0"/>
              <w:spacing w:before="0" w:after="283"/>
              <w:jc w:val="left"/>
              <w:rPr/>
            </w:pPr>
            <w:r>
              <w:rPr/>
              <w:t> </w:t>
            </w:r>
          </w:p>
        </w:tc>
        <w:tc>
          <w:tcPr>
            <w:tcW w:w="839" w:type="dxa"/>
            <w:gridSpan w:val="2"/>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right"/>
              <w:rPr/>
            </w:pPr>
            <w:r>
              <w:rPr/>
              <w:t> </w:t>
            </w:r>
          </w:p>
        </w:tc>
        <w:tc>
          <w:tcPr>
            <w:tcW w:w="193" w:type="dxa"/>
            <w:tcBorders/>
            <w:shd w:fill="CFF0FC" w:val="clear"/>
            <w:vAlign w:val="center"/>
          </w:tcPr>
          <w:p>
            <w:pPr>
              <w:pStyle w:val="TableContents"/>
              <w:bidi w:val="0"/>
              <w:spacing w:before="0" w:after="283"/>
              <w:jc w:val="left"/>
              <w:rPr/>
            </w:pPr>
            <w:r>
              <w:rPr/>
              <w:t> </w:t>
            </w:r>
          </w:p>
        </w:tc>
        <w:tc>
          <w:tcPr>
            <w:tcW w:w="1038"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51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w:t>
            </w:r>
          </w:p>
        </w:tc>
        <w:tc>
          <w:tcPr>
            <w:tcW w:w="193"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004"/>
        <w:gridCol w:w="146"/>
        <w:gridCol w:w="718"/>
        <w:gridCol w:w="1945"/>
        <w:gridCol w:w="392"/>
      </w:tblGrid>
      <w:tr>
        <w:trPr/>
        <w:tc>
          <w:tcPr>
            <w:tcW w:w="70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7004"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 2023</w:t>
            </w:r>
          </w:p>
        </w:tc>
        <w:tc>
          <w:tcPr>
            <w:tcW w:w="3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2663"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2" w:type="dxa"/>
            <w:tcBorders/>
            <w:shd w:fill="FFFFFF" w:val="clear"/>
            <w:vAlign w:val="center"/>
          </w:tcPr>
          <w:p>
            <w:pPr>
              <w:pStyle w:val="TableContents"/>
              <w:bidi w:val="0"/>
              <w:spacing w:before="0" w:after="283"/>
              <w:jc w:val="center"/>
              <w:rPr/>
            </w:pPr>
            <w:r>
              <w:rPr/>
              <w:t> </w:t>
            </w:r>
          </w:p>
        </w:tc>
      </w:tr>
      <w:tr>
        <w:trPr/>
        <w:tc>
          <w:tcPr>
            <w:tcW w:w="7004"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analysis of the operating lease liabilities for the years ending December 31,</w:t>
            </w:r>
          </w:p>
        </w:tc>
        <w:tc>
          <w:tcPr>
            <w:tcW w:w="146" w:type="dxa"/>
            <w:tcBorders/>
            <w:shd w:fill="CFF0FC" w:val="clear"/>
            <w:vAlign w:val="center"/>
          </w:tcPr>
          <w:p>
            <w:pPr>
              <w:pStyle w:val="TableContents"/>
              <w:bidi w:val="0"/>
              <w:spacing w:before="0" w:after="283"/>
              <w:jc w:val="left"/>
              <w:rPr/>
            </w:pPr>
            <w:r>
              <w:rPr/>
              <w:t> </w:t>
            </w:r>
          </w:p>
        </w:tc>
        <w:tc>
          <w:tcPr>
            <w:tcW w:w="2663" w:type="dxa"/>
            <w:gridSpan w:val="2"/>
            <w:tcBorders/>
            <w:shd w:fill="CFF0FC" w:val="clear"/>
            <w:vAlign w:val="center"/>
          </w:tcPr>
          <w:p>
            <w:pPr>
              <w:pStyle w:val="TableContents"/>
              <w:bidi w:val="0"/>
              <w:spacing w:before="0" w:after="283"/>
              <w:jc w:val="right"/>
              <w:rPr/>
            </w:pPr>
            <w:r>
              <w:rPr/>
              <w:t> </w:t>
            </w:r>
          </w:p>
        </w:tc>
        <w:tc>
          <w:tcPr>
            <w:tcW w:w="392" w:type="dxa"/>
            <w:tcBorders/>
            <w:shd w:fill="CFF0FC" w:val="clear"/>
            <w:vAlign w:val="center"/>
          </w:tcPr>
          <w:p>
            <w:pPr>
              <w:pStyle w:val="TableContents"/>
              <w:bidi w:val="0"/>
              <w:spacing w:before="0" w:after="283"/>
              <w:jc w:val="right"/>
              <w:rPr/>
            </w:pPr>
            <w:r>
              <w:rPr/>
              <w:t> </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2024</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92" w:type="dxa"/>
            <w:tcBorders/>
            <w:shd w:fill="FFFFFF" w:val="clear"/>
            <w:vAlign w:val="center"/>
          </w:tcPr>
          <w:p>
            <w:pPr>
              <w:pStyle w:val="TableContents"/>
              <w:bidi w:val="0"/>
              <w:spacing w:before="0" w:after="283"/>
              <w:jc w:val="left"/>
              <w:rPr/>
            </w:pPr>
            <w:r>
              <w:rPr/>
              <w:t> </w:t>
            </w:r>
          </w:p>
        </w:tc>
      </w:tr>
      <w:tr>
        <w:trPr/>
        <w:tc>
          <w:tcPr>
            <w:tcW w:w="7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left"/>
              <w:rPr/>
            </w:pPr>
            <w:r>
              <w:rPr/>
              <w:t> </w:t>
            </w:r>
          </w:p>
        </w:tc>
        <w:tc>
          <w:tcPr>
            <w:tcW w:w="1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92" w:type="dxa"/>
            <w:tcBorders/>
            <w:shd w:fill="CFF0FC" w:val="clear"/>
            <w:vAlign w:val="center"/>
          </w:tcPr>
          <w:p>
            <w:pPr>
              <w:pStyle w:val="TableContents"/>
              <w:bidi w:val="0"/>
              <w:spacing w:before="0" w:after="283"/>
              <w:jc w:val="left"/>
              <w:rPr/>
            </w:pPr>
            <w:r>
              <w:rPr/>
              <w:t> </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1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392" w:type="dxa"/>
            <w:tcBorders/>
            <w:shd w:fill="FFFFFF" w:val="clear"/>
            <w:vAlign w:val="center"/>
          </w:tcPr>
          <w:p>
            <w:pPr>
              <w:pStyle w:val="TableContents"/>
              <w:bidi w:val="0"/>
              <w:spacing w:before="0" w:after="283"/>
              <w:jc w:val="left"/>
              <w:rPr/>
            </w:pPr>
            <w:r>
              <w:rPr/>
              <w:t> </w:t>
            </w:r>
          </w:p>
        </w:tc>
      </w:tr>
      <w:tr>
        <w:trPr/>
        <w:tc>
          <w:tcPr>
            <w:tcW w:w="7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left"/>
              <w:rPr/>
            </w:pPr>
            <w:r>
              <w:rPr/>
              <w:t> </w:t>
            </w:r>
          </w:p>
        </w:tc>
        <w:tc>
          <w:tcPr>
            <w:tcW w:w="1945" w:type="dxa"/>
            <w:tcBorders/>
            <w:shd w:fill="CFF0FC" w:val="clear"/>
            <w:vAlign w:val="center"/>
          </w:tcPr>
          <w:p>
            <w:pPr>
              <w:pStyle w:val="TableContents"/>
              <w:bidi w:val="0"/>
              <w:spacing w:before="0" w:after="283"/>
              <w:jc w:val="right"/>
              <w:rPr>
                <w:color w:val="000000"/>
              </w:rPr>
            </w:pPr>
            <w:r>
              <w:rPr>
                <w:color w:val="000000"/>
              </w:rPr>
              <w:t>—</w:t>
            </w:r>
          </w:p>
        </w:tc>
        <w:tc>
          <w:tcPr>
            <w:tcW w:w="392" w:type="dxa"/>
            <w:tcBorders/>
            <w:shd w:fill="CFF0FC" w:val="clear"/>
            <w:vAlign w:val="center"/>
          </w:tcPr>
          <w:p>
            <w:pPr>
              <w:pStyle w:val="TableContents"/>
              <w:bidi w:val="0"/>
              <w:spacing w:before="0" w:after="283"/>
              <w:jc w:val="left"/>
              <w:rPr/>
            </w:pPr>
            <w:r>
              <w:rPr/>
              <w:t> </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1945" w:type="dxa"/>
            <w:tcBorders/>
            <w:shd w:fill="FFFFFF" w:val="clear"/>
            <w:vAlign w:val="center"/>
          </w:tcPr>
          <w:p>
            <w:pPr>
              <w:pStyle w:val="TableContents"/>
              <w:bidi w:val="0"/>
              <w:spacing w:before="0" w:after="283"/>
              <w:jc w:val="right"/>
              <w:rPr>
                <w:color w:val="000000"/>
              </w:rPr>
            </w:pPr>
            <w:r>
              <w:rPr>
                <w:color w:val="000000"/>
              </w:rPr>
              <w:t>—</w:t>
            </w:r>
          </w:p>
        </w:tc>
        <w:tc>
          <w:tcPr>
            <w:tcW w:w="392" w:type="dxa"/>
            <w:tcBorders/>
            <w:shd w:fill="FFFFFF" w:val="clear"/>
            <w:vAlign w:val="center"/>
          </w:tcPr>
          <w:p>
            <w:pPr>
              <w:pStyle w:val="TableContents"/>
              <w:bidi w:val="0"/>
              <w:spacing w:before="0" w:after="283"/>
              <w:jc w:val="left"/>
              <w:rPr/>
            </w:pPr>
            <w:r>
              <w:rPr/>
              <w:t> </w:t>
            </w:r>
          </w:p>
        </w:tc>
      </w:tr>
      <w:tr>
        <w:trPr/>
        <w:tc>
          <w:tcPr>
            <w:tcW w:w="7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undiscounted payments</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1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w:t>
            </w:r>
          </w:p>
        </w:tc>
        <w:tc>
          <w:tcPr>
            <w:tcW w:w="392" w:type="dxa"/>
            <w:tcBorders/>
            <w:shd w:fill="FFFFFF" w:val="clear"/>
            <w:vAlign w:val="center"/>
          </w:tcPr>
          <w:p>
            <w:pPr>
              <w:pStyle w:val="TableContents"/>
              <w:bidi w:val="0"/>
              <w:spacing w:before="0" w:after="283"/>
              <w:ind w:left="0" w:right="0" w:firstLine="200"/>
              <w:jc w:val="left"/>
              <w:rPr/>
            </w:pPr>
            <w:r>
              <w:rPr/>
              <w:t> </w:t>
            </w:r>
          </w:p>
        </w:tc>
      </w:tr>
      <w:tr>
        <w:trPr/>
        <w:tc>
          <w:tcPr>
            <w:tcW w:w="7004"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vAlign w:val="center"/>
          </w:tcPr>
          <w:p>
            <w:pPr>
              <w:pStyle w:val="TableContents"/>
              <w:bidi w:val="0"/>
              <w:spacing w:before="0" w:after="283"/>
              <w:jc w:val="left"/>
              <w:rPr/>
            </w:pPr>
            <w:r>
              <w:rPr/>
              <w:t> </w:t>
            </w:r>
          </w:p>
        </w:tc>
        <w:tc>
          <w:tcPr>
            <w:tcW w:w="7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3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w:t>
            </w:r>
          </w:p>
        </w:tc>
        <w:tc>
          <w:tcPr>
            <w:tcW w:w="146" w:type="dxa"/>
            <w:tcBorders/>
            <w:shd w:fill="FFFFFF" w:val="clear"/>
            <w:vAlign w:val="center"/>
          </w:tcPr>
          <w:p>
            <w:pPr>
              <w:pStyle w:val="TableContents"/>
              <w:bidi w:val="0"/>
              <w:spacing w:before="0" w:after="283"/>
              <w:jc w:val="left"/>
              <w:rPr/>
            </w:pPr>
            <w:r>
              <w:rPr/>
              <w:t> </w:t>
            </w:r>
          </w:p>
        </w:tc>
        <w:tc>
          <w:tcPr>
            <w:tcW w:w="7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1,558</w:t>
            </w:r>
          </w:p>
        </w:tc>
        <w:tc>
          <w:tcPr>
            <w:tcW w:w="3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04"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current</w:t>
            </w:r>
          </w:p>
        </w:tc>
        <w:tc>
          <w:tcPr>
            <w:tcW w:w="146" w:type="dxa"/>
            <w:tcBorders/>
            <w:shd w:fill="CFF0FC" w:val="clear"/>
            <w:vAlign w:val="center"/>
          </w:tcPr>
          <w:p>
            <w:pPr>
              <w:pStyle w:val="TableContents"/>
              <w:bidi w:val="0"/>
              <w:spacing w:before="0" w:after="283"/>
              <w:jc w:val="left"/>
              <w:rPr/>
            </w:pPr>
            <w:r>
              <w:rPr/>
              <w:t> </w:t>
            </w:r>
          </w:p>
        </w:tc>
        <w:tc>
          <w:tcPr>
            <w:tcW w:w="71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392" w:type="dxa"/>
            <w:tcBorders/>
            <w:shd w:fill="CFF0FC" w:val="clear"/>
            <w:vAlign w:val="center"/>
          </w:tcPr>
          <w:p>
            <w:pPr>
              <w:pStyle w:val="TableContents"/>
              <w:bidi w:val="0"/>
              <w:spacing w:before="0" w:after="283"/>
              <w:jc w:val="left"/>
              <w:rPr/>
            </w:pPr>
            <w:r>
              <w:rPr/>
              <w:t> </w:t>
            </w:r>
          </w:p>
        </w:tc>
      </w:tr>
      <w:tr>
        <w:trPr/>
        <w:tc>
          <w:tcPr>
            <w:tcW w:w="700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liability - non current</w:t>
            </w:r>
          </w:p>
        </w:tc>
        <w:tc>
          <w:tcPr>
            <w:tcW w:w="146"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4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392"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Other current liabilities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current liabilities consists of the following:</w:t>
      </w:r>
    </w:p>
    <w:p>
      <w:pPr>
        <w:pStyle w:val="TextBody"/>
        <w:bidi w:val="0"/>
        <w:jc w:val="left"/>
        <w:rPr/>
      </w:pPr>
      <w:r>
        <w:rPr/>
        <w:t> </w:t>
      </w:r>
    </w:p>
    <w:tbl>
      <w:tblPr>
        <w:tblW w:w="4864" w:type="dxa"/>
        <w:jc w:val="left"/>
        <w:tblInd w:w="0" w:type="dxa"/>
        <w:tblLayout w:type="fixed"/>
        <w:tblCellMar>
          <w:top w:w="28" w:type="dxa"/>
          <w:left w:w="28" w:type="dxa"/>
          <w:bottom w:w="28" w:type="dxa"/>
          <w:right w:w="28" w:type="dxa"/>
        </w:tblCellMar>
      </w:tblPr>
      <w:tblGrid>
        <w:gridCol w:w="2671"/>
        <w:gridCol w:w="146"/>
        <w:gridCol w:w="211"/>
        <w:gridCol w:w="571"/>
        <w:gridCol w:w="146"/>
        <w:gridCol w:w="146"/>
        <w:gridCol w:w="211"/>
        <w:gridCol w:w="571"/>
        <w:gridCol w:w="191"/>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Social security and other taxes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consideration liability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26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7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10. Accrued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Accrued expenses consist of the following:</w:t>
      </w:r>
    </w:p>
    <w:p>
      <w:pPr>
        <w:pStyle w:val="TextBody"/>
        <w:bidi w:val="0"/>
        <w:jc w:val="left"/>
        <w:rPr/>
      </w:pPr>
      <w:r>
        <w:rPr/>
        <w:t> </w:t>
      </w:r>
    </w:p>
    <w:tbl>
      <w:tblPr>
        <w:tblW w:w="5599" w:type="dxa"/>
        <w:jc w:val="left"/>
        <w:tblInd w:w="0" w:type="dxa"/>
        <w:tblLayout w:type="fixed"/>
        <w:tblCellMar>
          <w:top w:w="28" w:type="dxa"/>
          <w:left w:w="28" w:type="dxa"/>
          <w:bottom w:w="28" w:type="dxa"/>
          <w:right w:w="28" w:type="dxa"/>
        </w:tblCellMar>
      </w:tblPr>
      <w:tblGrid>
        <w:gridCol w:w="3406"/>
        <w:gridCol w:w="146"/>
        <w:gridCol w:w="211"/>
        <w:gridCol w:w="571"/>
        <w:gridCol w:w="146"/>
        <w:gridCol w:w="146"/>
        <w:gridCol w:w="211"/>
        <w:gridCol w:w="571"/>
        <w:gridCol w:w="19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0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78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research and development costs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bonus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audit fees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9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local taxes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11. Convertible loan notes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Novartis Loan Note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February 10, 2020, the Company entered into a convertible equity financing with Novartis Pharma (AG) (“Novartis”) under which Novartis purchased a £3.8 million ($5.2 million) convertible loan note (the “Novartis Loan Note”). The Novartis Loan Note is convertible at the discretion of the holder, at a fixed price of £0.265 ($0.360) per ordinary share and originally bore interest at 6% per annum with a maturity date of February 10, 2023. In connection with the Novartis Loan Note, the Company also issued 1,449,614 warrants which are exercisable until February 2025 at an exercise price of £0.265 ($0.360) per ordinary share. These warrants were recognized separately as equity instruments (see note 12).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Effective February 10, 2023, the maturity date of the Novartis Loan Note was extended to February 10, 2025 and the interest rate amended to 9%. Interest accrued to the amendment date of $0.9 million was paid in cash, and additional warrants to purchase 2,000,000 ordinary shares were issued. These warrants were also recognized separately as equity instruments.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amendments to the Novartis Loan Note were an extinguishment of the original instrument and the issuance of a new one. Accordingly, on the extinguishment date, the carrying value of $5.5 million was derecognized. At the same time, a new liability of $4.2 million was recognized, which represents the portion of the consideration of the new arrangement allocated to the liability component of the new Novartis Loan Note on the basis of its relative fair value, net of fees. The remaining amount was allocated between the $0.8 million of interest paid in cash and the residual $0.5 million which was recorded in additional paid-in capital to reflect the relative fair value of the warrants and the conversion option embedded in the new Novartis Loan Note. No extinguishment gain or loss was recognized in the consolidated statements of operations and comprehensive loss. The Company recognized interest expense of $1.0 million in relation to the Novartis Loan Note in the consolidated statements of operations and comprehensive loss for the year ended December 31, 2023 (2022: $1.5 million). The effective interest rate applied to the liability portion of the Novartis Loan Note in 2023 after the amendments was 27.8% while the effective interest rate applied in 2023 prior to the amendments and in 2022 was 37.4%.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and 2022, the net carrying amount of the liability component of the convertible debt instrument was $4.6 million and $5.7 million, respectively. The fair value was $3.1 million (2022: $3.7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Private Placement Loan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Private Placement Loan Notes were issued in 2020 as part of a $70.0 million private placement transaction which also included the issuance of ordinary shares and warrants (see Note 12). As of January 1, 2022, Private Placement Loan Notes with an aggregate principal of £12.4 million ($9.2 million) were still outstanding and were convertible at a fixed price of £0.174 per ordinary share. The Private Placement Loan Notes bore interest at a rate of 6% per annum and had a maturity date of June 3,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2022, the Company issued and allotted 40,020,280 ordinary shares at a price of £0.174 per share on non-cash conversion of Private Placement Loan Notes with an aggregate principal amount of $7.5 million. On conversion, $0.2 million of unamortized transaction costs were recognized within interest expense.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2023, the maturity date of the Private Placement Loan Notes was extended to August 3, 2023, with all other terms remaining unchanged. This extension was a modification and the carrying value of the liability component was adjusted to the present value of the modified cash flows discounted at the original effective interest rate, net of identifiable transaction costs. The carrying value was also reduced by $0.6 million with a corresponding adjustment to additional paid-in capital to reflect the increase in the fair value of the embedded conversion option.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and July 2023, the Company received conversion notices and subsequently issued and allotted 17,774,895 and 9,645,200 ordinary shares respectively, both at a price of £0.174 per share on non-cash conversion of Private Placement Loan Notes with an aggregate principal amount of $4.6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August 2023, the Company paid $3.2 million to fully settle the outstanding principal and accrued interest balance on the remaining Private Placement Loan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recognized interest expense of $1.6 million in relation to the Private Placement Loan Notes in the consolidated statements of operations and comprehensive loss for the year ended December 31, 2023. The effective interest rate applied to the liability portion of the Private Placement Loan Notes in 2023 after the amendments was 27.1% while the effective interest rate applied in 2023 prior to the amendments and in 2022 was 25.1%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net carrying amount of the convertible debt instrument was $nil (2022: $8.4 million) with unamortized debt discount and issuance costs of $nil (2022: $0.1 million). The fair value as of December 31, 2022 was $5.7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12. Warrant liability</w:t>
      </w:r>
    </w:p>
    <w:p>
      <w:pPr>
        <w:pStyle w:val="TextBody"/>
        <w:bidi w:val="0"/>
        <w:jc w:val="left"/>
        <w:rPr/>
      </w:pPr>
      <w:r>
        <w:rPr/>
        <w:t> </w:t>
      </w:r>
    </w:p>
    <w:tbl>
      <w:tblPr>
        <w:tblW w:w="5172" w:type="dxa"/>
        <w:jc w:val="left"/>
        <w:tblInd w:w="0" w:type="dxa"/>
        <w:tblLayout w:type="fixed"/>
        <w:tblCellMar>
          <w:top w:w="28" w:type="dxa"/>
          <w:left w:w="28" w:type="dxa"/>
          <w:bottom w:w="28" w:type="dxa"/>
          <w:right w:w="28" w:type="dxa"/>
        </w:tblCellMar>
      </w:tblPr>
      <w:tblGrid>
        <w:gridCol w:w="2911"/>
        <w:gridCol w:w="146"/>
        <w:gridCol w:w="215"/>
        <w:gridCol w:w="490"/>
        <w:gridCol w:w="166"/>
        <w:gridCol w:w="146"/>
        <w:gridCol w:w="211"/>
        <w:gridCol w:w="676"/>
        <w:gridCol w:w="211"/>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1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90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05"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887"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vAlign w:val="center"/>
          </w:tcPr>
          <w:p>
            <w:pPr>
              <w:pStyle w:val="TableContents"/>
              <w:bidi w:val="0"/>
              <w:spacing w:before="0" w:after="283"/>
              <w:jc w:val="center"/>
              <w:rPr/>
            </w:pPr>
            <w:r>
              <w:rPr/>
              <w:t> </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w:t>
            </w:r>
          </w:p>
        </w:tc>
        <w:tc>
          <w:tcPr>
            <w:tcW w:w="146" w:type="dxa"/>
            <w:tcBorders/>
            <w:shd w:fill="CFF0FC" w:val="clear"/>
            <w:vAlign w:val="center"/>
          </w:tcPr>
          <w:p>
            <w:pPr>
              <w:pStyle w:val="TableContents"/>
              <w:bidi w:val="0"/>
              <w:spacing w:before="0" w:after="283"/>
              <w:jc w:val="left"/>
              <w:rPr/>
            </w:pPr>
            <w:r>
              <w:rPr/>
              <w:t> </w:t>
            </w:r>
          </w:p>
        </w:tc>
        <w:tc>
          <w:tcPr>
            <w:tcW w:w="215"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11,276</w:t>
            </w:r>
          </w:p>
        </w:tc>
        <w:tc>
          <w:tcPr>
            <w:tcW w:w="211" w:type="dxa"/>
            <w:tcBorders/>
            <w:shd w:fill="CFF0FC" w:val="clear"/>
            <w:vAlign w:val="center"/>
          </w:tcPr>
          <w:p>
            <w:pPr>
              <w:pStyle w:val="TableContents"/>
              <w:bidi w:val="0"/>
              <w:spacing w:before="0" w:after="283"/>
              <w:jc w:val="left"/>
              <w:rPr/>
            </w:pPr>
            <w:r>
              <w:rPr/>
              <w:t> </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Fair value changes during the year</w:t>
            </w:r>
          </w:p>
        </w:tc>
        <w:tc>
          <w:tcPr>
            <w:tcW w:w="146"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jc w:val="left"/>
              <w:rPr/>
            </w:pPr>
            <w:r>
              <w:rPr/>
              <w:t> </w:t>
            </w:r>
          </w:p>
        </w:tc>
        <w:tc>
          <w:tcPr>
            <w:tcW w:w="4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(9,607</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exchange</w:t>
            </w:r>
          </w:p>
        </w:tc>
        <w:tc>
          <w:tcPr>
            <w:tcW w:w="146" w:type="dxa"/>
            <w:tcBorders/>
            <w:shd w:fill="CFF0FC" w:val="cle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w:t>
            </w:r>
          </w:p>
        </w:tc>
        <w:tc>
          <w:tcPr>
            <w:tcW w:w="146" w:type="dxa"/>
            <w:tcBorders/>
            <w:shd w:fill="FFFFFF" w:val="cle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change in fair value of the warrant liability represents an unrealized gain in the years ended December 31, 2023 and 2022.</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liability – private placement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a part of a private placement transaction on June 3, 2020, the participating investors received conditional warrants entitling them to subscribe for an aggregate of 161,048,366 ordinary shares in the Company at an exercise price of £0.348 ($0.443) per warrant and were exercisable until June 2023 when they expired. The warrants were classified as liabilities as the Company did not have an unconditional right to avoid redeeming the instruments for cash. As the warrants expired during the period, the fair value of the warrant liability was $nil as of December 31, 2023 (2022 $0.5 million). The change in the fair value of $0.5 million was recognized as a gain in the consolidated statements of operations and comprehensive loss. In the year ended December 31, 2023 no warrants were exercised.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Warrant liability – bank loan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former lenders of the Company have warrants outstanding to purchase a total of 1,243,908 ordinary shares at an exercise price of £2.95 per share ($3.76 per share), exercisable until August 2027 and a total of 1,243,908 ordinary shares at an exercise price of $0.4144 per share, exercisable until August 2027 to October 2028.</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the fair value of these warrants was $ 0.4 million (2022: $ 0.2 million). The change in the fair value of $0.3 million was recognized as a gain in the consolidated statements of operations and comprehensive loss. There were no warrants exercised during the year ended December 31, 2023 (2022: nil).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Total outstanding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2023, a total of 2,487,816 warrants are outstanding (2022: 147,431,351). The warrants outstanding are equivalent to 0.4% of the issued ordinary share capital of the Company (2022: 24%).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lists the weighted average inputs to the models used for the fair value of warrants:</w:t>
      </w:r>
    </w:p>
    <w:p>
      <w:pPr>
        <w:pStyle w:val="TextBody"/>
        <w:bidi w:val="0"/>
        <w:jc w:val="left"/>
        <w:rPr/>
      </w:pPr>
      <w:r>
        <w:rPr/>
        <w:t> </w:t>
      </w:r>
    </w:p>
    <w:tbl>
      <w:tblPr>
        <w:tblW w:w="5897" w:type="dxa"/>
        <w:jc w:val="left"/>
        <w:tblInd w:w="0" w:type="dxa"/>
        <w:tblLayout w:type="fixed"/>
        <w:tblCellMar>
          <w:top w:w="28" w:type="dxa"/>
          <w:left w:w="28" w:type="dxa"/>
          <w:bottom w:w="28" w:type="dxa"/>
          <w:right w:w="28" w:type="dxa"/>
        </w:tblCellMar>
      </w:tblPr>
      <w:tblGrid>
        <w:gridCol w:w="2716"/>
        <w:gridCol w:w="146"/>
        <w:gridCol w:w="304"/>
        <w:gridCol w:w="972"/>
        <w:gridCol w:w="146"/>
        <w:gridCol w:w="146"/>
        <w:gridCol w:w="304"/>
        <w:gridCol w:w="972"/>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84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91" w:type="dxa"/>
            <w:tcBorders/>
            <w:shd w:fill="CFF0FC"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w:t>
            </w:r>
          </w:p>
        </w:tc>
        <w:tc>
          <w:tcPr>
            <w:tcW w:w="191" w:type="dxa"/>
            <w:tcBorders/>
            <w:shd w:fill="FFFFFF" w:val="clear"/>
            <w:vAlign w:val="center"/>
          </w:tcPr>
          <w:p>
            <w:pPr>
              <w:pStyle w:val="TableContents"/>
              <w:bidi w:val="0"/>
              <w:spacing w:before="0" w:after="283"/>
              <w:jc w:val="left"/>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of warrants (years)</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04" w:type="dxa"/>
            <w:tcBorders/>
            <w:shd w:fill="CFF0FC" w:val="clear"/>
            <w:vAlign w:val="center"/>
          </w:tcPr>
          <w:p>
            <w:pPr>
              <w:pStyle w:val="TableContents"/>
              <w:bidi w:val="0"/>
              <w:spacing w:before="0" w:after="283"/>
              <w:jc w:val="left"/>
              <w:rPr/>
            </w:pPr>
            <w:r>
              <w:rPr/>
              <w:t> </w:t>
            </w:r>
          </w:p>
        </w:tc>
        <w:tc>
          <w:tcPr>
            <w:tcW w:w="97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91" w:type="dxa"/>
            <w:tcBorders/>
            <w:shd w:fill="CFF0FC" w:val="clear"/>
            <w:vAlign w:val="center"/>
          </w:tcPr>
          <w:p>
            <w:pPr>
              <w:pStyle w:val="TableContents"/>
              <w:bidi w:val="0"/>
              <w:spacing w:before="0" w:after="283"/>
              <w:jc w:val="left"/>
              <w:rPr/>
            </w:pPr>
            <w:r>
              <w:rPr/>
              <w:t> </w:t>
            </w:r>
          </w:p>
        </w:tc>
      </w:tr>
      <w:tr>
        <w:trPr/>
        <w:tc>
          <w:tcPr>
            <w:tcW w:w="27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price of ADS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97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w:t>
            </w:r>
          </w:p>
        </w:tc>
        <w:tc>
          <w:tcPr>
            <w:tcW w:w="191" w:type="dxa"/>
            <w:tcBorders/>
            <w:shd w:fill="FFFFFF" w:val="clear"/>
            <w:vAlign w:val="center"/>
          </w:tcPr>
          <w:p>
            <w:pPr>
              <w:pStyle w:val="TableContents"/>
              <w:bidi w:val="0"/>
              <w:spacing w:before="0" w:after="283"/>
              <w:jc w:val="left"/>
              <w:rPr/>
            </w:pPr>
            <w:r>
              <w:rPr/>
              <w:t> </w:t>
            </w:r>
          </w:p>
        </w:tc>
      </w:tr>
      <w:tr>
        <w:trPr/>
        <w:tc>
          <w:tcPr>
            <w:tcW w:w="271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Model used</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Black-Scholes</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276" w:type="dxa"/>
            <w:gridSpan w:val="2"/>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Black-Scholes</w:t>
            </w:r>
          </w:p>
        </w:tc>
        <w:tc>
          <w:tcPr>
            <w:tcW w:w="191" w:type="dxa"/>
            <w:tcBorders/>
            <w:shd w:fill="CFF0FC"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13. Shareholders’ Equity</w:t>
      </w:r>
    </w:p>
    <w:p>
      <w:pPr>
        <w:pStyle w:val="TextBody"/>
        <w:bidi w:val="0"/>
        <w:spacing w:before="240" w:after="283"/>
        <w:jc w:val="both"/>
        <w:rPr>
          <w:rFonts w:ascii="Times New Roman" w:hAnsi="Times New Roman"/>
          <w:sz w:val="20"/>
        </w:rPr>
      </w:pPr>
      <w:r>
        <w:rPr>
          <w:rFonts w:ascii="Times New Roman" w:hAnsi="Times New Roman"/>
          <w:b/>
          <w:i/>
          <w:color w:val="000000"/>
          <w:sz w:val="20"/>
        </w:rPr>
        <w:t>Common Shares</w:t>
      </w:r>
      <w:r>
        <w:rPr>
          <w:rFonts w:ascii="Times New Roman" w:hAnsi="Times New Roman"/>
          <w:color w:val="000000"/>
          <w:sz w:val="20"/>
        </w:rPr>
        <w:t xml:space="preserve"> </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6592" w:type="dxa"/>
        <w:jc w:val="left"/>
        <w:tblInd w:w="0" w:type="dxa"/>
        <w:tblLayout w:type="fixed"/>
        <w:tblCellMar>
          <w:top w:w="28" w:type="dxa"/>
          <w:left w:w="28" w:type="dxa"/>
          <w:bottom w:w="28" w:type="dxa"/>
          <w:right w:w="28" w:type="dxa"/>
        </w:tblCellMar>
      </w:tblPr>
      <w:tblGrid>
        <w:gridCol w:w="3591"/>
        <w:gridCol w:w="146"/>
        <w:gridCol w:w="165"/>
        <w:gridCol w:w="1290"/>
        <w:gridCol w:w="146"/>
        <w:gridCol w:w="146"/>
        <w:gridCol w:w="146"/>
        <w:gridCol w:w="571"/>
        <w:gridCol w:w="391"/>
      </w:tblGrid>
      <w:tr>
        <w:trPr/>
        <w:tc>
          <w:tcPr>
            <w:tcW w:w="3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4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ordinary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Cost</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2021</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2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584,908,239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during the year</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40,020,280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624,928,519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 during the year</w:t>
            </w:r>
          </w:p>
        </w:tc>
        <w:tc>
          <w:tcPr>
            <w:tcW w:w="146"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129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48,367,095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3591"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Conversion of convertible loan notes</w:t>
            </w:r>
          </w:p>
        </w:tc>
        <w:tc>
          <w:tcPr>
            <w:tcW w:w="146" w:type="dxa"/>
            <w:tcBorders/>
            <w:shd w:fill="CFF0FC" w:val="clear"/>
            <w:vAlign w:val="center"/>
          </w:tcPr>
          <w:p>
            <w:pPr>
              <w:pStyle w:val="TableContents"/>
              <w:bidi w:val="0"/>
              <w:spacing w:before="0" w:after="283"/>
              <w:jc w:val="left"/>
              <w:rPr/>
            </w:pPr>
            <w:r>
              <w:rPr/>
              <w:t> </w:t>
            </w:r>
          </w:p>
        </w:tc>
        <w:tc>
          <w:tcPr>
            <w:tcW w:w="165" w:type="dxa"/>
            <w:tcBorders/>
            <w:shd w:fill="CFF0FC" w:val="clear"/>
            <w:vAlign w:val="center"/>
          </w:tcPr>
          <w:p>
            <w:pPr>
              <w:pStyle w:val="TableContents"/>
              <w:bidi w:val="0"/>
              <w:spacing w:before="0" w:after="283"/>
              <w:jc w:val="left"/>
              <w:rPr/>
            </w:pPr>
            <w:r>
              <w:rPr/>
              <w:t> </w:t>
            </w:r>
          </w:p>
        </w:tc>
        <w:tc>
          <w:tcPr>
            <w:tcW w:w="129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27,420,095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359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Vesting of deferred restricted stock units</w:t>
            </w:r>
          </w:p>
        </w:tc>
        <w:tc>
          <w:tcPr>
            <w:tcW w:w="146" w:type="dxa"/>
            <w:tcBorders/>
            <w:shd w:fill="FFFFFF" w:val="clear"/>
            <w:vAlign w:val="center"/>
          </w:tcPr>
          <w:p>
            <w:pPr>
              <w:pStyle w:val="TableContents"/>
              <w:bidi w:val="0"/>
              <w:spacing w:before="0" w:after="283"/>
              <w:jc w:val="left"/>
              <w:rPr/>
            </w:pPr>
            <w:r>
              <w:rPr/>
              <w:t> </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501,380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9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31,2023</w:t>
            </w:r>
          </w:p>
        </w:tc>
        <w:tc>
          <w:tcPr>
            <w:tcW w:w="146" w:type="dxa"/>
            <w:tcBorders/>
            <w:shd w:fill="CFF0FC" w:val="clear"/>
            <w:vAlign w:val="center"/>
          </w:tcPr>
          <w:p>
            <w:pPr>
              <w:pStyle w:val="TableContents"/>
              <w:bidi w:val="0"/>
              <w:spacing w:before="0" w:after="283"/>
              <w:jc w:val="left"/>
              <w:rPr/>
            </w:pPr>
            <w:r>
              <w:rPr/>
              <w:t> </w:t>
            </w:r>
          </w:p>
        </w:tc>
        <w:tc>
          <w:tcPr>
            <w:tcW w:w="1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701,217,089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year ended December 31, 2022, the Company issued and allotted 40,020,280 ordinary shares of £0.003 in nominal value in the capital of the Company at an exercise price of £0.174 per share on non-cash conversion of loan notes.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Private Placement Loan Notes with a carrying value of $7.5 million were converted into 27,420,095 ordinary shares at a conversion price of £0.174 per ordinary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2023, 9,673,419 ADSs representing 48,367,095 ordinary shares were issued for aggregate gross proceeds of $12.0 million through an “at-the-market” offering pursuant to an Open Market Sale Agreement with Jefferies LLC.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During the year ended December 31, 2023, 501,380 ordinary shares were issued upon satisfaction of deferred restricted stock units.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14. Revenue and Cost of revenue</w:t>
      </w:r>
    </w:p>
    <w:p>
      <w:pPr>
        <w:pStyle w:val="TextBody"/>
        <w:bidi w:val="0"/>
        <w:spacing w:before="240" w:after="283"/>
        <w:jc w:val="left"/>
        <w:rPr>
          <w:rFonts w:ascii="Times New Roman" w:hAnsi="Times New Roman"/>
          <w:b/>
          <w:i/>
          <w:color w:val="000000"/>
          <w:sz w:val="20"/>
          <w:u w:val="single"/>
        </w:rPr>
      </w:pPr>
      <w:r>
        <w:rPr>
          <w:rFonts w:ascii="Times New Roman" w:hAnsi="Times New Roman"/>
          <w:b/>
          <w:i/>
          <w:color w:val="000000"/>
          <w:sz w:val="20"/>
          <w:u w:val="single"/>
        </w:rPr>
        <w:t>Ultragenyx Partnership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January 25, 2021, the Company’s license and collaboration agreement with Ultragenyx for the development and commercialization of setrusumab for OI became effective. Under the terms of the agreement, the Company received an upfront payment of $50 million and was eligible to receive up to $254 million in development, regulatory and commercial milestones and tiered double digit percentage royalties on net sales outside of Europe and pay a fixed double digit percentage royalty to Ultragenyx on net sales in Europe. The license and collaboration agreement grants Ultragenyx an exclusive license to develop and commercialize setrusumab in the US and rest of the world, excluding Europe where the Company retains commercial rights.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Two distinct performance obligations were identified as part of the license and collaboration agreement: (i) a promise to grant the license to develop and commercialize setrusumab, and (ii) provision of subsequent clinical supply of setrusumab.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year ended December 31, 2023, the Company recognized milestone proceeds of $9 million as revenue under the license and collaboration agreement with Ultragenyx for setrusumab following achievement of a development milestone. The milestone payments constitute a change in transaction price for the Ultragenyx agreement, to which revenue was first recorded in the year ended December 31, 2021. Pursuant to the terms of the agreement, the Company is entitled to receive milestone payments from Ultragenyx upon achievement of certain development, regulatory and sales based milestones. The variable consideration relating to future milestones and sales royalties are recognized in the statement of comprehensive income when achievement of the milestones are probable or the underlying commercial sales are made, in the event regulatory approval is achieved. No revenues were recognized in respect of this agreement in the year ended December 31, 2022.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consequence of the milestone received by the Company under the license and collaboration agreement with Ultragenyx, and in accordance with the terms of the 2015 asset purchase agreement with Novartis which requires payment of a percentage of the proceeds received, subject to certain deductions, the Company also recognized cost of revenue of $2.4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2021, the Company received a $50.0 million upfront payment from Ultragenyx which triggered a $13.3 million obligation to Novartis under our 2015 agreement with them. An amount of $3.3 million was deferred from this obligation to reflect future costs that were expected to be incurred. Accordingly, the Company recognized cost of revenue of $13.3 million to reflect both the $10.0 million payment made to Novartis and the recognition of a liability within Other current liabilities for this deferral. This liability was subsequently reduced through a credit to cost of revenue as the costs were incurred. Cost of revenue for 2022 was a credit of $1.1 million.</w:t>
      </w:r>
    </w:p>
    <w:p>
      <w:pPr>
        <w:pStyle w:val="TextBody"/>
        <w:bidi w:val="0"/>
        <w:spacing w:before="2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both"/>
        <w:rPr>
          <w:rFonts w:ascii="Times New Roman" w:hAnsi="Times New Roman"/>
          <w:sz w:val="20"/>
        </w:rPr>
      </w:pPr>
      <w:r>
        <w:rPr>
          <w:rFonts w:ascii="Times New Roman" w:hAnsi="Times New Roman"/>
          <w:b/>
          <w:i/>
          <w:color w:val="000000"/>
          <w:sz w:val="20"/>
          <w:u w:val="single"/>
        </w:rPr>
        <w:t>ReproNovo Partnership</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December 13, 2023, the Company and ReproNovo SA. (“ReproNovo”) announced a global licensing agreement for the development and commercialization of leflutrozole. Under the terms of the global licensing agreement, ReproNovo will receive an exclusive worldwide license to develop and commercialize leflutrozole. The Company received an upfront payment of $1.0 million in December 2023. ReproNovo will be responsible for all future research, development and commercialization of leflutrozole. Additionally, the Company will be eligible to receive up to $64.3 million in future clinical, regulatory and commercial milestones, tiered royalties ranging from the low-to-mid-single digits on global annual net sales of leflutrozole, as well as a negotiated percentage of sublicensing revenues from certain sublicenses. A single performance obligation was identified in this agreement which is the promise to grant the license to develop and commercialize leflutrozole. As the upfront payment is fixed and non-refundable, and therefore does not represent variable consideration, the performance obligation is satisfied and revenue of $1.0 million was recognized at the point in time that ReproNovo gained the right to access the license. The additional potential future milestone and royalty payments represent variable consideration that will be recognized when achievement is determined to be probable.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 consequence of the milestone proceeds paid to the Company under the license and collaboration agreement with ReproNovo, and in accordance with the terms of the 2015 asset purchase agreement with Novartis, the Company is also obligated to pay a proportion of cash milestone payments received after deduction of costs, charged and expenditures. The Company therefore accrued for a payment to Novartis of $0.1 million at December 31, 2023. No revenues were recognized in respect of this agreement in the year ended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revenue is attributed to the operations of the Company in the U.K.</w:t>
      </w:r>
    </w:p>
    <w:p>
      <w:pPr>
        <w:pStyle w:val="TextBody"/>
        <w:bidi w:val="0"/>
        <w:spacing w:before="240" w:after="283"/>
        <w:jc w:val="left"/>
        <w:rPr>
          <w:rFonts w:ascii="Times New Roman" w:hAnsi="Times New Roman"/>
          <w:sz w:val="20"/>
        </w:rPr>
      </w:pPr>
      <w:r>
        <w:rPr>
          <w:rFonts w:ascii="Times New Roman" w:hAnsi="Times New Roman"/>
          <w:b/>
          <w:color w:val="000000"/>
          <w:sz w:val="20"/>
        </w:rPr>
        <w:t>15. Other (expenses)/income,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2019, the Company acquired OncoMed in a business combination and subsequently renamed it Mereo BioPharma 5, Inc. At the time of the business combination, the Company’s intention was to sell or out-license Navi, rather than to invest in development of the asset in the course of the Company’s ordinary activities. In the approximately nine months between its acquisition and out-licensing of the worldwide rights of the asset in January 2020, Mereo BioPharma 5, Inc’s activities primarily involved out-licensing and winding-down the program.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Due to the Company’s intention to sell or out-license Navi from the time of its acquisition and the lack of investment in development activities for the asset beyond wind-down costs, the Company concluded that entering into the license agreement was not in the course of its ordinary activities. Therefore, the licensee did not meet the definition of a “customer” as defined in ASC 606, as such, the license agreement was determined not to be within the scope of ASC 606.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2022, the Company received a milestone payment of $2.0 million under the Navi License Agreement. An associated payment was made to the former shareholders of Mereo BioPharma 5, Inc. under the CVR of $0.9 million, after deductions of costs, charges and expenditures, which resulted in other income, net of $1.1 million.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16. Income taxes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group operates in the U.K. and in the U.S. and is subject to income taxes in those countries. The U.K corporation tax rate applied for 2023 was 23.52% (2022: 19.0%), which results from applying the enacted statutory rate of </w:t>
      </w:r>
      <w:r>
        <w:rPr>
          <w:rFonts w:ascii="Times New Roman" w:hAnsi="Times New Roman"/>
          <w:color w:val="363435"/>
          <w:sz w:val="20"/>
        </w:rPr>
        <w:t xml:space="preserve">19% from January 1, 2023 through April 1, 2023, and 25% for the remainder of 2023. </w:t>
      </w:r>
      <w:r>
        <w:rPr>
          <w:rFonts w:ascii="Times New Roman" w:hAnsi="Times New Roman"/>
          <w:color w:val="000000"/>
          <w:sz w:val="20"/>
        </w:rPr>
        <w:t xml:space="preserve">U.K. deferred tax assets and liabilities have been measured at a rate of 25%. </w:t>
      </w:r>
      <w:r>
        <w:rPr>
          <w:rFonts w:ascii="Times New Roman" w:hAnsi="Times New Roman"/>
          <w:color w:val="363435"/>
          <w:sz w:val="20"/>
        </w:rPr>
        <w:t>T</w:t>
      </w:r>
      <w:r>
        <w:rPr>
          <w:rFonts w:ascii="Times New Roman" w:hAnsi="Times New Roman"/>
          <w:color w:val="000000"/>
          <w:sz w:val="20"/>
        </w:rPr>
        <w:t>he U.S federal income tax rate is 21%. U.S. deferred tax assets and liabilities are calculated at a enacted rate of 21%.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components of loss before income taxes are as follows:</w:t>
      </w:r>
    </w:p>
    <w:p>
      <w:pPr>
        <w:pStyle w:val="TextBody"/>
        <w:bidi w:val="0"/>
        <w:jc w:val="left"/>
        <w:rPr/>
      </w:pPr>
      <w:r>
        <w:rPr/>
        <w:t> </w:t>
      </w:r>
    </w:p>
    <w:tbl>
      <w:tblPr>
        <w:tblW w:w="3941" w:type="dxa"/>
        <w:jc w:val="left"/>
        <w:tblInd w:w="0" w:type="dxa"/>
        <w:tblLayout w:type="fixed"/>
        <w:tblCellMar>
          <w:top w:w="28" w:type="dxa"/>
          <w:left w:w="28" w:type="dxa"/>
          <w:bottom w:w="28" w:type="dxa"/>
          <w:right w:w="28" w:type="dxa"/>
        </w:tblCellMar>
      </w:tblPr>
      <w:tblGrid>
        <w:gridCol w:w="1486"/>
        <w:gridCol w:w="231"/>
        <w:gridCol w:w="741"/>
        <w:gridCol w:w="160"/>
        <w:gridCol w:w="160"/>
        <w:gridCol w:w="231"/>
        <w:gridCol w:w="741"/>
        <w:gridCol w:w="191"/>
      </w:tblGrid>
      <w:tr>
        <w:trPr/>
        <w:tc>
          <w:tcPr>
            <w:tcW w:w="148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86" w:type="dxa"/>
            <w:tcBorders/>
            <w:shd w:fill="FFFFFF" w:val="clear"/>
            <w:vAlign w:val="center"/>
          </w:tcPr>
          <w:p>
            <w:pPr>
              <w:pStyle w:val="TableContents"/>
              <w:bidi w:val="0"/>
              <w:spacing w:before="0" w:after="283"/>
              <w:jc w:val="left"/>
              <w:rPr>
                <w:sz w:val="4"/>
                <w:szCs w:val="4"/>
              </w:rPr>
            </w:pPr>
            <w:r>
              <w:rPr>
                <w:sz w:val="4"/>
                <w:szCs w:val="4"/>
              </w:rPr>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86"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0" w:type="dxa"/>
            <w:tcBorders/>
            <w:shd w:fill="FFFFFF" w:val="clear"/>
            <w:vAlign w:val="center"/>
          </w:tcPr>
          <w:p>
            <w:pPr>
              <w:pStyle w:val="TableContents"/>
              <w:bidi w:val="0"/>
              <w:spacing w:before="0" w:after="283"/>
              <w:jc w:val="center"/>
              <w:rPr/>
            </w:pPr>
            <w:r>
              <w:rPr/>
              <w:t> </w:t>
            </w:r>
          </w:p>
        </w:tc>
        <w:tc>
          <w:tcPr>
            <w:tcW w:w="160" w:type="dxa"/>
            <w:tcBorders/>
            <w:shd w:fill="FFFFFF" w:val="clear"/>
            <w:vAlign w:val="center"/>
          </w:tcPr>
          <w:p>
            <w:pPr>
              <w:pStyle w:val="TableContents"/>
              <w:bidi w:val="0"/>
              <w:spacing w:before="0" w:after="283"/>
              <w:jc w:val="center"/>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8,464</w:t>
            </w:r>
          </w:p>
        </w:tc>
        <w:tc>
          <w:tcPr>
            <w:tcW w:w="160" w:type="dxa"/>
            <w:tcBorders/>
            <w:shd w:fill="CFF0FC" w:val="clear"/>
            <w:vAlign w:val="center"/>
          </w:tcPr>
          <w:p>
            <w:pPr>
              <w:pStyle w:val="TableContents"/>
              <w:bidi w:val="0"/>
              <w:spacing w:before="0" w:after="283"/>
              <w:jc w:val="left"/>
              <w:rPr/>
            </w:pPr>
            <w:r>
              <w:rPr/>
              <w:t> </w:t>
            </w:r>
          </w:p>
        </w:tc>
        <w:tc>
          <w:tcPr>
            <w:tcW w:w="160" w:type="dxa"/>
            <w:tcBorders/>
            <w:shd w:fill="CFF0FC" w:val="clear"/>
            <w:vAlign w:val="center"/>
          </w:tcPr>
          <w:p>
            <w:pPr>
              <w:pStyle w:val="TableContents"/>
              <w:bidi w:val="0"/>
              <w:spacing w:before="0" w:after="283"/>
              <w:jc w:val="right"/>
              <w:rPr/>
            </w:pPr>
            <w:r>
              <w:rPr/>
              <w:t> </w:t>
            </w:r>
          </w:p>
        </w:tc>
        <w:tc>
          <w:tcPr>
            <w:tcW w:w="23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191" w:type="dxa"/>
            <w:tcBorders/>
            <w:shd w:fill="CFF0FC" w:val="clear"/>
            <w:vAlign w:val="center"/>
          </w:tcPr>
          <w:p>
            <w:pPr>
              <w:pStyle w:val="TableContents"/>
              <w:bidi w:val="0"/>
              <w:spacing w:before="0" w:after="283"/>
              <w:jc w:val="left"/>
              <w:rPr/>
            </w:pPr>
            <w:r>
              <w:rPr/>
              <w:t> </w:t>
            </w:r>
          </w:p>
        </w:tc>
      </w:tr>
      <w:tr>
        <w:trPr/>
        <w:tc>
          <w:tcPr>
            <w:tcW w:w="148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21,534</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48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components of income tax expense are as follows: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5325" w:type="dxa"/>
        <w:jc w:val="left"/>
        <w:tblInd w:w="0" w:type="dxa"/>
        <w:tblLayout w:type="fixed"/>
        <w:tblCellMar>
          <w:top w:w="28" w:type="dxa"/>
          <w:left w:w="28" w:type="dxa"/>
          <w:bottom w:w="28" w:type="dxa"/>
          <w:right w:w="28" w:type="dxa"/>
        </w:tblCellMar>
      </w:tblPr>
      <w:tblGrid>
        <w:gridCol w:w="2851"/>
        <w:gridCol w:w="303"/>
        <w:gridCol w:w="605"/>
        <w:gridCol w:w="238"/>
        <w:gridCol w:w="209"/>
        <w:gridCol w:w="303"/>
        <w:gridCol w:w="605"/>
        <w:gridCol w:w="211"/>
      </w:tblGrid>
      <w:tr>
        <w:trPr/>
        <w:tc>
          <w:tcPr>
            <w:tcW w:w="285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51" w:type="dxa"/>
            <w:tcBorders/>
            <w:shd w:fill="FFFFFF" w:val="clear"/>
            <w:vAlign w:val="center"/>
          </w:tcPr>
          <w:p>
            <w:pPr>
              <w:pStyle w:val="TableContents"/>
              <w:bidi w:val="0"/>
              <w:spacing w:before="0" w:after="283"/>
              <w:jc w:val="left"/>
              <w:rPr>
                <w:sz w:val="4"/>
                <w:szCs w:val="4"/>
              </w:rPr>
            </w:pPr>
            <w:r>
              <w:rPr>
                <w:sz w:val="4"/>
                <w:szCs w:val="4"/>
              </w:rPr>
            </w:r>
          </w:p>
        </w:tc>
        <w:tc>
          <w:tcPr>
            <w:tcW w:w="226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90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38" w:type="dxa"/>
            <w:tcBorders/>
            <w:shd w:fill="FFFFFF" w:val="clear"/>
            <w:vAlign w:val="center"/>
          </w:tcPr>
          <w:p>
            <w:pPr>
              <w:pStyle w:val="TableContents"/>
              <w:bidi w:val="0"/>
              <w:spacing w:before="0" w:after="283"/>
              <w:jc w:val="center"/>
              <w:rPr/>
            </w:pPr>
            <w:r>
              <w:rPr/>
              <w:t> </w:t>
            </w:r>
          </w:p>
        </w:tc>
        <w:tc>
          <w:tcPr>
            <w:tcW w:w="209" w:type="dxa"/>
            <w:tcBorders/>
            <w:shd w:fill="FFFFFF" w:val="clear"/>
            <w:vAlign w:val="center"/>
          </w:tcPr>
          <w:p>
            <w:pPr>
              <w:pStyle w:val="TableContents"/>
              <w:bidi w:val="0"/>
              <w:spacing w:before="0" w:after="283"/>
              <w:jc w:val="center"/>
              <w:rPr/>
            </w:pPr>
            <w:r>
              <w:rPr/>
              <w:t> </w:t>
            </w:r>
          </w:p>
        </w:tc>
        <w:tc>
          <w:tcPr>
            <w:tcW w:w="90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vAlign w:val="center"/>
          </w:tcPr>
          <w:p>
            <w:pPr>
              <w:pStyle w:val="TableContents"/>
              <w:bidi w:val="0"/>
              <w:spacing w:before="0" w:after="283"/>
              <w:jc w:val="center"/>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 tax expense</w:t>
            </w:r>
          </w:p>
        </w:tc>
        <w:tc>
          <w:tcPr>
            <w:tcW w:w="908"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right"/>
              <w:rPr/>
            </w:pPr>
            <w:r>
              <w:rPr/>
              <w:t> </w:t>
            </w:r>
          </w:p>
        </w:tc>
        <w:tc>
          <w:tcPr>
            <w:tcW w:w="90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3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9"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tax expense/(credit)</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pPr>
            <w:r>
              <w:rPr/>
              <w:t> </w:t>
            </w:r>
          </w:p>
        </w:tc>
        <w:tc>
          <w:tcPr>
            <w:tcW w:w="908" w:type="dxa"/>
            <w:gridSpan w:val="2"/>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right"/>
              <w:rPr/>
            </w:pPr>
            <w:r>
              <w:rPr/>
              <w:t> </w:t>
            </w:r>
          </w:p>
        </w:tc>
        <w:tc>
          <w:tcPr>
            <w:tcW w:w="209" w:type="dxa"/>
            <w:tcBorders/>
            <w:shd w:fill="FFFFFF" w:val="clear"/>
            <w:vAlign w:val="center"/>
          </w:tcPr>
          <w:p>
            <w:pPr>
              <w:pStyle w:val="TableContents"/>
              <w:bidi w:val="0"/>
              <w:spacing w:before="0" w:after="283"/>
              <w:jc w:val="right"/>
              <w:rPr/>
            </w:pPr>
            <w:r>
              <w:rPr/>
              <w:t> </w:t>
            </w:r>
          </w:p>
        </w:tc>
        <w:tc>
          <w:tcPr>
            <w:tcW w:w="908" w:type="dxa"/>
            <w:gridSpan w:val="2"/>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expense</w:t>
            </w:r>
          </w:p>
        </w:tc>
        <w:tc>
          <w:tcPr>
            <w:tcW w:w="908" w:type="dxa"/>
            <w:gridSpan w:val="2"/>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209" w:type="dxa"/>
            <w:tcBorders/>
            <w:shd w:fill="CFF0FC" w:val="clear"/>
            <w:vAlign w:val="center"/>
          </w:tcPr>
          <w:p>
            <w:pPr>
              <w:pStyle w:val="TableContents"/>
              <w:bidi w:val="0"/>
              <w:spacing w:before="0" w:after="283"/>
              <w:jc w:val="right"/>
              <w:rPr/>
            </w:pPr>
            <w:r>
              <w:rPr/>
              <w:t> </w:t>
            </w:r>
          </w:p>
        </w:tc>
        <w:tc>
          <w:tcPr>
            <w:tcW w:w="908"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30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238"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right"/>
              <w:rPr/>
            </w:pPr>
            <w:r>
              <w:rPr/>
              <w:t> </w:t>
            </w:r>
          </w:p>
        </w:tc>
        <w:tc>
          <w:tcPr>
            <w:tcW w:w="303"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expense</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5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income tax expense/(credit)</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532</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reconciliation of the U.K statutory income tax rate to the effective tax rate is as follows:</w:t>
      </w:r>
    </w:p>
    <w:p>
      <w:pPr>
        <w:pStyle w:val="TextBody"/>
        <w:bidi w:val="0"/>
        <w:jc w:val="left"/>
        <w:rPr/>
      </w:pPr>
      <w:r>
        <w:rPr/>
        <w:t> </w:t>
      </w:r>
    </w:p>
    <w:tbl>
      <w:tblPr>
        <w:tblW w:w="6869" w:type="dxa"/>
        <w:jc w:val="left"/>
        <w:tblInd w:w="0" w:type="dxa"/>
        <w:tblLayout w:type="fixed"/>
        <w:tblCellMar>
          <w:top w:w="28" w:type="dxa"/>
          <w:left w:w="28" w:type="dxa"/>
          <w:bottom w:w="28" w:type="dxa"/>
          <w:right w:w="28" w:type="dxa"/>
        </w:tblCellMar>
      </w:tblPr>
      <w:tblGrid>
        <w:gridCol w:w="4396"/>
        <w:gridCol w:w="199"/>
        <w:gridCol w:w="719"/>
        <w:gridCol w:w="227"/>
        <w:gridCol w:w="199"/>
        <w:gridCol w:w="199"/>
        <w:gridCol w:w="719"/>
        <w:gridCol w:w="211"/>
      </w:tblGrid>
      <w:tr>
        <w:trPr/>
        <w:tc>
          <w:tcPr>
            <w:tcW w:w="43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96" w:type="dxa"/>
            <w:tcBorders/>
            <w:shd w:fill="FFFFFF" w:val="clear"/>
            <w:vAlign w:val="center"/>
          </w:tcPr>
          <w:p>
            <w:pPr>
              <w:pStyle w:val="TableContents"/>
              <w:bidi w:val="0"/>
              <w:spacing w:before="0" w:after="283"/>
              <w:jc w:val="left"/>
              <w:rPr>
                <w:sz w:val="4"/>
                <w:szCs w:val="4"/>
              </w:rPr>
            </w:pPr>
            <w:r>
              <w:rPr>
                <w:sz w:val="4"/>
                <w:szCs w:val="4"/>
              </w:rPr>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left"/>
              <w:rPr>
                <w:sz w:val="4"/>
                <w:szCs w:val="4"/>
              </w:rPr>
            </w:pPr>
            <w:r>
              <w:rPr>
                <w:sz w:val="4"/>
                <w:szCs w:val="4"/>
              </w:rPr>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96" w:type="dxa"/>
            <w:tcBorders/>
            <w:shd w:fill="FFFFFF" w:val="clear"/>
            <w:vAlign w:val="center"/>
          </w:tcPr>
          <w:p>
            <w:pPr>
              <w:pStyle w:val="TableContents"/>
              <w:bidi w:val="0"/>
              <w:spacing w:before="0" w:after="283"/>
              <w:jc w:val="center"/>
              <w:rPr/>
            </w:pPr>
            <w:r>
              <w:rPr/>
              <w:t> </w:t>
            </w:r>
          </w:p>
        </w:tc>
        <w:tc>
          <w:tcPr>
            <w:tcW w:w="91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27" w:type="dxa"/>
            <w:tcBorders/>
            <w:shd w:fill="FFFFFF" w:val="clear"/>
            <w:vAlign w:val="center"/>
          </w:tcPr>
          <w:p>
            <w:pPr>
              <w:pStyle w:val="TableContents"/>
              <w:bidi w:val="0"/>
              <w:spacing w:before="0" w:after="283"/>
              <w:jc w:val="center"/>
              <w:rPr/>
            </w:pPr>
            <w:r>
              <w:rPr/>
              <w:t> </w:t>
            </w:r>
          </w:p>
        </w:tc>
        <w:tc>
          <w:tcPr>
            <w:tcW w:w="199" w:type="dxa"/>
            <w:tcBorders/>
            <w:shd w:fill="FFFFFF" w:val="clear"/>
            <w:vAlign w:val="center"/>
          </w:tcPr>
          <w:p>
            <w:pPr>
              <w:pStyle w:val="TableContents"/>
              <w:bidi w:val="0"/>
              <w:spacing w:before="0" w:after="283"/>
              <w:jc w:val="center"/>
              <w:rPr/>
            </w:pPr>
            <w:r>
              <w:rPr/>
              <w:t> </w:t>
            </w:r>
          </w:p>
        </w:tc>
        <w:tc>
          <w:tcPr>
            <w:tcW w:w="918"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211" w:type="dxa"/>
            <w:tcBorders/>
            <w:shd w:fill="FFFFFF" w:val="clear"/>
            <w:vAlign w:val="center"/>
          </w:tcPr>
          <w:p>
            <w:pPr>
              <w:pStyle w:val="TableContents"/>
              <w:bidi w:val="0"/>
              <w:spacing w:before="0" w:after="283"/>
              <w:jc w:val="center"/>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using U.K. statutory rate</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227"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 change on opening tax balances</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227"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color w:val="000000"/>
              </w:rPr>
            </w:pPr>
            <w:r>
              <w:rPr>
                <w:color w:val="000000"/>
              </w:rPr>
              <w:t>—</w:t>
            </w:r>
          </w:p>
        </w:tc>
        <w:tc>
          <w:tcPr>
            <w:tcW w:w="21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rate change on current and deferred taxes</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227" w:type="dxa"/>
            <w:tcBorders/>
            <w:shd w:fill="CFF0FC" w:val="clear"/>
            <w:vAlign w:val="center"/>
          </w:tcPr>
          <w:p>
            <w:pPr>
              <w:pStyle w:val="TableContents"/>
              <w:bidi w:val="0"/>
              <w:spacing w:before="0" w:after="283"/>
              <w:jc w:val="left"/>
              <w:rPr/>
            </w:pPr>
            <w:r>
              <w:rPr/>
              <w:t> </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Permanent differences</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U.K. R&amp;D tax credits</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deferred tax valuation allowance</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22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rate differential</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w:t>
            </w:r>
          </w:p>
        </w:tc>
        <w:tc>
          <w:tcPr>
            <w:tcW w:w="227"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9" w:type="dxa"/>
            <w:tcBorders/>
            <w:shd w:fill="CFF0FC" w:val="clear"/>
            <w:vAlign w:val="center"/>
          </w:tcPr>
          <w:p>
            <w:pPr>
              <w:pStyle w:val="TableContents"/>
              <w:bidi w:val="0"/>
              <w:spacing w:before="0" w:after="283"/>
              <w:jc w:val="right"/>
              <w:rPr/>
            </w:pPr>
            <w:r>
              <w:rPr/>
              <w:t> </w:t>
            </w:r>
          </w:p>
        </w:tc>
        <w:tc>
          <w:tcPr>
            <w:tcW w:w="199" w:type="dxa"/>
            <w:tcBorders/>
            <w:shd w:fill="CFF0FC" w:val="clear"/>
            <w:vAlign w:val="center"/>
          </w:tcPr>
          <w:p>
            <w:pPr>
              <w:pStyle w:val="TableContents"/>
              <w:bidi w:val="0"/>
              <w:spacing w:before="0" w:after="283"/>
              <w:jc w:val="left"/>
              <w:rPr/>
            </w:pPr>
            <w:r>
              <w:rPr/>
              <w:t> </w:t>
            </w:r>
          </w:p>
        </w:tc>
        <w:tc>
          <w:tcPr>
            <w:tcW w:w="71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211" w:type="dxa"/>
            <w:tcBorders/>
            <w:shd w:fill="CFF0FC" w:val="cle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in respect of prior years</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27"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jc w:val="right"/>
              <w:rPr/>
            </w:pPr>
            <w:r>
              <w:rPr/>
              <w:t> </w:t>
            </w:r>
          </w:p>
        </w:tc>
        <w:tc>
          <w:tcPr>
            <w:tcW w:w="199" w:type="dxa"/>
            <w:tcBorders/>
            <w:shd w:fill="FFFFFF" w:val="clear"/>
            <w:vAlign w:val="center"/>
          </w:tcPr>
          <w:p>
            <w:pPr>
              <w:pStyle w:val="TableContents"/>
              <w:bidi w:val="0"/>
              <w:spacing w:before="0" w:after="283"/>
              <w:jc w:val="left"/>
              <w:rPr/>
            </w:pPr>
            <w:r>
              <w:rPr/>
              <w:t> </w:t>
            </w:r>
          </w:p>
        </w:tc>
        <w:tc>
          <w:tcPr>
            <w:tcW w:w="71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shd w:fill="FFFFFF" w:val="clear"/>
            <w:vAlign w:val="center"/>
          </w:tcPr>
          <w:p>
            <w:pPr>
              <w:pStyle w:val="TableContents"/>
              <w:bidi w:val="0"/>
              <w:spacing w:before="0" w:after="283"/>
              <w:jc w:val="left"/>
              <w:rPr/>
            </w:pPr>
            <w:r>
              <w:rPr/>
              <w:t> </w:t>
            </w:r>
          </w:p>
        </w:tc>
      </w:tr>
      <w:tr>
        <w:trPr/>
        <w:tc>
          <w:tcPr>
            <w:tcW w:w="439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9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 for loss from continuing operations</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Components of the Company’s deferred tax assets and liabilities are as follows:</w:t>
      </w:r>
    </w:p>
    <w:p>
      <w:pPr>
        <w:pStyle w:val="TextBody"/>
        <w:bidi w:val="0"/>
        <w:jc w:val="left"/>
        <w:rPr/>
      </w:pPr>
      <w:r>
        <w:rPr/>
        <w:t> </w:t>
      </w:r>
    </w:p>
    <w:tbl>
      <w:tblPr>
        <w:tblW w:w="5553" w:type="dxa"/>
        <w:jc w:val="left"/>
        <w:tblInd w:w="0" w:type="dxa"/>
        <w:tblLayout w:type="fixed"/>
        <w:tblCellMar>
          <w:top w:w="28" w:type="dxa"/>
          <w:left w:w="28" w:type="dxa"/>
          <w:bottom w:w="28" w:type="dxa"/>
          <w:right w:w="28" w:type="dxa"/>
        </w:tblCellMar>
      </w:tblPr>
      <w:tblGrid>
        <w:gridCol w:w="2926"/>
        <w:gridCol w:w="211"/>
        <w:gridCol w:w="841"/>
        <w:gridCol w:w="166"/>
        <w:gridCol w:w="146"/>
        <w:gridCol w:w="211"/>
        <w:gridCol w:w="841"/>
        <w:gridCol w:w="211"/>
      </w:tblGrid>
      <w:tr>
        <w:trPr/>
        <w:tc>
          <w:tcPr>
            <w:tcW w:w="29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vAlign w:val="center"/>
          </w:tcPr>
          <w:p>
            <w:pPr>
              <w:pStyle w:val="TableContents"/>
              <w:bidi w:val="0"/>
              <w:spacing w:before="0" w:after="283"/>
              <w:jc w:val="left"/>
              <w:rPr>
                <w:sz w:val="4"/>
                <w:szCs w:val="4"/>
              </w:rPr>
            </w:pPr>
            <w:r>
              <w:rPr>
                <w:sz w:val="4"/>
                <w:szCs w:val="4"/>
              </w:rPr>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vAlign w:val="center"/>
          </w:tcPr>
          <w:p>
            <w:pPr>
              <w:pStyle w:val="TableContents"/>
              <w:bidi w:val="0"/>
              <w:spacing w:before="0" w:after="283"/>
              <w:jc w:val="left"/>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5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211" w:type="dxa"/>
            <w:tcBorders/>
            <w:shd w:fill="FFFFFF" w:val="clear"/>
            <w:vAlign w:val="center"/>
          </w:tcPr>
          <w:p>
            <w:pPr>
              <w:pStyle w:val="TableContents"/>
              <w:bidi w:val="0"/>
              <w:spacing w:before="0" w:after="283"/>
              <w:jc w:val="center"/>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losses carryforwards</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(110,604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(104,874</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fixed assets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(4,248</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(7,281</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Temporary differences trading</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Temporary differences non trading</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relationships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tax credits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(79,024</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(73,276</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Section 174 R&amp;E</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(4,437</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based compensation awards</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(7,487</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(7,492</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deferred tax asset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05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052" w:type="dxa"/>
            <w:gridSpan w:val="2"/>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shd w:fill="FFFFFF" w:val="cle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41" w:type="dxa"/>
            <w:tcBorders/>
            <w:shd w:fill="CFF0FC" w:val="clear"/>
            <w:vAlign w:val="center"/>
          </w:tcPr>
          <w:p>
            <w:pPr>
              <w:pStyle w:val="TableContents"/>
              <w:bidi w:val="0"/>
              <w:spacing w:before="0" w:after="283"/>
              <w:jc w:val="right"/>
              <w:rPr>
                <w:color w:val="000000"/>
              </w:rPr>
            </w:pPr>
            <w:r>
              <w:rPr>
                <w:color w:val="000000"/>
              </w:rPr>
              <w:t>—</w:t>
            </w:r>
          </w:p>
        </w:tc>
        <w:tc>
          <w:tcPr>
            <w:tcW w:w="211" w:type="dxa"/>
            <w:tcBorders/>
            <w:shd w:fill="CFF0FC" w:val="cle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net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Movements in deferred tax valuation allowance:</w:t>
      </w:r>
    </w:p>
    <w:p>
      <w:pPr>
        <w:pStyle w:val="TextBody"/>
        <w:bidi w:val="0"/>
        <w:jc w:val="left"/>
        <w:rPr/>
      </w:pPr>
      <w:r>
        <w:rPr/>
        <w:t> </w:t>
      </w:r>
    </w:p>
    <w:tbl>
      <w:tblPr>
        <w:tblW w:w="6023" w:type="dxa"/>
        <w:jc w:val="left"/>
        <w:tblInd w:w="0" w:type="dxa"/>
        <w:tblLayout w:type="fixed"/>
        <w:tblCellMar>
          <w:top w:w="28" w:type="dxa"/>
          <w:left w:w="28" w:type="dxa"/>
          <w:bottom w:w="28" w:type="dxa"/>
          <w:right w:w="28" w:type="dxa"/>
        </w:tblCellMar>
      </w:tblPr>
      <w:tblGrid>
        <w:gridCol w:w="3556"/>
        <w:gridCol w:w="211"/>
        <w:gridCol w:w="781"/>
        <w:gridCol w:w="146"/>
        <w:gridCol w:w="146"/>
        <w:gridCol w:w="211"/>
        <w:gridCol w:w="781"/>
        <w:gridCol w:w="191"/>
      </w:tblGrid>
      <w:tr>
        <w:trPr/>
        <w:tc>
          <w:tcPr>
            <w:tcW w:w="3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vAlign w:val="center"/>
          </w:tcPr>
          <w:p>
            <w:pPr>
              <w:pStyle w:val="TableContents"/>
              <w:bidi w:val="0"/>
              <w:spacing w:before="0" w:after="283"/>
              <w:jc w:val="left"/>
              <w:rPr>
                <w:sz w:val="4"/>
                <w:szCs w:val="4"/>
              </w:rPr>
            </w:pPr>
            <w:r>
              <w:rPr>
                <w:sz w:val="4"/>
                <w:szCs w:val="4"/>
              </w:rPr>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FFFFFF" w:val="clear"/>
            <w:vAlign w:val="center"/>
          </w:tcPr>
          <w:p>
            <w:pPr>
              <w:pStyle w:val="TableContents"/>
              <w:bidi w:val="0"/>
              <w:spacing w:before="0" w:after="283"/>
              <w:jc w:val="left"/>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92"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allowance at January 1</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182,723</w:t>
            </w:r>
          </w:p>
        </w:tc>
        <w:tc>
          <w:tcPr>
            <w:tcW w:w="191" w:type="dxa"/>
            <w:tcBorders/>
            <w:shd w:fill="CFF0FC" w:val="cle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tax rates</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35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Increase/(decrease in valuation allowance)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56" w:type="dxa"/>
            <w:tcBorders/>
            <w:shd w:fill="FFFFFF"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Valuation allowance at December 31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197,243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has reviewed cumulative tax losses and projections of future taxable losses and determined that it is not more likely than not that they will be realized. Accordingly, valuation allowances have been provided over deferred tax assets.</w:t>
      </w:r>
    </w:p>
    <w:p>
      <w:pPr>
        <w:pStyle w:val="TextBody"/>
        <w:bidi w:val="0"/>
        <w:spacing w:before="240" w:after="283"/>
        <w:jc w:val="left"/>
        <w:rPr>
          <w:rFonts w:ascii="Times New Roman" w:hAnsi="Times New Roman"/>
          <w:sz w:val="20"/>
        </w:rPr>
      </w:pPr>
      <w:r>
        <w:rPr>
          <w:rFonts w:ascii="Times New Roman" w:hAnsi="Times New Roman"/>
          <w:color w:val="000000"/>
          <w:sz w:val="20"/>
        </w:rPr>
        <w:t>As of December 31, 2023 the Company had U.K. net operating loss carryforwards of $30.6 million that can be carried forward indefinitely. The Company had</w:t>
      </w:r>
      <w:r>
        <w:rPr>
          <w:rFonts w:ascii="Times New Roman" w:hAnsi="Times New Roman"/>
          <w:color w:val="FF0000"/>
          <w:sz w:val="20"/>
        </w:rPr>
        <w:t xml:space="preserve"> </w:t>
      </w:r>
      <w:r>
        <w:rPr>
          <w:rFonts w:ascii="Times New Roman" w:hAnsi="Times New Roman"/>
          <w:color w:val="000000"/>
          <w:sz w:val="20"/>
        </w:rPr>
        <w:t>U.S. federal tax losses to be carried forward of $66.2 million, of which $18.2 million can be carried forward indefinitely and $48.0 million will begin to expire in 2024. The Company also had $14.0 million of U.S. federal R&amp;D tax credits that begin to expire in 2024 and U.S. state tax losses to be carried forward of less than $0.1 million which begin to expire in 2027. The Company also had less than $0.1 million of state R&amp;D tax credits that do not have an expiration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December 31, 2022 the Company had U.K. net operating loss carryforwards of $28.7 million that can be carried forward indefinitely, U.S. federal tax losses to be carried forward of approximately $65.2 million, of which $ 17.2 million can be carried forward indefinitely and $48.0 million which will begin to expire in 2023. The Company also had $14.0 million of U.S. federal research and development (“R&amp;D”) tax credits that began to expire in 2022 and U.S. state tax losses to be carried forward of less than $0.1 million which begin to expire in 2027. The Company also had less than $0.1 million of state R&amp;D tax credits that do not have an expiration date.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files separate income tax returns in the U.K. and the U.S. All necessary income tax filings have been completed for all years up to and including December 31, 2022, and there are no ongoing tax examinations in any jurisdiction. As of December 31, 2023, the Company has an uncertain tax position of $2.9 million, representing 20% of historic R&amp;D tax losses claimed for Alternative Minimum Tax ("AMT") specific to the year ending December 31, 2022.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 Mereo BioPharma 5, Inc, with respect to accumulated tax losses carried forward prior to its acquisition by the Company, of $18.2 million, there is a change of control restriction which will limit the amount available in any one year to $0.3 million per year. </w:t>
      </w:r>
    </w:p>
    <w:p>
      <w:pPr>
        <w:pStyle w:val="TextBody"/>
        <w:bidi w:val="0"/>
        <w:spacing w:before="240" w:after="283"/>
        <w:jc w:val="left"/>
        <w:rPr>
          <w:rFonts w:ascii="Times New Roman" w:hAnsi="Times New Roman"/>
          <w:sz w:val="20"/>
        </w:rPr>
      </w:pPr>
      <w:r>
        <w:rPr>
          <w:rFonts w:ascii="Times New Roman" w:hAnsi="Times New Roman"/>
          <w:b/>
          <w:color w:val="000000"/>
          <w:sz w:val="20"/>
        </w:rPr>
        <w:t>17. Share-based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currently grants equity awards under the Mereo 2019 Equity Incentive Plan (the "2019 EIP") and the 2019 Non-Employee Equity Incentive Plan (the “2019 NED EIP”). There are also still outstanding awards under two previous plans, the 2015 Plan and the Mereo Share Option Plan (together the "Previous Share Option Plans"), however no awards have been granted under these plans since 2016 and no further grants are envisaged.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2019 EIP and 2019 NED EIP were adopted on April 4, 2019, and subsequently amended on February 3, 2020 and January 15, 2021. The 2019 EIP and 2019 NED EIP authorizes the grant of a variety of types of share awards over the Company’s ADSs to executives and employees, and non-executives, respectively. The total number of ADSs available for issue under the 2019 EIP and 2019 NED EIP was 4.7 million as of December 31, 2023.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charge for share based compensation arises solely in respect of awards made under these two active plans as follows:</w:t>
      </w:r>
    </w:p>
    <w:p>
      <w:pPr>
        <w:pStyle w:val="TextBody"/>
        <w:bidi w:val="0"/>
        <w:jc w:val="both"/>
        <w:rPr/>
      </w:pPr>
      <w:r>
        <w:rPr/>
        <w:t> </w:t>
      </w:r>
    </w:p>
    <w:tbl>
      <w:tblPr>
        <w:tblW w:w="4105" w:type="dxa"/>
        <w:jc w:val="left"/>
        <w:tblInd w:w="0" w:type="dxa"/>
        <w:tblLayout w:type="fixed"/>
        <w:tblCellMar>
          <w:top w:w="28" w:type="dxa"/>
          <w:left w:w="28" w:type="dxa"/>
          <w:bottom w:w="28" w:type="dxa"/>
          <w:right w:w="28" w:type="dxa"/>
        </w:tblCellMar>
      </w:tblPr>
      <w:tblGrid>
        <w:gridCol w:w="1306"/>
        <w:gridCol w:w="146"/>
        <w:gridCol w:w="191"/>
        <w:gridCol w:w="749"/>
        <w:gridCol w:w="191"/>
        <w:gridCol w:w="191"/>
        <w:gridCol w:w="191"/>
        <w:gridCol w:w="749"/>
        <w:gridCol w:w="391"/>
      </w:tblGrid>
      <w:tr>
        <w:trPr/>
        <w:tc>
          <w:tcPr>
            <w:tcW w:w="13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94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191" w:type="dxa"/>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c>
          <w:tcPr>
            <w:tcW w:w="940" w:type="dxa"/>
            <w:gridSpan w:val="2"/>
            <w:tcBorders/>
            <w:shd w:fill="FFFFFF" w:val="cle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w:t>
            </w:r>
          </w:p>
        </w:tc>
        <w:tc>
          <w:tcPr>
            <w:tcW w:w="391" w:type="dxa"/>
            <w:tcBorders/>
            <w:shd w:fill="FFFFFF" w:val="clear"/>
            <w:vAlign w:val="center"/>
          </w:tcPr>
          <w:p>
            <w:pPr>
              <w:pStyle w:val="TableContents"/>
              <w:bidi w:val="0"/>
              <w:spacing w:before="0" w:after="283"/>
              <w:jc w:val="center"/>
              <w:rPr/>
            </w:pPr>
            <w:r>
              <w:rPr/>
              <w:t> </w:t>
            </w:r>
          </w:p>
        </w:tc>
      </w:tr>
      <w:tr>
        <w:trPr/>
        <w:tc>
          <w:tcPr>
            <w:tcW w:w="130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EIP</w:t>
            </w:r>
          </w:p>
        </w:tc>
        <w:tc>
          <w:tcPr>
            <w:tcW w:w="146"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c>
          <w:tcPr>
            <w:tcW w:w="74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3,888</w:t>
            </w:r>
          </w:p>
        </w:tc>
        <w:tc>
          <w:tcPr>
            <w:tcW w:w="391" w:type="dxa"/>
            <w:tcBorders/>
            <w:shd w:fill="CFF0FC" w:val="clear"/>
            <w:vAlign w:val="center"/>
          </w:tcPr>
          <w:p>
            <w:pPr>
              <w:pStyle w:val="TableContents"/>
              <w:bidi w:val="0"/>
              <w:spacing w:before="0" w:after="283"/>
              <w:jc w:val="left"/>
              <w:rPr/>
            </w:pPr>
            <w:r>
              <w:rPr/>
              <w:t> </w:t>
            </w:r>
          </w:p>
        </w:tc>
      </w:tr>
      <w:tr>
        <w:trPr/>
        <w:tc>
          <w:tcPr>
            <w:tcW w:w="130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2019 NED EIP</w:t>
            </w:r>
          </w:p>
        </w:tc>
        <w:tc>
          <w:tcPr>
            <w:tcW w:w="146" w:type="dxa"/>
            <w:tcBorders/>
            <w:shd w:fill="FFFFFF" w:val="cle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306" w:type="dxa"/>
            <w:tcBorders/>
            <w:shd w:fill="CFF0FC" w:val="clear"/>
            <w:vAlign w:val="center"/>
          </w:tcPr>
          <w:p>
            <w:pPr>
              <w:pStyle w:val="TableContents"/>
              <w:bidi w:val="0"/>
              <w:spacing w:before="0" w:after="283"/>
              <w:ind w:left="200" w:right="0" w:firstLine="200"/>
              <w:jc w:val="left"/>
              <w:rPr>
                <w:rFonts w:ascii="Times New Roman" w:hAnsi="Times New Roman"/>
                <w:b/>
                <w:color w:val="000000"/>
                <w:sz w:val="20"/>
              </w:rPr>
            </w:pPr>
            <w:r>
              <w:rPr>
                <w:rFonts w:ascii="Times New Roman" w:hAnsi="Times New Roman"/>
                <w:b/>
                <w:color w:val="000000"/>
                <w:sz w:val="20"/>
              </w:rPr>
              <w:t>Total</w:t>
            </w:r>
          </w:p>
        </w:tc>
        <w:tc>
          <w:tcPr>
            <w:tcW w:w="146" w:type="dxa"/>
            <w:tcBorders/>
            <w:shd w:fill="CFF0FC" w:val="cle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4,924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4,768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sz w:val="20"/>
        </w:rPr>
      </w:pPr>
      <w:r>
        <w:rPr>
          <w:rFonts w:ascii="Times New Roman" w:hAnsi="Times New Roman"/>
          <w:color w:val="000000"/>
          <w:sz w:val="20"/>
        </w:rPr>
        <w:t>As of December 31, 2023, the total unrecognized compensation cost related to outstanding share awards was $2.9 million, which the Company expects to recognize over a weighted-average period of 1.6 years</w:t>
      </w:r>
      <w:r>
        <w:rPr>
          <w:rFonts w:ascii="Times New Roman" w:hAnsi="Times New Roman"/>
          <w:i/>
          <w:color w:val="000000"/>
          <w:sz w:val="20"/>
        </w:rPr>
        <w: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majority of awards that were exercised in 2023 and 2022 were net share settled such that the Company withheld shares with a value equivalent to the exercise price and the employees’ obligation for the applicable income and other employment taxes and remitted the cash to the appropriate taxing authorities. The remaining shares delivered upon exercise by employees were satisfied by delivering shares from the Employee Benefit Trust. Shares delivered in settlement of deferred RSUs to non-executive directors following separation of service were satisfied by issuing new shares.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2019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EIP:</w:t>
      </w:r>
    </w:p>
    <w:p>
      <w:pPr>
        <w:pStyle w:val="TextBody"/>
        <w:bidi w:val="0"/>
        <w:spacing w:before="240" w:after="283"/>
        <w:jc w:val="both"/>
        <w:rPr>
          <w:rFonts w:ascii="Times New Roman" w:hAnsi="Times New Roman"/>
          <w:sz w:val="20"/>
        </w:rPr>
      </w:pPr>
      <w:r>
        <w:rPr>
          <w:rFonts w:ascii="Times New Roman" w:hAnsi="Times New Roman"/>
          <w:b/>
          <w:i/>
          <w:color w:val="000000"/>
          <w:sz w:val="20"/>
        </w:rPr>
        <w:t>Market Value Options (“Options”)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Options permit the recipient to purchase ADSs at an exercise price equal to the market price of the underlying ADSs on the date of grant. Options issued under the EIP have a contractual term of 10 years and vest over four years, with one-fourth of the award vesting on the first anniversary of the grant date and the remainder vesting in equal monthly installments over the three-year period thereafter. No performance conditions apply to such Options.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Option activity and related information under the 2019 EIP for 2023 and 2022 is as follows; all outstanding Options are expected to vest:</w:t>
      </w:r>
    </w:p>
    <w:p>
      <w:pPr>
        <w:pStyle w:val="TextBody"/>
        <w:bidi w:val="0"/>
        <w:jc w:val="left"/>
        <w:rPr/>
      </w:pPr>
      <w:r>
        <w:rPr/>
        <w:t> </w:t>
      </w:r>
    </w:p>
    <w:tbl>
      <w:tblPr>
        <w:tblW w:w="8078" w:type="dxa"/>
        <w:jc w:val="left"/>
        <w:tblInd w:w="0" w:type="dxa"/>
        <w:tblLayout w:type="fixed"/>
        <w:tblCellMar>
          <w:top w:w="28" w:type="dxa"/>
          <w:left w:w="28" w:type="dxa"/>
          <w:bottom w:w="28" w:type="dxa"/>
          <w:right w:w="28" w:type="dxa"/>
        </w:tblCellMar>
      </w:tblPr>
      <w:tblGrid>
        <w:gridCol w:w="1936"/>
        <w:gridCol w:w="146"/>
        <w:gridCol w:w="146"/>
        <w:gridCol w:w="991"/>
        <w:gridCol w:w="166"/>
        <w:gridCol w:w="146"/>
        <w:gridCol w:w="218"/>
        <w:gridCol w:w="698"/>
        <w:gridCol w:w="146"/>
        <w:gridCol w:w="146"/>
        <w:gridCol w:w="218"/>
        <w:gridCol w:w="698"/>
        <w:gridCol w:w="146"/>
        <w:gridCol w:w="146"/>
        <w:gridCol w:w="353"/>
        <w:gridCol w:w="1387"/>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3,943,702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4,126,400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(48,044</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6,857,861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4,874,300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(1,324,809</w:t>
            </w:r>
          </w:p>
        </w:tc>
        <w:tc>
          <w:tcPr>
            <w:tcW w:w="1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(751,672</w:t>
            </w:r>
          </w:p>
        </w:tc>
        <w:tc>
          <w:tcPr>
            <w:tcW w:w="16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9,595,161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9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3,425,209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1,463</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9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6,169,952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5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3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2022, 4,775,834 Options with a weighted average grant date fair value of $1.57 were nonvested. The weighted average per share fair value of options vesting during the year ended December 31, 2023 was $1.55 (2022: $2.45).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weighted average contractual life of Options outstanding was 8.1 years (2022: 7.9 years) and for vested Options was 7.1 years (2022: 6.2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awards and the quoted market price of the Company’s ADSs for the Options that were in-the-money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based on the following weighted average assumptions:</w:t>
      </w:r>
    </w:p>
    <w:p>
      <w:pPr>
        <w:pStyle w:val="TextBody"/>
        <w:bidi w:val="0"/>
        <w:jc w:val="left"/>
        <w:rPr/>
      </w:pPr>
      <w:r>
        <w:rPr/>
        <w:t> </w:t>
      </w:r>
    </w:p>
    <w:tbl>
      <w:tblPr>
        <w:tblW w:w="4489" w:type="dxa"/>
        <w:jc w:val="left"/>
        <w:tblInd w:w="0" w:type="dxa"/>
        <w:tblLayout w:type="fixed"/>
        <w:tblCellMar>
          <w:top w:w="28" w:type="dxa"/>
          <w:left w:w="28" w:type="dxa"/>
          <w:bottom w:w="28" w:type="dxa"/>
          <w:right w:w="28" w:type="dxa"/>
        </w:tblCellMar>
      </w:tblPr>
      <w:tblGrid>
        <w:gridCol w:w="2176"/>
        <w:gridCol w:w="146"/>
        <w:gridCol w:w="146"/>
        <w:gridCol w:w="571"/>
        <w:gridCol w:w="271"/>
        <w:gridCol w:w="146"/>
        <w:gridCol w:w="146"/>
        <w:gridCol w:w="57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ADSs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volatility assumption is calculated by reference to the historical volatility of an appropriate peer group of companies for a period equal to the expected term of the Option. The grant date fair value is recognized over the requisite service period using the accelerated graded-vesting attribution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Units (“RSUs”)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RSUs were first awarded in 2023 and each RSU entitles the holder a conditional right to receive an ADS at no cost upon the completion of the applicable vesting period. RSUs granted under the EIP vest over three years with one-third of the awards vesting on the first anniversary of the grant date and the remainder vesting in four equal six-monthly installments thereafter. Upon vesting of the RSUs, the Company issues the requisite ADSs, a portion of which are sold to satisfy the resulting withholding tax obligations, and the remaining ADSs are delivered to the holder. RSUs have a maximum contractual life of 3.0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RSU activity and related information under the 2019 EIP for 2023 is as follows. As at December 31, 2023 no RSUs were vested but all outstanding RSUs are expected to vest:</w:t>
      </w:r>
    </w:p>
    <w:p>
      <w:pPr>
        <w:pStyle w:val="TextBody"/>
        <w:bidi w:val="0"/>
        <w:jc w:val="left"/>
        <w:rPr/>
      </w:pPr>
      <w:r>
        <w:rPr/>
        <w:t> </w:t>
      </w:r>
    </w:p>
    <w:tbl>
      <w:tblPr>
        <w:tblW w:w="6738" w:type="dxa"/>
        <w:jc w:val="left"/>
        <w:tblInd w:w="0" w:type="dxa"/>
        <w:tblLayout w:type="fixed"/>
        <w:tblCellMar>
          <w:top w:w="28" w:type="dxa"/>
          <w:left w:w="28" w:type="dxa"/>
          <w:bottom w:w="28" w:type="dxa"/>
          <w:right w:w="28" w:type="dxa"/>
        </w:tblCellMar>
      </w:tblPr>
      <w:tblGrid>
        <w:gridCol w:w="1936"/>
        <w:gridCol w:w="146"/>
        <w:gridCol w:w="148"/>
        <w:gridCol w:w="857"/>
        <w:gridCol w:w="166"/>
        <w:gridCol w:w="146"/>
        <w:gridCol w:w="218"/>
        <w:gridCol w:w="698"/>
        <w:gridCol w:w="146"/>
        <w:gridCol w:w="146"/>
        <w:gridCol w:w="353"/>
        <w:gridCol w:w="1387"/>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679,225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740"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ind w:left="0" w:right="0" w:firstLine="200"/>
              <w:jc w:val="righ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the weighted average remaining period of RSUs outstanding was 2.1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is calculated as the quoted market price of the Company’s ADSs at December 31, 2023. The fair value of each 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Performance Based Restricted Stock Units (PSUs)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PSUs were first awarded in 2023 and each PSU entitles the holder a conditional right to receive an ADS at no cost upon satisfaction of four escalating ADS price performance targets over a two year performance period following the date of grant. A summary of the Company’s PSU activity and related information under the 2019 EIP for 2023 is as follows. At December 31, 2023 no PSUs were vested.</w:t>
      </w:r>
    </w:p>
    <w:p>
      <w:pPr>
        <w:pStyle w:val="TextBody"/>
        <w:bidi w:val="0"/>
        <w:jc w:val="left"/>
        <w:rPr/>
      </w:pPr>
      <w:r>
        <w:rPr/>
        <w:t> </w:t>
      </w:r>
    </w:p>
    <w:tbl>
      <w:tblPr>
        <w:tblW w:w="6810" w:type="dxa"/>
        <w:jc w:val="left"/>
        <w:tblInd w:w="0" w:type="dxa"/>
        <w:tblLayout w:type="fixed"/>
        <w:tblCellMar>
          <w:top w:w="28" w:type="dxa"/>
          <w:left w:w="28" w:type="dxa"/>
          <w:bottom w:w="28" w:type="dxa"/>
          <w:right w:w="28" w:type="dxa"/>
        </w:tblCellMar>
      </w:tblPr>
      <w:tblGrid>
        <w:gridCol w:w="1936"/>
        <w:gridCol w:w="146"/>
        <w:gridCol w:w="146"/>
        <w:gridCol w:w="931"/>
        <w:gridCol w:w="166"/>
        <w:gridCol w:w="146"/>
        <w:gridCol w:w="218"/>
        <w:gridCol w:w="698"/>
        <w:gridCol w:w="146"/>
        <w:gridCol w:w="146"/>
        <w:gridCol w:w="353"/>
        <w:gridCol w:w="1387"/>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PSUs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w:t>
              <w:br/>
              <w:t>value</w:t>
              <w:br/>
              <w:t>($'000)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53" w:type="dxa"/>
            <w:tcBorders/>
            <w:shd w:fill="CFF0FC" w:val="clear"/>
            <w:vAlign w:val="center"/>
          </w:tcPr>
          <w:p>
            <w:pPr>
              <w:pStyle w:val="TableContents"/>
              <w:bidi w:val="0"/>
              <w:spacing w:before="0" w:after="283"/>
              <w:jc w:val="left"/>
              <w:rPr/>
            </w:pPr>
            <w:r>
              <w:rPr/>
              <w:t> </w:t>
            </w:r>
          </w:p>
        </w:tc>
        <w:tc>
          <w:tcPr>
            <w:tcW w:w="1387"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1,543,150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53" w:type="dxa"/>
            <w:tcBorders/>
            <w:shd w:fill="FFFFFF" w:val="clear"/>
            <w:vAlign w:val="center"/>
          </w:tcPr>
          <w:p>
            <w:pPr>
              <w:pStyle w:val="TableContents"/>
              <w:bidi w:val="0"/>
              <w:spacing w:before="0" w:after="283"/>
              <w:jc w:val="left"/>
              <w:rPr/>
            </w:pPr>
            <w:r>
              <w:rPr/>
              <w:t> </w:t>
            </w:r>
          </w:p>
        </w:tc>
        <w:tc>
          <w:tcPr>
            <w:tcW w:w="1387"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1,338,150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the weighted average contractual life of PSUs outstanding was 1.1 years. These awards were valued using a Monte Carlo model with the following key inputs:</w:t>
      </w:r>
    </w:p>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center"/>
        <w:rPr/>
      </w:pPr>
      <w:r>
        <w:rPr/>
        <w:t> </w:t>
      </w:r>
    </w:p>
    <w:tbl>
      <w:tblPr>
        <w:tblW w:w="3460" w:type="dxa"/>
        <w:jc w:val="left"/>
        <w:tblInd w:w="0" w:type="dxa"/>
        <w:tblLayout w:type="fixed"/>
        <w:tblCellMar>
          <w:top w:w="28" w:type="dxa"/>
          <w:left w:w="28" w:type="dxa"/>
          <w:bottom w:w="28" w:type="dxa"/>
          <w:right w:w="28" w:type="dxa"/>
        </w:tblCellMar>
      </w:tblPr>
      <w:tblGrid>
        <w:gridCol w:w="2176"/>
        <w:gridCol w:w="146"/>
        <w:gridCol w:w="146"/>
        <w:gridCol w:w="676"/>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ADSs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7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105.56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76"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grant date fair value is recognized over the expected life using the straight-line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2019 NED EIP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awarded the following instruments under the 2019 NED EIP:</w:t>
      </w:r>
    </w:p>
    <w:p>
      <w:pPr>
        <w:pStyle w:val="TextBody"/>
        <w:bidi w:val="0"/>
        <w:spacing w:before="240" w:after="283"/>
        <w:jc w:val="left"/>
        <w:rPr>
          <w:rFonts w:ascii="Times New Roman" w:hAnsi="Times New Roman"/>
          <w:sz w:val="20"/>
        </w:rPr>
      </w:pPr>
      <w:r>
        <w:rPr>
          <w:rFonts w:ascii="Times New Roman" w:hAnsi="Times New Roman"/>
          <w:b/>
          <w:i/>
          <w:color w:val="000000"/>
          <w:sz w:val="20"/>
        </w:rPr>
        <w:t>Options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Options permit the recipient to purchase ADSs at an exercise price equal to the market price of the underlying ADSs on the date of grant. Options issued under the 2019 NED EIP have a contractual term of 10 years and vest in equal monthly installments over one year. There are no performance conditions. A summary of the Company’s Option activity and related information under the 2019 NED EIP for 2023 and 2022 is as follows; all outstanding Options are expected to vest:</w:t>
      </w:r>
    </w:p>
    <w:p>
      <w:pPr>
        <w:pStyle w:val="TextBody"/>
        <w:bidi w:val="0"/>
        <w:jc w:val="left"/>
        <w:rPr/>
      </w:pPr>
      <w:r>
        <w:rPr/>
        <w:t> </w:t>
      </w:r>
    </w:p>
    <w:tbl>
      <w:tblPr>
        <w:tblW w:w="9173" w:type="dxa"/>
        <w:jc w:val="left"/>
        <w:tblInd w:w="0" w:type="dxa"/>
        <w:tblLayout w:type="fixed"/>
        <w:tblCellMar>
          <w:top w:w="28" w:type="dxa"/>
          <w:left w:w="28" w:type="dxa"/>
          <w:bottom w:w="28" w:type="dxa"/>
          <w:right w:w="28" w:type="dxa"/>
        </w:tblCellMar>
      </w:tblPr>
      <w:tblGrid>
        <w:gridCol w:w="1936"/>
        <w:gridCol w:w="146"/>
        <w:gridCol w:w="146"/>
        <w:gridCol w:w="931"/>
        <w:gridCol w:w="166"/>
        <w:gridCol w:w="146"/>
        <w:gridCol w:w="218"/>
        <w:gridCol w:w="698"/>
        <w:gridCol w:w="146"/>
        <w:gridCol w:w="146"/>
        <w:gridCol w:w="218"/>
        <w:gridCol w:w="698"/>
        <w:gridCol w:w="146"/>
        <w:gridCol w:w="146"/>
        <w:gridCol w:w="587"/>
        <w:gridCol w:w="2308"/>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421,791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230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535,488</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915,087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1,355,087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1,281,751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23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Nonvested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3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73,336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895" w:type="dxa"/>
            <w:gridSpan w:val="2"/>
            <w:tcBorders/>
            <w:shd w:fill="FFFFFF" w:val="clear"/>
            <w:vAlign w:val="center"/>
          </w:tcPr>
          <w:p>
            <w:pPr>
              <w:pStyle w:val="TableContents"/>
              <w:bidi w:val="0"/>
              <w:spacing w:before="0" w:after="283"/>
              <w:jc w:val="right"/>
              <w:rPr/>
            </w:pPr>
            <w:r>
              <w:rPr/>
              <w:t> </w:t>
            </w:r>
          </w:p>
        </w:tc>
        <w:tc>
          <w:tcPr>
            <w:tcW w:w="391" w:type="dxa"/>
            <w:tcBorders/>
            <w:shd w:fill="FFFFFF" w:val="cle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At December 31, 2022, 82,503 Options with a weighted average grant date fair value of $1.01 were nonvested. The weighted average per share fair value of options vesting during the year ended December 31, 2023 was $1.38 (2022: $1.78).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At December 31, 2023, the weighted average contractual life of Options outstanding was 8.0 years (2022: 8.5 years) and for vested Options was 7.9 years (2022: 8.4 years).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is calculated as the difference between the exercise price of the underlying awards and the quoted market price of the Company’s shares for the Options that were in-the-money at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fair value of each Option is estimated on the date of grant using the Black-Scholes option pricing model based on the following weighted average assumptions:</w:t>
      </w:r>
    </w:p>
    <w:p>
      <w:pPr>
        <w:pStyle w:val="TextBody"/>
        <w:bidi w:val="0"/>
        <w:jc w:val="left"/>
        <w:rPr/>
      </w:pPr>
      <w:r>
        <w:rPr/>
        <w:t> </w:t>
      </w:r>
    </w:p>
    <w:tbl>
      <w:tblPr>
        <w:tblW w:w="4489" w:type="dxa"/>
        <w:jc w:val="left"/>
        <w:tblInd w:w="0" w:type="dxa"/>
        <w:tblLayout w:type="fixed"/>
        <w:tblCellMar>
          <w:top w:w="28" w:type="dxa"/>
          <w:left w:w="28" w:type="dxa"/>
          <w:bottom w:w="28" w:type="dxa"/>
          <w:right w:w="28" w:type="dxa"/>
        </w:tblCellMar>
      </w:tblPr>
      <w:tblGrid>
        <w:gridCol w:w="2176"/>
        <w:gridCol w:w="146"/>
        <w:gridCol w:w="146"/>
        <w:gridCol w:w="571"/>
        <w:gridCol w:w="271"/>
        <w:gridCol w:w="146"/>
        <w:gridCol w:w="146"/>
        <w:gridCol w:w="571"/>
        <w:gridCol w:w="316"/>
      </w:tblGrid>
      <w:tr>
        <w:trPr/>
        <w:tc>
          <w:tcPr>
            <w:tcW w:w="2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7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 value of ADSs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life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w:t>
            </w:r>
          </w:p>
        </w:tc>
        <w:tc>
          <w:tcPr>
            <w:tcW w:w="316" w:type="dxa"/>
            <w:tcBorders/>
            <w:shd w:fill="CFF0FC" w:val="clear"/>
            <w:vAlign w:val="center"/>
          </w:tcPr>
          <w:p>
            <w:pPr>
              <w:pStyle w:val="TableContents"/>
              <w:bidi w:val="0"/>
              <w:spacing w:before="0" w:after="283"/>
              <w:jc w:val="left"/>
              <w:rPr/>
            </w:pPr>
            <w:r>
              <w:rPr/>
              <w:t> </w:t>
            </w:r>
          </w:p>
        </w:tc>
      </w:tr>
      <w:tr>
        <w:trPr/>
        <w:tc>
          <w:tcPr>
            <w:tcW w:w="217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97.94</w:t>
            </w:r>
          </w:p>
        </w:tc>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7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31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7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27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71" w:type="dxa"/>
            <w:tcBorders/>
            <w:shd w:fill="CFF0FC" w:val="clear"/>
            <w:vAlign w:val="center"/>
          </w:tcPr>
          <w:p>
            <w:pPr>
              <w:pStyle w:val="TableContents"/>
              <w:bidi w:val="0"/>
              <w:spacing w:before="0" w:after="283"/>
              <w:jc w:val="right"/>
              <w:rPr>
                <w:color w:val="000000"/>
              </w:rPr>
            </w:pPr>
            <w:r>
              <w:rPr>
                <w:color w:val="000000"/>
              </w:rPr>
              <w:t>—</w:t>
            </w:r>
          </w:p>
        </w:tc>
        <w:tc>
          <w:tcPr>
            <w:tcW w:w="316"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expected volatility assumption is calculated by reference to the historical volatility of an appropriate peer group of companies for a period equal to the expected term of the Option. The grant date fair value is recognized over the vesting period using the accelerated graded-vesting attribution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Deferred Restricted Stock Units (“DRSUs”)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Non-executive directors may voluntarily elect to convert their annual cash fees for services on the board of directors and DRSUs were granted to NEDs who made such elections. The number of DRSUs granted is determined by dividing the amount of the annual cash compensation by the average closing trading price of the Company's ADSs over the most recent 30 trading days as of the date of grant. Each DRSU entitles the holder to receive an ADS at no cost upon the completion of the vesting period. DRSUs granted under the 2019 NED EIP vest in substantially equal monthly installments over the plan year. Payment of DRSUs in ADSs will generally be 180 days following separation of service but have no specified contractual term.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summary of the Company’s DRSU activity and related information under the 2019 NED EIP for 2023 and 2022 is as follows. At December 31, 2023 all DRSUs are expected to vest:</w:t>
      </w:r>
    </w:p>
    <w:p>
      <w:pPr>
        <w:pStyle w:val="TextBody"/>
        <w:bidi w:val="0"/>
        <w:jc w:val="both"/>
        <w:rPr/>
      </w:pPr>
      <w:r>
        <w:rPr/>
        <w:t> </w:t>
      </w:r>
    </w:p>
    <w:tbl>
      <w:tblPr>
        <w:tblW w:w="7893" w:type="dxa"/>
        <w:jc w:val="left"/>
        <w:tblInd w:w="0" w:type="dxa"/>
        <w:tblLayout w:type="fixed"/>
        <w:tblCellMar>
          <w:top w:w="28" w:type="dxa"/>
          <w:left w:w="28" w:type="dxa"/>
          <w:bottom w:w="28" w:type="dxa"/>
          <w:right w:w="28" w:type="dxa"/>
        </w:tblCellMar>
      </w:tblPr>
      <w:tblGrid>
        <w:gridCol w:w="1936"/>
        <w:gridCol w:w="146"/>
        <w:gridCol w:w="148"/>
        <w:gridCol w:w="857"/>
        <w:gridCol w:w="166"/>
        <w:gridCol w:w="146"/>
        <w:gridCol w:w="218"/>
        <w:gridCol w:w="698"/>
        <w:gridCol w:w="146"/>
        <w:gridCol w:w="146"/>
        <w:gridCol w:w="587"/>
        <w:gridCol w:w="2308"/>
        <w:gridCol w:w="391"/>
      </w:tblGrid>
      <w:tr>
        <w:trPr/>
        <w:tc>
          <w:tcPr>
            <w:tcW w:w="1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30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DRSUs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January 1, 2022</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2308"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3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348,044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23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482,214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color w:val="000000"/>
              </w:rPr>
            </w:pPr>
            <w:r>
              <w:rPr>
                <w:color w:val="000000"/>
              </w:rPr>
              <w:t>—</w:t>
            </w:r>
          </w:p>
        </w:tc>
        <w:tc>
          <w:tcPr>
            <w:tcW w:w="391" w:type="dxa"/>
            <w:tcBorders/>
            <w:shd w:fill="FFFFFF" w:val="cle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Issued</w:t>
            </w:r>
          </w:p>
        </w:tc>
        <w:tc>
          <w:tcPr>
            <w:tcW w:w="146" w:type="dxa"/>
            <w:tcBorders/>
            <w:shd w:fill="CFF0FC" w:val="cle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93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729,982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936" w:type="dxa"/>
            <w:tcBorders/>
            <w:shd w:fill="CFF0FC"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vAlign w:val="center"/>
          </w:tcPr>
          <w:p>
            <w:pPr>
              <w:pStyle w:val="TableContents"/>
              <w:bidi w:val="0"/>
              <w:spacing w:before="0" w:after="283"/>
              <w:jc w:val="left"/>
              <w:rPr/>
            </w:pPr>
            <w:r>
              <w:rPr/>
              <w:t> </w:t>
            </w:r>
          </w:p>
        </w:tc>
        <w:tc>
          <w:tcPr>
            <w:tcW w:w="148" w:type="dxa"/>
            <w:tcBorders/>
            <w:shd w:fill="CFF0FC" w:val="clear"/>
            <w:vAlign w:val="center"/>
          </w:tcPr>
          <w:p>
            <w:pPr>
              <w:pStyle w:val="TableContents"/>
              <w:bidi w:val="0"/>
              <w:spacing w:before="0" w:after="283"/>
              <w:jc w:val="left"/>
              <w:rPr/>
            </w:pPr>
            <w:r>
              <w:rPr/>
              <w:t> </w:t>
            </w:r>
          </w:p>
        </w:tc>
        <w:tc>
          <w:tcPr>
            <w:tcW w:w="857"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689,837</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8" w:type="dxa"/>
            <w:tcBorders/>
            <w:shd w:fill="CFF0FC" w:val="clear"/>
            <w:vAlign w:val="center"/>
          </w:tcPr>
          <w:p>
            <w:pPr>
              <w:pStyle w:val="TableContents"/>
              <w:bidi w:val="0"/>
              <w:spacing w:before="0" w:after="283"/>
              <w:jc w:val="left"/>
              <w:rPr/>
            </w:pPr>
            <w:r>
              <w:rPr/>
              <w:t> </w:t>
            </w:r>
          </w:p>
        </w:tc>
        <w:tc>
          <w:tcPr>
            <w:tcW w:w="69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7" w:type="dxa"/>
            <w:tcBorders/>
            <w:shd w:fill="CFF0FC" w:val="clear"/>
            <w:vAlign w:val="center"/>
          </w:tcPr>
          <w:p>
            <w:pPr>
              <w:pStyle w:val="TableContents"/>
              <w:bidi w:val="0"/>
              <w:spacing w:before="0" w:after="283"/>
              <w:jc w:val="left"/>
              <w:rPr/>
            </w:pPr>
            <w:r>
              <w:rPr/>
              <w:t> </w:t>
            </w:r>
          </w:p>
        </w:tc>
        <w:tc>
          <w:tcPr>
            <w:tcW w:w="2308"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36"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Non vested</w:t>
            </w:r>
          </w:p>
        </w:tc>
        <w:tc>
          <w:tcPr>
            <w:tcW w:w="146"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857"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40,145</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7" w:type="dxa"/>
            <w:tcBorders/>
            <w:shd w:fill="FFFFFF" w:val="clear"/>
            <w:vAlign w:val="center"/>
          </w:tcPr>
          <w:p>
            <w:pPr>
              <w:pStyle w:val="TableContents"/>
              <w:bidi w:val="0"/>
              <w:spacing w:before="0" w:after="283"/>
              <w:jc w:val="left"/>
              <w:rPr/>
            </w:pPr>
            <w:r>
              <w:rPr/>
              <w:t> </w:t>
            </w:r>
          </w:p>
        </w:tc>
        <w:tc>
          <w:tcPr>
            <w:tcW w:w="2308"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391" w:type="dxa"/>
            <w:tcBorders/>
            <w:shd w:fill="FFFFFF" w:val="cle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aggregate intrinsic value is calculated as the quoted market price of the Company’s ADSs at December 31, 2023. The fair value of each DRSU was calculated by reference to the value of the shares awarded. The grant date fair value is recognized over the vesting period using the accelerated graded-vesting attribution method.</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Previous Share Option Plans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Mereo previously granted options to employees under two separate plans, the Mereo BioPharma Group Limited Share Option Plan (the “2015 Plan”) and the Mereo Share Option Plan (the “Share Option Plan”). No awards have been granted under either of these plans since 2017 and following the introduction of the 2019 EIP and the 2019 NED EIP, no further awards are envisaged.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awards made under these plans became fully vested, with all compensation cost fully recognized, before December 31, 2021. A summary of the awards still outstanding under these plans is as follows:</w:t>
      </w:r>
    </w:p>
    <w:p>
      <w:pPr>
        <w:pStyle w:val="TextBody"/>
        <w:bidi w:val="0"/>
        <w:jc w:val="both"/>
        <w:rPr/>
      </w:pPr>
      <w:r>
        <w:rPr/>
        <w:t> </w:t>
      </w:r>
    </w:p>
    <w:tbl>
      <w:tblPr>
        <w:tblW w:w="9218" w:type="dxa"/>
        <w:jc w:val="left"/>
        <w:tblInd w:w="0" w:type="dxa"/>
        <w:tblLayout w:type="fixed"/>
        <w:tblCellMar>
          <w:top w:w="28" w:type="dxa"/>
          <w:left w:w="28" w:type="dxa"/>
          <w:bottom w:w="28" w:type="dxa"/>
          <w:right w:w="28" w:type="dxa"/>
        </w:tblCellMar>
      </w:tblPr>
      <w:tblGrid>
        <w:gridCol w:w="1981"/>
        <w:gridCol w:w="146"/>
        <w:gridCol w:w="146"/>
        <w:gridCol w:w="931"/>
        <w:gridCol w:w="166"/>
        <w:gridCol w:w="146"/>
        <w:gridCol w:w="186"/>
        <w:gridCol w:w="730"/>
        <w:gridCol w:w="146"/>
        <w:gridCol w:w="146"/>
        <w:gridCol w:w="186"/>
        <w:gridCol w:w="730"/>
        <w:gridCol w:w="146"/>
        <w:gridCol w:w="146"/>
        <w:gridCol w:w="859"/>
        <w:gridCol w:w="2036"/>
        <w:gridCol w:w="391"/>
      </w:tblGrid>
      <w:tr>
        <w:trPr/>
        <w:tc>
          <w:tcPr>
            <w:tcW w:w="19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98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options</w:t>
              <w:br/>
              <w:t>(ADSs)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w:t>
              <w:br/>
              <w:t>Date Fair</w:t>
              <w:br/>
              <w:t>Value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 intrinsic value ($'000)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1,924,331</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left"/>
              <w:rPr/>
            </w:pPr>
            <w:r>
              <w:rPr/>
              <w:t> </w:t>
            </w:r>
          </w:p>
        </w:tc>
        <w:tc>
          <w:tcPr>
            <w:tcW w:w="203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(240,776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3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1,683,555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86" w:type="dxa"/>
            <w:tcBorders/>
            <w:shd w:fill="CFF0FC" w:val="clear"/>
            <w:vAlign w:val="center"/>
          </w:tcPr>
          <w:p>
            <w:pPr>
              <w:pStyle w:val="TableContents"/>
              <w:bidi w:val="0"/>
              <w:spacing w:before="0" w:after="283"/>
              <w:jc w:val="left"/>
              <w:rPr/>
            </w:pPr>
            <w:r>
              <w:rPr/>
              <w:t> </w:t>
            </w:r>
          </w:p>
        </w:tc>
        <w:tc>
          <w:tcPr>
            <w:tcW w:w="73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859" w:type="dxa"/>
            <w:tcBorders/>
            <w:shd w:fill="CFF0FC" w:val="clear"/>
            <w:vAlign w:val="center"/>
          </w:tcPr>
          <w:p>
            <w:pPr>
              <w:pStyle w:val="TableContents"/>
              <w:bidi w:val="0"/>
              <w:spacing w:before="0" w:after="283"/>
              <w:jc w:val="left"/>
              <w:rPr/>
            </w:pPr>
            <w:r>
              <w:rPr/>
              <w:t> </w:t>
            </w:r>
          </w:p>
        </w:tc>
        <w:tc>
          <w:tcPr>
            <w:tcW w:w="2036" w:type="dxa"/>
            <w:tcBorders/>
            <w:shd w:fill="CFF0FC" w:val="clear"/>
            <w:vAlign w:val="center"/>
          </w:tcPr>
          <w:p>
            <w:pPr>
              <w:pStyle w:val="TableContents"/>
              <w:bidi w:val="0"/>
              <w:spacing w:before="0" w:after="283"/>
              <w:jc w:val="right"/>
              <w:rPr>
                <w:color w:val="000000"/>
              </w:rPr>
            </w:pPr>
            <w:r>
              <w:rPr>
                <w:color w:val="000000"/>
              </w:rPr>
              <w:t>—</w:t>
            </w:r>
          </w:p>
        </w:tc>
        <w:tc>
          <w:tcPr>
            <w:tcW w:w="391" w:type="dxa"/>
            <w:tcBorders/>
            <w:shd w:fill="CFF0FC" w:val="clear"/>
            <w:vAlign w:val="center"/>
          </w:tcPr>
          <w:p>
            <w:pPr>
              <w:pStyle w:val="TableContents"/>
              <w:bidi w:val="0"/>
              <w:spacing w:before="0" w:after="283"/>
              <w:ind w:left="0" w:right="0" w:firstLine="200"/>
              <w:jc w:val="left"/>
              <w:rPr/>
            </w:pPr>
            <w:r>
              <w:rPr/>
              <w:t> </w:t>
            </w:r>
          </w:p>
        </w:tc>
      </w:tr>
      <w:tr>
        <w:trPr/>
        <w:tc>
          <w:tcPr>
            <w:tcW w:w="1981" w:type="dxa"/>
            <w:tcBorders/>
            <w:shd w:fill="FFFFFF" w:val="cle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8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 December, 31, 2023</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1,572,358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December 31, 2023, the weighted average contractual life of options outstanding and vested was 1.8 years (2022: 2.4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18. Loss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loss per share is calculated by dividing the loss attributable for the year to ordinary equity holders of the Company by the weighted average number of ordinary shares outstanding during the year. Diluted loss per share is based on dividing the loss attributable for the year, adjusted for the effect of diluted ordinary shares, by ordinary share equivalents, which includes the weighted average number of ordinary shares outstanding and the effect of dilutive ordinary share equivalents.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5011"/>
        <w:gridCol w:w="146"/>
        <w:gridCol w:w="352"/>
        <w:gridCol w:w="1909"/>
        <w:gridCol w:w="166"/>
        <w:gridCol w:w="146"/>
        <w:gridCol w:w="352"/>
        <w:gridCol w:w="1909"/>
        <w:gridCol w:w="214"/>
      </w:tblGrid>
      <w:tr>
        <w:trPr/>
        <w:tc>
          <w:tcPr>
            <w:tcW w:w="5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9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48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per share amounts)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 except per share amounts)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FFFFFF" w:val="cle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1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shares used in computing net loss per share - basic and diluted</w:t>
            </w:r>
          </w:p>
        </w:tc>
        <w:tc>
          <w:tcPr>
            <w:tcW w:w="146" w:type="dxa"/>
            <w:tcBorders/>
            <w:shd w:fill="CFF0FC" w:val="cle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659,453,921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603,196,403</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tbl>
      <w:tblPr>
        <w:tblW w:w="9354" w:type="dxa"/>
        <w:jc w:val="left"/>
        <w:tblInd w:w="0" w:type="dxa"/>
        <w:tblLayout w:type="fixed"/>
        <w:tblCellMar>
          <w:top w:w="28" w:type="dxa"/>
          <w:left w:w="28" w:type="dxa"/>
          <w:bottom w:w="28" w:type="dxa"/>
          <w:right w:w="28" w:type="dxa"/>
        </w:tblCellMar>
      </w:tblPr>
      <w:tblGrid>
        <w:gridCol w:w="6256"/>
        <w:gridCol w:w="146"/>
        <w:gridCol w:w="146"/>
        <w:gridCol w:w="1036"/>
        <w:gridCol w:w="146"/>
        <w:gridCol w:w="146"/>
        <w:gridCol w:w="146"/>
        <w:gridCol w:w="1141"/>
        <w:gridCol w:w="191"/>
      </w:tblGrid>
      <w:tr>
        <w:trPr/>
        <w:tc>
          <w:tcPr>
            <w:tcW w:w="6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to purchase ordinary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54,751,240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38,864,740</w:t>
            </w:r>
          </w:p>
        </w:tc>
        <w:tc>
          <w:tcPr>
            <w:tcW w:w="1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2,446,125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color w:val="000000"/>
              </w:rPr>
            </w:pPr>
            <w:r>
              <w:rPr>
                <w:color w:val="000000"/>
              </w:rPr>
              <w:t>—</w:t>
            </w:r>
          </w:p>
        </w:tc>
        <w:tc>
          <w:tcPr>
            <w:tcW w:w="1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stock units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6,690,750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color w:val="000000"/>
              </w:rPr>
            </w:pPr>
            <w:r>
              <w:rPr>
                <w:color w:val="000000"/>
              </w:rPr>
              <w:t>—</w:t>
            </w:r>
          </w:p>
        </w:tc>
        <w:tc>
          <w:tcPr>
            <w:tcW w:w="1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loan notes (as converted to ordinary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15,657,825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17,010,137</w:t>
            </w:r>
          </w:p>
        </w:tc>
        <w:tc>
          <w:tcPr>
            <w:tcW w:w="191" w:type="dxa"/>
            <w:tcBorders/>
            <w:shd w:fill="FFFFFF" w:val="clear"/>
            <w:vAlign w:val="center"/>
          </w:tcPr>
          <w:p>
            <w:pPr>
              <w:pStyle w:val="TableContents"/>
              <w:bidi w:val="0"/>
              <w:spacing w:before="0" w:after="283"/>
              <w:jc w:val="left"/>
              <w:rPr/>
            </w:pPr>
            <w:r>
              <w:rPr/>
              <w:t> </w:t>
            </w:r>
          </w:p>
        </w:tc>
      </w:tr>
      <w:tr>
        <w:trPr/>
        <w:tc>
          <w:tcPr>
            <w:tcW w:w="625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loan notes - private placement (as converted to ordinary shares)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41,048,784</w:t>
            </w:r>
          </w:p>
        </w:tc>
        <w:tc>
          <w:tcPr>
            <w:tcW w:w="191" w:type="dxa"/>
            <w:tcBorders/>
            <w:shd w:fill="CFF0FC" w:val="clear"/>
            <w:vAlign w:val="center"/>
          </w:tcPr>
          <w:p>
            <w:pPr>
              <w:pStyle w:val="TableContents"/>
              <w:bidi w:val="0"/>
              <w:spacing w:before="0" w:after="283"/>
              <w:jc w:val="left"/>
              <w:rPr/>
            </w:pPr>
            <w:r>
              <w:rPr/>
              <w:t> </w:t>
            </w:r>
          </w:p>
        </w:tc>
      </w:tr>
      <w:tr>
        <w:trPr/>
        <w:tc>
          <w:tcPr>
            <w:tcW w:w="625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ordinary shares (as converted to ordinary shares)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2,487,816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147,431,351</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years ended December 31, 2023 and 2022, share options, restricted stock units, convertible loan notes and warrants were anti-dilutive as they would have decreased the loss per share and were excluded from the calculation of diluted loss per share. Therefore, the weighted average shares outstanding used to calculate both the basic and diluted loss per share was the same.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19.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 The Company’s exposure under these agreements is unknown because it involves claims that may be made against the Company in the future. To date, the Company has not paid any claims or been required to defend any action related to its indemnification obligations. However, the Company may record charges in the future as a result of these indemnification obligations. In accordance with the Articles of Association in force on December 31, 2023, the Company has indemnification obligations to its officers and directors for certain events or occurrences, subject to certain limits, while they are serving at the Company’s request in such capacity. There have been no claims to date, and the Company has directors and officers insurance that may enable it to recover a portion of any amounts paid for future potential claims.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Novartis Asset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issued to Novartis loan notes and agreed to make future payments to Novartis comprising amounts equal to ascending specified percentages of tiered annual worldwide net sales (beginning at high single digits and reaching into double digits at higher sales) of products that include the assets acquired. The levels of ascending percentages of tiered annual worldwide net sales are stipulated under the respective Purchase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further agreed that in the event it transfers, licenses, assigns or leases all or substantially all of its assets, it will pay Novartis a percentage of the proceeds of such transaction. The payment of a percentage of proceeds is not payable with respect to any transaction involving equity interests of Mereo BioPharma Group plc, a merger or consolidation of Mereo BioPharma Group plc, or a sale of any assets of Mereo BioPharma Group plc.</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License agreement with AstraZeneca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October 2017, the Company entered into an exclusive license and option agreement (“the License Agreement”), to obtain from AstraZeneca an exclusive worldwide, sub-licensable license under AstraZeneca’s intellectual property rights relating to alvelestat, with an option to acquire such intellectual property rights following commencement of a pivotal trial and payment of related milestone payments (“the Option”), together with the acquisition of certain related assets. Upon entering into the License Agreement, the Company made a payment of $3.0 million and issued 490,798 ordinary shares to AstraZeneca, for an aggregate upfront payment equal to $5.0 million. In connection with certain development and regulatory milestones, the Company has agreed to make payments of up to $115.5 million in the aggregate and issue additional ordinary shares to AstraZeneca for licensed products containing alvelestat. In addition, the Company has agreed to make payments to AstraZeneca based on specified commercial milestones of the product. The Company has also agreed to pay a specified percentage of sub-licensing revenue to AstraZeneca and to make royalty payments to AstraZeneca equal to ascending specified percentages of tiered annual worldwide net sales by the Company of licensed products (subject to certain reductions), ranging from the high single digits to low double digits. Royalties will be payable on a licensed-product-by-licensed-product and country-by-country basis until the later of ten years after the first commercial sale of such licensed product in such country and expiration of the last patent covering such licensed product in such country that would be sufficient to prevent generic entry. The Company has agreed to use commercially reasonable efforts to develop and commercialize at least one licensed product.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License Agreement will expire on the expiry of the last-to-expire royalty term with respect to all licensed products. Upon the expiration of the royalty term for a licensed product in a particular country, the licenses to the Company for such product in such country will become fully paid and irrevocable. Prior to exercise of the Option, if at all, the Company may terminate the License Agreement upon prior written notice. Either party may terminate the agreement upon prior written notice for the other party’s material breach that remains uncured for a specified period of time or insolvency.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enters into contracts in the normal course of business with CROs, CMOs and other third parties to assist in the performance of research and development activities and other services and products for operating purposes. The contracts with CROs generally provide for termination on notice, and therefore, are cancellable contracts and not included herein. The Company has manufacturing commitments with CMOs of $4.2 million as of December 31, 2023 (2022: $1.1 million).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From time to time, the Company may be a party to litigation or subject to claims incident to the ordinary course of business. The Company was not a party to any material litigation and did not have any material contingency reserves established for any liabilities as of December 31, 2023 and 2022.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20. Related party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years ended December 31, 2023 and 2022, there were no reportable related party transactions.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bookmarkStart w:id="42" w:name="mreo-ex4_2.htm"/>
      <w:bookmarkStart w:id="43" w:name="ksmreoex4_2"/>
      <w:bookmarkEnd w:id="42"/>
      <w:bookmarkEnd w:id="43"/>
      <w:r>
        <w:rPr/>
        <w:t> </w:t>
      </w:r>
      <w:r>
        <w:br w:type="page"/>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EXHIBIT 4.2</w:t>
        <w:br/>
        <w:br/>
        <w:t>DESCRIPTION OF THE REGISTRANT’S SECURITIES REGISTERED PURSUANT TO SECTION 12 OF THE SECURITIES EXCHANGE ACT OF 1934</w:t>
      </w:r>
    </w:p>
    <w:p>
      <w:pPr>
        <w:pStyle w:val="TextBody"/>
        <w:bidi w:val="0"/>
        <w:spacing w:before="200" w:after="200"/>
        <w:jc w:val="left"/>
        <w:rPr>
          <w:rFonts w:ascii="Times New Roman" w:hAnsi="Times New Roman"/>
          <w:i/>
          <w:color w:val="000000"/>
          <w:sz w:val="20"/>
        </w:rPr>
      </w:pPr>
      <w:r>
        <w:rPr>
          <w:rFonts w:ascii="Times New Roman" w:hAnsi="Times New Roman"/>
          <w:i/>
          <w:color w:val="000000"/>
          <w:sz w:val="20"/>
        </w:rPr>
        <w:t>The following is a description of the ordinary shares, par value £0.003 per share, of Mereo BioPharma Group plc (the “Company,” “we” or “us”) which are represented by American Depositary Shares (“ADSs”) with each ADS representing five of our ordinary shares registered under Section 12 of the Securities Exchange Act of 1934, as amended (the “Exchange Act”). This description also summarizes relevant provisions of English law. The following summary does not purport to be complete and is subject to, and is qualified in its entirety by reference to, the applicable provisions of English law and the Company’s articles of association, a copy of which is filed as Exhibit 1.1 to the Annual Report on Form 10-K of the Company for the fiscal year ended December 31, 2023. We encourage you to read the articles and the applicable provisions of English law for additional information.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were incorporated as a private limited company with the legal name Mereo BioPharma Group Limited under the laws of England and Wales on March 10, 2015 with the company number 09481161. On June 3, 2016, we re</w:t>
        <w:noBreakHyphen/>
        <w:t>registered as a public limited company with the legal name Mereo BioPharma Group plc. Our principal executive offices are located at 4th Floor, One Cavendish Place, London, W1G 0QF, United Kingdom. The principal legislation under which we operate and our ordinary shares are issued is the U.K. Companies Act 2006.</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Ordinary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summarizes the rights of holders of our ordinary shares: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each holder of our ordinary shares is entitled to one vote per ordinary share at a meeting of shareholders;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holders of the ordinary shares shall be entitled to receive notice of, attend, speak, and vote at our general meetings;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holders of our ordinary shares are entitled to receive such dividends as are recommended by our directors and declared by our shareholders.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Registered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are required by the U.K. Companies Act 2006 to keep a register of our shareholders. Under English law, the ordinary shares are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Link Asset Services.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Holders of our ADSs will not be treated as shareholders and their names will therefore not be entered in our share register. The depositary, the custodian or their nominees will be the holder of the ordinary shares underlying our ADSs. For discussion on our ADSs and ADS holder rights see “Description of American Depository Shares” in this Annual Report. Holders of our ADSs have a right to receive the ordinary shares underlying their ADSs as discussed in “Description of American Depository Shares” in this Annual Report.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Under the U.K. Companies Act 2006, we must enter an allotment of ordinary shares in our share register as soon as practicable and in any event within two months of the allotment. We will perform all procedures necessary to update the share register with the number of ordinary shares to be issued to the depositary upon the closing of any offering. We also are required by the U.K. Companies Act 2006 to register a transfer of ordinary shares (or give the transferee notice of and reasons for refusal as the transferee may reasonably request) as soon as practicable and in any event within two months of receiving notice of the transfer.</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any of our shareholders or any other affected person may apply to the court for rectification of the share register if:</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name of any person, without sufficient cause, is entered in or omitted from our register of members;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default is made or unnecessary delay takes place in entering on the register the fact of any person having ceased to be a member or on which we have a lien, provided that such refusal does not prevent dealings in the shares taking place on an open and proper basis.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Pre</w:t>
        <w:noBreakHyphen/>
        <w:t>emptive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English law generally provides shareholders with pre</w:t>
        <w:noBreakHyphen/>
        <w:t>emptive rights when new shares are issued for cash; however, it is possible for the articles of association, or shareholders by special resolution, to exclude pre</w:t>
        <w:noBreakHyphen/>
        <w:t>emptive rights. Such an exclusion of pre</w:t>
        <w:noBreakHyphen/>
        <w:t>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Articles of Association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following is a description of our Articles as at the date hereof.</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Shares and Rights Attaching to Them</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Objects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objects of our company are unrestricted.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Share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any special rights attaching to shares already in issue, our shares may be issued with or have attached to them any rights or restrictions as we may resolve by ordinary resolution of the shareholders or, failing such determination, as the board may determine.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Voting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Without prejudice to any special rights, privileges or restrictions as to voting rights attached to any shares forming part of our share capital from time to time, the voting rights attaching to shares are as follows: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a show of hands, every shareholder who (being an individual) is present in person and (being a corporation) is present by a duly authorized representative shall have one vote;</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 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on a poll every shareholder who is present in person or by proxy shall have one vote for each share of which he or she is the holder.</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At any general meeting a resolution put to the vote of the meeting shall be decided on a show of hands unless a poll is demanded. Subject to the provisions of the U.K. Companies Act 2006, a poll may be demanded by:</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chairman of the meeting;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directors;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two or more persons having the right to vote on the resolution;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person or persons representing not less than 10% of the total voting rights of all shareholders having the right to vote on the resolution.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Restrictions on Voting</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 shareholder shall (unless the Directors otherwise determine) be entitled to vote at any general meeting in respect of any share held by him or her unless all sums payable by him or her in respect of that share have been paid.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board may from time to time make calls upon the shareholders in respect of any money unpaid on their shares and each shareholder shall (subject to at least 14 days’ notice specifying when and how the payment is to be made) pay at the time or times so specified the amount called on his or her shares.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Dividends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may, subject to the provisions of the U.K. Companies Act 2006 and our Articles,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financial position but, if at any time, our share capital is divided into different classes the board may not pay such interim dividends in respect of those shares which confer on the holders thereof deferred or non</w:t>
        <w:noBreakHyphen/>
        <w:t>preferential rights with regard to dividends if, at the time of payment, any preferential dividend is in arrears.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 dividend or other moneys payable by us on or in respect of any share shall bear interest against us unless otherwise provided by the rights attached to the share or the provisions of another agreement between the shareholder and us. Any dividend unclaimed after a period of 12 years from the date such dividend became due for payment shall be forfeited and cease to remain owing.</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Dividends may be declared or paid in any currency and the board may decide the rate of exchange for any currency conversions that may be required, and how any costs involved are to be met, in relation to the currency of any dividend.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Any general meeting declaring a dividend may by ordinary resolution of shareholders, upon the recommendation of the board, direct payment or satisfaction of such dividend wholly or in part by the distribution of non</w:t>
        <w:noBreakHyphen/>
        <w:t>cash assets of equivalent value, including shares or other securities in any company.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directors may, if authorized by an ordinary resolution of shareholders, offer any holders of ordinary shares the right to elect to receive in lieu of a dividend, or part of a dividend, an allotment of ordinary shares credited as fully paid up.</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Change of Control</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There is no specific provision in our Articles that would have the effect of delaying, deferring, or preventing a change of control.</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Distributions on Winding Up</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we are in liquidation, the liquidator may, if authorized by a special resolution of shareholders and any other authority required at law, divide among shareholders (excluding us to the extent we are a shareholder by virtue only of holding treasury shares) in specie or in kind the whole or any part of our assets (whether or not the assets consist of property of one kind or consist of properties of different kinds and the liquidator may for such purpose set such value as the liquidator deems fair upon any one or more class or classes of property and may determine how such division shall be carried out as between the shareholders or different classes of shareholders), or vest the whole or any part of such assets in trustees upon such trusts for the benefit of the shareholders as the liquidator determines (and our liquidation may be closed and we may be dissolved), but no shareholder shall be compelled to accept any shares or other assets upon which there is any liability.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Variation of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All or any of the rights and privileges attached to any class of shares issued may be varied or abrogated only with the consent in writing of the holders of not less than three</w:t>
        <w:noBreakHyphen/>
        <w:t>fourths in nominal value of the issued shares of that class (excluding any shares held as treasury shares) or by special resolution passed at a separate general meeting of the holders of such shares, subject to the other provisions of the U.K. Companies Act 2006 and the terms of their issue. The U.K. Companies Act 2006 also provides a right to object to the variation of the share capital by the shareholders who did not vote in favor of the variation. Should 15% or more of the shareholders of the issued shares in question apply to the court to have the variation cancelled, the variation shall have no effect unless and until it is confirmed by the court.</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Alteration to Share Capital</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may, by ordinary resolution of shareholders, consolidate all or any of our share capital into shares of larger amount than our existing shares, or sub</w:t>
        <w:noBreakHyphen/>
        <w:t>divide our shares or any of them into shares of a smaller amount. We may, by special resolution of shareholders, confirmed by the court, reduce our share capital or any capital redemption reserve or any share premium account in any manner authorized by the U.K. Companies Act 2006. We may redeem or purchase all or any of our shares as described in “—Other U.K. Law Considerations–Purchase of Own Shares”.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Preemption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certain circumstances, our shareholders may have statutory preemption rights under the U.K. Companies Act 2006 in respect of the allotment of new shares as described in “—Pre</w:t>
        <w:noBreakHyphen/>
        <w:t>emptive Rights”.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Transfer of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Any shareholder holding shares in certificated form may transfer all or any of his or her shares by an instrument of transfer in any usual form or any other form approved by the board. Any written instrument of transfer shall be signed by or on behalf of the transferor and (in the case of a partly paid share) the transferee.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the case of uncertificated shares, the directors may take such action as they consider appropriate to achieve a transfer. The Uncertificated Securities Regulations 2001 permit shares to be issued and held in uncertificated form and transferred by means of a computer based system.</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board may decline to register any transfer of any share:</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which is not a fully paid share;</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where the transfer is not lodged at our registered office or such other place as the directors have appointed;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where the transfer is not accompanied by the share certificate to which it relates, or such other evidence as the board may reasonably require to show the transferor’s right to make the transfer, or evidence of the right of someone other than the transferor to make the transfer on the transferor’s behalf;</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where the transfer is in respect of more than one class of share; and</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where the number of joint holders to whom the share is to be transferred exceeds four.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the board declines to register a transfer, it must return to the transferee the instrument of transfer together with notice of the refusal, unless the board suspects that the proposed transfer may be fraudulent.</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Shareholder Meetings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Annual General Meetings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accordance with the U.K.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U.K. Companies Act 2006.</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Notice of General Meetings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Under the U.K. Companies Act 2006, 21 clear days’ notice must be given for an annual general meeting and any resolutions to be proposed at that meeting. At least 14 clear days’ notice is required for any other general meeting.</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the notice requirements of the U.K. Companies Act 2006, a general meeting of our shareholders may be called by the board whenever and at such times and places as it shall determine. A general meeting may also be convened by the board on the requisition of two or more shareholders who hold at least 5% of our paid</w:t>
        <w:noBreakHyphen/>
        <w:t>up capital carrying voting rights at a general meeting.</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Quorum of General Meetings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No business, other than the appointment of the chair of the meeting, shall be transacted at any general meeting unless a quorum is present. Subject to the paragraph below, at least two shareholders present in person or by proxy and entitled to vote shall be a quorum for all purposes.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and for so long as we are subject to the rules and requirements of a securities exchange and such securities exchange requires us to have a quorum for general meetings then, in addition to the requisite quorum requirement stated in the preceding paragraph, in order for such general meeting to be quorate at least 33 1/3 per cent. of our issued and outstanding ordinary shares (or such other amount as may be specified by such rules and requirements) must be present at such general meeting, whether represented in person (including, in the case of a corporate shareholder, by duly authorized representative) or by duly appointed proxy.</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Class Meetings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provisions in the Articles relating to general meetings apply to every separate general meeting of the holders of a class of shares.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Directors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Number of Directors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may not have less than two directors on the Board and not more than ten. We may, by ordinary resolution of the shareholders, vary the minimum and maximum number of directors from time to time.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Appointment of Directors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the provisions of the Articles, we may, by ordinary resolution of the shareholders or a decision of the directors, elect any person to be a director, either to fill a casual vacancy or as an addition to the existing board, provided the total number of directors does not exceed the maximum number fixed by or in accordance with the Articles. However, any person that is not a director retiring from the existing board must be recommended by the board or the person must have confirmed in writing to us their willingness to be elected as a director not later than seven days before the general meeting at which the relevant resolution is proposed.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Any director appointed by the board will hold office only until the next following annual general meeting at which they must retire. In addition, all directors must retire at the third annual general meeting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following the annual general meeting at which such director was elected or last re</w:t>
        <w:noBreakHyphen/>
        <w:t>elected. Such directors are eligible for re</w:t>
        <w:noBreakHyphen/>
        <w:t>election at the annual general meeting at which they retire.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shareholders may, at the meeting at which a director retires, fill the vacated office by electing a person and in default the retiring director shall, if willing to continue to act, be deemed to have been re</w:t>
        <w:noBreakHyphen/>
        <w:t>elected, unless at such meeting it is expressly resolved not to fill such vacated office or unless a resolution for the re</w:t>
        <w:noBreakHyphen/>
        <w:t>election of such director shall have been put to the meeting and lost.</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Other U.K. Law Considerations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Mandatory Purchases and Acquisitions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Pursuant to Sections 979 to 991 of the U.K.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or she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compulsory acquisition of the minority shareholders’ shares can be completed at the end of six weeks from the date the notice has been given, subject to the minority shareholders failing to successfully lodge an application to the court to prevent such compulsory acquisition any time prior to the end of those six weeks following which the offeror can execute a transfer of the outstanding shares in its favor and pay the consideration to us, which would hold the consideration on trust for the outstanding minority shareholders. The consideration offered to the outstanding minority shareholders whose shares are compulsorily acquired under the U.K. Companies Act 2006 must, in general, be the same as the consideration that was available under the takeover offer.</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Sell Out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U.K.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or her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or her rights to be bought out, the offeror is required to acquire those shares on the terms of this offer or on such other terms as may be agreed.</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Disclosure of Interest in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Pursuant to Part 22 of the U.K. Companies Act 2006, we are empowered to give notice in writing to any person whom we know or have reasonable cause to believe to be interested in our shares, or to have been so interested at any time during the three years immediately preceding the date on which the notice is issued requiring such persons, within a reasonable time to disclose to us particulars of that person’s interest and (so far as is within his or her knowledge) particulars of any other interest that subsists or subsisted in those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Under our Articles, if a person defaults in supplying us with the required particulars in relation to the shares in question (“default shares”), within the prescribed period, the directors may by notice direct that: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respect of the default shares, the relevant shareholder shall not be entitled to vote (either in person or by proxy) at any general meeting or to exercise any other right conferred by a shareholding in relation to general meetings; and/or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where the default shares represent at least 0.25% of their class, (a) any dividend or other money payable in respect of the default shares shall be retained by us without liability to pay interest and/or (b) no transfers by the relevant shareholder of any default shares may be registered (unless the shareholder himself is not in default and the shareholder provides a certificate, in a form satisfactory to the directors, to the effect that after due and careful enquiry the shareholder is satisfied that none of the shares to be transferred are default shares); and/or (c) any shares held by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relevant shareholder in uncertificated form shall be converted into certificated form and that shareholder shall not after that be entitled to convert all or any shares held by him or her into uncertificated form (except with the authority of the directors) (unless the shareholder himself is not in default and the shares which the shareholder wishes to convert are part only of the shareholder’s holding and the shareholder provides a certificate, in a form satisfactory to the directors, to the effect that after due and careful enquiry the shareholder is satisfied that none of the shares to be converted into uncertificated form are default shares).</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Purchase of Own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Subject to the above, we may purchase our own shares in the manner prescribed below. We may make a market purchase on a “recognised investment exchange” of our own fully paid shares pursuant to an ordinary resolution of shareholders. The resolution authorizing the purchase must: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specify the maximum number of shares authorized to be acquired;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determine the maximum and minimum prices that may be paid for the shares;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specify a date, not being later than five years after the passing of the resolution, on which the authority to purchase is to expire.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Nasdaq Capital Market is not a “recognised investment exchange” on which we may make market purchases.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may purchase our own fully paid shares otherwise than on a “recognised 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or she had not done so. The resolution authorizing the purchase must specify a date, not being later than five years after the passing of the resolution, on which the authority to purchase is to expire.</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Distributions and Dividends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Under the U.K. Companies Act 2006, before a company can lawfully make a distribution or dividend, it must ensure that it has sufficient distributable reserves (on a non</w:t>
        <w:noBreakHyphen/>
        <w:t>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at the time that the distribution is made, the amount of its net assets (that is, the total excess of assets over liabilities) is not less than the total of its called up share capital and undistributable reserves;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and to the extent that, the distribution itself, at the time that it is made, does not reduce the amount of the net assets to less than that total.</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City Code on Takeovers and Mergers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Following the cancellation of admission of our ordinary shares to trading on the AIM market of London Stock Exchange plc on December 18, 2020, the U.K. Panel on Takeovers and Mergers (the “Panel”) confirmed to us that the U.K. City Code on Takeovers and Mergers (the “City Code”) will not apply to us, and we and our shareholders will therefore not have the benefit of the protections the City Code affords, including, but not limited to, the requirement that a person who acquires an interest in our ordinary shares carrying 30% or more of our voting rights must make a cash offer to all other shareholders at the highest price paid in the 12 months before the offer was announced.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Notwithstanding the above, we may become subject to the City Code in the future if any changes to the Board composition result in the majority of the Directors being resident in the United Kingdom, Channel Islands or the Isle of Man.</w:t>
      </w:r>
    </w:p>
    <w:p>
      <w:pPr>
        <w:pStyle w:val="TextBody"/>
        <w:bidi w:val="0"/>
        <w:spacing w:before="200" w:after="283"/>
        <w:jc w:val="left"/>
        <w:rPr>
          <w:rFonts w:ascii="Times New Roman" w:hAnsi="Times New Roman"/>
          <w:i/>
          <w:color w:val="000000"/>
          <w:sz w:val="20"/>
        </w:rPr>
      </w:pPr>
      <w:r>
        <w:rPr>
          <w:rFonts w:ascii="Times New Roman" w:hAnsi="Times New Roman"/>
          <w:i/>
          <w:color w:val="000000"/>
          <w:sz w:val="20"/>
        </w:rPr>
        <w:t>Exchange Controls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There are no governmental laws, decrees, regulations or other legislation in the United Kingdom that may affect the import or export of capital, including the availability of cash and cash equivalents for use by us, or that may affect the remittance of dividends, interest, or other payments by us to non</w:t>
        <w:noBreakHyphen/>
        <w:t>resident holders of our ordinary shares or ADSs, other than withholding tax requirements. There is no limitation imposed by English law or in the Articles on the right of non</w:t>
        <w:noBreakHyphen/>
        <w:t>residents to hold or vote shares.</w:t>
      </w:r>
    </w:p>
    <w:p>
      <w:pPr>
        <w:pStyle w:val="TextBody"/>
        <w:bidi w:val="0"/>
        <w:spacing w:before="200" w:after="200"/>
        <w:jc w:val="center"/>
        <w:rPr>
          <w:rFonts w:ascii="Times New Roman" w:hAnsi="Times New Roman"/>
          <w:b/>
          <w:color w:val="000000"/>
          <w:sz w:val="20"/>
        </w:rPr>
      </w:pPr>
      <w:r>
        <w:rPr>
          <w:rFonts w:ascii="Times New Roman" w:hAnsi="Times New Roman"/>
          <w:b/>
          <w:color w:val="000000"/>
          <w:sz w:val="20"/>
        </w:rPr>
        <w:t>DESCRIPTION OF AMERICAN DEPOSITARY SHARES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American Depositary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Citibank, N.A. (“Citibank”) acts as the depositary for the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(“ADRs”). The depositary typically appoints a custodian to safekeep the securities on deposit. In this case, the custodian is Citibank, N.A., London Branch, located at 25 Canada Square, Canary Wharf, London, E14 5LB, United Kingdom.</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We have appointed Citibank as depositary pursuant to a deposit agreement. A copy of the deposit agreement is on file with the SEC under cover of a registration statement on Form F-6. A copy of the deposit agreement is available from the SEC’s website (www.sec.gov). Please refer to registration number 333-223890, 333-249338 and 333-258824 when retrieving such copy. “Holder” means the person or persons in whose name an ADS is registered on the register maintained by the depository for such purpose. </w:t>
      </w:r>
    </w:p>
    <w:p>
      <w:pPr>
        <w:pStyle w:val="TextBody"/>
        <w:bidi w:val="0"/>
        <w:spacing w:before="200" w:after="200"/>
        <w:jc w:val="left"/>
        <w:rPr>
          <w:rFonts w:ascii="Times New Roman" w:hAnsi="Times New Roman"/>
          <w:sz w:val="20"/>
        </w:rPr>
      </w:pPr>
      <w:r>
        <w:rPr>
          <w:rFonts w:ascii="Times New Roman" w:hAnsi="Times New Roman"/>
          <w:color w:val="000000"/>
          <w:sz w:val="20"/>
        </w:rPr>
        <w:t xml:space="preserve">We are providing you with a summary description of the material terms of the ADSs and of your material rights as an owner of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t>
      </w:r>
      <w:r>
        <w:rPr>
          <w:rFonts w:ascii="Times New Roman" w:hAnsi="Times New Roman"/>
          <w:i/>
          <w:color w:val="000000"/>
          <w:sz w:val="20"/>
        </w:rPr>
        <w:t>The portions of this summary description that are italicized describe matters that may be relevant to the ownership of ADSs but that may not be contained in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Each ADS represents the right to receive, and to exercise the beneficial ownership interests in, five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 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and the depositary (on behalf of the owners of the corresponding ADSs) directly, or indirectly, through the custodian or their respective nominees, in each case upon the terms of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addition, applicable laws and regulations may require you to satisfy reporting requirements and obtain regulatory approvals in certain circumstances. You are solely responsible for complying with such reporting requirements and obtaining such approvals. None of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manner in which you own the ADSs (e.g., in a brokerage account vs. as registered holder, or as holder of certificated vs. uncertificated ADSs) may affect your rights and obligations, and the manner in which, and extent to which, the depositary’s services are made available to you. 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direct registration system reflects the uncertificated (book-entry) registration of ownership of ADSs by the depositary. Under the direct registration system, ownership of ADSs is evidenced by periodic statements issued by the depositary to the holders of the ADSs. The direct registration system includes automated transfers between the depositary and DTC, the central book-entry clearing and settlement system for equity securities in the United States. If you decide to hold your ADSs through your brokerage or safekeeping account, you must rely on the procedures of your broker or bank to assert your rights as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pStyle w:val="TextBody"/>
        <w:bidi w:val="0"/>
        <w:spacing w:before="200" w:after="20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Dividends and Other Distributions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Holders generally have the right to receive the distributions we make on the securities deposited with the custodian. A Holder’s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deduction the applicable fees, taxes, and expenses.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Distributions of Cash</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make a cash distribution for the securities on deposit with the custodian, we will deposit the funds with the custodian. Upon receipt of confirmation of the deposit of the requisite funds, the depositary will arrange for the funds received in a currency other than U.S. dollars to be converted into U.S. dollars and for the distribution of the U.S. dollars to the holders, subject to the laws and regulations of England and Wales.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securities on deposit.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Distributions of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make a free distribution of ordinary shares for the securities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a Holder holds will represent rights and interests in the additional ordinary shares so deposited. Only whole new ADSs will be distributed. Fractional entitlements will be sold and the proceeds of such sale will be distributed as in the case of a cash distribution.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 such distribution of new ADSs will be made if it would violate a law (e.g.,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Distributions of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intend to distribute rights to subscribe for additional ordinary shares, we will give prior notice to the depositary and we will assist the depositary in determining whether it is lawful and reasonably practicable to distribute rights to purchase additional ADSs to holders.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Holders may have to pay fees, expenses, taxes and other governmental charges to subscribe for the new ADSs upon the exercise of a Holder’s rights. The depositary is not obligated to establish procedures to facilitate the distribution and exercise by holders of rights to subscribe for new ordinary shares other than in the form of ADSs.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not distribute the rights to a Holder if:</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we do not timely request that the rights be distributed to such Holder or we request that the rights not be distributed to such Holder; or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fail to deliver satisfactory documents to the depositary;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it is not reasonably practicable to distribute the rights. 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Elective Distributions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intend to distribute a dividend payable at the election of shareholders either in cash or in additional shares, we will give prior notice thereof to the depositary and will indicate whether we wish the elective distribution to be made available to a Holder. In such case, we will assist the depositary in determining whether such distribution is lawful and reasonably practicable.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make the election available to a Holder only if it is reasonably practicable and if we have provided all of the documentation contemplated in the deposit agreement. In such case, the depositary will establish procedures to enable such Holder to elect to receive either cash or additional ADSs, in each case as described in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the election is not made available to a Holder, such Holder will receive either cash or additional ADSs, depending on what a shareholder in England and Wales would receive upon failing to make an election, as more fully described in the deposit agreement.</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Other Distributions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intend to distribute property other than cash, ordinary shares, or rights to purchase additional ordinary shares, we will notify the depositary in advance and will indicate whether we wish such distribution to be made to a Holder. If so, we will assist the depositary in determining whether such distribution to holders is lawful and reasonably practicable.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it is reasonably practicable to distribute such property to a Holder and if we provide to the depositary all of the documentation contemplated in the deposit agreement, the depositary will distribute the property to the holders in a manner it deems practicable.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distribution will be made net of fees, expenses, taxes, and governmental charges payable by holders under the terms of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order to pay such taxes and governmental charges, the depositary may sell all or a portion of the property received.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not distribute the property to a Holder and will sell the property if:</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do not request that the property be distributed to such Holder or if we request that the property not be distributed to such Holder;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do not deliver satisfactory documents to the depositary; 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determines that all or a portion of the distribution to such Holder is not reasonably practicable. The proceeds of such a sale will be distributed to holders as in the case of a cash distribution.</w:t>
      </w:r>
    </w:p>
    <w:p>
      <w:pPr>
        <w:pStyle w:val="TextBody"/>
        <w:bidi w:val="0"/>
        <w:spacing w:before="200" w:after="200"/>
        <w:jc w:val="left"/>
        <w:rPr>
          <w:rFonts w:ascii="Times New Roman" w:hAnsi="Times New Roman"/>
          <w:b/>
          <w:i/>
          <w:color w:val="000000"/>
          <w:sz w:val="20"/>
        </w:rPr>
      </w:pPr>
      <w:r>
        <w:rPr>
          <w:rFonts w:ascii="Times New Roman" w:hAnsi="Times New Roman"/>
          <w:b/>
          <w:i/>
          <w:color w:val="000000"/>
          <w:sz w:val="20"/>
        </w:rPr>
        <w:t>Redemption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Whenever we decide to redeem any of the securities on deposit with the custodian, we will notify the depositary in advance. If it is practicable and if we provide all of the documentation contemplated in the deposit agreement, the depositary will provide notice of the redemption to the holders.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custodian will be instructed to surrender the shares being redeemed against payment of the applicable redemption price. The depositary will convert into U.S. dollars upon the terms of the deposit agreement the redemption funds received in a currency other than U.S. dollars and will establish procedures to enable holders to receive the net proceeds from the redemption upon surrender of their ADSs to the depositary. A Holder may have to pay fees, expenses, taxes, and other governmental charges upon the redemption of such Holder’s ADSs. If less than all ADSs are being redeemed, the ADSs to be retired will be selected by lot or on a pro rata basis, as the depositary may determine.</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Changes Affecting Ordinary Shares</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ordinary shares held on deposit for a Holder’s ADSs may change from time to time. For example, there may be a change in nominal (or par) value, split-up, cancellation, consolidation, or any other reclassification of such ordinary shares or a recapitalization, reorganization, merger, consolidation, or sale of assets of ours.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any such change were to occur, such Holder’s ADSs would, to the extent permitted by law and the deposit agreement, represent the right to receive the property received or exchanged in respect of the ordinary shares held on deposit. The depositary may in such circumstances deliver new ADSs to a Holder, amend the deposit agreement, the ADRs and the applicable registration statement(s) on Form F-6, call for the exchange of such Holder’s existing ADSs for new ADSs and take any other actions that are appropriate to reflect as to the ADSs the change affecting the Shares. If the depositary may not lawfully distribute such property to a Holder, the depositary may sell such property and distribute the net proceeds to such Holder as in the case of a cash distribution.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Issuance of ADSs upon Deposit of Ordinary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may create ADSs on a Holder’s behalf if such Holder or such Holder’s broker deposit ordinary shares with the custodian. The depositary will deliver these ADSs to the person a Holder indicates only after such Holder pays any applicable issuance fees and any charges and taxes payable for the transfer of the ordinary shares to the custodian. A Holder’s ability to deposit ordinary shares and receive ADSs may be limited by the legal considerations in the United States and England and Wales applicable at the time of deposit.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When a Holder makes a deposit of ordinary shares, such Holder will be responsible for transferring good and valid title to the depositary. As such, a Holder will be deemed to represent and warrant that: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ordinary shares are duly authorized, validly allotted and issued, fully paid, not subject to any call for the payment of further capital, and legally obtained;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all pre-emptive (and similar) rights, if any, with respect to such ordinary shares have been validly waived, disapplied or exercised;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such Holder is duly authorized to deposit the ordinary shares;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ordinary shares presented for deposit have not been stripped of any rights or entitlements.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any of the representations or warranties is incorrect in any way, we and the depositary may, at such Holder’s cost and expense, take any and all actions necessary to correct the consequences of the misrepresentation.</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Transfer, Combination and Split Up of ADRs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ADR holders will be entitled to transfer, combine, or split up such Holder’s ADRs and the ADSs evidenced thereby. For transfers of ADRs, a Holder will have to surrender the ADRs to be transferred to the depositary and also must: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ensure that the surrendered ADR is properly endorsed or otherwise in proper form for transfer;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provide such proof of identity and genuineness of signatures as the depositary deems appropriate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provide any transfer stamps required by the State of New York or the United States;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pay all applicable fees, charges, expenses, taxes, and other government charges payable by ADR holders pursuant to the terms of the deposit agreement, upon the transfer of ADRs.</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To have a Holder’s ADRs either combined or split up, such Holder must surrender the ADRs in question to the depositary with such Holder’s request to have them combined or split up, and such Holder must pay all applicable fees, charges, and expenses payable by ADR holders, pursuant to the terms of the deposit agreement, upon a combination or split up of ADRs.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Withdrawal of Ordinary Shares Upon Cancellation of ADSs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Holder will be entitled to present such Holder’s ADSs to the depositary for cancellation and then receive the corresponding number of underlying ordinary shares at the custodian’s offices. A Holder’s ability to withdraw the ordinary shares held in respect of the ADSs may be limited by the legal considerations in the United States and England and Wales applicable at the time of withdrawal. In order to withdraw the ordinary shares represented by a Holder’s ADSs, such Holder will be required to pay to the depositary the fees for cancellation of ADSs and any charges and taxes payable upon the transfer of the ordinary shares.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Holder assumes the risk for delivery of all funds and securities upon withdrawal. Once canceled, the ADSs will not have any rights under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a Holder holds ADSs registered in such Holder’s name, the depositary may ask such Holder to provide proof of identity and genuineness of any signature and such other documents as the depositary may deem appropriate before it will cancel such Holder’s ADSs. The withdrawal of the ordinary shares represented by such Holder’s ADSs may be delayed until the depositary receives satisfactory evidence of compliance with all applicable laws and regulations. Please keep in mind that the depositary will only accept ADSs for cancellation that represent a whole number of securities on deposit.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Holder will have the right to withdraw the securities represented by such Holder’s ADSs at any time except for: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temporary delays that may arise because (i) the transfer books for the ordinary shares or ADSs are closed, or (ii) ordinary shares are immobilized on account of a shareholders’ meeting or a payment of dividends;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obligations to pay fees, taxes, and similar charges; and/or</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restrictions imposed because of laws or regulations applicable to ADSs or the withdrawal of securities on deposit.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 agreement may not be modified to impair a Holder right to withdraw the securities represented by such Holder’s ADSs except to comply with mandatory provisions of law.</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Voting Rights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Holder generally has the right under the deposit agreement to instruct the depositary to exercise the voting rights for the ordinary shares represented by such Holder’s ADSs. The voting rights of holders of ordinary shares are described in “Description of Share Capital and Articles of Association-Articles of Association” in this Annual Report.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At our request, the depositary will distribute to a Holder any notice of shareholders’ meeting received from us together with information explaining how to instruct the depositary to exercise the voting rights of the securities represented by ADSs.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the depositary timely receives voting instructions from a holder of ADSs, it will endeavor to vote the securities (in person or by proxy) represented by the holder’s ADSs as follows: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Times New Roman" w:hAnsi="Times New Roman"/>
          <w:i/>
          <w:color w:val="000000"/>
          <w:sz w:val="20"/>
        </w:rPr>
        <w:t>In the event of voting by show of hands</w:t>
      </w:r>
      <w:r>
        <w:rPr>
          <w:rFonts w:ascii="Times New Roman" w:hAnsi="Times New Roman"/>
          <w:color w:val="000000"/>
          <w:sz w:val="20"/>
        </w:rPr>
        <w:t>, the depositary will vote (or cause the custodian to vote) all ordinary held on deposit at that time in accordance with the voting instructions received from a majority of holders of ADSs who provide timely voting instructions.</w:t>
      </w:r>
    </w:p>
    <w:p>
      <w:pPr>
        <w:pStyle w:val="TextBody"/>
        <w:bidi w:val="0"/>
        <w:spacing w:before="200" w:after="200"/>
        <w:jc w:val="left"/>
        <w:rPr>
          <w:color w:val="000000"/>
        </w:rPr>
      </w:pPr>
      <w:r>
        <w:rPr>
          <w:color w:val="000000"/>
        </w:rPr>
        <w:t>•</w:t>
      </w:r>
    </w:p>
    <w:p>
      <w:pPr>
        <w:pStyle w:val="TextBody"/>
        <w:bidi w:val="0"/>
        <w:spacing w:before="200" w:after="200"/>
        <w:jc w:val="left"/>
        <w:rPr/>
      </w:pPr>
      <w:r>
        <w:rPr>
          <w:rFonts w:ascii="Times New Roman" w:hAnsi="Times New Roman"/>
          <w:i/>
          <w:color w:val="000000"/>
          <w:sz w:val="20"/>
        </w:rPr>
        <w:t>In the event of voting by poll</w:t>
      </w:r>
      <w:r>
        <w:rPr>
          <w:rFonts w:ascii="Times New Roman" w:hAnsi="Times New Roman"/>
          <w:color w:val="000000"/>
          <w:sz w:val="20"/>
        </w:rPr>
        <w:t xml:space="preserve">, the depositary will vote (or cause the custodian to vote) the ordinary shares held on deposit in accordance with the voting instructions received from the holders of ADSs. The depositary will give a discretionary proxy to a person designated by us to vote any ordinary shares held on deposit for which voting instructions were not received from the holders of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ADSs, unless we inform the depositary that (a) we do not wish such proxy to be given, (b) substantial opposition exists, or (c) the rights of holders of ADSs may be adversely affected.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Securities for which no voting instructions have been received will not be voted (except as otherwise contemplated in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Please note that the ability of the depositary to carry out voting instructions may be limited by practical and legal limitations and the terms of the securities on deposit. We cannot assure a Holder that such Holder will receive voting materials in time to enable such Holder to return voting instructions to the depositary in a timely manner.</w:t>
      </w:r>
    </w:p>
    <w:p>
      <w:pPr>
        <w:pStyle w:val="TextBody"/>
        <w:bidi w:val="0"/>
        <w:spacing w:before="200" w:after="20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Fees and Charges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ADS holders will be required to pay the following fees under the terms of the deposit agreement:</w:t>
      </w:r>
    </w:p>
    <w:tbl>
      <w:tblPr>
        <w:tblW w:w="10205" w:type="dxa"/>
        <w:jc w:val="left"/>
        <w:tblInd w:w="0" w:type="dxa"/>
        <w:tblLayout w:type="fixed"/>
        <w:tblCellMar>
          <w:top w:w="28" w:type="dxa"/>
          <w:left w:w="28" w:type="dxa"/>
          <w:bottom w:w="28" w:type="dxa"/>
          <w:right w:w="28" w:type="dxa"/>
        </w:tblCellMar>
      </w:tblPr>
      <w:tblGrid>
        <w:gridCol w:w="6577"/>
        <w:gridCol w:w="3628"/>
      </w:tblGrid>
      <w:tr>
        <w:trPr/>
        <w:tc>
          <w:tcPr>
            <w:tcW w:w="6577" w:type="dxa"/>
            <w:tcBorders/>
            <w:vAlign w:val="center"/>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6577" w:type="dxa"/>
            <w:tcBorders/>
            <w:shd w:fill="FFFFFF" w:val="clear"/>
            <w:vAlign w:val="center"/>
          </w:tcPr>
          <w:p>
            <w:pPr>
              <w:pStyle w:val="TableContents"/>
              <w:bidi w:val="0"/>
              <w:spacing w:before="200" w:after="200"/>
              <w:jc w:val="left"/>
              <w:rPr>
                <w:rFonts w:ascii="Times New Roman" w:hAnsi="Times New Roman"/>
                <w:b/>
                <w:color w:val="000000"/>
                <w:sz w:val="20"/>
                <w:u w:val="single"/>
              </w:rPr>
            </w:pPr>
            <w:r>
              <w:rPr>
                <w:rFonts w:ascii="Times New Roman" w:hAnsi="Times New Roman"/>
                <w:b/>
                <w:color w:val="000000"/>
                <w:sz w:val="20"/>
                <w:u w:val="single"/>
              </w:rPr>
              <w:t>Service</w:t>
            </w:r>
          </w:p>
        </w:tc>
        <w:tc>
          <w:tcPr>
            <w:tcW w:w="3628" w:type="dxa"/>
            <w:tcBorders>
              <w:bottom w:val="single" w:sz="8" w:space="0" w:color="000000"/>
            </w:tcBorders>
            <w:shd w:fill="FFFFFF" w:val="clear"/>
            <w:tcMar>
              <w:top w:w="0" w:type="dxa"/>
              <w:left w:w="0" w:type="dxa"/>
              <w:right w:w="0" w:type="dxa"/>
            </w:tcMar>
            <w:vAlign w:val="center"/>
          </w:tcPr>
          <w:p>
            <w:pPr>
              <w:pStyle w:val="TableContents"/>
              <w:bidi w:val="0"/>
              <w:spacing w:before="200" w:after="200"/>
              <w:jc w:val="center"/>
              <w:rPr>
                <w:rFonts w:ascii="Times New Roman" w:hAnsi="Times New Roman"/>
                <w:b/>
                <w:color w:val="000000"/>
                <w:sz w:val="20"/>
              </w:rPr>
            </w:pPr>
            <w:r>
              <w:rPr>
                <w:rFonts w:ascii="Times New Roman" w:hAnsi="Times New Roman"/>
                <w:b/>
                <w:color w:val="000000"/>
                <w:sz w:val="20"/>
              </w:rPr>
              <w:t>Fee</w:t>
            </w:r>
          </w:p>
        </w:tc>
      </w:tr>
      <w:tr>
        <w:trPr/>
        <w:tc>
          <w:tcPr>
            <w:tcW w:w="6577"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Issuance of ADSs (e.g., an issuance of ADS upon a deposit of ordinary shares, upon a change in the ADS(s)-to-ordinary share ratio, or for any other reason), excluding ADS issuances as a result of distributions of ordinary Shares</w:t>
            </w:r>
          </w:p>
        </w:tc>
        <w:tc>
          <w:tcPr>
            <w:tcW w:w="3628"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issued</w:t>
            </w:r>
          </w:p>
        </w:tc>
      </w:tr>
      <w:tr>
        <w:trPr/>
        <w:tc>
          <w:tcPr>
            <w:tcW w:w="6577"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Cancellation of ADSs (e.g., a cancellation of ADSs for delivery of deposited property, upon a change in the ADS(s)-to-ordinary share ratio, or for any other reason)</w:t>
            </w:r>
          </w:p>
        </w:tc>
        <w:tc>
          <w:tcPr>
            <w:tcW w:w="3628"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cancelled</w:t>
            </w:r>
          </w:p>
        </w:tc>
      </w:tr>
      <w:tr>
        <w:trPr/>
        <w:tc>
          <w:tcPr>
            <w:tcW w:w="6577"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Distribution of cash dividends or other cash distributions (e.g., upon a sale of rights and other entitlements)</w:t>
            </w:r>
          </w:p>
        </w:tc>
        <w:tc>
          <w:tcPr>
            <w:tcW w:w="3628"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held</w:t>
            </w:r>
          </w:p>
        </w:tc>
      </w:tr>
      <w:tr>
        <w:trPr/>
        <w:tc>
          <w:tcPr>
            <w:tcW w:w="6577"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Distribution of ADSs pursuant to (i) stock dividends or other free stock distributions, or (ii) exercise of rights to purchase additional ADSs</w:t>
            </w:r>
          </w:p>
        </w:tc>
        <w:tc>
          <w:tcPr>
            <w:tcW w:w="3628"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held</w:t>
            </w:r>
          </w:p>
        </w:tc>
      </w:tr>
      <w:tr>
        <w:trPr/>
        <w:tc>
          <w:tcPr>
            <w:tcW w:w="6577"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Distribution of securities other than ADSs or rights to purchase additional ADSs (e.g., upon a spin-off)</w:t>
            </w:r>
          </w:p>
        </w:tc>
        <w:tc>
          <w:tcPr>
            <w:tcW w:w="3628"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held</w:t>
            </w:r>
          </w:p>
        </w:tc>
      </w:tr>
      <w:tr>
        <w:trPr/>
        <w:tc>
          <w:tcPr>
            <w:tcW w:w="6577"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ADS Services</w:t>
            </w:r>
          </w:p>
        </w:tc>
        <w:tc>
          <w:tcPr>
            <w:tcW w:w="3628"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held on the applicable record date (s) established by the depositary</w:t>
            </w:r>
          </w:p>
        </w:tc>
      </w:tr>
      <w:tr>
        <w:trPr/>
        <w:tc>
          <w:tcPr>
            <w:tcW w:w="6577"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Registration of ADS Transfers (e.g., upon a registration of the transfer of registered ownership of ADSs, upon a transfer of ADSs into DTC and vice versa, or for any other reason)</w:t>
            </w:r>
          </w:p>
        </w:tc>
        <w:tc>
          <w:tcPr>
            <w:tcW w:w="3628" w:type="dxa"/>
            <w:tcBorders/>
            <w:shd w:fill="CCEE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transferred</w:t>
            </w:r>
          </w:p>
        </w:tc>
      </w:tr>
    </w:tbl>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077"/>
        <w:gridCol w:w="2128"/>
      </w:tblGrid>
      <w:tr>
        <w:trPr/>
        <w:tc>
          <w:tcPr>
            <w:tcW w:w="8077" w:type="dxa"/>
            <w:tcBorders/>
            <w:vAlign w:val="center"/>
          </w:tcPr>
          <w:p>
            <w:pPr>
              <w:pStyle w:val="TableContents"/>
              <w:bidi w:val="0"/>
              <w:spacing w:before="0" w:after="283"/>
              <w:jc w:val="left"/>
              <w:rPr>
                <w:sz w:val="4"/>
                <w:szCs w:val="4"/>
              </w:rPr>
            </w:pPr>
            <w:r>
              <w:rPr>
                <w:sz w:val="4"/>
                <w:szCs w:val="4"/>
              </w:rPr>
            </w:r>
          </w:p>
        </w:tc>
        <w:tc>
          <w:tcPr>
            <w:tcW w:w="2128" w:type="dxa"/>
            <w:tcBorders/>
            <w:vAlign w:val="center"/>
          </w:tcPr>
          <w:p>
            <w:pPr>
              <w:pStyle w:val="TableContents"/>
              <w:bidi w:val="0"/>
              <w:spacing w:before="0" w:after="283"/>
              <w:jc w:val="left"/>
              <w:rPr>
                <w:sz w:val="4"/>
                <w:szCs w:val="4"/>
              </w:rPr>
            </w:pPr>
            <w:r>
              <w:rPr>
                <w:sz w:val="4"/>
                <w:szCs w:val="4"/>
              </w:rPr>
            </w:r>
          </w:p>
        </w:tc>
      </w:tr>
      <w:tr>
        <w:trPr/>
        <w:tc>
          <w:tcPr>
            <w:tcW w:w="8077"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Conversion of ADSs of one series for ADSs of another series (e.g., upon conversion of Partial Entitlement ADSs for Full Entitlement ADSs, or upon conversion of Restricted ADSs (each as defined in the Deposit Agreement) into freely transferable ADSs, and vice versa)</w:t>
            </w:r>
          </w:p>
        </w:tc>
        <w:tc>
          <w:tcPr>
            <w:tcW w:w="2128" w:type="dxa"/>
            <w:tcBorders/>
            <w:shd w:fill="FFFFFF" w:val="clear"/>
            <w:vAlign w:val="center"/>
          </w:tcPr>
          <w:p>
            <w:pPr>
              <w:pStyle w:val="TableContents"/>
              <w:bidi w:val="0"/>
              <w:spacing w:before="200" w:after="200"/>
              <w:jc w:val="left"/>
              <w:rPr>
                <w:rFonts w:ascii="Times New Roman" w:hAnsi="Times New Roman"/>
                <w:color w:val="000000"/>
                <w:sz w:val="20"/>
              </w:rPr>
            </w:pPr>
            <w:r>
              <w:rPr>
                <w:rFonts w:ascii="Times New Roman" w:hAnsi="Times New Roman"/>
                <w:color w:val="000000"/>
                <w:sz w:val="20"/>
              </w:rPr>
              <w:t>Up to $5.00 per 100 ADSs (or fraction thereof) converted</w:t>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ADS holders will also be responsible to pay certain charges such as: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taxes (including applicable interest and penalties) and other governmental charges;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certain cable, telex, and facsimile transmission and delivery expenses;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expenses and charges incurred by the depositary in the conversion of foreign currency;</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fees and expenses incurred by the depositary in connection with compliance with exchange control regulations and other regulatory requirements applicable to ordinary shares, ADSs, and ADRs; and</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fees, charges, costs and expenses incurred by the depositary, the custodian, or any nominee in connection with the ADR program.</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ADS fees and charges payable upon (i) the issuance of ADSs, and (ii) the cancellation of ADSs are charged to the person to whom the ADSs are issued (in the case of ADS issuances) and to the person 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 In the case of (i) registration of ADS transfers, the ADS transfer fee will be payable by the holders of ADSs whose ADSs are being transferred or by the person to whom the ADSs are transferred, and (ii) conversion of ADSs of one series for ADSs of another series, the ADS conversion fee will be payable by the holder whose ADSs are converted or by the person to whom the converted ADSs are delivered.</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the ADS offering. Note that the fees and charges Holders may be required to pay may vary over time and may be changed by us and by the depositary. Holders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Amendments and Termination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may agree with the depositary to modify the deposit agreement at any time without a Holder’s consent. We undertake to give holders 30 days’ prior notice of any modifications that would materially prejudice any of their substantial rights under the deposit agreement. We will not consider to be materially prejudicial to a Holder’s substantial rights any modifications or supplements that are reasonably necessary for the ADSs to be registered under the Securities Act or to be eligible for book-entry settlement, in each case without imposing or increasing the fees and charges a Holder is required to pay. ln addition, we may not be able to provide a Holder with prior notice of any modifications or supplements that are required to accommodate compliance with applicable provisions of law.</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 Holder will be bound by the modifications to the deposit agreement if a Holder continues to hold such Holder’s ADSs after the modifications to the deposit agreement become effective. The deposit agreement cannot be amended to prevent a Holder from withdrawing the ordinary shares represented by such Holder’s ADSs (except as permitted by law).</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a Holder’s rights under the deposit agreement will be unaffected.</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Termination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After termination, the depositary will continue to collect distributions received (but will not distribute any such property until a Holder requests the cancellation of such Holder’s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In connection with the termination of the deposit agreement, the depositary may, independently and without the need for any action by us, make available to holders of ADSs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Books of Depositary</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maintain ADS holder records at its depositary office. Holders may inspect such records at such office during regular business hours but solely for the purpose of communicating with other holders in the interest of business matters relating to the ADSs and the deposit agreement.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maintain in New York facilities to record and process the issuance, cancellation, combination, split-up, and transfer of ADSs.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These facilities may be closed from time to time, to the extent not prohibited by law.</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Limitations on Obligations and Liabilities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 agreement limits our obligations and the depositary’s obligations to Holders. Please note the following:</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are obligated only to take the actions specifically stated in the deposit agreement without negligence or bad faith.</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disclaims any liability for any failure to carry out voting instructions, for any manner in which a vote is cast or for the effect of any vote, provided it acts in good faith and in accordance with the terms of the deposit agreement.</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disclaims any liability for any failure to determine the lawfulness or practicality of any action, for the content of any document forwarded to Holders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will not be obligated to perform any act that is inconsistent with the terms of the deposit agreement.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or any provision of or governing the securities on deposit, or by reason of any act of God or war or other circumstances beyond our control.</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disclaim any liability by reason of any exercise of, or failure to exercise, any discretion provided for in the deposit agreement or in our Articles or in any provisions of or governing the securities on deposit.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also disclaim liability for the inability by a holder to benefit from any distribution, offering, right or other benefit that is made available to holders of ordinary shares but is not, under the terms of the deposit agreement, made available to Holders.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may rely without any liability upon any written notice, request or other document believed to be genuine and to have been signed or presented by the proper parties.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We and the depositary also disclaim liability for any consequential or punitive damages for any breach of the terms of the deposit agreement.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 disclaimer of any Securities Act liability is intended by any provision of the deposit agreement.</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Nothing in the deposit agreement gives rise to a partnership or joint venture, or establishes a fiduciary relationship, among Mereo, the depositary and Holders.</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Nothing in the deposit agreement precludes Citibank (or its affiliates) from engaging in transactions in which parties adverse to Mereo or the ADS owners have interests, and nothing in the deposit agreement obligates Citibank to disclose those transactions, or any information obtained in the course of those transactions, to Mereo or to the ADS owners, or to account for any payment received as part of those transactions.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Taxes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Holders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Holders will be liable for any deficiency if the sale proceeds do not cover the taxes that are due.</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a Holder’s behalf. However, a Holder may be required to provide to the depositary and to the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custodian proof of taxpayer status and residence and such other information as the depositary and the custodian may require to fulfill legal obligations. A Holder is required to indemnify us, the depositary and the custodian for any claims with respect to taxes based on any tax benefit obtained for such Holder.</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Foreign Currency Conversion</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depositary will arrange for the conversion of all foreign currency received into U.S. dollars if such conversion is practical, and it will distribute the U.S. dollars in accordance with the terms of the deposit agreement. Holders may have to pay fees and expenses incurred in converting foreign currency, such as fees and expenses incurred in complying with currency exchange controls and other governmental requirements.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If the conversion of foreign currency is not practical or lawful, or if any required approvals are denied or not obtainable at a reasonable cost or within a reasonable period, the depositary may take the following actions in its discretion:</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Convert the foreign currency to the extent practical and lawful and distribute the U.S. dollars to the holders for whom the conversion and distribution is lawful and practical.</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Distribute the foreign currency to holders for whom the distribution is lawful and practical.</w:t>
      </w:r>
    </w:p>
    <w:p>
      <w:pPr>
        <w:pStyle w:val="TextBody"/>
        <w:bidi w:val="0"/>
        <w:spacing w:before="200" w:after="200"/>
        <w:jc w:val="left"/>
        <w:rPr>
          <w:color w:val="000000"/>
        </w:rPr>
      </w:pPr>
      <w:r>
        <w:rPr>
          <w:color w:val="000000"/>
        </w:rPr>
        <w:t>•</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Hold the foreign currency (without liability for interest) for the applicable holders.</w:t>
      </w:r>
    </w:p>
    <w:p>
      <w:pPr>
        <w:pStyle w:val="TextBody"/>
        <w:bidi w:val="0"/>
        <w:spacing w:before="200" w:after="200"/>
        <w:jc w:val="left"/>
        <w:rPr>
          <w:rFonts w:ascii="Times New Roman" w:hAnsi="Times New Roman"/>
          <w:b/>
          <w:color w:val="000000"/>
          <w:sz w:val="20"/>
        </w:rPr>
      </w:pPr>
      <w:r>
        <w:rPr>
          <w:rFonts w:ascii="Times New Roman" w:hAnsi="Times New Roman"/>
          <w:b/>
          <w:color w:val="000000"/>
          <w:sz w:val="20"/>
        </w:rPr>
        <w:t>Governing Law/Waiver of Jury Trial</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The deposit agreement and the ADRs will be interpreted in accordance with the laws of the State of New York. The rights of holders of ordinary shares (including ordinary shares represented by ADSs) is governed by the laws of England and Wales.</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an owner of ADSs, you irrevocably agree that any legal action arising out of the Deposit Agreement, the ADSs or the ADRs, involving the Company or the Depositary, may only be instituted in a state or federal court in the city of New York.</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AS A PARTY TO THE DEPOSIT AGREEMENT, HOLDERS IRREVOCABLY WAIVE, TO THE FULLEST EXTENT PERMITTED BY APPLICABLE LAW, ANY AND ALL RIGHT TO TRIAL BY JURY IN ANY LEGAL PROCEEDING AGAINST US AND/OR THE DEPOSITARY ARISING OUT OF, OR RELATING TO, THE DEPOSIT AGREEMENT, ANY ADR AND ANY TRANSACTIONS CONTEMPLATED IN THE DEPOSIT AGREEMENT (WHETHER BASED ON CONTRACT, TORT, COMMON LAW OR OTHERWISE).</w:t>
      </w:r>
    </w:p>
    <w:p>
      <w:pPr>
        <w:pStyle w:val="TextBody"/>
        <w:bidi w:val="0"/>
        <w:spacing w:before="200" w:after="200"/>
        <w:jc w:val="left"/>
        <w:rPr/>
      </w:pPr>
      <w:r>
        <w:rPr/>
        <w:t> </w:t>
      </w:r>
    </w:p>
    <w:p>
      <w:pPr>
        <w:pStyle w:val="TextBody"/>
        <w:bidi w:val="0"/>
        <w:spacing w:before="200" w:after="200"/>
        <w:jc w:val="left"/>
        <w:rPr/>
      </w:pPr>
      <w:r>
        <w:rPr/>
        <w:t> </w:t>
      </w:r>
    </w:p>
    <w:p>
      <w:pPr>
        <w:pStyle w:val="TextBody"/>
        <w:bidi w:val="0"/>
        <w:spacing w:before="0" w:after="120"/>
        <w:jc w:val="left"/>
        <w:rPr/>
      </w:pPr>
      <w:r>
        <w:rPr/>
        <w:t> </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|EU-DOCS\48028022.1||</w:t>
      </w:r>
    </w:p>
    <w:p>
      <w:pPr>
        <w:pStyle w:val="TextBody"/>
        <w:bidi w:val="0"/>
        <w:spacing w:before="0" w:after="120"/>
        <w:jc w:val="left"/>
        <w:rPr>
          <w:rFonts w:ascii="Times New Roman" w:hAnsi="Times New Roman"/>
          <w:color w:val="000000"/>
          <w:sz w:val="16"/>
        </w:rPr>
      </w:pPr>
      <w:r>
        <w:rPr>
          <w:rFonts w:ascii="Times New Roman" w:hAnsi="Times New Roman"/>
          <w:color w:val="000000"/>
          <w:sz w:val="16"/>
        </w:rPr>
        <w:t>DOCVARIABLE #DNDocID \* MERGEFORMAT 764135989.2</w:t>
      </w:r>
    </w:p>
    <w:p>
      <w:pPr>
        <w:pStyle w:val="HorizontalLine"/>
        <w:pBdr>
          <w:bottom w:val="double" w:sz="2" w:space="0" w:color="808080"/>
        </w:pBdr>
        <w:bidi w:val="0"/>
        <w:spacing w:before="0" w:after="283"/>
        <w:jc w:val="left"/>
        <w:rPr/>
      </w:pPr>
      <w:r>
        <w:rPr/>
      </w:r>
    </w:p>
    <w:p>
      <w:pPr>
        <w:pStyle w:val="TextBody"/>
        <w:bidi w:val="0"/>
        <w:spacing w:before="440" w:after="283"/>
        <w:jc w:val="both"/>
        <w:rPr>
          <w:rFonts w:ascii="Times New Roman" w:hAnsi="Times New Roman"/>
          <w:b/>
          <w:caps/>
          <w:color w:val="000000"/>
          <w:sz w:val="22"/>
        </w:rPr>
      </w:pPr>
      <w:bookmarkStart w:id="44" w:name="mreo-ex10_30.htm"/>
      <w:bookmarkStart w:id="45" w:name="ksmreoex10_30"/>
      <w:bookmarkEnd w:id="44"/>
      <w:bookmarkEnd w:id="45"/>
      <w:r>
        <w:rPr>
          <w:rFonts w:ascii="Times New Roman" w:hAnsi="Times New Roman"/>
          <w:b/>
          <w:caps/>
          <w:color w:val="000000"/>
          <w:sz w:val="22"/>
        </w:rPr>
        <w:t>certain identified information CONTAINED IN THIS EXHIBIT, MARKED BY [***], HAS BEEN EXCLUDED FROM THIS EXHIBIT because it is both not material and is the type that the registrant treats as private or confidential.</w:t>
      </w:r>
      <w:r>
        <w:br w:type="page"/>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jc w:val="right"/>
        <w:rPr>
          <w:rFonts w:ascii="Times New Roman" w:hAnsi="Times New Roman"/>
          <w:b/>
          <w:color w:val="000000"/>
          <w:sz w:val="20"/>
        </w:rPr>
      </w:pPr>
      <w:r>
        <w:rPr>
          <w:rFonts w:ascii="Times New Roman" w:hAnsi="Times New Roman"/>
          <w:b/>
          <w:color w:val="000000"/>
          <w:sz w:val="20"/>
        </w:rPr>
        <w:t>Exhibit 10.30</w:t>
      </w:r>
    </w:p>
    <w:p>
      <w:pPr>
        <w:pStyle w:val="TextBody"/>
        <w:bidi w:val="0"/>
        <w:spacing w:before="240" w:after="360"/>
        <w:jc w:val="center"/>
        <w:rPr>
          <w:rFonts w:ascii="Times New Roman" w:hAnsi="Times New Roman"/>
          <w:b/>
          <w:caps/>
          <w:color w:val="000000"/>
          <w:sz w:val="22"/>
          <w:u w:val="single"/>
        </w:rPr>
      </w:pPr>
      <w:r>
        <w:rPr>
          <w:rFonts w:ascii="Times New Roman" w:hAnsi="Times New Roman"/>
          <w:b/>
          <w:caps/>
          <w:color w:val="000000"/>
          <w:sz w:val="22"/>
          <w:u w:val="single"/>
        </w:rPr>
        <w:t>LICENSE AGREEMENT</w:t>
      </w:r>
    </w:p>
    <w:p>
      <w:pPr>
        <w:pStyle w:val="TextBody"/>
        <w:bidi w:val="0"/>
        <w:spacing w:before="0" w:after="220"/>
        <w:jc w:val="both"/>
        <w:rPr>
          <w:rFonts w:ascii="Times New Roman" w:hAnsi="Times New Roman"/>
          <w:sz w:val="20"/>
        </w:rPr>
      </w:pPr>
      <w:r>
        <w:rPr>
          <w:rFonts w:ascii="Times New Roman" w:hAnsi="Times New Roman"/>
          <w:color w:val="000000"/>
          <w:sz w:val="22"/>
        </w:rPr>
        <w:t>This License Agreement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is made and entered into this 11th day of December 2023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BY AND BETWEEN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20"/>
        <w:jc w:val="both"/>
        <w:rPr/>
      </w:pPr>
      <w:r>
        <w:rPr>
          <w:rFonts w:ascii="Times New Roman" w:hAnsi="Times New Roman"/>
          <w:b/>
          <w:color w:val="000000"/>
          <w:sz w:val="22"/>
        </w:rPr>
        <w:t>Mereo BioPharma 2 Limited</w:t>
      </w:r>
      <w:r>
        <w:rPr>
          <w:rFonts w:ascii="Times New Roman" w:hAnsi="Times New Roman"/>
          <w:color w:val="000000"/>
          <w:sz w:val="22"/>
        </w:rPr>
        <w:t>, a company incorporated in England and Wales, with its principal place of business at 4</w:t>
      </w:r>
      <w:r>
        <w:rPr>
          <w:rFonts w:ascii="Times New Roman" w:hAnsi="Times New Roman"/>
          <w:color w:val="000000"/>
          <w:sz w:val="15"/>
        </w:rPr>
        <w:t>th</w:t>
      </w:r>
      <w:r>
        <w:rPr>
          <w:color w:val="000000"/>
        </w:rPr>
        <w:t xml:space="preserve"> </w:t>
      </w:r>
      <w:r>
        <w:rPr>
          <w:rFonts w:ascii="Times New Roman" w:hAnsi="Times New Roman"/>
          <w:color w:val="000000"/>
          <w:sz w:val="22"/>
        </w:rPr>
        <w:t>Floor, One Cavendish Place, London, W1G 0QF, United Kingdom (“</w:t>
      </w:r>
      <w:r>
        <w:rPr>
          <w:rFonts w:ascii="Times New Roman" w:hAnsi="Times New Roman"/>
          <w:color w:val="000000"/>
          <w:sz w:val="22"/>
          <w:u w:val="single"/>
        </w:rPr>
        <w:t>Mereo</w:t>
      </w:r>
      <w:r>
        <w:rPr>
          <w:color w:val="000000"/>
        </w:rPr>
        <w:t>”</w:t>
      </w:r>
      <w:r>
        <w:rPr>
          <w:rFonts w:ascii="Times New Roman" w:hAnsi="Times New Roman"/>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20"/>
        <w:jc w:val="both"/>
        <w:rPr/>
      </w:pPr>
      <w:r>
        <w:rPr>
          <w:rFonts w:ascii="Times New Roman" w:hAnsi="Times New Roman"/>
          <w:b/>
          <w:color w:val="000000"/>
          <w:sz w:val="22"/>
        </w:rPr>
        <w:t>ReproNovo SA</w:t>
      </w:r>
      <w:r>
        <w:rPr>
          <w:rFonts w:ascii="Times New Roman" w:hAnsi="Times New Roman"/>
          <w:color w:val="000000"/>
          <w:sz w:val="22"/>
        </w:rPr>
        <w:t>, a company incorporated in Switzerland, with its principal place of business at Rue de Langallerie 11, CH-1003 Lausanne, Switzerland (“</w:t>
      </w:r>
      <w:r>
        <w:rPr>
          <w:rFonts w:ascii="Times New Roman" w:hAnsi="Times New Roman"/>
          <w:color w:val="000000"/>
          <w:sz w:val="22"/>
          <w:u w:val="single"/>
        </w:rPr>
        <w:t>ReproNovo</w:t>
      </w:r>
      <w:r>
        <w:rPr>
          <w:color w:val="000000"/>
        </w:rPr>
        <w:t>”</w:t>
      </w:r>
      <w:r>
        <w:rPr>
          <w:rFonts w:ascii="Times New Roman" w:hAnsi="Times New Roman"/>
          <w:color w:val="000000"/>
          <w:sz w:val="22"/>
        </w:rPr>
        <w:t>).</w:t>
      </w:r>
    </w:p>
    <w:p>
      <w:pPr>
        <w:pStyle w:val="TextBody"/>
        <w:bidi w:val="0"/>
        <w:spacing w:before="0" w:after="220"/>
        <w:jc w:val="center"/>
        <w:rPr>
          <w:rFonts w:ascii="Times New Roman" w:hAnsi="Times New Roman"/>
          <w:b/>
          <w:color w:val="000000"/>
          <w:sz w:val="22"/>
          <w:u w:val="single"/>
        </w:rPr>
      </w:pPr>
      <w:r>
        <w:rPr>
          <w:rFonts w:ascii="Times New Roman" w:hAnsi="Times New Roman"/>
          <w:b/>
          <w:color w:val="000000"/>
          <w:sz w:val="22"/>
          <w:u w:val="single"/>
        </w:rPr>
        <w:t>Background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WHEREAS, Mereo owns certain intellectual property rights with respect to the Product in the Territory;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WHEREAS, subject to the terms and conditions of this Agreement, ReproNovo desires to develop, distribute, market and sell the Product in the Territory;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WHEREAS, ReproNovo has access to market information, experience in business practices and expert knowledge in relation to the registration/development, marketing, distribution and sales of pharmaceutical products within the Territory;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WHEREAS, Mereo wishes to grant to ReproNovo, and ReproNovo wishes to take, an exclusive license in and to Mereo's intellectual property in the Product, in the Field, in the Territory, subject to and in accordance with the terms of this Agreement.</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Terms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NOW, THEREFORE, in consideration of the foregoing and the respective representations, warranties, covenants and agreements set forth below, and for other good and valuable consideration, the receipt and sufficiency of which are hereby acknowledged, Mereo and ReproNovo hereby agree to be legally bound as follows:</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DEFINITIONS AND INTERPRETATION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words and expressions set out below shall have the following meanings when used in this Agreement (including the recitals):</w:t>
      </w:r>
    </w:p>
    <w:p>
      <w:pPr>
        <w:pStyle w:val="TextBody"/>
        <w:bidi w:val="0"/>
        <w:spacing w:before="120" w:after="120"/>
        <w:jc w:val="both"/>
        <w:rPr>
          <w:color w:val="000000"/>
        </w:rPr>
      </w:pPr>
      <w:r>
        <w:rPr>
          <w:color w:val="000000"/>
        </w:rPr>
        <w:t>“</w:t>
      </w:r>
      <w:r>
        <w:rPr>
          <w:rFonts w:ascii="Times New Roman" w:hAnsi="Times New Roman"/>
          <w:color w:val="000000"/>
          <w:sz w:val="22"/>
        </w:rPr>
        <w:t>Accounting Standards” means, with respect to a Party, that such Party shall maintain records and books of accounts in accordance with (a) United States Generally Accepted Accounting Principles or (b) to the extent applicable, International Financial Reporting Standards as issued by the International Accounting Standards Board, in each case, consistently applied;</w:t>
      </w:r>
    </w:p>
    <w:p>
      <w:pPr>
        <w:pStyle w:val="TextBody"/>
        <w:bidi w:val="0"/>
        <w:spacing w:before="120" w:after="120"/>
        <w:jc w:val="both"/>
        <w:rPr>
          <w:color w:val="000000"/>
        </w:rPr>
      </w:pPr>
      <w:r>
        <w:rPr>
          <w:color w:val="000000"/>
        </w:rPr>
        <w:t>“</w:t>
      </w:r>
      <w:r>
        <w:rPr>
          <w:rFonts w:ascii="Times New Roman" w:hAnsi="Times New Roman"/>
          <w:color w:val="000000"/>
          <w:sz w:val="22"/>
        </w:rPr>
        <w:t>Acquired Affiliates” means those entities which become Mereo Affiliates after the Effective Date through merger or acquisition with, by or of a Third Party(ies);</w:t>
      </w:r>
    </w:p>
    <w:p>
      <w:pPr>
        <w:pStyle w:val="TextBody"/>
        <w:bidi w:val="0"/>
        <w:spacing w:before="0" w:after="220"/>
        <w:jc w:val="both"/>
        <w:rPr>
          <w:color w:val="000000"/>
        </w:rPr>
      </w:pPr>
      <w:r>
        <w:rPr>
          <w:color w:val="000000"/>
        </w:rPr>
        <w:t>“</w:t>
      </w:r>
      <w:r>
        <w:rPr>
          <w:rFonts w:ascii="Times New Roman" w:hAnsi="Times New Roman"/>
          <w:color w:val="000000"/>
          <w:sz w:val="22"/>
        </w:rPr>
        <w:t xml:space="preserve">Affiliate” means any Person that directly or indirectly through one or more intermediaries' controls, is controlled by or is under common control with a Party to this Agreement. For purposes of this definition, ‘control’ shall mean (a) in the case of corporate entities, direct or indirect ownership of more than fifty percent (50%) of the stock or shares entitled to vote for the election of directors; and (b) in the case of non-corporate entities, direct or indirect ownership of the power to direct the management or policies of such non-corporate entities, whether through ownership of voting securities, by contract relating to voting rights or governance, or otherwise. For clarity, once a Person ceases to be an Affiliate of a Party then without any further action such Person shall cease to have any rights, including rights by operation of license or sublicense, under this Agreement by reason of being an Affiliate of such Party; </w:t>
      </w:r>
    </w:p>
    <w:p>
      <w:pPr>
        <w:pStyle w:val="TextBody"/>
        <w:bidi w:val="0"/>
        <w:spacing w:before="0" w:after="220"/>
        <w:jc w:val="both"/>
        <w:rPr>
          <w:color w:val="000000"/>
        </w:rPr>
      </w:pPr>
      <w:r>
        <w:rPr>
          <w:color w:val="000000"/>
        </w:rPr>
        <w:t>“</w:t>
      </w:r>
      <w:r>
        <w:rPr>
          <w:rFonts w:ascii="Times New Roman" w:hAnsi="Times New Roman"/>
          <w:color w:val="000000"/>
          <w:sz w:val="22"/>
        </w:rPr>
        <w:t>Agreement” has the meaning set forth in the preamble of this Agreement;</w:t>
      </w:r>
    </w:p>
    <w:p>
      <w:pPr>
        <w:pStyle w:val="TextBody"/>
        <w:bidi w:val="0"/>
        <w:spacing w:before="0" w:after="220"/>
        <w:jc w:val="both"/>
        <w:rPr>
          <w:color w:val="000000"/>
        </w:rPr>
      </w:pPr>
      <w:r>
        <w:rPr>
          <w:color w:val="000000"/>
        </w:rPr>
        <w:t>“</w:t>
      </w:r>
      <w:r>
        <w:rPr>
          <w:rFonts w:ascii="Times New Roman" w:hAnsi="Times New Roman"/>
          <w:color w:val="000000"/>
          <w:sz w:val="22"/>
        </w:rPr>
        <w:t>Annual Net Sales” means, on a country-by-country or whole Territory basis, as the context requires, all Net Sales during any Calendar Year during the Term;</w:t>
      </w:r>
    </w:p>
    <w:p>
      <w:pPr>
        <w:pStyle w:val="TextBody"/>
        <w:bidi w:val="0"/>
        <w:spacing w:before="0" w:after="220"/>
        <w:jc w:val="both"/>
        <w:rPr>
          <w:color w:val="000000"/>
        </w:rPr>
      </w:pPr>
      <w:r>
        <w:rPr>
          <w:color w:val="000000"/>
        </w:rPr>
        <w:t>“</w:t>
      </w:r>
      <w:r>
        <w:rPr>
          <w:rFonts w:ascii="Times New Roman" w:hAnsi="Times New Roman"/>
          <w:color w:val="000000"/>
          <w:sz w:val="22"/>
        </w:rPr>
        <w:t xml:space="preserve">API” means Leflutrozole (BGS-649), the active pharmaceutical ingredient for the Product, as more specifically described in [***]; </w:t>
      </w:r>
    </w:p>
    <w:p>
      <w:pPr>
        <w:pStyle w:val="TextBody"/>
        <w:bidi w:val="0"/>
        <w:spacing w:before="0" w:after="220"/>
        <w:jc w:val="both"/>
        <w:rPr/>
      </w:pPr>
      <w:r>
        <w:rPr>
          <w:color w:val="000000"/>
        </w:rPr>
        <w:t>“</w:t>
      </w:r>
      <w:r>
        <w:rPr>
          <w:rFonts w:ascii="Times New Roman" w:hAnsi="Times New Roman"/>
          <w:color w:val="000000"/>
          <w:sz w:val="22"/>
        </w:rPr>
        <w:t>Applicable Laws” means all applicable federal, state, local, foreign, national or multinational laws, statutes, ordinances, rules, regulations and/or any orders, rules, regulations, regulatory guidelines or other requirements of any court, regulatory agency or other governmental authority, any</w:t>
      </w:r>
      <w:r>
        <w:rPr>
          <w:rFonts w:ascii="Times New Roman" w:hAnsi="Times New Roman"/>
          <w:color w:val="000000"/>
          <w:sz w:val="20"/>
        </w:rPr>
        <w:t xml:space="preserve">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major national securities exchange or listing organisation or any similar provision having the force or effect of law that may be in effect from time to time during the Term and which is applicable to an activity or a Party under this Agreement, including all applicable regulatory laws;</w:t>
      </w:r>
    </w:p>
    <w:p>
      <w:pPr>
        <w:pStyle w:val="TextBody"/>
        <w:bidi w:val="0"/>
        <w:spacing w:before="0" w:after="220"/>
        <w:jc w:val="both"/>
        <w:rPr/>
      </w:pPr>
      <w:r>
        <w:rPr>
          <w:color w:val="000000"/>
        </w:rPr>
        <w:t>“</w:t>
      </w:r>
      <w:r>
        <w:rPr>
          <w:rFonts w:ascii="Times New Roman" w:hAnsi="Times New Roman"/>
          <w:color w:val="000000"/>
          <w:sz w:val="22"/>
        </w:rPr>
        <w:t>Blocking 3</w:t>
      </w:r>
      <w:r>
        <w:rPr>
          <w:rFonts w:ascii="Times New Roman" w:hAnsi="Times New Roman"/>
          <w:color w:val="000000"/>
          <w:sz w:val="15"/>
        </w:rPr>
        <w:t>rd</w:t>
      </w:r>
      <w:r>
        <w:rPr>
          <w:rFonts w:ascii="Times New Roman" w:hAnsi="Times New Roman"/>
          <w:color w:val="000000"/>
          <w:sz w:val="20"/>
        </w:rPr>
        <w:t xml:space="preserve"> </w:t>
      </w:r>
      <w:r>
        <w:rPr>
          <w:rFonts w:ascii="Times New Roman" w:hAnsi="Times New Roman"/>
          <w:color w:val="000000"/>
          <w:sz w:val="22"/>
        </w:rPr>
        <w:t>Party Patent” with respect to any country, a Patent in such country controlled by a Third Party that covers and would be infringed by the Exploitation of the Product;</w:t>
      </w:r>
    </w:p>
    <w:p>
      <w:pPr>
        <w:pStyle w:val="TextBody"/>
        <w:bidi w:val="0"/>
        <w:spacing w:before="0" w:after="220"/>
        <w:jc w:val="both"/>
        <w:rPr>
          <w:color w:val="000000"/>
        </w:rPr>
      </w:pPr>
      <w:r>
        <w:rPr>
          <w:color w:val="000000"/>
        </w:rPr>
        <w:t>“</w:t>
      </w:r>
      <w:r>
        <w:rPr>
          <w:rFonts w:ascii="Times New Roman" w:hAnsi="Times New Roman"/>
          <w:color w:val="000000"/>
          <w:sz w:val="22"/>
        </w:rPr>
        <w:t>Business Day” means any day other than (a) a Saturday or Sunday or (b) a day on which banking institutions located in Lausanne, Switzerland or London, England, are permitted or required by Applicable Laws to remain closed;</w:t>
      </w:r>
    </w:p>
    <w:p>
      <w:pPr>
        <w:pStyle w:val="TextBody"/>
        <w:bidi w:val="0"/>
        <w:spacing w:before="120" w:after="120"/>
        <w:jc w:val="both"/>
        <w:rPr>
          <w:color w:val="000000"/>
        </w:rPr>
      </w:pPr>
      <w:r>
        <w:rPr>
          <w:color w:val="000000"/>
        </w:rPr>
        <w:t>“</w:t>
      </w:r>
      <w:r>
        <w:rPr>
          <w:rFonts w:ascii="Times New Roman" w:hAnsi="Times New Roman"/>
          <w:color w:val="000000"/>
          <w:sz w:val="22"/>
        </w:rPr>
        <w:t>Calendar Quarter” means each successive period of three (3) calendar months commencing on January 1, April 1, July 1 and October 1, except that the first Calendar Quarter of the Term shall commence on the Effective Date and end on the day immediately prior to January 1, 2023 and the last Calendar Quarter shall end on the last day of the Term;</w:t>
      </w:r>
    </w:p>
    <w:p>
      <w:pPr>
        <w:pStyle w:val="TextBody"/>
        <w:bidi w:val="0"/>
        <w:spacing w:before="120" w:after="120"/>
        <w:jc w:val="both"/>
        <w:rPr>
          <w:color w:val="000000"/>
        </w:rPr>
      </w:pPr>
      <w:r>
        <w:rPr>
          <w:color w:val="000000"/>
        </w:rPr>
        <w:t>“</w:t>
      </w:r>
      <w:r>
        <w:rPr>
          <w:rFonts w:ascii="Times New Roman" w:hAnsi="Times New Roman"/>
          <w:color w:val="000000"/>
          <w:sz w:val="22"/>
        </w:rPr>
        <w:t>Calendar Year” means each successive period of twelve (12) calendar months commencing on January 1 and ending on December 31, except that the first Calendar Year of the Term shall commence on the Effective Date and end on December 31, 2023 and the last Calendar Year of the Term shall commence on January 1 of the year in which the Term ends and end on the last day of the Term;</w:t>
      </w:r>
    </w:p>
    <w:p>
      <w:pPr>
        <w:pStyle w:val="TextBody"/>
        <w:bidi w:val="0"/>
        <w:spacing w:before="0" w:after="0"/>
        <w:jc w:val="both"/>
        <w:rPr>
          <w:color w:val="000000"/>
        </w:rPr>
      </w:pPr>
      <w:r>
        <w:rPr>
          <w:color w:val="000000"/>
        </w:rPr>
        <w:t>“</w:t>
      </w:r>
      <w:r>
        <w:rPr>
          <w:rFonts w:ascii="Times New Roman" w:hAnsi="Times New Roman"/>
          <w:color w:val="000000"/>
          <w:sz w:val="22"/>
        </w:rPr>
        <w:t>Commercially Reasonable</w:t>
      </w:r>
    </w:p>
    <w:p>
      <w:pPr>
        <w:pStyle w:val="TextBody"/>
        <w:bidi w:val="0"/>
        <w:jc w:val="both"/>
        <w:rPr>
          <w:rFonts w:ascii="Times New Roman" w:hAnsi="Times New Roman"/>
          <w:color w:val="000000"/>
          <w:sz w:val="22"/>
        </w:rPr>
      </w:pPr>
      <w:r>
        <w:rPr>
          <w:rFonts w:ascii="Times New Roman" w:hAnsi="Times New Roman"/>
          <w:color w:val="000000"/>
          <w:sz w:val="22"/>
        </w:rPr>
        <w:t xml:space="preserve">Efforts” means, with respect to the efforts to be expended by a Party in carrying out activities for which it is responsible under this Agreement, the level of effort and resources applied hereunder consistent with the exercise of reasonable and diligent efforts and resources comparable to the efforts and resources that companies with reasonable financial resources and of a similar size in the pharmaceutical industry developing and commercializing human therapeutic drugs would typically devote, when using prudent scientific and business judgment, to the development and commercialization of other products and product candidates that are at a similar stage of development or commercialization and have similar market potential, taking into account efficacy, safety, patent and regulatory exclusivity, anticipated or approved labeling, present and future market potential, competitive market conditions, pricing and reimbursement issues, and other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relevant factors commonly considered in similar circumstances;</w:t>
      </w:r>
    </w:p>
    <w:p>
      <w:pPr>
        <w:pStyle w:val="TextBody"/>
        <w:bidi w:val="0"/>
        <w:spacing w:before="0" w:after="220"/>
        <w:jc w:val="both"/>
        <w:rPr>
          <w:color w:val="000000"/>
        </w:rPr>
      </w:pPr>
      <w:r>
        <w:rPr>
          <w:color w:val="000000"/>
        </w:rPr>
        <w:t>“</w:t>
      </w:r>
      <w:r>
        <w:rPr>
          <w:rFonts w:ascii="Times New Roman" w:hAnsi="Times New Roman"/>
          <w:color w:val="000000"/>
          <w:sz w:val="22"/>
        </w:rPr>
        <w:t>Completion of Enrolment” means the close of enrolment following the accrual of patients into a Phase II or Phase III trial as applicable. Halting enrolment due to a safety issue or request by a Regulatory Authority will not be considered to be Completion of Enrolment;</w:t>
      </w:r>
    </w:p>
    <w:p>
      <w:pPr>
        <w:pStyle w:val="TextBody"/>
        <w:bidi w:val="0"/>
        <w:jc w:val="both"/>
        <w:rPr/>
      </w:pPr>
      <w:r>
        <w:rPr/>
        <w:t> </w:t>
      </w:r>
    </w:p>
    <w:p>
      <w:pPr>
        <w:pStyle w:val="TextBody"/>
        <w:bidi w:val="0"/>
        <w:spacing w:before="0" w:after="220"/>
        <w:jc w:val="both"/>
        <w:rPr>
          <w:color w:val="000000"/>
        </w:rPr>
      </w:pPr>
      <w:r>
        <w:rPr>
          <w:color w:val="000000"/>
        </w:rPr>
        <w:t>“</w:t>
      </w:r>
      <w:r>
        <w:rPr>
          <w:rFonts w:ascii="Times New Roman" w:hAnsi="Times New Roman"/>
          <w:color w:val="000000"/>
          <w:sz w:val="22"/>
        </w:rPr>
        <w:t xml:space="preserve">Confidential Information” means any confidential scientific, technical, marketing, regulatory, business and/or financial information or data of a Party, including the terms of this Agreement, all information relating to the API and the Product and/or the development, sale and distribution of the Product including know-how, technology, means, methods, processes, practices, formulae, instructions, skills, techniques, procedures, ideas, technical assistance, designs, drawings, assembly procedures, computer programs, apparatuses, specifications, data, results and other material, and other biological, chemical, pharmacological, toxicological, pharmaceutical, physical and analytical, pre-clinical, clinical, safety, manufacturing and quality control data and information, including study designs and protocols, reagents and biological methodology, any strategy for the prosecution, maintenance, enforcement and defense of Patents and any confidential Intellectual Property Rights, which is/are disclosed by or on behalf of a Party to the other Party or its Affiliate, Sublicensee or representative, directly or indirectly, whether orally, visually, in writing, electronically or in any other form, pursuant to the terms of this Agreement or the Confidentiality Agreement between the Parties dated 27 July 2021, whether prior to, on or after the Effective Date, but excluding (i) any information that is, or becomes available, in the public domain from time to time, other than information which enters the public domain as a result of a breach by the receiving Party of its obligations under this Agreement; (ii) information that was known by or in the possession or control of the receiving Party without any obligation of confidentiality prior to the date of its actual receipt from the disclosing Party; (iii) information that is available, or becomes available, to the receiving Party from sources not bound by a similar confidentiality obligation with the disclosing Party; and (iv) information that was or is subsequently independently developed by the receiving Party without use of the Confidential Information of the other Party as demonstrated by competent written records. Specific aspects or details of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4</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Confidential Information shall not be deemed to be within the public domain or in the possession of the receiving Party merely because the Confidential Information is embraced by more general information in the public domain or in the possession of the receiving Party;</w:t>
      </w:r>
    </w:p>
    <w:p>
      <w:pPr>
        <w:pStyle w:val="TextBody"/>
        <w:bidi w:val="0"/>
        <w:spacing w:before="0" w:after="220"/>
        <w:jc w:val="both"/>
        <w:rPr>
          <w:color w:val="000000"/>
        </w:rPr>
      </w:pPr>
      <w:r>
        <w:rPr>
          <w:color w:val="000000"/>
        </w:rPr>
        <w:t>“</w:t>
      </w:r>
      <w:r>
        <w:rPr>
          <w:rFonts w:ascii="Times New Roman" w:hAnsi="Times New Roman"/>
          <w:color w:val="000000"/>
          <w:sz w:val="22"/>
        </w:rPr>
        <w:t xml:space="preserve">Control” means, with respect to any item of information (including Confidential Information), material or Intellectual Property Right, the possession of the right, whether directly or indirectly, and whether by ownership, license or covenant not to sue, to grant a license, sublicense or other right to or under such information (including Confidential Information), material or Intellectual Property Right; provided that solely with respect to any such item of information (including Confidential Information), material or Intellectual Property Right developed, acquired or licensed by a Party after the Effective Date: (a) as provided for herein without violating the terms of any agreement or other arrangement with any Third Party; and (b) neither Party shall be deemed to Control any item of information (including Confidential Information), material or Intellectual Property Right of a Third Party if access by the other Party requires or triggers a payment obligation unless the other Party agrees to bear such payment obligation. “Controlled” has a corresponding meaning; </w:t>
      </w:r>
    </w:p>
    <w:p>
      <w:pPr>
        <w:pStyle w:val="TextBody"/>
        <w:bidi w:val="0"/>
        <w:spacing w:before="0" w:after="220"/>
        <w:jc w:val="both"/>
        <w:rPr>
          <w:color w:val="000000"/>
        </w:rPr>
      </w:pPr>
      <w:r>
        <w:rPr>
          <w:color w:val="000000"/>
        </w:rPr>
        <w:t>“</w:t>
      </w:r>
      <w:r>
        <w:rPr>
          <w:rFonts w:ascii="Times New Roman" w:hAnsi="Times New Roman"/>
          <w:color w:val="000000"/>
          <w:sz w:val="22"/>
        </w:rPr>
        <w:t xml:space="preserve">Cover” or “Covers” means, with reference to a Patent in a country in the Territory, that the performance of one or more activities related to the development, registration, manufacture, use, sale, offer for sale, marketing, commercialization, distribution, importation or exportation of the Product would, but for the rights granted by Mereo to ReproNovo under this Agreement, infringe, directly or indirectly, at least one claim of such Patent in such country in the Territory where such activities occur; </w:t>
      </w:r>
    </w:p>
    <w:p>
      <w:pPr>
        <w:pStyle w:val="TextBody"/>
        <w:bidi w:val="0"/>
        <w:spacing w:before="0" w:after="220"/>
        <w:jc w:val="both"/>
        <w:rPr>
          <w:color w:val="000000"/>
        </w:rPr>
      </w:pPr>
      <w:r>
        <w:rPr>
          <w:color w:val="000000"/>
        </w:rPr>
        <w:t>“</w:t>
      </w:r>
      <w:r>
        <w:rPr>
          <w:rFonts w:ascii="Times New Roman" w:hAnsi="Times New Roman"/>
          <w:color w:val="000000"/>
          <w:sz w:val="22"/>
        </w:rPr>
        <w:t>Debarred Entity” has the meaning set forth in Section 7.1(d);</w:t>
      </w:r>
    </w:p>
    <w:p>
      <w:pPr>
        <w:pStyle w:val="TextBody"/>
        <w:bidi w:val="0"/>
        <w:spacing w:before="0" w:after="220"/>
        <w:jc w:val="both"/>
        <w:rPr>
          <w:color w:val="000000"/>
        </w:rPr>
      </w:pPr>
      <w:r>
        <w:rPr>
          <w:color w:val="000000"/>
        </w:rPr>
        <w:t>“</w:t>
      </w:r>
      <w:r>
        <w:rPr>
          <w:rFonts w:ascii="Times New Roman" w:hAnsi="Times New Roman"/>
          <w:color w:val="000000"/>
          <w:sz w:val="22"/>
        </w:rPr>
        <w:t xml:space="preserve">Distributor” means any Person appointed by ReproNovo or any Sublicensee or any of their Affiliates to distribute, market and sell a Product, with or without packaging rights, in one or more countries in the Territory in circumstances where such Person purchased its requirements of Product from ReproNovo or any Sublicensee or any of their Affiliates but does not otherwise make any royalty or other revenue-based payment to ReproNovo or any Sublicensee or any of their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5</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Affiliates with respect to their intellectual property rights in connection with its sales of such Product;</w:t>
      </w:r>
    </w:p>
    <w:p>
      <w:pPr>
        <w:pStyle w:val="TextBody"/>
        <w:bidi w:val="0"/>
        <w:spacing w:before="0" w:after="220"/>
        <w:jc w:val="both"/>
        <w:rPr>
          <w:color w:val="000000"/>
        </w:rPr>
      </w:pPr>
      <w:r>
        <w:rPr>
          <w:color w:val="000000"/>
        </w:rPr>
        <w:t>“</w:t>
      </w:r>
      <w:r>
        <w:rPr>
          <w:rFonts w:ascii="Times New Roman" w:hAnsi="Times New Roman"/>
          <w:color w:val="000000"/>
          <w:sz w:val="22"/>
        </w:rPr>
        <w:t>Effective Date” has the meaning set forth in the preamble of this Agreement;</w:t>
      </w:r>
    </w:p>
    <w:p>
      <w:pPr>
        <w:pStyle w:val="TextBody"/>
        <w:bidi w:val="0"/>
        <w:spacing w:before="0" w:after="220"/>
        <w:jc w:val="both"/>
        <w:rPr>
          <w:color w:val="000000"/>
        </w:rPr>
      </w:pPr>
      <w:r>
        <w:rPr>
          <w:color w:val="000000"/>
        </w:rPr>
        <w:t>“</w:t>
      </w:r>
      <w:r>
        <w:rPr>
          <w:rFonts w:ascii="Times New Roman" w:hAnsi="Times New Roman"/>
          <w:color w:val="000000"/>
          <w:sz w:val="22"/>
        </w:rPr>
        <w:t>EMA” means European Medicines Agency and any successor agency thereto;</w:t>
      </w:r>
    </w:p>
    <w:p>
      <w:pPr>
        <w:pStyle w:val="TextBody"/>
        <w:bidi w:val="0"/>
        <w:spacing w:before="0" w:after="220"/>
        <w:jc w:val="both"/>
        <w:rPr>
          <w:color w:val="000000"/>
        </w:rPr>
      </w:pPr>
      <w:r>
        <w:rPr>
          <w:color w:val="000000"/>
        </w:rPr>
        <w:t>“</w:t>
      </w:r>
      <w:r>
        <w:rPr>
          <w:rFonts w:ascii="Times New Roman" w:hAnsi="Times New Roman"/>
          <w:color w:val="000000"/>
          <w:sz w:val="22"/>
        </w:rPr>
        <w:t>Exploit” to make, have made, import, use, sell or offer for sale, including to develop, commercialize, register, hold or keep (whether for disposal or otherwise), have used, export, transport, distribute, promote, market or have sold or otherwise dispose of; it being understood that "Exploitation" means the act of Exploiting a compound, product or process;</w:t>
      </w:r>
    </w:p>
    <w:p>
      <w:pPr>
        <w:pStyle w:val="TextBody"/>
        <w:bidi w:val="0"/>
        <w:spacing w:before="0" w:after="220"/>
        <w:jc w:val="both"/>
        <w:rPr>
          <w:color w:val="000000"/>
        </w:rPr>
      </w:pPr>
      <w:r>
        <w:rPr>
          <w:color w:val="000000"/>
        </w:rPr>
        <w:t>“</w:t>
      </w:r>
      <w:r>
        <w:rPr>
          <w:rFonts w:ascii="Times New Roman" w:hAnsi="Times New Roman"/>
          <w:color w:val="000000"/>
          <w:sz w:val="22"/>
        </w:rPr>
        <w:t>FDA” means the U.S. Food and Drug Administration, or any successor agency thereto;</w:t>
      </w:r>
    </w:p>
    <w:p>
      <w:pPr>
        <w:pStyle w:val="TextBody"/>
        <w:bidi w:val="0"/>
        <w:spacing w:before="0" w:after="220"/>
        <w:jc w:val="both"/>
        <w:rPr>
          <w:color w:val="000000"/>
        </w:rPr>
      </w:pPr>
      <w:r>
        <w:rPr>
          <w:color w:val="000000"/>
        </w:rPr>
        <w:t>“</w:t>
      </w:r>
      <w:r>
        <w:rPr>
          <w:rFonts w:ascii="Times New Roman" w:hAnsi="Times New Roman"/>
          <w:color w:val="000000"/>
          <w:sz w:val="22"/>
        </w:rPr>
        <w:t>FD&amp;C Act” means the United States Federal Food, Drug, and Cosmetic Act;</w:t>
      </w:r>
    </w:p>
    <w:p>
      <w:pPr>
        <w:pStyle w:val="TextBody"/>
        <w:bidi w:val="0"/>
        <w:spacing w:before="0" w:after="220"/>
        <w:jc w:val="both"/>
        <w:rPr>
          <w:color w:val="000000"/>
        </w:rPr>
      </w:pPr>
      <w:r>
        <w:rPr>
          <w:color w:val="000000"/>
        </w:rPr>
        <w:t>“</w:t>
      </w:r>
      <w:r>
        <w:rPr>
          <w:rFonts w:ascii="Times New Roman" w:hAnsi="Times New Roman"/>
          <w:color w:val="000000"/>
          <w:sz w:val="22"/>
        </w:rPr>
        <w:t>Field” means all therapeutic, prophylactic and diagnostic uses of the Product regardless of the form or method of administration, both in humans and animals. Field also includes new indications for the Product as they are discovered/authorized;</w:t>
      </w:r>
    </w:p>
    <w:p>
      <w:pPr>
        <w:pStyle w:val="TextBody"/>
        <w:bidi w:val="0"/>
        <w:spacing w:before="0" w:after="220"/>
        <w:jc w:val="both"/>
        <w:rPr>
          <w:color w:val="000000"/>
        </w:rPr>
      </w:pPr>
      <w:r>
        <w:rPr>
          <w:color w:val="000000"/>
        </w:rPr>
        <w:t>“</w:t>
      </w:r>
      <w:r>
        <w:rPr>
          <w:rFonts w:ascii="Times New Roman" w:hAnsi="Times New Roman"/>
          <w:color w:val="000000"/>
          <w:sz w:val="22"/>
        </w:rPr>
        <w:t>First Commercial Sale” means, on a country-by-country basis, the first sale for monetary value by ReproNovo or its Affiliates or their Sublicensees of the Product in such country in the Territory under this Agreement to a Third Party, after such Product has been granted Regulatory Approval (including for these purposes any pricing and reimbursement approval that may be required) by the applicable Regulatory Authority in such country in the Territory. Sales prior to receipt of all Regulatory Approvals for such Product in such country, such as so-called “treatment IND sales,” “named patient sales,” and “compassionate use sales” shall not be construed as a “First Commercial Sale”. For the avoidance of doubt, First Commercial Sale excludes transfers or dispositions of a Product for charitable, promotional (including samples), pre-clinical, clinical or regulatory purposes;</w:t>
      </w:r>
    </w:p>
    <w:p>
      <w:pPr>
        <w:pStyle w:val="TextBody"/>
        <w:bidi w:val="0"/>
        <w:spacing w:before="0" w:after="220"/>
        <w:jc w:val="both"/>
        <w:rPr>
          <w:color w:val="000000"/>
        </w:rPr>
      </w:pPr>
      <w:r>
        <w:rPr>
          <w:color w:val="000000"/>
        </w:rPr>
        <w:t>“</w:t>
      </w:r>
      <w:r>
        <w:rPr>
          <w:rFonts w:ascii="Times New Roman" w:hAnsi="Times New Roman"/>
          <w:color w:val="000000"/>
          <w:sz w:val="22"/>
        </w:rPr>
        <w:t>First Patient First Visit” means the completion, in accordance with applicable study protocol and regulations, of a first study visit by a human subject in a clinical trial;</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6</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color w:val="000000"/>
        </w:rPr>
      </w:pPr>
      <w:r>
        <w:rPr>
          <w:color w:val="000000"/>
        </w:rPr>
        <w:t>“</w:t>
      </w:r>
      <w:r>
        <w:rPr>
          <w:rFonts w:ascii="Times New Roman" w:hAnsi="Times New Roman"/>
          <w:color w:val="000000"/>
          <w:sz w:val="22"/>
        </w:rPr>
        <w:t>Force Majeure” means any war, acts of war, revolution, civil commotion, act of terrorism, blockade, epidemic, pandemic, quarantine, embargo, riots, labor disturbance, strike or lock-out, scarcity of raw materials, shortage of power, flood, destruction of production facilities or materials by fire, earthquake, hurricane, tsunami, nuclear disaster, or similar event that is beyond the reasonable control of the Party affected;</w:t>
      </w:r>
    </w:p>
    <w:p>
      <w:pPr>
        <w:pStyle w:val="TextBody"/>
        <w:bidi w:val="0"/>
        <w:spacing w:before="0" w:after="0"/>
        <w:jc w:val="both"/>
        <w:rPr>
          <w:color w:val="000000"/>
        </w:rPr>
      </w:pPr>
      <w:r>
        <w:rPr>
          <w:color w:val="000000"/>
        </w:rPr>
        <w:t>“</w:t>
      </w:r>
      <w:r>
        <w:rPr>
          <w:rFonts w:ascii="Times New Roman" w:hAnsi="Times New Roman"/>
          <w:color w:val="000000"/>
          <w:sz w:val="22"/>
        </w:rPr>
        <w:t>Generic Product” means, on a country-by-country basis with respect to any Product, a pharmaceutical drug product independently developed and sold by a Third Party (which in no event will include ReproNovo or any Sublicensee or any Affiliate of any of them) that: (a) contains the API; and (b) is approved in reliance on the prior approval of the Product as determined by the FDA (pursuant to an Abbreviated New Drug Application) or pursuant to any equivalent and comparable Regulatory Authority and authorization in any other country in the Territory;</w:t>
      </w:r>
    </w:p>
    <w:p>
      <w:pPr>
        <w:pStyle w:val="TextBody"/>
        <w:bidi w:val="0"/>
        <w:spacing w:before="0" w:after="220"/>
        <w:jc w:val="both"/>
        <w:rPr>
          <w:color w:val="000000"/>
        </w:rPr>
      </w:pPr>
      <w:r>
        <w:rPr>
          <w:color w:val="000000"/>
        </w:rPr>
        <w:t>“</w:t>
      </w:r>
      <w:r>
        <w:rPr>
          <w:rFonts w:ascii="Times New Roman" w:hAnsi="Times New Roman"/>
          <w:color w:val="000000"/>
          <w:sz w:val="22"/>
        </w:rPr>
        <w:t>IND” means an investigational new drug application (including any amendment or supplement thereto) submitted to the FDA pursuant to U.S. 21 C.F.R. Part 312, including any variations and extensions thereto and any renewals thereof. References herein to IND shall include, to the extent applicable, any comparable filing(s) outside the U.S. for the investigation of any product in any other country or group of countries (such as a Clinical Trial Application in the EU);</w:t>
      </w:r>
    </w:p>
    <w:p>
      <w:pPr>
        <w:pStyle w:val="TextBody"/>
        <w:bidi w:val="0"/>
        <w:spacing w:before="0" w:after="220"/>
        <w:jc w:val="both"/>
        <w:rPr>
          <w:color w:val="000000"/>
        </w:rPr>
      </w:pPr>
      <w:r>
        <w:rPr>
          <w:color w:val="000000"/>
        </w:rPr>
        <w:t>“</w:t>
      </w:r>
      <w:r>
        <w:rPr>
          <w:rFonts w:ascii="Times New Roman" w:hAnsi="Times New Roman"/>
          <w:color w:val="000000"/>
          <w:sz w:val="22"/>
        </w:rPr>
        <w:t>Indication” means, with respect to the Product, any human disease or condition, or sign or symptom of a human disease or condition, in a particular target patient population;</w:t>
      </w:r>
    </w:p>
    <w:p>
      <w:pPr>
        <w:pStyle w:val="TextBody"/>
        <w:bidi w:val="0"/>
        <w:spacing w:before="0" w:after="220"/>
        <w:jc w:val="both"/>
        <w:rPr>
          <w:color w:val="000000"/>
        </w:rPr>
      </w:pPr>
      <w:r>
        <w:rPr>
          <w:color w:val="000000"/>
        </w:rPr>
        <w:t>“</w:t>
      </w:r>
      <w:r>
        <w:rPr>
          <w:rFonts w:ascii="Times New Roman" w:hAnsi="Times New Roman"/>
          <w:color w:val="000000"/>
          <w:sz w:val="22"/>
        </w:rPr>
        <w:t>Initiation” means the first dosing of a patient in a Phase III clinical trial ;</w:t>
      </w:r>
    </w:p>
    <w:p>
      <w:pPr>
        <w:pStyle w:val="TextBody"/>
        <w:bidi w:val="0"/>
        <w:spacing w:before="0" w:after="220"/>
        <w:jc w:val="both"/>
        <w:rPr>
          <w:color w:val="000000"/>
        </w:rPr>
      </w:pPr>
      <w:r>
        <w:rPr>
          <w:color w:val="000000"/>
        </w:rPr>
        <w:t>“</w:t>
      </w:r>
      <w:r>
        <w:rPr>
          <w:rFonts w:ascii="Times New Roman" w:hAnsi="Times New Roman"/>
          <w:color w:val="000000"/>
          <w:sz w:val="22"/>
        </w:rPr>
        <w:t>Intellectual Property Rights” means all intellectual property and proprietary rights, wherever in the world arising, whether registered or unregistered (and including any application for registration), copyrights, Know-How, trade secrets, database rights, trade mark(s), service marks, goodwill, moral rights, Patents and rights to apply for any of the foregoing;</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7</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color w:val="000000"/>
        </w:rPr>
      </w:pPr>
      <w:r>
        <w:rPr>
          <w:color w:val="000000"/>
        </w:rPr>
        <w:t>“</w:t>
      </w:r>
      <w:r>
        <w:rPr>
          <w:rFonts w:ascii="Times New Roman" w:hAnsi="Times New Roman"/>
          <w:color w:val="000000"/>
          <w:sz w:val="22"/>
        </w:rPr>
        <w:t>Inventions” means all inventions, whether or not patentable, that are designed, discovered, generated, invented, conceived or reduced to practice by or on behalf of any Party or its respective Affiliates or Sublicensees or both Parties or their respective Affiliates or Sublicensees, whether solely or jointly with any Third Party, in the course of activities performed under this Agreement;</w:t>
      </w:r>
    </w:p>
    <w:p>
      <w:pPr>
        <w:pStyle w:val="TextBody"/>
        <w:bidi w:val="0"/>
        <w:spacing w:before="0" w:after="220"/>
        <w:jc w:val="both"/>
        <w:rPr>
          <w:color w:val="000000"/>
        </w:rPr>
      </w:pPr>
      <w:r>
        <w:rPr>
          <w:color w:val="000000"/>
        </w:rPr>
        <w:t>“</w:t>
      </w:r>
      <w:r>
        <w:rPr>
          <w:rFonts w:ascii="Times New Roman" w:hAnsi="Times New Roman"/>
          <w:color w:val="000000"/>
          <w:sz w:val="22"/>
        </w:rPr>
        <w:t>Knowledge” means the good faith understanding of the facts and information in question;</w:t>
      </w:r>
    </w:p>
    <w:p>
      <w:pPr>
        <w:pStyle w:val="TextBody"/>
        <w:bidi w:val="0"/>
        <w:spacing w:before="0" w:after="220"/>
        <w:jc w:val="both"/>
        <w:rPr>
          <w:color w:val="000000"/>
        </w:rPr>
      </w:pPr>
      <w:r>
        <w:rPr>
          <w:color w:val="000000"/>
        </w:rPr>
        <w:t>“</w:t>
      </w:r>
      <w:r>
        <w:rPr>
          <w:rFonts w:ascii="Times New Roman" w:hAnsi="Times New Roman"/>
          <w:color w:val="000000"/>
          <w:sz w:val="22"/>
        </w:rPr>
        <w:t xml:space="preserve">Know-How” means any and all tangible, proprietary, confidential, research, technical and scientific information existing as of the Effective Date of this Agreement that is not in the public domain, including information relating to materials, discoveries, unpatented inventions, improvements, practices, methods, protocols, manufacturing techniques, operating manuals, databases, formulas, knowledge, trade secrets, technologies, processes, assays, sources, skills, experience, techniques, data and the results of experimentation and testing; </w:t>
      </w:r>
    </w:p>
    <w:p>
      <w:pPr>
        <w:pStyle w:val="TextBody"/>
        <w:bidi w:val="0"/>
        <w:spacing w:before="0" w:after="220"/>
        <w:jc w:val="both"/>
        <w:rPr>
          <w:color w:val="000000"/>
        </w:rPr>
      </w:pPr>
      <w:r>
        <w:rPr>
          <w:color w:val="000000"/>
        </w:rPr>
        <w:t>“</w:t>
      </w:r>
      <w:r>
        <w:rPr>
          <w:rFonts w:ascii="Times New Roman" w:hAnsi="Times New Roman"/>
          <w:color w:val="000000"/>
          <w:sz w:val="22"/>
        </w:rPr>
        <w:t>Litigation Conditions” has the meaning set forth in Section 8.4;</w:t>
      </w:r>
    </w:p>
    <w:p>
      <w:pPr>
        <w:pStyle w:val="TextBody"/>
        <w:bidi w:val="0"/>
        <w:spacing w:before="0" w:after="220"/>
        <w:jc w:val="both"/>
        <w:rPr>
          <w:color w:val="000000"/>
        </w:rPr>
      </w:pPr>
      <w:r>
        <w:rPr>
          <w:color w:val="000000"/>
        </w:rPr>
        <w:t>“</w:t>
      </w:r>
      <w:r>
        <w:rPr>
          <w:rFonts w:ascii="Times New Roman" w:hAnsi="Times New Roman"/>
          <w:color w:val="000000"/>
          <w:sz w:val="22"/>
        </w:rPr>
        <w:t>Losses” has the meaning set forth in Section 8.1;</w:t>
      </w:r>
    </w:p>
    <w:p>
      <w:pPr>
        <w:pStyle w:val="TextBody"/>
        <w:bidi w:val="0"/>
        <w:spacing w:before="0" w:after="220"/>
        <w:jc w:val="both"/>
        <w:rPr>
          <w:color w:val="000000"/>
        </w:rPr>
      </w:pPr>
      <w:r>
        <w:rPr>
          <w:color w:val="000000"/>
        </w:rPr>
        <w:t>“</w:t>
      </w:r>
      <w:r>
        <w:rPr>
          <w:rFonts w:ascii="Times New Roman" w:hAnsi="Times New Roman"/>
          <w:color w:val="000000"/>
          <w:sz w:val="22"/>
        </w:rPr>
        <w:t>Major Asian Countries” means China and Japan;</w:t>
      </w:r>
    </w:p>
    <w:p>
      <w:pPr>
        <w:pStyle w:val="TextBody"/>
        <w:bidi w:val="0"/>
        <w:spacing w:before="0" w:after="220"/>
        <w:jc w:val="both"/>
        <w:rPr>
          <w:color w:val="000000"/>
        </w:rPr>
      </w:pPr>
      <w:r>
        <w:rPr>
          <w:color w:val="000000"/>
        </w:rPr>
        <w:t>“</w:t>
      </w:r>
      <w:r>
        <w:rPr>
          <w:rFonts w:ascii="Times New Roman" w:hAnsi="Times New Roman"/>
          <w:color w:val="000000"/>
          <w:sz w:val="22"/>
        </w:rPr>
        <w:t>Major European Countries” means United Kingdom, France, Germany, Spain and Italy;</w:t>
      </w:r>
    </w:p>
    <w:p>
      <w:pPr>
        <w:pStyle w:val="TextBody"/>
        <w:bidi w:val="0"/>
        <w:spacing w:before="0" w:after="220"/>
        <w:jc w:val="both"/>
        <w:rPr>
          <w:color w:val="000000"/>
        </w:rPr>
      </w:pPr>
      <w:r>
        <w:rPr>
          <w:color w:val="000000"/>
        </w:rPr>
        <w:t>“</w:t>
      </w:r>
      <w:r>
        <w:rPr>
          <w:rFonts w:ascii="Times New Roman" w:hAnsi="Times New Roman"/>
          <w:color w:val="000000"/>
          <w:sz w:val="22"/>
        </w:rPr>
        <w:t>Mereo” has the meaning set forth in the preamble of this Agreement;</w:t>
      </w:r>
    </w:p>
    <w:p>
      <w:pPr>
        <w:pStyle w:val="TextBody"/>
        <w:bidi w:val="0"/>
        <w:spacing w:before="0" w:after="220"/>
        <w:jc w:val="both"/>
        <w:rPr>
          <w:color w:val="000000"/>
        </w:rPr>
      </w:pPr>
      <w:r>
        <w:rPr>
          <w:color w:val="000000"/>
        </w:rPr>
        <w:t>“</w:t>
      </w:r>
      <w:r>
        <w:rPr>
          <w:rFonts w:ascii="Times New Roman" w:hAnsi="Times New Roman"/>
          <w:color w:val="000000"/>
          <w:sz w:val="22"/>
        </w:rPr>
        <w:t>Mereo Indemnitees” has the meaning set forth in Section 8.1;</w:t>
      </w:r>
    </w:p>
    <w:p>
      <w:pPr>
        <w:pStyle w:val="TextBody"/>
        <w:bidi w:val="0"/>
        <w:spacing w:before="0" w:after="220"/>
        <w:jc w:val="both"/>
        <w:rPr>
          <w:color w:val="000000"/>
        </w:rPr>
      </w:pPr>
      <w:r>
        <w:rPr>
          <w:color w:val="000000"/>
        </w:rPr>
        <w:t>“</w:t>
      </w:r>
      <w:r>
        <w:rPr>
          <w:rFonts w:ascii="Times New Roman" w:hAnsi="Times New Roman"/>
          <w:color w:val="000000"/>
          <w:sz w:val="22"/>
        </w:rPr>
        <w:t xml:space="preserve">Mereo Intellectual Property” means all Intellectual Property Rights that are Controlled by Mereo or its Affiliates, excluding Acquired Affiliates, as of the Effective Date or during the Term and that are necessary or reasonably useful for the development or commercialization of the Product in the Field in the Territory. For clarity, Mereo Intellectual Property (i) includes the Mereo Patents but excludes any trade marks and the like Controlled by Mereo or its Affiliates, and (ii) includes the Intellectual Property Rights acquired or licensed by Mereo under the Novartis APA;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8</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color w:val="000000"/>
        </w:rPr>
      </w:pPr>
      <w:r>
        <w:rPr>
          <w:color w:val="000000"/>
        </w:rPr>
        <w:t>“</w:t>
      </w:r>
      <w:r>
        <w:rPr>
          <w:rFonts w:ascii="Times New Roman" w:hAnsi="Times New Roman"/>
          <w:color w:val="000000"/>
          <w:sz w:val="22"/>
        </w:rPr>
        <w:t xml:space="preserve">Mereo Patents” means all Patents that are Controlled by Mereo or its Affiliates, excluding Acquired Affiliates, as of the Effective Date or during the Term and that are necessary or useful for the development or commercialization of the Product in the Field in the Territory. For clarity, Mereo Patents includes the Patents acquired or licensed by Mereo under the Novartis APA. The Mereo Patents as at the Effective Date are listed in [***]; </w:t>
      </w:r>
    </w:p>
    <w:p>
      <w:pPr>
        <w:pStyle w:val="TextBody"/>
        <w:bidi w:val="0"/>
        <w:spacing w:before="0" w:after="220"/>
        <w:jc w:val="both"/>
        <w:rPr>
          <w:color w:val="000000"/>
        </w:rPr>
      </w:pPr>
      <w:r>
        <w:rPr>
          <w:color w:val="000000"/>
        </w:rPr>
        <w:t>“</w:t>
      </w:r>
      <w:r>
        <w:rPr>
          <w:rFonts w:ascii="Times New Roman" w:hAnsi="Times New Roman"/>
          <w:color w:val="000000"/>
          <w:sz w:val="22"/>
        </w:rPr>
        <w:t>Milestones” has the meaning set forth in Section 4.2;</w:t>
      </w:r>
    </w:p>
    <w:p>
      <w:pPr>
        <w:pStyle w:val="TextBody"/>
        <w:bidi w:val="0"/>
        <w:spacing w:before="0" w:after="220"/>
        <w:jc w:val="both"/>
        <w:rPr>
          <w:color w:val="000000"/>
        </w:rPr>
      </w:pPr>
      <w:r>
        <w:rPr>
          <w:color w:val="000000"/>
        </w:rPr>
        <w:t>“</w:t>
      </w:r>
      <w:r>
        <w:rPr>
          <w:rFonts w:ascii="Times New Roman" w:hAnsi="Times New Roman"/>
          <w:color w:val="000000"/>
          <w:sz w:val="22"/>
        </w:rPr>
        <w:t>NDA” means a New Drug Application (as more fully described in U.S. 21 C.F.R. Parts 314.50 et seq. or its successor regulation) and all amendments and supplements thereto, submitted to the FDA, or any equivalent filing, including a marketing authorisation application, in a country or regulatory jurisdiction other than the U.S. with the applicable Regulatory Authority, or any similar application or submission for Regulatory Approval filed with a Regulatory Authority to obtain marketing approval for the Product, in a country or in a group of countries;</w:t>
      </w:r>
    </w:p>
    <w:p>
      <w:pPr>
        <w:pStyle w:val="TextBody"/>
        <w:bidi w:val="0"/>
        <w:spacing w:before="0" w:after="220"/>
        <w:jc w:val="both"/>
        <w:rPr>
          <w:color w:val="000000"/>
        </w:rPr>
      </w:pPr>
      <w:r>
        <w:rPr>
          <w:color w:val="000000"/>
        </w:rPr>
        <w:t>“</w:t>
      </w:r>
      <w:r>
        <w:rPr>
          <w:rFonts w:ascii="Times New Roman" w:hAnsi="Times New Roman"/>
          <w:color w:val="000000"/>
          <w:sz w:val="22"/>
        </w:rPr>
        <w:t xml:space="preserve">Net Sales” means, on a country-by-country and Product-by-Product basis in the Territory, with respect to any period for each country, the gross amounts invoiced by ReproNovo, or its Affiliates (each, a “Selling Party”), as applicable, to unrelated Third Parties for sales of a Product in the Field in such country, less the following deductions to the extent included in the gross invoiced sales price for such Product or otherwise directly paid, incurred, allowed, accrued or specifically allocated by the Selling Parties with respect to the sale of such Product in such country and not otherwise recovered by or reimbursed to ReproNovo, or its Affiliates: (a) discounts, including trade, quantity or cash discounts, bad debt deductions, credits, adjustments or allowances, including those granted on account of price adjustments, billing errors, rejected goods or damaged goods, which discounts are applied on a basis consistent with the Selling Party's practices with respect to the selling Person’s other pharmaceutical products in accordance with IFRS; (b) rebates and chargebacks allowed, given or accrued (including cash, governmental and managed care rebates, hospital or other buying group chargebacks, cash and non-cash coupons, retroactive price reductions, and governmental taxes in the nature of a rebate based on usage levels or sales of such Product); (c) sales, turnover, inventory, value-added, import, export, excise (including annual fees due under Section 9008 of the United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9</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Fonts w:ascii="Times New Roman" w:hAnsi="Times New Roman"/>
          <w:color w:val="000000"/>
          <w:sz w:val="22"/>
        </w:rPr>
        <w:t xml:space="preserve">States Patient Protection and Affordable Care Act of 2010 (Pub. L. No. 111-48) and other comparable laws) and other taxes levied on, absorbed, determined or imposed with respect to the sale of such Product (excluding income or net profit taxes or franchise taxes of any kind); (d) freight and insurance charges, customs charges, postage, shipping, handling, and other transportation costs incurred in shipping such Product; (e) amounts payable resulting from governmental, regulatory or agency mandated rebate programs and amounts paid or credited to customers for inventory management services; and (f) the portion of any management fees paid during the relevant time period to group purchasing organizations, wholesalers and managed care organizations to the extent determined by sales or utilization of such Product. Net Sales will be determined in accordance with IFRS. Without limiting the generality of the foregoing, transfers or dispositions of a Product at or less than cost of manufacture for charitable, promotional (including samples), pre-clinical, clinical, or regulatory purposes will be excluded from Net Sales, as will sales or transfers of a Product among the Selling Parties. Subject to the above deductions, Net Sales shall be deemed to occur on, and only on, the first sale by a Selling Party to a Third Party. Net Sales shall include any sales (as and to the extent of net cash proceeds received after offset for the deductions described above) made prior to </w:t>
      </w:r>
      <w:bookmarkStart w:id="46" w:name="ole_link2"/>
      <w:bookmarkEnd w:id="46"/>
      <w:r>
        <w:rPr>
          <w:rFonts w:ascii="Times New Roman" w:hAnsi="Times New Roman"/>
          <w:color w:val="000000"/>
          <w:sz w:val="22"/>
        </w:rPr>
        <w:t>receipt of all Regulatory Approvals for the Product in any country, such as so-called “treatment IND sales,” “named patient sales” and “compassionate use sales” and, following receipt of all Regulatory Approvals for the Product in any country, the amount or fair market value of all other consideration received by ReproNovo or its Affiliates in respect of the Product, whether such consideration is in cash, payment in kind, exchange or other form.</w:t>
      </w:r>
      <w:r>
        <w:rPr>
          <w:color w:val="00000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 Product is sold as part of a Combination Product (as defined below), Net Sales will be the product of (i) Net Sales of the Combination Product calculated as above (i.e., calculated as for a non-Combination Product) and (ii) the fraction (A/(A+B)), where:</w:t>
      </w:r>
    </w:p>
    <w:p>
      <w:pPr>
        <w:pStyle w:val="TextBody"/>
        <w:bidi w:val="0"/>
        <w:spacing w:before="0" w:after="220"/>
        <w:jc w:val="both"/>
        <w:rPr>
          <w:color w:val="000000"/>
        </w:rPr>
      </w:pPr>
      <w:r>
        <w:rPr>
          <w:color w:val="000000"/>
        </w:rPr>
        <w:t>“</w:t>
      </w:r>
      <w:r>
        <w:rPr>
          <w:rFonts w:ascii="Times New Roman" w:hAnsi="Times New Roman"/>
          <w:color w:val="000000"/>
          <w:sz w:val="22"/>
        </w:rPr>
        <w:t>A” is the gross invoice price in such country during the period to which the Net Sales calculation relates of the Product comprising the API as the sole therapeutically active ingredient; and</w:t>
      </w:r>
    </w:p>
    <w:p>
      <w:pPr>
        <w:pStyle w:val="TextBody"/>
        <w:bidi w:val="0"/>
        <w:spacing w:before="0" w:after="220"/>
        <w:jc w:val="both"/>
        <w:rPr/>
      </w:pPr>
      <w:r>
        <w:rPr>
          <w:color w:val="000000"/>
        </w:rPr>
        <w:t>“</w:t>
      </w:r>
      <w:r>
        <w:rPr>
          <w:rFonts w:ascii="Times New Roman" w:hAnsi="Times New Roman"/>
          <w:color w:val="000000"/>
          <w:sz w:val="22"/>
        </w:rPr>
        <w:t>B” is the gross invoice price in such country during the period to which the Net Sales calculation relates of the</w:t>
      </w:r>
      <w:r>
        <w:rPr>
          <w:rFonts w:ascii="Times New Roman" w:hAnsi="Times New Roman"/>
          <w:color w:val="000000"/>
          <w:sz w:val="20"/>
        </w:rPr>
        <w:t xml:space="preserve">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10</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other therapeutically active ingredients contained in the Combination Product.</w:t>
      </w:r>
    </w:p>
    <w:p>
      <w:pPr>
        <w:pStyle w:val="TextBody"/>
        <w:bidi w:val="0"/>
        <w:spacing w:before="0" w:after="220"/>
        <w:jc w:val="both"/>
        <w:rPr>
          <w:rFonts w:ascii="Times New Roman" w:hAnsi="Times New Roman"/>
          <w:sz w:val="20"/>
        </w:rPr>
      </w:pPr>
      <w:r>
        <w:rPr>
          <w:rFonts w:ascii="Times New Roman" w:hAnsi="Times New Roman"/>
          <w:color w:val="000000"/>
          <w:sz w:val="22"/>
        </w:rPr>
        <w:t>If “A” or “B” cannot be determined by reference to non-Combination Product sales as described above, then Net Sales will be calculated as above, but the gross invoice price in the above equation shall be determined by mutual agreement reached in good faith by the Parties prior to the end of the accounting period in question based on an equitable method of determining the same that takes into account, in the applicable country, variation in dosage units and the relative fair market value of each therapeutically active ingredient in the Combination Product. As used in this definition of “Net Sales,” “</w:t>
      </w:r>
      <w:r>
        <w:rPr>
          <w:rFonts w:ascii="Times New Roman" w:hAnsi="Times New Roman"/>
          <w:color w:val="000000"/>
          <w:sz w:val="22"/>
          <w:u w:val="single"/>
        </w:rPr>
        <w:t>Combination Product</w:t>
      </w:r>
      <w:r>
        <w:rPr>
          <w:rFonts w:ascii="Times New Roman" w:hAnsi="Times New Roman"/>
          <w:color w:val="000000"/>
          <w:sz w:val="20"/>
        </w:rPr>
        <w:t xml:space="preserve">” </w:t>
      </w:r>
      <w:r>
        <w:rPr>
          <w:rFonts w:ascii="Times New Roman" w:hAnsi="Times New Roman"/>
          <w:color w:val="000000"/>
          <w:sz w:val="22"/>
        </w:rPr>
        <w:t>means a Product that contains one or more additional active ingredients (whether co-formulated or co-packaged);</w:t>
      </w:r>
    </w:p>
    <w:p>
      <w:pPr>
        <w:pStyle w:val="TextBody"/>
        <w:bidi w:val="0"/>
        <w:spacing w:before="0" w:after="220"/>
        <w:jc w:val="both"/>
        <w:rPr>
          <w:color w:val="000000"/>
        </w:rPr>
      </w:pPr>
      <w:r>
        <w:rPr>
          <w:color w:val="000000"/>
        </w:rPr>
        <w:t>“</w:t>
      </w:r>
      <w:r>
        <w:rPr>
          <w:rFonts w:ascii="Times New Roman" w:hAnsi="Times New Roman"/>
          <w:color w:val="000000"/>
          <w:sz w:val="22"/>
        </w:rPr>
        <w:t>Net Sales Report” means the report that shall be provided to Mereo by ReproNovo on a Calendar Quarterly basis in accordance with the terms and conditions of this Agreement. Such report shall include: (i) the sale volumes achieved during such Calendar Quarter in units of Product and turnover, (ii) gross sales, (iii) Net Sales, (iv) details of deductions, and (v) a calculation of the amount of royalty payment due in accordance with Section 4 in respect of such Calendar Quarter, in each case on a country-by-country basis. Turnover, gross sales, Net Sales and deductions shall be provided in both local currency and converted to Dollars in accordance with Section 4.5;</w:t>
      </w:r>
    </w:p>
    <w:p>
      <w:pPr>
        <w:pStyle w:val="TextBody"/>
        <w:bidi w:val="0"/>
        <w:spacing w:before="0" w:after="220"/>
        <w:jc w:val="both"/>
        <w:rPr>
          <w:color w:val="000000"/>
        </w:rPr>
      </w:pPr>
      <w:r>
        <w:rPr>
          <w:color w:val="000000"/>
        </w:rPr>
        <w:t>“</w:t>
      </w:r>
      <w:r>
        <w:rPr>
          <w:rFonts w:ascii="Times New Roman" w:hAnsi="Times New Roman"/>
          <w:color w:val="000000"/>
          <w:sz w:val="22"/>
        </w:rPr>
        <w:t>Novartis APA” means the BGS649 Asset Purchase Agreement between Novartis Pharma AG and Mereo Biopharma 2 Limited, dated 28 July 2015, as amended on 19 October 2018;</w:t>
      </w:r>
    </w:p>
    <w:p>
      <w:pPr>
        <w:pStyle w:val="TextBody"/>
        <w:bidi w:val="0"/>
        <w:spacing w:before="0" w:after="220"/>
        <w:jc w:val="both"/>
        <w:rPr>
          <w:color w:val="000000"/>
        </w:rPr>
      </w:pPr>
      <w:r>
        <w:rPr>
          <w:color w:val="000000"/>
        </w:rPr>
        <w:t>“</w:t>
      </w:r>
      <w:r>
        <w:rPr>
          <w:rFonts w:ascii="Times New Roman" w:hAnsi="Times New Roman"/>
          <w:color w:val="000000"/>
          <w:sz w:val="22"/>
        </w:rPr>
        <w:t>Party” means Mereo or ReproNovo, as the context requires (referred to collectively as the “Parties”);</w:t>
      </w:r>
    </w:p>
    <w:p>
      <w:pPr>
        <w:pStyle w:val="TextBody"/>
        <w:bidi w:val="0"/>
        <w:spacing w:before="0" w:after="220"/>
        <w:jc w:val="both"/>
        <w:rPr>
          <w:color w:val="000000"/>
        </w:rPr>
      </w:pPr>
      <w:r>
        <w:rPr>
          <w:color w:val="000000"/>
        </w:rPr>
        <w:t>“</w:t>
      </w:r>
      <w:r>
        <w:rPr>
          <w:rFonts w:ascii="Times New Roman" w:hAnsi="Times New Roman"/>
          <w:color w:val="000000"/>
          <w:sz w:val="22"/>
        </w:rPr>
        <w:t xml:space="preserve">Patent” means any and all national, regional and international patents and patent applications in the Territory, including any provisional applications, continuations, continuations-in-part, divisionals, substitutions, reissues, re-examinations, revalidations, extensions (including pediatric exclusivity), restorations (including revalidations, reissues and re-examinations), registrations, supplementary protection certificates and renewals of any such patents or patent applications, in each case including (a) any patents, patent applications or provisional applications filed or claiming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11</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priority therefrom, and (b) any patents that have issued or in the future issue therefrom, and in each case that are necessary or useful for the research, development, manufacture, use and/or commercialization of the Product in the Field, including any utility models, petty patents, design patents and certificates of invention;</w:t>
      </w:r>
    </w:p>
    <w:p>
      <w:pPr>
        <w:pStyle w:val="TextBody"/>
        <w:bidi w:val="0"/>
        <w:spacing w:before="0" w:after="220"/>
        <w:jc w:val="both"/>
        <w:rPr/>
      </w:pPr>
      <w:r>
        <w:rPr>
          <w:color w:val="000000"/>
        </w:rPr>
        <w:t>“</w:t>
      </w:r>
      <w:r>
        <w:rPr>
          <w:rFonts w:ascii="Times New Roman" w:hAnsi="Times New Roman"/>
          <w:color w:val="000000"/>
          <w:sz w:val="22"/>
        </w:rPr>
        <w:t>Person”</w:t>
      </w:r>
      <w:r>
        <w:rPr>
          <w:color w:val="000000"/>
        </w:rPr>
        <w:t xml:space="preserve"> </w:t>
      </w:r>
      <w:r>
        <w:rPr>
          <w:rFonts w:ascii="Times New Roman" w:hAnsi="Times New Roman"/>
          <w:color w:val="000000"/>
          <w:sz w:val="22"/>
        </w:rPr>
        <w:t>means an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pStyle w:val="TextBody"/>
        <w:bidi w:val="0"/>
        <w:spacing w:before="0" w:after="220"/>
        <w:jc w:val="both"/>
        <w:rPr>
          <w:color w:val="000000"/>
        </w:rPr>
      </w:pPr>
      <w:r>
        <w:rPr>
          <w:color w:val="000000"/>
        </w:rPr>
        <w:t>“</w:t>
      </w:r>
      <w:r>
        <w:rPr>
          <w:rFonts w:ascii="Times New Roman" w:hAnsi="Times New Roman"/>
          <w:color w:val="000000"/>
          <w:sz w:val="22"/>
        </w:rPr>
        <w:t>Phase II” means a human clinical trial of a Product in any country that would satisfy the requirements of U.S. 21 C.F.R. Part 312.21(b) or a similar clinical study prescribed by the relevant Regulatory Authorities in a country other than the United States;</w:t>
      </w:r>
    </w:p>
    <w:p>
      <w:pPr>
        <w:pStyle w:val="TextBody"/>
        <w:bidi w:val="0"/>
        <w:spacing w:before="0" w:after="220"/>
        <w:jc w:val="both"/>
        <w:rPr>
          <w:color w:val="000000"/>
        </w:rPr>
      </w:pPr>
      <w:r>
        <w:rPr>
          <w:color w:val="000000"/>
        </w:rPr>
        <w:t>“</w:t>
      </w:r>
      <w:r>
        <w:rPr>
          <w:rFonts w:ascii="Times New Roman" w:hAnsi="Times New Roman"/>
          <w:color w:val="000000"/>
          <w:sz w:val="22"/>
        </w:rPr>
        <w:t>Phase III” means a human clinical trial of a Product in any country that would satisfy the requirements of U.S. 21 C.F.R. Part 312.21(c) and is intended to (a) gather additional information about the safety and efficacy of the Product for its intended use, (b) support Regulatory Approval for such Product, or a similar clinical study prescribed by the relevant Regulatory Authorities in a country other than the United States; and (c) such trial is a registration trial sufficient for filing an application for a Regulatory Approval for such Product as evidenced by (i) an agreement with or statement from the FDA on a Special Protocol Assessment or equivalent, or (ii) other guidance or minutes issued by the FDA, or (iii) such agreement, statement, guidance, minutes or similar as may be given by the EMA, for such registration trial;</w:t>
      </w:r>
    </w:p>
    <w:p>
      <w:pPr>
        <w:pStyle w:val="TextBody"/>
        <w:bidi w:val="0"/>
        <w:spacing w:before="0" w:after="220"/>
        <w:jc w:val="both"/>
        <w:rPr>
          <w:color w:val="000000"/>
        </w:rPr>
      </w:pPr>
      <w:r>
        <w:rPr>
          <w:color w:val="000000"/>
        </w:rPr>
        <w:t>“</w:t>
      </w:r>
      <w:r>
        <w:rPr>
          <w:rFonts w:ascii="Times New Roman" w:hAnsi="Times New Roman"/>
          <w:color w:val="000000"/>
          <w:sz w:val="22"/>
        </w:rPr>
        <w:t>Product” means the fully finished pharmaceutical products containing the API for use in the Field. The API is listed in [***];</w:t>
      </w:r>
    </w:p>
    <w:p>
      <w:pPr>
        <w:pStyle w:val="TextBody"/>
        <w:bidi w:val="0"/>
        <w:spacing w:before="0" w:after="220"/>
        <w:jc w:val="both"/>
        <w:rPr>
          <w:color w:val="000000"/>
        </w:rPr>
      </w:pPr>
      <w:r>
        <w:rPr>
          <w:color w:val="000000"/>
        </w:rPr>
        <w:t>“</w:t>
      </w:r>
      <w:r>
        <w:rPr>
          <w:rFonts w:ascii="Times New Roman" w:hAnsi="Times New Roman"/>
          <w:color w:val="000000"/>
          <w:sz w:val="22"/>
        </w:rPr>
        <w:t xml:space="preserve">Regulatory Approval” means the approval, license or authorization of the applicable Regulatory Authority necessary for the marketing and sale of a product for a particular Indication in any country or other jurisdiction in the Territory, including separate pricing or reimbursement approvals where legally required in order to sell the Product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12</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such country (and for clarity does not include named patient approval);</w:t>
      </w:r>
    </w:p>
    <w:p>
      <w:pPr>
        <w:pStyle w:val="TextBody"/>
        <w:bidi w:val="0"/>
        <w:spacing w:before="0" w:after="220"/>
        <w:jc w:val="both"/>
        <w:rPr>
          <w:color w:val="000000"/>
        </w:rPr>
      </w:pPr>
      <w:r>
        <w:rPr>
          <w:color w:val="000000"/>
        </w:rPr>
        <w:t>“</w:t>
      </w:r>
      <w:r>
        <w:rPr>
          <w:rFonts w:ascii="Times New Roman" w:hAnsi="Times New Roman"/>
          <w:color w:val="000000"/>
          <w:sz w:val="22"/>
        </w:rPr>
        <w:t>Regulatory Authorities” means the applicable supra-national, federal, national, regional, state, provincial, governmental, regulatory or health authorities, agencies, departments, commissions or councils in the Territory responsible for granting Regulatory Approvals and otherwise regulating the manufacture , distribution, marketing and sale of pharmaceutical products in the Territory;</w:t>
      </w:r>
    </w:p>
    <w:p>
      <w:pPr>
        <w:pStyle w:val="TextBody"/>
        <w:bidi w:val="0"/>
        <w:spacing w:before="0" w:after="220"/>
        <w:jc w:val="both"/>
        <w:rPr>
          <w:color w:val="000000"/>
        </w:rPr>
      </w:pPr>
      <w:r>
        <w:rPr>
          <w:color w:val="000000"/>
        </w:rPr>
        <w:t>“</w:t>
      </w:r>
      <w:r>
        <w:rPr>
          <w:rFonts w:ascii="Times New Roman" w:hAnsi="Times New Roman"/>
          <w:color w:val="000000"/>
          <w:sz w:val="22"/>
        </w:rPr>
        <w:t>Regulatory Exclusivity” means, with respect to any country or other jurisdiction in the Territory (i) any period of regulatory data protection or equivalent that prevents a Third Party during such period from relying on the data submitted in support of an application for Regulatory Approval for a Product for an application for approval for a generic version of such Product or (ii) an additional market protection, other than Patent protection or Patent-related exclusivity, granted by a Regulatory Authority in such country or other jurisdiction which confers an exclusive commercialisation period during which ReproNovo or its Affiliates or Sublicensees have the exclusive right to market and sell, and any other Third Party is prevented from marketing or selling, the Product or a generic version of such Product in such country or other jurisdiction including orphan drug protection;</w:t>
      </w:r>
    </w:p>
    <w:p>
      <w:pPr>
        <w:pStyle w:val="TextBody"/>
        <w:bidi w:val="0"/>
        <w:spacing w:before="0" w:after="220"/>
        <w:jc w:val="both"/>
        <w:rPr>
          <w:color w:val="000000"/>
        </w:rPr>
      </w:pPr>
      <w:r>
        <w:rPr>
          <w:color w:val="000000"/>
        </w:rPr>
        <w:t>“</w:t>
      </w:r>
      <w:r>
        <w:rPr>
          <w:rFonts w:ascii="Times New Roman" w:hAnsi="Times New Roman"/>
          <w:color w:val="000000"/>
          <w:sz w:val="22"/>
        </w:rPr>
        <w:t>Regulatory Submissions” means all applications (including all INDs and drug approval applications), filings, dossiers and the like submitted to a Regulatory Authority for the purpose of obtaining Regulatory Approval;</w:t>
      </w:r>
    </w:p>
    <w:p>
      <w:pPr>
        <w:pStyle w:val="TextBody"/>
        <w:bidi w:val="0"/>
        <w:spacing w:before="0" w:after="220"/>
        <w:jc w:val="both"/>
        <w:rPr>
          <w:color w:val="000000"/>
        </w:rPr>
      </w:pPr>
      <w:r>
        <w:rPr>
          <w:color w:val="000000"/>
        </w:rPr>
        <w:t>“</w:t>
      </w:r>
      <w:r>
        <w:rPr>
          <w:rFonts w:ascii="Times New Roman" w:hAnsi="Times New Roman"/>
          <w:color w:val="000000"/>
          <w:sz w:val="22"/>
        </w:rPr>
        <w:t>ReproNovo” has the meaning set forth in the preamble of this Agreement;</w:t>
      </w:r>
    </w:p>
    <w:p>
      <w:pPr>
        <w:pStyle w:val="TextBody"/>
        <w:bidi w:val="0"/>
        <w:spacing w:before="0" w:after="220"/>
        <w:jc w:val="both"/>
        <w:rPr>
          <w:color w:val="000000"/>
        </w:rPr>
      </w:pPr>
      <w:r>
        <w:rPr>
          <w:color w:val="000000"/>
        </w:rPr>
        <w:t>“</w:t>
      </w:r>
      <w:r>
        <w:rPr>
          <w:rFonts w:ascii="Times New Roman" w:hAnsi="Times New Roman"/>
          <w:color w:val="000000"/>
          <w:sz w:val="22"/>
        </w:rPr>
        <w:t>ReproNovo Indemnitees” has the meaning set forth in Section 8.2;</w:t>
      </w:r>
    </w:p>
    <w:p>
      <w:pPr>
        <w:pStyle w:val="TextBody"/>
        <w:bidi w:val="0"/>
        <w:spacing w:before="0" w:after="220"/>
        <w:jc w:val="both"/>
        <w:rPr>
          <w:color w:val="000000"/>
        </w:rPr>
      </w:pPr>
      <w:r>
        <w:rPr>
          <w:color w:val="000000"/>
        </w:rPr>
        <w:t>“</w:t>
      </w:r>
      <w:r>
        <w:rPr>
          <w:rFonts w:ascii="Times New Roman" w:hAnsi="Times New Roman"/>
          <w:color w:val="000000"/>
          <w:sz w:val="22"/>
        </w:rPr>
        <w:t>ReproNovo Trade Marks” means the trade mark applications and/or registrations, filed and/or registered in the name of ReproNovo or an Affiliate in the Territory for the Product, or any other trade mark, trade name, brand name, logo, trade dress or domain name of ReproNovo or an Affiliate, whether or not registered, agreed for use in connection with the marketing, distribution and sale of the Product in accordance with Section 11.3 of this Agreement and accepted by the relevant Regulatory Authority for such use and any related domain names;</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13</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0"/>
        <w:jc w:val="both"/>
        <w:rPr>
          <w:color w:val="000000"/>
        </w:rPr>
      </w:pPr>
      <w:r>
        <w:rPr>
          <w:color w:val="000000"/>
        </w:rPr>
        <w:t>“</w:t>
      </w:r>
      <w:r>
        <w:rPr>
          <w:rFonts w:ascii="Times New Roman" w:hAnsi="Times New Roman"/>
          <w:color w:val="000000"/>
          <w:sz w:val="22"/>
        </w:rPr>
        <w:t>Royalty Term” has the meaning set forth in Section 4.3.</w:t>
      </w:r>
    </w:p>
    <w:p>
      <w:pPr>
        <w:pStyle w:val="TextBody"/>
        <w:bidi w:val="0"/>
        <w:spacing w:before="0" w:after="220"/>
        <w:jc w:val="both"/>
        <w:rPr>
          <w:color w:val="000000"/>
        </w:rPr>
      </w:pPr>
      <w:r>
        <w:rPr>
          <w:color w:val="000000"/>
        </w:rPr>
        <w:t>“</w:t>
      </w:r>
      <w:r>
        <w:rPr>
          <w:rFonts w:ascii="Times New Roman" w:hAnsi="Times New Roman"/>
          <w:color w:val="000000"/>
          <w:sz w:val="22"/>
        </w:rPr>
        <w:t>Sublicense Milestone Income” means upfront, development and regulatory payments received by ReproNovo from any Sublicensee; it being understood that the following amounts received from a Sublicensee shall be excluded from Sublicense Milestone Income: (a) royalties and milestones based on sales of Products; (b) net proceeds under a credit facility extended to ReproNovo, but only to the extent said credit facility is at a market rate; (c) direct cost reimbursement for (i) any supply of Products by or on behalf of ReproNovo, or (ii) reimbursement of the reasonable costs of any research or development activities for Products that ReproNovo will perform on behalf of a Sublicensee; (d) reimbursement of actual out-of-pocket patent prosecution and patent maintenance expenses; and (e) net proceeds resulting from any sale of any securities of ReproNovo to Sublicensees up to the fair-market valuation of said securities on the date of closing;</w:t>
      </w:r>
    </w:p>
    <w:p>
      <w:pPr>
        <w:pStyle w:val="TextBody"/>
        <w:bidi w:val="0"/>
        <w:spacing w:before="0" w:after="220"/>
        <w:jc w:val="both"/>
        <w:rPr/>
      </w:pPr>
      <w:r>
        <w:rPr>
          <w:color w:val="000000"/>
        </w:rPr>
        <w:t>“</w:t>
      </w:r>
      <w:r>
        <w:rPr>
          <w:rFonts w:ascii="Times New Roman" w:hAnsi="Times New Roman"/>
          <w:color w:val="000000"/>
          <w:sz w:val="22"/>
        </w:rPr>
        <w:t>Sublicensee”</w:t>
      </w:r>
      <w:r>
        <w:rPr>
          <w:color w:val="000000"/>
        </w:rPr>
        <w:t xml:space="preserve"> </w:t>
      </w:r>
      <w:r>
        <w:rPr>
          <w:rFonts w:ascii="Times New Roman" w:hAnsi="Times New Roman"/>
          <w:color w:val="000000"/>
          <w:sz w:val="22"/>
        </w:rPr>
        <w:t>means a Third Party (other than a Distributor) with whom ReproNovo enters into a Third Party Sublicense pursuant to which ReproNovo sublicenses rights granted by Mereo to ReproNovo under this Agreement or any other rights to commercialize the Product;</w:t>
      </w:r>
    </w:p>
    <w:p>
      <w:pPr>
        <w:pStyle w:val="TextBody"/>
        <w:bidi w:val="0"/>
        <w:spacing w:before="0" w:after="220"/>
        <w:jc w:val="both"/>
        <w:rPr>
          <w:color w:val="000000"/>
        </w:rPr>
      </w:pPr>
      <w:r>
        <w:rPr>
          <w:color w:val="000000"/>
        </w:rPr>
        <w:t>“</w:t>
      </w:r>
      <w:r>
        <w:rPr>
          <w:rFonts w:ascii="Times New Roman" w:hAnsi="Times New Roman"/>
          <w:color w:val="000000"/>
          <w:sz w:val="22"/>
        </w:rPr>
        <w:t>Summary Development Plan” means the summary plan for the development of the Product, including all material development work to be performed, clinical trials, a schedule of when milestones are anticipated to be triggered, and any other key issues related to development. As at the Effective Date, the Summary Development Plan shall be the plan in [***];</w:t>
      </w:r>
    </w:p>
    <w:p>
      <w:pPr>
        <w:pStyle w:val="TextBody"/>
        <w:bidi w:val="0"/>
        <w:spacing w:before="0" w:after="220"/>
        <w:jc w:val="both"/>
        <w:rPr>
          <w:color w:val="000000"/>
        </w:rPr>
      </w:pPr>
      <w:r>
        <w:rPr>
          <w:color w:val="000000"/>
        </w:rPr>
        <w:t>“</w:t>
      </w:r>
      <w:r>
        <w:rPr>
          <w:rFonts w:ascii="Times New Roman" w:hAnsi="Times New Roman"/>
          <w:color w:val="000000"/>
          <w:sz w:val="22"/>
        </w:rPr>
        <w:t>Term” shall have the meaning set forth in Section 14.1;</w:t>
      </w:r>
    </w:p>
    <w:p>
      <w:pPr>
        <w:pStyle w:val="TextBody"/>
        <w:bidi w:val="0"/>
        <w:spacing w:before="0" w:after="220"/>
        <w:jc w:val="both"/>
        <w:rPr>
          <w:color w:val="000000"/>
        </w:rPr>
      </w:pPr>
      <w:r>
        <w:rPr>
          <w:color w:val="000000"/>
        </w:rPr>
        <w:t>“</w:t>
      </w:r>
      <w:r>
        <w:rPr>
          <w:rFonts w:ascii="Times New Roman" w:hAnsi="Times New Roman"/>
          <w:color w:val="000000"/>
          <w:sz w:val="22"/>
        </w:rPr>
        <w:t>Territory” means worldwide;</w:t>
      </w:r>
    </w:p>
    <w:p>
      <w:pPr>
        <w:pStyle w:val="TextBody"/>
        <w:bidi w:val="0"/>
        <w:spacing w:before="0" w:after="220"/>
        <w:jc w:val="both"/>
        <w:rPr>
          <w:color w:val="000000"/>
        </w:rPr>
      </w:pPr>
      <w:r>
        <w:rPr>
          <w:color w:val="000000"/>
        </w:rPr>
        <w:t>“</w:t>
      </w:r>
      <w:r>
        <w:rPr>
          <w:rFonts w:ascii="Times New Roman" w:hAnsi="Times New Roman"/>
          <w:color w:val="000000"/>
          <w:sz w:val="22"/>
        </w:rPr>
        <w:t>Third Party” means an entity other than Mereo or ReproNovo or their Affiliates;</w:t>
      </w:r>
    </w:p>
    <w:p>
      <w:pPr>
        <w:pStyle w:val="TextBody"/>
        <w:bidi w:val="0"/>
        <w:spacing w:before="0" w:after="220"/>
        <w:jc w:val="both"/>
        <w:rPr>
          <w:color w:val="000000"/>
        </w:rPr>
      </w:pPr>
      <w:r>
        <w:rPr>
          <w:color w:val="000000"/>
        </w:rPr>
        <w:t>“</w:t>
      </w:r>
      <w:r>
        <w:rPr>
          <w:rFonts w:ascii="Times New Roman" w:hAnsi="Times New Roman"/>
          <w:color w:val="000000"/>
          <w:sz w:val="22"/>
        </w:rPr>
        <w:t xml:space="preserve">Valid Claim” means, with respect to a particular country, (a) a claim of a pending Patent claiming priority from any Patent that has been pending for no more than seven (7) years in Japan and five (5) years in all other countries, following the earliest priority filing date for such Patent and that has not been abandoned, finally rejected or expired without the possibility of appeal or refiling or (b) a claim of an issued and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14</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unexpired Patent that has not been held permanently revoked, held unenforceable or invalid by a decision of a court or other governmental authority of competent jurisdiction, which decision is unappealed or unappealable within the time allowed for appeal and has not been irretrievably cancelled, withdrawn, abandoned, disclaimed or admitted to be invalid or unenforceable through reissue, disclaimer or otherwise. For clarity, a claim of a Patent that ceased to be a Valid Claim before it issued because it had been pending too long, but subsequently issued and is otherwise described by clause (a) of the foregoing sentence shall again be considered to be a Valid Claim once it issues. A Product is “Covered” by a Valid Claim if its registration, manufacture, use, sale, offer for sale, marketing, commercialization , distribution, importation or exportation by ReproNovo in a given country in the Territory would, but for the rights granted by Mereo to ReproNovo under this Agreement, infringe such a Valid Claim.</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this Agreement, unless the context requires otherwise: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references to Sections and Schedules are to Sections of and Schedules to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references to the singular shall include the plural and vice versa;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Schedules will have the same force and effect as if expressly set out in the body of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headings are inserted for convenience only and shall not affect the construction or interpretation of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words “including” or “includes” mean “including (or includes) without limitation”;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reference to any legislation or law or to any provision thereof shall include references to any such law as it may, after the date hereof, from time to time, be amended, supplemented or re-enacted, and any reference to statutory provision shall include any subordinate legislation made from time to time under that provision;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when any number of days is prescribed in any document, the time period shall start on the next Business Day after the occurrence of the specified event. If the last day does not fall on a Business Day, then the last day shall be the next succeeding day which is a Business Day;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all references to “Dollars” or “$” shall be deemed to be references to the lawful currency of the United States.</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15</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2.</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GRANT OF RIGHTS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20"/>
        <w:jc w:val="both"/>
        <w:rPr/>
      </w:pPr>
      <w:r>
        <w:rPr>
          <w:rFonts w:ascii="Times New Roman" w:hAnsi="Times New Roman"/>
          <w:color w:val="000000"/>
          <w:sz w:val="22"/>
          <w:u w:val="single"/>
        </w:rPr>
        <w:t>License to ReproNovo</w:t>
      </w:r>
      <w:r>
        <w:rPr>
          <w:rFonts w:ascii="Times New Roman" w:hAnsi="Times New Roman"/>
          <w:color w:val="000000"/>
          <w:sz w:val="22"/>
        </w:rPr>
        <w:t>. Subject to the terms and conditions hereunder, Mereo hereby grants ReproNovo an exclusive license (exclusive even as to Mereo and its Affiliates), sublicensable (with right of sublicense through multiple tiers), in and to the Mereo Intellectual Property solely for the development, manufacture, importation, promotion and commercialization of the Product, in the Field in the Territory (collectively, the “</w:t>
      </w:r>
      <w:r>
        <w:rPr>
          <w:rFonts w:ascii="Times New Roman" w:hAnsi="Times New Roman"/>
          <w:color w:val="000000"/>
          <w:sz w:val="22"/>
          <w:u w:val="single"/>
        </w:rPr>
        <w:t>License</w:t>
      </w:r>
      <w:r>
        <w:rPr>
          <w:color w:val="000000"/>
        </w:rPr>
        <w:t>”</w:t>
      </w:r>
      <w:r>
        <w:rPr>
          <w:rFonts w:ascii="Times New Roman" w:hAnsi="Times New Roman"/>
          <w:color w:val="000000"/>
          <w:sz w:val="22"/>
        </w:rPr>
        <w:t>). ReproNovo shall provide Mereo with copies of any material regulatory submissions to, and material communications with, any Regulatory Authorities in the Territory to the extent relating to advertising and promotional materials for the Product in the Territory.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20"/>
        <w:jc w:val="both"/>
        <w:rPr/>
      </w:pPr>
      <w:r>
        <w:rPr>
          <w:rFonts w:ascii="Times New Roman" w:hAnsi="Times New Roman"/>
          <w:color w:val="000000"/>
          <w:sz w:val="22"/>
          <w:u w:val="single"/>
        </w:rPr>
        <w:t>Sublicenses</w:t>
      </w:r>
      <w:r>
        <w:rPr>
          <w:rFonts w:ascii="Times New Roman" w:hAnsi="Times New Roman"/>
          <w:color w:val="000000"/>
          <w:sz w:val="22"/>
        </w:rPr>
        <w:t>. ReproNovo will have the right to grant sublicenses to its Affiliates and Third Parties of any and all rights granted to ReproNovo pursuant to Section 2.1. ReproNovo will provide Mereo with a copy of each agreement containing any such sublicense within thirty (30) days of execution, with no more than reasonable redactions that will enable Mereo to reasonably monitor compliance with the terms and conditions of this Agreement. Any such sublicense shall be consistent with the terms of this Agreement and will include confidentiality, non-disclosure and non-use provisions at least as restrictive or protective of the Parties as those set forth in this Agreement. ReproNovo will ensure that each Sublicensee complies with the terms of this Agreement. No sublicense will diminish, reduce or eliminate any obligation of ReproNovo under this Agreement, and ReproNovo will remain responsible for its obligations under this Agreement and will be responsible for the performance of the relevant Sublicensee as if such Sublicensee were the Party hereunder (including, without limitation, reporting obligations imposed upon ReproNovo in accordance with this Agreement). Each sublicense granted by ReproNovo, as the sublicensing Party, to any rights licensed to it hereunder will terminate immediately upon the termination of the original license with respect to such rights.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20"/>
        <w:jc w:val="both"/>
        <w:rPr/>
      </w:pPr>
      <w:r>
        <w:rPr>
          <w:rFonts w:ascii="Times New Roman" w:hAnsi="Times New Roman"/>
          <w:color w:val="000000"/>
          <w:sz w:val="22"/>
          <w:u w:val="single"/>
        </w:rPr>
        <w:t>Cooperation</w:t>
      </w:r>
      <w:r>
        <w:rPr>
          <w:rFonts w:ascii="Times New Roman" w:hAnsi="Times New Roman"/>
          <w:color w:val="000000"/>
          <w:sz w:val="22"/>
        </w:rPr>
        <w:t>. Each Party shall cooperate with the other and execute and deliver to the other such instruments and documents and take such other actions as may be reasonably requested by the other Party from time to time in order to carry out, give effect to or confirm the rights granted under Section 2.1 above.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20"/>
        <w:jc w:val="both"/>
        <w:rPr/>
      </w:pPr>
      <w:r>
        <w:rPr>
          <w:rFonts w:ascii="Times New Roman" w:hAnsi="Times New Roman"/>
          <w:color w:val="000000"/>
          <w:sz w:val="22"/>
          <w:u w:val="single"/>
        </w:rPr>
        <w:t>License Rights</w:t>
      </w:r>
      <w:r>
        <w:rPr>
          <w:rFonts w:ascii="Times New Roman" w:hAnsi="Times New Roman"/>
          <w:color w:val="000000"/>
          <w:sz w:val="22"/>
        </w:rPr>
        <w:t>. Neither Party grants to the other Party any right or license to use any of its Intellectual Property Rights, Know-How or other confidential and/or proprietary information, materials or technology, or to practice any of its Patents or trade marks, except as expressly set forth in this Agreement.</w:t>
      </w:r>
    </w:p>
    <w:p>
      <w:pPr>
        <w:pStyle w:val="TextBody"/>
        <w:bidi w:val="0"/>
        <w:spacing w:before="0" w:after="220"/>
        <w:jc w:val="both"/>
        <w:rPr>
          <w:rFonts w:ascii="Times New Roman" w:hAnsi="Times New Roman"/>
          <w:sz w:val="20"/>
        </w:rPr>
      </w:pP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3.</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REGULATORY APPROVAL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20"/>
        <w:jc w:val="both"/>
        <w:rPr/>
      </w:pPr>
      <w:r>
        <w:rPr>
          <w:rFonts w:ascii="Times New Roman" w:hAnsi="Times New Roman"/>
          <w:color w:val="000000"/>
          <w:sz w:val="22"/>
          <w:u w:val="single"/>
        </w:rPr>
        <w:t>Transfer of Regulatory Approvals and Regulatory Submissions</w:t>
      </w:r>
      <w:r>
        <w:rPr>
          <w:rFonts w:ascii="Times New Roman" w:hAnsi="Times New Roman"/>
          <w:color w:val="000000"/>
          <w:sz w:val="22"/>
        </w:rPr>
        <w:t xml:space="preserve">. Within sixty (60) days following the Effective Date, Mereo shall transfer ownership to ReproNovo of any and all Regulatory Submissions and Regulatory Approvals (including the IND and any foreign counterpart thereof) for the Product in the Field in the Territory (and transfer all related correspondence to and from such Regulatory Authorities), and thereafter ReproNovo (or its designee) shall file and hold title to all Regulatory Submissions and Regulatory Approvals and supplements thereto relating to the Product in the Field in the Territory. In the event of failure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16</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to assign such Regulatory Submissions and Regulatory Approvals to ReproNovo as required by this Section 3.1, Mereo hereby consents and grants to ReproNovo the right to access and reference (without any further action required on the part of Mereo, whose authorization to file this consent with any Regulatory Authority is hereby granted) any such Regulatory Submissions and Regulatory Approvals for the purposes of developing and commercializing the Product in the Field in the Territory.</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20"/>
        <w:jc w:val="both"/>
        <w:rPr/>
      </w:pPr>
      <w:r>
        <w:rPr>
          <w:rFonts w:ascii="Times New Roman" w:hAnsi="Times New Roman"/>
          <w:color w:val="000000"/>
          <w:sz w:val="22"/>
          <w:u w:val="single"/>
        </w:rPr>
        <w:t>Additional ReproNovo Regulatory Obligations</w:t>
      </w:r>
      <w:r>
        <w:rPr>
          <w:rFonts w:ascii="Times New Roman" w:hAnsi="Times New Roman"/>
          <w:color w:val="000000"/>
          <w:sz w:val="22"/>
        </w:rPr>
        <w:t xml:space="preserve">. As of the Effective Date, ReproNovo will be responsible for (a) determining the regulatory plans and strategies for the Product, (b) either itself or through its Affiliates or Sublicensees, making all Regulatory Submissions with respect to the Products, and (c) making, obtaining and maintaining Regulatory Submissions and Regulatory Approvals in its name or that of its Affiliates or licensees, in each case, to the extent, and in a manner consistent with, Commercially Reasonable Efforts.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20"/>
        <w:jc w:val="both"/>
        <w:rPr/>
      </w:pPr>
      <w:r>
        <w:rPr>
          <w:rFonts w:ascii="Times New Roman" w:hAnsi="Times New Roman"/>
          <w:color w:val="000000"/>
          <w:sz w:val="22"/>
          <w:u w:val="single"/>
        </w:rPr>
        <w:t>Cooperation</w:t>
      </w:r>
      <w:r>
        <w:rPr>
          <w:rFonts w:ascii="Times New Roman" w:hAnsi="Times New Roman"/>
          <w:color w:val="000000"/>
          <w:sz w:val="22"/>
        </w:rPr>
        <w:t>. Mereo shall provide, at ReproNovo's cost, reasonably required documents (to the extent in the possession or Control of Mereo) to ReproNovo for use in making Regulatory Submissions to Regulatory Authorities for the Product in the Field in the Territory and maintaining such Regulatory Approvals.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20"/>
        <w:jc w:val="both"/>
        <w:rPr/>
      </w:pPr>
      <w:r>
        <w:rPr>
          <w:rFonts w:ascii="Times New Roman" w:hAnsi="Times New Roman"/>
          <w:color w:val="000000"/>
          <w:sz w:val="22"/>
          <w:u w:val="single"/>
        </w:rPr>
        <w:t>Correspondence from a Regulatory Authority</w:t>
      </w:r>
      <w:r>
        <w:rPr>
          <w:rFonts w:ascii="Times New Roman" w:hAnsi="Times New Roman"/>
          <w:color w:val="000000"/>
          <w:sz w:val="22"/>
        </w:rPr>
        <w:t xml:space="preserve">. Each Party shall promptly (and in any event, within fifteen (15) calendar days of the date of receipt of notice) notify the other Party in writing of, and shall provide the other Party with copies of, any material correspondence received from a Regulatory Authority in the Territory relating to the Product. In the event that a Party receives any material regulatory letter relating to the Product requiring a response, the other Party will reasonably cooperate with the receiving Party in preparing such response and will promptly provide the receiving Party with any data or information in its possession required by the receiving Party in preparing any such response.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220"/>
        <w:jc w:val="both"/>
        <w:rPr/>
      </w:pPr>
      <w:r>
        <w:rPr>
          <w:rFonts w:ascii="Times New Roman" w:hAnsi="Times New Roman"/>
          <w:color w:val="000000"/>
          <w:sz w:val="22"/>
          <w:u w:val="single"/>
        </w:rPr>
        <w:t>Mereo Intellectual Property and Materials Transfer</w:t>
      </w:r>
      <w:r>
        <w:rPr>
          <w:rFonts w:ascii="Times New Roman" w:hAnsi="Times New Roman"/>
          <w:color w:val="000000"/>
          <w:sz w:val="22"/>
        </w:rPr>
        <w:t xml:space="preserve">. Within a reasonable time not to exceed sixty (60) days following the Effective Date, Mereo will (a) disclose to ReproNovo true, accurate and complete copies of all Mereo Intellectual Property reasonably considered by Mereo to be necessary for the development and commercialisation of the Product in the Field, in each case to the extent developed on or prior to the Effective Date and in its current (electronic or other) format as ReproNovo may reasonably request (including by download of digital files to a secure website or e-room designated and controlled by ReproNovo, or transfer of hard copies of any documents not in electronic format), and (b) assign to ReproNovo all written agreements with Third Parties regarding the Product, or where such agreements are not freely assignable or not solely related to the Product, cooperate with ReproNovo to transfer or otherwise replace such agreement with the Third Party (provided that Mereo shall remain liable for liabilities related to any breaches, defaults acts or omissions occurring prior to the date of such transfer). Within a reasonable time not to exceed sixty (60) days from the Effective Date, Mereo will furnish to ReproNovo any tangible materials Controlled by Mereo that relate to or embody the Product, including research grade samples of all Product discovered or developed by Mereo prior to the Effective Date, as set out in [***]. ReproNovo acknowledges and accepts that any Tangible Materials provided by Mereo under this Agreement are provided in their condition and form as at the Effective Date; Mereo gives no warranty or representation as to the suitability of such Tangible Materials for any given purpose. On a Calendar Quarter basis, or more frequently at the reasonable request of ReproNovo during the Term, Mereo, to the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17</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 xml:space="preserve">extent not previously provided to ReproNovo, will provide to ReproNovo a written summary of all Mereo Intellectual Property that comes into the Control of Mereo and/or its Affiliates (except by virtue of Acquired Affiliates) following the Effective Date that relates to the development of the Product. Further, Mereo will make appropriate personnel (directly, or through an Affiliate) available to ReproNovo at reasonable times and places in a way that does not require Mereo to form a permanent establishment in any jurisdiction outside of the UK, including in the United States of America for US tax purposes, and upon reasonable prior notice for the purpose of assisting ReproNovo to understand and use the Mereo Intellectual Property for the Product, </w:t>
      </w:r>
      <w:r>
        <w:rPr>
          <w:rFonts w:ascii="Times New Roman" w:hAnsi="Times New Roman"/>
          <w:i/>
          <w:color w:val="000000"/>
          <w:sz w:val="22"/>
        </w:rPr>
        <w:t>provided</w:t>
      </w:r>
      <w:r>
        <w:rPr>
          <w:color w:val="000000"/>
        </w:rPr>
        <w:t xml:space="preserve"> </w:t>
      </w:r>
      <w:r>
        <w:rPr>
          <w:rFonts w:ascii="Times New Roman" w:hAnsi="Times New Roman"/>
          <w:color w:val="000000"/>
          <w:sz w:val="22"/>
        </w:rPr>
        <w:t>that Mereo's obligation to provide assistance in accordance with this Section shall be limited to: (a) the provision of assistance during the first sixty (60) days following the Effective Date, and (b) following the expiration of such period, Mereo shall provide up to [***] of further assistance, of which the initial [***] shall be at Mereo’s cost and the remaining hours shall be at ReproNovo's cost. Mereo shall provide to ReproNovo copies of all clinical data and results from any and all completed clinical trials for the Product (“</w:t>
      </w:r>
      <w:r>
        <w:rPr>
          <w:rFonts w:ascii="Times New Roman" w:hAnsi="Times New Roman"/>
          <w:color w:val="000000"/>
          <w:sz w:val="22"/>
          <w:u w:val="single"/>
        </w:rPr>
        <w:t>Clinical Data</w:t>
      </w:r>
      <w:r>
        <w:rPr>
          <w:color w:val="000000"/>
        </w:rPr>
        <w:t>”</w:t>
      </w:r>
      <w:r>
        <w:rPr>
          <w:rFonts w:ascii="Times New Roman" w:hAnsi="Times New Roman"/>
          <w:color w:val="000000"/>
          <w:sz w:val="22"/>
        </w:rPr>
        <w:t>), in electronic form or other mutually agreeable alternate form within sixty (60) days following the Effective Date. Mereo will also provide to ReproNovo copies of all manufacturing data in its possession, in electronic form or other mutually agreeable alternate form within sixty (60) days following the Effective Date, and facilitate access to any Third Party subcontractors (such as CMOs) for access to manufacturing data in their possession.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3.6</w:t>
      </w:r>
    </w:p>
    <w:p>
      <w:pPr>
        <w:pStyle w:val="TextBody"/>
        <w:bidi w:val="0"/>
        <w:spacing w:before="0" w:after="220"/>
        <w:jc w:val="both"/>
        <w:rPr/>
      </w:pPr>
      <w:r>
        <w:rPr>
          <w:rFonts w:ascii="Times New Roman" w:hAnsi="Times New Roman"/>
          <w:color w:val="000000"/>
          <w:sz w:val="22"/>
          <w:u w:val="single"/>
        </w:rPr>
        <w:t>Data Sharing</w:t>
      </w:r>
      <w:r>
        <w:rPr>
          <w:rFonts w:ascii="Times New Roman" w:hAnsi="Times New Roman"/>
          <w:color w:val="000000"/>
          <w:sz w:val="22"/>
        </w:rPr>
        <w:t xml:space="preserve">. As of the Effective Date, the Parties have agreed and entered into a data processing agreement to govern the sharing of any personal data (EU General Data Protection Regulation) including any applicable clinical data, in accordance with Applicable Law.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4.</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FINANCIAL TERMS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20"/>
        <w:jc w:val="both"/>
        <w:rPr/>
      </w:pPr>
      <w:r>
        <w:rPr>
          <w:rFonts w:ascii="Times New Roman" w:hAnsi="Times New Roman"/>
          <w:color w:val="000000"/>
          <w:sz w:val="22"/>
          <w:u w:val="single"/>
        </w:rPr>
        <w:t>Upfront Payments</w:t>
      </w:r>
      <w:r>
        <w:rPr>
          <w:rFonts w:ascii="Times New Roman" w:hAnsi="Times New Roman"/>
          <w:color w:val="000000"/>
          <w:sz w:val="22"/>
        </w:rPr>
        <w:t xml:space="preserve">. In consideration for the exclusive rights granted by Mereo to ReproNovo under the Mereo Intellectual Property to develop, distribute, market and sell the Product in the Field in the Territory pursuant to Section 2.1, and in consideration of Mereo’s investment in the Mereo Intellectual Property and Tangible Materials, ReproNovo hereby agrees to pay Mereo a non-refundable, non-creditable payment of [***] within ten (10) days of the Effective Date.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20"/>
        <w:jc w:val="both"/>
        <w:rPr/>
      </w:pPr>
      <w:r>
        <w:rPr>
          <w:rFonts w:ascii="Times New Roman" w:hAnsi="Times New Roman"/>
          <w:color w:val="000000"/>
          <w:sz w:val="22"/>
          <w:u w:val="single"/>
        </w:rPr>
        <w:t>Milestones</w:t>
      </w:r>
      <w:r>
        <w:rPr>
          <w:rFonts w:ascii="Times New Roman" w:hAnsi="Times New Roman"/>
          <w:color w:val="000000"/>
          <w:sz w:val="22"/>
        </w:rPr>
        <w:t>. Subject to Section 4.4.5 below, ReproNovo shall promptly notify Mereo in writing of the occurrence of the milestone triggers, set out in the following tables. ReproNovo shall pay Mereo the applicable milestone payments set forth in this Section 4.2 (each, a “</w:t>
      </w:r>
      <w:r>
        <w:rPr>
          <w:rFonts w:ascii="Times New Roman" w:hAnsi="Times New Roman"/>
          <w:color w:val="000000"/>
          <w:sz w:val="22"/>
          <w:u w:val="single"/>
        </w:rPr>
        <w:t>Milestone Payment</w:t>
      </w:r>
      <w:r>
        <w:rPr>
          <w:color w:val="000000"/>
        </w:rPr>
        <w:t>”</w:t>
      </w:r>
      <w:r>
        <w:rPr>
          <w:rFonts w:ascii="Times New Roman" w:hAnsi="Times New Roman"/>
          <w:color w:val="000000"/>
          <w:sz w:val="22"/>
        </w:rPr>
        <w:t xml:space="preserve">) within thirty (30) days following satisfaction of the conditions to payment set forth in this Section 4.2 by ReproNovo, its Affiliates or their Sublicensees. The Parties understand and agree that each Milestone Payment will be made one time only upon the first realization of the relevant conditions set forth in this Section 4.2. The applicable Milestone Payment shall become payable in accordance with this Section 4.2 when the relevant milestone trigger occurs, as provided for in the following tables. For clarity: (a) in the event that in a given Calendar Year more than one (1) Milestone Payment becomes payable, ReproNovo shall pay to Mereo a separate Milestone Payment with respect to each such milestone (e.g. in the event that both the first and second Sales Milestone thresholds are exceeded in a Calendar Year, both such Milestone Payments shall be payable); and (b) Milestone Payments shall be triggered by the occurrence of the applicable milestone trigger, whether or not the milestone triggers occur in the sequence provided in the following tables. Notwithstanding the foregoing, if, for any reason,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18</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a milestone trigger corresponding to a Milestone Payment in this Section 4.2 does not occur prior to the occurrence of the next sequential milestone trigger in the applicable table, and such later milestone precludes the necessity to achieve the earlier milestone trigger (e.g. a submission of NDA milestone occurs and the milestone for Completion of Enrolment of a Phase III trial has not occurred), then such prior non-occurring milestone trigger shall be deemed to occur concurrently with the occurrence of such next sequential milestone trigger and the applicable Milestone Payment not previously paid shall be paid at the same time.</w:t>
      </w:r>
      <w:r>
        <w:rPr>
          <w:color w:val="000000"/>
        </w:rPr>
        <w:t xml:space="preserve"> </w:t>
      </w:r>
    </w:p>
    <w:p>
      <w:pPr>
        <w:pStyle w:val="TextBody"/>
        <w:bidi w:val="0"/>
        <w:spacing w:before="0" w:after="220"/>
        <w:jc w:val="both"/>
        <w:rPr>
          <w:rFonts w:ascii="Times New Roman" w:hAnsi="Times New Roman"/>
          <w:sz w:val="20"/>
        </w:rPr>
      </w:pPr>
      <w:r>
        <w:rPr>
          <w:rFonts w:ascii="Times New Roman" w:hAnsi="Times New Roman"/>
          <w:color w:val="000000"/>
          <w:sz w:val="22"/>
          <w:u w:val="single"/>
        </w:rPr>
        <w:t>General Milestones (subject to Section 4.4.5 below)</w:t>
      </w:r>
      <w:r>
        <w:rPr>
          <w:rFonts w:ascii="Times New Roman" w:hAnsi="Times New Roman"/>
          <w:color w:val="000000"/>
          <w:sz w:val="22"/>
        </w:rPr>
        <w:t>:</w:t>
      </w:r>
    </w:p>
    <w:tbl>
      <w:tblPr>
        <w:tblW w:w="10083" w:type="dxa"/>
        <w:jc w:val="left"/>
        <w:tblInd w:w="0" w:type="dxa"/>
        <w:tblLayout w:type="fixed"/>
        <w:tblCellMar>
          <w:top w:w="28" w:type="dxa"/>
          <w:left w:w="28" w:type="dxa"/>
          <w:bottom w:w="28" w:type="dxa"/>
          <w:right w:w="28" w:type="dxa"/>
        </w:tblCellMar>
      </w:tblPr>
      <w:tblGrid>
        <w:gridCol w:w="466"/>
        <w:gridCol w:w="7321"/>
        <w:gridCol w:w="2296"/>
      </w:tblGrid>
      <w:tr>
        <w:trPr/>
        <w:tc>
          <w:tcPr>
            <w:tcW w:w="466" w:type="dxa"/>
            <w:tcBorders/>
            <w:vAlign w:val="center"/>
          </w:tcPr>
          <w:p>
            <w:pPr>
              <w:pStyle w:val="TableContents"/>
              <w:bidi w:val="0"/>
              <w:spacing w:before="0" w:after="283"/>
              <w:jc w:val="left"/>
              <w:rPr>
                <w:sz w:val="4"/>
                <w:szCs w:val="4"/>
              </w:rPr>
            </w:pPr>
            <w:r>
              <w:rPr>
                <w:sz w:val="4"/>
                <w:szCs w:val="4"/>
              </w:rPr>
            </w:r>
          </w:p>
        </w:tc>
        <w:tc>
          <w:tcPr>
            <w:tcW w:w="7321"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4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w:t>
            </w:r>
          </w:p>
        </w:tc>
        <w:tc>
          <w:tcPr>
            <w:tcW w:w="73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General Milestone Trigger by ReproNovo, its Affiliates or their Sublicensees:</w:t>
            </w:r>
          </w:p>
          <w:p>
            <w:pPr>
              <w:pStyle w:val="TableContents"/>
              <w:bidi w:val="0"/>
              <w:spacing w:before="0" w:after="283"/>
              <w:jc w:val="both"/>
              <w:rPr/>
            </w:pPr>
            <w:r>
              <w:rPr/>
              <w:t> </w:t>
            </w:r>
          </w:p>
        </w:tc>
        <w:tc>
          <w:tcPr>
            <w:tcW w:w="22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Milestone Payment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83"/>
              <w:ind w:left="0" w:right="0" w:hanging="360"/>
              <w:jc w:val="both"/>
              <w:rPr/>
            </w:pPr>
            <w:r>
              <w:rPr/>
              <w:t> </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pPr>
            <w:r>
              <w:rPr/>
              <w:t> </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pPr>
            <w:r>
              <w:rPr/>
              <w:t> </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1</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4</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5</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6</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7</w:t>
            </w:r>
          </w:p>
        </w:tc>
        <w:tc>
          <w:tcPr>
            <w:tcW w:w="7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bl>
    <w:p>
      <w:pPr>
        <w:pStyle w:val="TextBody"/>
        <w:bidi w:val="0"/>
        <w:spacing w:before="0" w:after="220"/>
        <w:jc w:val="both"/>
        <w:rPr/>
      </w:pPr>
      <w:r>
        <w:rPr/>
        <w:t> </w:t>
      </w:r>
    </w:p>
    <w:tbl>
      <w:tblPr>
        <w:tblW w:w="1518" w:type="dxa"/>
        <w:jc w:val="left"/>
        <w:tblInd w:w="0" w:type="dxa"/>
        <w:tblLayout w:type="fixed"/>
        <w:tblCellMar>
          <w:top w:w="28" w:type="dxa"/>
          <w:left w:w="28" w:type="dxa"/>
          <w:bottom w:w="28" w:type="dxa"/>
          <w:right w:w="28" w:type="dxa"/>
        </w:tblCellMar>
      </w:tblPr>
      <w:tblGrid>
        <w:gridCol w:w="241"/>
        <w:gridCol w:w="616"/>
        <w:gridCol w:w="661"/>
      </w:tblGrid>
      <w:tr>
        <w:trPr/>
        <w:tc>
          <w:tcPr>
            <w:tcW w:w="24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24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8</w:t>
            </w:r>
          </w:p>
        </w:tc>
        <w:tc>
          <w:tcPr>
            <w:tcW w:w="61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66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24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9</w:t>
            </w:r>
          </w:p>
        </w:tc>
        <w:tc>
          <w:tcPr>
            <w:tcW w:w="61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66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bl>
    <w:p>
      <w:pPr>
        <w:pStyle w:val="TextBody"/>
        <w:bidi w:val="0"/>
        <w:spacing w:before="0" w:after="220"/>
        <w:jc w:val="both"/>
        <w:rPr/>
      </w:pPr>
      <w:r>
        <w:rPr/>
        <w:t> </w:t>
      </w:r>
    </w:p>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2"/>
          <w:u w:val="single"/>
        </w:rPr>
        <w:t>Sales Milestones (subject to Section 4.4.5 below)</w:t>
      </w:r>
      <w:r>
        <w:rPr>
          <w:rFonts w:ascii="Times New Roman" w:hAnsi="Times New Roman"/>
          <w:color w:val="000000"/>
          <w:sz w:val="22"/>
        </w:rPr>
        <w:t>:</w:t>
      </w:r>
    </w:p>
    <w:tbl>
      <w:tblPr>
        <w:tblW w:w="8388" w:type="dxa"/>
        <w:jc w:val="left"/>
        <w:tblInd w:w="0" w:type="dxa"/>
        <w:tblLayout w:type="fixed"/>
        <w:tblCellMar>
          <w:top w:w="28" w:type="dxa"/>
          <w:left w:w="28" w:type="dxa"/>
          <w:bottom w:w="28" w:type="dxa"/>
          <w:right w:w="28" w:type="dxa"/>
        </w:tblCellMar>
      </w:tblPr>
      <w:tblGrid>
        <w:gridCol w:w="466"/>
        <w:gridCol w:w="5626"/>
        <w:gridCol w:w="2296"/>
      </w:tblGrid>
      <w:tr>
        <w:trPr/>
        <w:tc>
          <w:tcPr>
            <w:tcW w:w="466" w:type="dxa"/>
            <w:tcBorders/>
            <w:vAlign w:val="center"/>
          </w:tcPr>
          <w:p>
            <w:pPr>
              <w:pStyle w:val="TableContents"/>
              <w:bidi w:val="0"/>
              <w:spacing w:before="0" w:after="283"/>
              <w:jc w:val="left"/>
              <w:rPr>
                <w:sz w:val="4"/>
                <w:szCs w:val="4"/>
              </w:rPr>
            </w:pPr>
            <w:r>
              <w:rPr>
                <w:sz w:val="4"/>
                <w:szCs w:val="4"/>
              </w:rPr>
            </w:r>
          </w:p>
        </w:tc>
        <w:tc>
          <w:tcPr>
            <w:tcW w:w="5626" w:type="dxa"/>
            <w:tcBorders/>
            <w:vAlign w:val="center"/>
          </w:tcPr>
          <w:p>
            <w:pPr>
              <w:pStyle w:val="TableContents"/>
              <w:bidi w:val="0"/>
              <w:spacing w:before="0" w:after="283"/>
              <w:jc w:val="left"/>
              <w:rPr>
                <w:sz w:val="4"/>
                <w:szCs w:val="4"/>
              </w:rPr>
            </w:pPr>
            <w:r>
              <w:rPr>
                <w:sz w:val="4"/>
                <w:szCs w:val="4"/>
              </w:rPr>
            </w:r>
          </w:p>
        </w:tc>
        <w:tc>
          <w:tcPr>
            <w:tcW w:w="2296" w:type="dxa"/>
            <w:tcBorders/>
            <w:vAlign w:val="center"/>
          </w:tcPr>
          <w:p>
            <w:pPr>
              <w:pStyle w:val="TableContents"/>
              <w:bidi w:val="0"/>
              <w:spacing w:before="0" w:after="283"/>
              <w:jc w:val="left"/>
              <w:rPr>
                <w:sz w:val="4"/>
                <w:szCs w:val="4"/>
              </w:rPr>
            </w:pPr>
            <w:r>
              <w:rPr>
                <w:sz w:val="4"/>
                <w:szCs w:val="4"/>
              </w:rPr>
            </w:r>
          </w:p>
        </w:tc>
      </w:tr>
      <w:tr>
        <w:trPr/>
        <w:tc>
          <w:tcPr>
            <w:tcW w:w="46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No.</w:t>
            </w:r>
          </w:p>
        </w:tc>
        <w:tc>
          <w:tcPr>
            <w:tcW w:w="562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jc w:val="both"/>
              <w:rPr>
                <w:rFonts w:ascii="Times New Roman" w:hAnsi="Times New Roman"/>
                <w:color w:val="000000"/>
                <w:sz w:val="22"/>
              </w:rPr>
            </w:pPr>
            <w:r>
              <w:rPr>
                <w:rFonts w:ascii="Times New Roman" w:hAnsi="Times New Roman"/>
                <w:color w:val="000000"/>
                <w:sz w:val="22"/>
              </w:rPr>
              <w:t>Sales Milestones Achieved by ReproNovo, or its Affiliates:</w:t>
            </w:r>
          </w:p>
          <w:p>
            <w:pPr>
              <w:pStyle w:val="TableContents"/>
              <w:bidi w:val="0"/>
              <w:spacing w:before="0" w:after="283"/>
              <w:jc w:val="both"/>
              <w:rPr/>
            </w:pPr>
            <w:r>
              <w:rPr/>
              <w:t> </w:t>
            </w:r>
          </w:p>
        </w:tc>
        <w:tc>
          <w:tcPr>
            <w:tcW w:w="229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ind w:left="0" w:right="0" w:firstLine="360"/>
              <w:jc w:val="both"/>
              <w:rPr>
                <w:rFonts w:ascii="Times New Roman" w:hAnsi="Times New Roman"/>
                <w:color w:val="000000"/>
                <w:sz w:val="22"/>
              </w:rPr>
            </w:pPr>
            <w:r>
              <w:rPr>
                <w:rFonts w:ascii="Times New Roman" w:hAnsi="Times New Roman"/>
                <w:color w:val="000000"/>
                <w:sz w:val="22"/>
              </w:rPr>
              <w:t>Milestone Payment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pBdr/>
              <w:bidi w:val="0"/>
              <w:spacing w:before="0" w:after="283"/>
              <w:ind w:left="0" w:right="0" w:hanging="360"/>
              <w:jc w:val="both"/>
              <w:rPr>
                <w:rFonts w:ascii="Times New Roman" w:hAnsi="Times New Roman"/>
                <w:color w:val="000000"/>
                <w:sz w:val="22"/>
              </w:rPr>
            </w:pPr>
            <w:r>
              <w:rPr>
                <w:rFonts w:ascii="Times New Roman" w:hAnsi="Times New Roman"/>
                <w:color w:val="000000"/>
                <w:sz w:val="22"/>
              </w:rPr>
              <w:t>1</w:t>
            </w:r>
          </w:p>
        </w:tc>
        <w:tc>
          <w:tcPr>
            <w:tcW w:w="5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w:t>
            </w:r>
          </w:p>
        </w:tc>
        <w:tc>
          <w:tcPr>
            <w:tcW w:w="5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46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3</w:t>
            </w:r>
          </w:p>
        </w:tc>
        <w:tc>
          <w:tcPr>
            <w:tcW w:w="562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229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bl>
    <w:p>
      <w:pPr>
        <w:pStyle w:val="TextBody"/>
        <w:bidi w:val="0"/>
        <w:jc w:val="both"/>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20"/>
        <w:jc w:val="both"/>
        <w:rPr/>
      </w:pPr>
      <w:r>
        <w:rPr>
          <w:rFonts w:ascii="Times New Roman" w:hAnsi="Times New Roman"/>
          <w:color w:val="000000"/>
          <w:sz w:val="22"/>
          <w:u w:val="single"/>
        </w:rPr>
        <w:t>Royalties</w:t>
      </w:r>
      <w:r>
        <w:rPr>
          <w:rFonts w:ascii="Times New Roman" w:hAnsi="Times New Roman"/>
          <w:color w:val="000000"/>
          <w:sz w:val="22"/>
        </w:rPr>
        <w:t xml:space="preserve">. During the Royalty Term (but subject to Section 4.4.5 below), ReproNovo shall pay Mereo non-refundable, non-creditable (save in the event of variance identified by audit in accordance with Section 4.7) royalties on Annual Net Sales by ReproNovo and any of its Affiliates on a country-by-country basis equal to the following portions of Annual Net Sales multiplied by the applicable royalty rate described below for such portion: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19</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tbl>
      <w:tblPr>
        <w:tblW w:w="8117" w:type="dxa"/>
        <w:jc w:val="left"/>
        <w:tblInd w:w="0" w:type="dxa"/>
        <w:tblLayout w:type="fixed"/>
        <w:tblCellMar>
          <w:top w:w="28" w:type="dxa"/>
          <w:left w:w="28" w:type="dxa"/>
          <w:bottom w:w="28" w:type="dxa"/>
          <w:right w:w="28" w:type="dxa"/>
        </w:tblCellMar>
      </w:tblPr>
      <w:tblGrid>
        <w:gridCol w:w="6661"/>
        <w:gridCol w:w="1456"/>
      </w:tblGrid>
      <w:tr>
        <w:trPr/>
        <w:tc>
          <w:tcPr>
            <w:tcW w:w="6661" w:type="dxa"/>
            <w:tcBorders/>
            <w:shd w:fill="FFFFFF" w:val="clear"/>
            <w:vAlign w:val="center"/>
          </w:tcPr>
          <w:p>
            <w:pPr>
              <w:pStyle w:val="TableContents"/>
              <w:bidi w:val="0"/>
              <w:spacing w:before="0" w:after="283"/>
              <w:jc w:val="left"/>
              <w:rPr>
                <w:sz w:val="4"/>
                <w:szCs w:val="4"/>
              </w:rPr>
            </w:pPr>
            <w:r>
              <w:rPr>
                <w:sz w:val="4"/>
                <w:szCs w:val="4"/>
              </w:rPr>
            </w:r>
          </w:p>
        </w:tc>
        <w:tc>
          <w:tcPr>
            <w:tcW w:w="1456" w:type="dxa"/>
            <w:tcBorders/>
            <w:shd w:fill="FFFFFF" w:val="clear"/>
            <w:vAlign w:val="center"/>
          </w:tcPr>
          <w:p>
            <w:pPr>
              <w:pStyle w:val="TableContents"/>
              <w:bidi w:val="0"/>
              <w:spacing w:before="0" w:after="283"/>
              <w:jc w:val="left"/>
              <w:rPr>
                <w:sz w:val="4"/>
                <w:szCs w:val="4"/>
              </w:rPr>
            </w:pPr>
            <w:r>
              <w:rPr>
                <w:sz w:val="4"/>
                <w:szCs w:val="4"/>
              </w:rPr>
            </w:r>
          </w:p>
        </w:tc>
      </w:tr>
      <w:tr>
        <w:trPr/>
        <w:tc>
          <w:tcPr>
            <w:tcW w:w="666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Portion of Annual Net Sales for the Product in the Territory (USD)</w:t>
            </w:r>
          </w:p>
        </w:tc>
        <w:tc>
          <w:tcPr>
            <w:tcW w:w="145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Royalty Rate</w:t>
            </w:r>
          </w:p>
        </w:tc>
      </w:tr>
      <w:tr>
        <w:trPr/>
        <w:tc>
          <w:tcPr>
            <w:tcW w:w="6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6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r>
        <w:trPr/>
        <w:tc>
          <w:tcPr>
            <w:tcW w:w="666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c>
          <w:tcPr>
            <w:tcW w:w="145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both"/>
              <w:rPr>
                <w:rFonts w:ascii="Times New Roman" w:hAnsi="Times New Roman"/>
                <w:b/>
                <w:color w:val="000000"/>
                <w:sz w:val="22"/>
              </w:rPr>
            </w:pPr>
            <w:r>
              <w:rPr>
                <w:rFonts w:ascii="Times New Roman" w:hAnsi="Times New Roman"/>
                <w:b/>
                <w:color w:val="000000"/>
                <w:sz w:val="22"/>
              </w:rPr>
              <w:t>[***]</w:t>
            </w:r>
          </w:p>
        </w:tc>
      </w:tr>
    </w:tbl>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Royalties shall be payable, on a country-by-country basis, commencing upon the first occurrence of a royalty-bearing commercial sale, namely a First Commercial Sale or a sale made prior to receipt of all Regulatory Approvals for such Product such as so-called “treatment IND sales”, “named patient sales” and “compassionate use sales” of the Product in such country ("</w:t>
      </w:r>
      <w:r>
        <w:rPr>
          <w:rFonts w:ascii="Times New Roman" w:hAnsi="Times New Roman"/>
          <w:color w:val="000000"/>
          <w:sz w:val="22"/>
          <w:u w:val="single"/>
        </w:rPr>
        <w:t>Royalty-Bearing Commercial Sale</w:t>
      </w:r>
      <w:r>
        <w:rPr>
          <w:rFonts w:ascii="Times New Roman" w:hAnsi="Times New Roman"/>
          <w:color w:val="000000"/>
          <w:sz w:val="22"/>
        </w:rPr>
        <w:t>") and ending upon the latest of (i) the expiration of the last-to-expire Valid Claim in the Patents within the Mereo Intellectual Property that Covers the Product in such country; (ii) the expiration of all Regulatory Exclusivity and data exclusivity for such Product in such country, and (iii) the tenth (10th) anniversary of the First Commercial Sale of the Product in such country (the “</w:t>
      </w:r>
      <w:r>
        <w:rPr>
          <w:rFonts w:ascii="Times New Roman" w:hAnsi="Times New Roman"/>
          <w:color w:val="000000"/>
          <w:sz w:val="22"/>
          <w:u w:val="single"/>
        </w:rPr>
        <w:t>Royalty Term</w:t>
      </w:r>
      <w:r>
        <w:rPr>
          <w:rFonts w:ascii="Times New Roman" w:hAnsi="Times New Roman"/>
          <w:color w:val="000000"/>
          <w:sz w:val="20"/>
        </w:rPr>
        <w:t>”</w:t>
      </w:r>
      <w:r>
        <w:rPr>
          <w:rFonts w:ascii="Times New Roman" w:hAnsi="Times New Roman"/>
          <w:color w:val="000000"/>
          <w:sz w:val="22"/>
        </w:rPr>
        <w:t>). Within forty-five (45) days after the end of each Calendar Quarter commencing with the first Royalty-Bearing Commercial Sale of the Product in the Territory, ReproNovo shall provide Mereo with a Net Sales Report. ReproNovo shall pay to Mereo the royalty amounts due with respect to a given Calendar Quarter within forty-five (45) days after the end of such Calendar Quarter.</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w:t>
      </w:r>
    </w:p>
    <w:p>
      <w:pPr>
        <w:pStyle w:val="TextBody"/>
        <w:bidi w:val="0"/>
        <w:spacing w:before="0" w:after="220"/>
        <w:jc w:val="both"/>
        <w:rPr/>
      </w:pPr>
      <w:r>
        <w:rPr>
          <w:rFonts w:ascii="Times New Roman" w:hAnsi="Times New Roman"/>
          <w:color w:val="000000"/>
          <w:sz w:val="22"/>
          <w:u w:val="single"/>
        </w:rPr>
        <w:t>Royalty Reductions; Sharing of Sublicense Milestone Income</w:t>
      </w:r>
      <w:r>
        <w:rPr>
          <w:rFonts w:ascii="Times New Roman" w:hAnsi="Times New Roman"/>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pPr>
      <w:r>
        <w:rPr>
          <w:rFonts w:ascii="Times New Roman" w:hAnsi="Times New Roman"/>
          <w:color w:val="000000"/>
          <w:sz w:val="22"/>
        </w:rPr>
        <w:t>ReproNovo’s royalty obligations to Mereo under Section 4.3 shall be reduced in respect of Net Sales made in any country in the Territory, to [***] of the amounts otherwise payable pursuant to Section 4.3 during any portion of the Royalty Term in which there is not at least one (1)</w:t>
      </w:r>
      <w:r>
        <w:rPr>
          <w:color w:val="000000"/>
        </w:rPr>
        <w:t xml:space="preserve"> </w:t>
      </w:r>
      <w:r>
        <w:rPr>
          <w:rFonts w:ascii="Times New Roman" w:hAnsi="Times New Roman"/>
          <w:color w:val="000000"/>
          <w:sz w:val="22"/>
        </w:rPr>
        <w:t xml:space="preserve">Valid Claim of a Patent within the Mereo Intellectual Property that Covers the Product in such country.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4.4.2</w:t>
      </w:r>
    </w:p>
    <w:p>
      <w:pPr>
        <w:pStyle w:val="TextBody"/>
        <w:bidi w:val="0"/>
        <w:spacing w:before="0" w:after="220"/>
        <w:jc w:val="both"/>
        <w:rPr/>
      </w:pPr>
      <w:r>
        <w:rPr>
          <w:rFonts w:ascii="Times New Roman" w:hAnsi="Times New Roman"/>
          <w:color w:val="000000"/>
          <w:sz w:val="22"/>
        </w:rPr>
        <w:t>If, during the Term, ReproNovo determines, in its reasonable judgment, that it is necessary to obtain rights under any Blocking 3</w:t>
      </w:r>
      <w:r>
        <w:rPr>
          <w:rFonts w:ascii="Times New Roman" w:hAnsi="Times New Roman"/>
          <w:color w:val="000000"/>
          <w:sz w:val="15"/>
        </w:rPr>
        <w:t>rd</w:t>
      </w:r>
      <w:r>
        <w:rPr>
          <w:color w:val="000000"/>
        </w:rPr>
        <w:t xml:space="preserve"> </w:t>
      </w:r>
      <w:r>
        <w:rPr>
          <w:rFonts w:ascii="Times New Roman" w:hAnsi="Times New Roman"/>
          <w:color w:val="000000"/>
          <w:sz w:val="22"/>
        </w:rPr>
        <w:t>Party Patent in order to Exploit a Product in accordance with this Agreement, then ReproNovo shall promptly notify Mereo. In the event a license or acquisition of a Blocking 3</w:t>
      </w:r>
      <w:r>
        <w:rPr>
          <w:rFonts w:ascii="Times New Roman" w:hAnsi="Times New Roman"/>
          <w:color w:val="000000"/>
          <w:sz w:val="15"/>
        </w:rPr>
        <w:t>rd</w:t>
      </w:r>
      <w:r>
        <w:rPr>
          <w:color w:val="000000"/>
        </w:rPr>
        <w:t xml:space="preserve"> </w:t>
      </w:r>
      <w:r>
        <w:rPr>
          <w:rFonts w:ascii="Times New Roman" w:hAnsi="Times New Roman"/>
          <w:color w:val="000000"/>
          <w:sz w:val="22"/>
        </w:rPr>
        <w:t>Party Patent is obtained, and any royalties or other payments are paid by ReproNovo to any Third Party to license or acquire such Blocking 3</w:t>
      </w:r>
      <w:r>
        <w:rPr>
          <w:rFonts w:ascii="Times New Roman" w:hAnsi="Times New Roman"/>
          <w:color w:val="000000"/>
          <w:sz w:val="15"/>
        </w:rPr>
        <w:t>rd</w:t>
      </w:r>
      <w:r>
        <w:rPr>
          <w:color w:val="000000"/>
        </w:rPr>
        <w:t xml:space="preserve"> </w:t>
      </w:r>
      <w:r>
        <w:rPr>
          <w:rFonts w:ascii="Times New Roman" w:hAnsi="Times New Roman"/>
          <w:color w:val="000000"/>
          <w:sz w:val="22"/>
        </w:rPr>
        <w:t>Party Patent ("</w:t>
      </w:r>
      <w:r>
        <w:rPr>
          <w:rFonts w:ascii="Times New Roman" w:hAnsi="Times New Roman"/>
          <w:color w:val="000000"/>
          <w:sz w:val="22"/>
          <w:u w:val="single"/>
        </w:rPr>
        <w:t>Third Party Payments</w:t>
      </w:r>
      <w:r>
        <w:rPr>
          <w:rFonts w:ascii="Times New Roman" w:hAnsi="Times New Roman"/>
          <w:color w:val="000000"/>
          <w:sz w:val="22"/>
        </w:rPr>
        <w:t>"), ReproNovo shall have the right to reduce the royalty payments otherwise payable to Mereo under Section 4.3 in a given period by up to [***] of the Third Party Payments made in such period (and any remaining amounts may be carried forward and applied as deductions from time to time in accordance with this Section 4.4), subject to Section 4.4.4 below.</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20</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4.4.3</w:t>
      </w:r>
    </w:p>
    <w:p>
      <w:pPr>
        <w:pStyle w:val="TextBody"/>
        <w:bidi w:val="0"/>
        <w:spacing w:before="0" w:after="220"/>
        <w:jc w:val="both"/>
        <w:rPr/>
      </w:pPr>
      <w:r>
        <w:rPr>
          <w:rFonts w:ascii="Times New Roman" w:hAnsi="Times New Roman"/>
          <w:color w:val="000000"/>
          <w:sz w:val="22"/>
        </w:rPr>
        <w:t xml:space="preserve">If, at any time during the Term, (a) one or more Generic Products receives Regulatory Approval in a given country and is sold in that country by one or more Third Parties, and (b) on a Calendar Quarter-by-Calendar Quarter basis, there is a [***] in amounts (as measured by unit volume) invoiced by ReproNovo or its Affiliates on sales of the Product to Third Party purchasers in any given Calendar Quarter as compared to the amounts (as measured by unit volume) invoiced by ReproNovo or any of its Affiliates on sales of the Product during any of one (1) of theimmediately preceding four Calendar Quarters, then ReproNovo’s royalty obligations to Mereo under Section 4.3 in respect of that country shall be reduced to [***] of the amounts otherwise payable pursuant to Section 4.3 for the remainder of the Term, </w:t>
      </w:r>
      <w:r>
        <w:rPr>
          <w:rFonts w:ascii="Times New Roman" w:hAnsi="Times New Roman"/>
          <w:i/>
          <w:color w:val="000000"/>
          <w:sz w:val="22"/>
        </w:rPr>
        <w:t>provided</w:t>
      </w:r>
      <w:r>
        <w:rPr>
          <w:color w:val="000000"/>
        </w:rPr>
        <w:t xml:space="preserve"> </w:t>
      </w:r>
      <w:r>
        <w:rPr>
          <w:rFonts w:ascii="Times New Roman" w:hAnsi="Times New Roman"/>
          <w:color w:val="000000"/>
          <w:sz w:val="22"/>
        </w:rPr>
        <w:t xml:space="preserve">that in the event such Generic Product is no longer offered for sale in a given country, any reduction applied in such country in accordance with this Section 4.4.3 shall be disapplied until such time that subparagraphs (a) and (b) of this Section arise.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no event will the reductions under Sections 4.4.1, 4.4.2 and 4.4.3 reduce the royalties payable to Mereo under this Agreement in any Calendar Quarter by greater than [***] in aggregate of the amounts otherwise payable under Section 4.3 (without reduction); provided that any deductions not permitted to be made in respect of a given Calendar Quarter as a result of this Section shall be carried forward for deduction in respect of royalties for future Calendar Quarters until fully exhausted.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4.4.5</w:t>
      </w:r>
    </w:p>
    <w:p>
      <w:pPr>
        <w:pStyle w:val="TextBody"/>
        <w:bidi w:val="0"/>
        <w:spacing w:before="0" w:after="220"/>
        <w:jc w:val="both"/>
        <w:rPr/>
      </w:pPr>
      <w:r>
        <w:rPr>
          <w:rFonts w:ascii="Times New Roman" w:hAnsi="Times New Roman"/>
          <w:color w:val="000000"/>
          <w:sz w:val="22"/>
        </w:rPr>
        <w:t>On a country-by-country basis, in the event of any sublicense by ReproNovo to a Sublicensee who is a Third Party of any and all rights to commercialise the Product pursuant to Section 2.1 (a “</w:t>
      </w:r>
      <w:r>
        <w:rPr>
          <w:rFonts w:ascii="Times New Roman" w:hAnsi="Times New Roman"/>
          <w:color w:val="000000"/>
          <w:sz w:val="22"/>
          <w:u w:val="single"/>
        </w:rPr>
        <w:t>Third Party Sublicense</w:t>
      </w:r>
      <w:r>
        <w:rPr>
          <w:color w:val="000000"/>
        </w:rPr>
        <w:t>”</w:t>
      </w:r>
      <w:r>
        <w:rPr>
          <w:rFonts w:ascii="Times New Roman" w:hAnsi="Times New Roman"/>
          <w:color w:val="000000"/>
          <w:sz w:val="22"/>
        </w:rPr>
        <w:t xml:space="preserve">) during the Royalty Term, the Parties hereby agree as follows: </w:t>
      </w:r>
    </w:p>
    <w:p>
      <w:pPr>
        <w:pStyle w:val="TextBody"/>
        <w:bidi w:val="0"/>
        <w:spacing w:before="0" w:after="220"/>
        <w:jc w:val="both"/>
        <w:rPr>
          <w:rFonts w:ascii="Times New Roman" w:hAnsi="Times New Roman"/>
          <w:sz w:val="20"/>
        </w:rPr>
      </w:pPr>
      <w:r>
        <w:rPr>
          <w:rFonts w:ascii="Times New Roman" w:hAnsi="Times New Roman"/>
          <w:color w:val="000000"/>
          <w:sz w:val="22"/>
        </w:rPr>
        <w:t>(a) ReproNovo shall pay to Mereo, within thirty (30) days following receipt, [***] of all royalties and other payments received from such Third Party expressly based upon the sales of the Product in the applicable countries (in no event to include Sublicense Milestone Income) in accordance with the definitive agreement for such Third Party Sublicense; and</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 during the Royalty Term with respect to the applicable country covered by such Third Party Sublicense (and for so long thereafter as such Third Party has the right to commercialise the Product in such country during the Royalty Term), no payments shall be due or owing pursuant to (i) Section 4.2 with respect to the payments described in the “Sales Milestones” table (if such applicable country is the United States) or (ii) pursuant to Section 4.3 with respect to royalties for sales by such Sublicensee of Product in the applicable country. For clarity the obligation of ReproNovo to pay the Milestone Payments 1-9 for the "General Milestones" table in Section 4.2 shall continue in force notwithstanding the grant of any such Third Party Sublicense, subject to Section 4.4.5(d) below; and</w:t>
      </w:r>
    </w:p>
    <w:p>
      <w:pPr>
        <w:pStyle w:val="TextBody"/>
        <w:bidi w:val="0"/>
        <w:spacing w:before="0" w:after="220"/>
        <w:jc w:val="both"/>
        <w:rPr>
          <w:rFonts w:ascii="Times New Roman" w:hAnsi="Times New Roman"/>
          <w:sz w:val="20"/>
        </w:rPr>
      </w:pPr>
      <w:r>
        <w:rPr>
          <w:rFonts w:ascii="Times New Roman" w:hAnsi="Times New Roman"/>
          <w:color w:val="000000"/>
          <w:sz w:val="22"/>
        </w:rPr>
        <w:t>(c) ReproNovo shall pay to Mereo, within thirty (30) days following receipt, the following percentages of all Sublicense Milestone Income received from such Third Party in accordance with the definitive agreement for such Third Party Sublicense: (i) in the case of any such Third Party Sublicense entered into prior to initiation of any Phase III trial, [***] of all Sublicense Milestone Income paid pursuant to such Third</w:t>
      </w:r>
      <w:r>
        <w:rPr>
          <w:rFonts w:ascii="Times New Roman" w:hAnsi="Times New Roman"/>
          <w:color w:val="000000"/>
          <w:sz w:val="20"/>
        </w:rPr>
        <w:t xml:space="preserve">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21</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Party Sublicense; and (ii) in the case of any such Third Party Sublicense entered into after initiation of any Phase III trial but before any Regulatory Approval in the United States, any Major European Country or any Major Asian Country for any Indication, [***] of all Sublicense Milestone Income paid pursuant to such Third Party Sublicense; and (iii) in the case of any such Third Party Sublicense entered into after any Regulatory Approval in the United States, any Major European Country or any Major Asian Country for any Indication, [***] of all Sublicense Milestone Income paid pursuant to such Third Party Sublicense;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 all such amounts described in clause (c) of this Section 4.4.5 above shall be fully creditable against the payments described in the “General Milestones” table above in Section 4.2 which have not been previously paid; and</w:t>
      </w:r>
    </w:p>
    <w:p>
      <w:pPr>
        <w:pStyle w:val="TextBody"/>
        <w:bidi w:val="0"/>
        <w:spacing w:before="0" w:after="220"/>
        <w:jc w:val="both"/>
        <w:rPr>
          <w:rFonts w:ascii="Times New Roman" w:hAnsi="Times New Roman"/>
          <w:sz w:val="20"/>
        </w:rPr>
      </w:pPr>
      <w:r>
        <w:rPr>
          <w:rFonts w:ascii="Times New Roman" w:hAnsi="Times New Roman"/>
          <w:color w:val="000000"/>
          <w:sz w:val="22"/>
        </w:rPr>
        <w:t>(e) ReproNovo shall not, and shall not permit its Affiliates to, intentionally and for the purpose of avoiding or decreasing any sums payable pursuant to this Section 4.4.5, enter into any agreement with a Third Party sublicensee involving a Third Party Sublicense under which the payments thereunder are (a) not reasonably consistent with the types of payment structures typically included in sublicenses in the pharmaceutical industry for the applicable country or group of countries to be covered by such Third Party Sublicense,</w:t>
      </w:r>
      <w:r>
        <w:rPr>
          <w:rFonts w:ascii="Times New Roman" w:hAnsi="Times New Roman"/>
          <w:color w:val="000000"/>
          <w:sz w:val="20"/>
        </w:rPr>
        <w:t xml:space="preserve"> </w:t>
      </w:r>
      <w:r>
        <w:rPr>
          <w:rFonts w:ascii="Times New Roman" w:hAnsi="Times New Roman"/>
          <w:color w:val="000000"/>
          <w:sz w:val="22"/>
        </w:rPr>
        <w:t>and (b) designed intentionally by ReproNovo to minimize the allocation of payments thereunder to be eligible to be subject to the payment obligations under this Section 4.4.5 relative to other types of payments made under such Third Party Sublicense such that the payment structure including royalty rates would wholly or partly deprive Mereo of monies that it would otherwise be entitled to receive under this Section 4.4.5.</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bookmarkStart w:id="47" w:name="ole_link13"/>
      <w:bookmarkEnd w:id="47"/>
      <w:r>
        <w:rPr>
          <w:rFonts w:ascii="Times New Roman" w:hAnsi="Times New Roman"/>
          <w:color w:val="000000"/>
          <w:sz w:val="22"/>
        </w:rPr>
        <w:t xml:space="preserve">All payments to either Party under this Agreement shall be made by deposit of Dollars in the requisite amount to such bank account as the receiving Party may from time to time designate by notice to the paying Party. For the purpose of calculating any sums due under, or otherwise reimbursable pursuant to, this Agreement (including the calculation of Net Sales expressed in currencies other than Dollars), a Party shall convert any amount expressed in a foreign currency into Dollar equivalents using its, its Affiliate’s or Sublicensee’s standard conversion methodology consistent with Accounting Standards.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4.6</w:t>
      </w:r>
    </w:p>
    <w:p>
      <w:pPr>
        <w:pStyle w:val="TextBody"/>
        <w:bidi w:val="0"/>
        <w:spacing w:before="0" w:after="220"/>
        <w:jc w:val="both"/>
        <w:rPr/>
      </w:pPr>
      <w:r>
        <w:rPr>
          <w:rFonts w:ascii="Times New Roman" w:hAnsi="Times New Roman"/>
          <w:color w:val="000000"/>
          <w:sz w:val="22"/>
          <w:u w:val="single"/>
        </w:rPr>
        <w:t>Financial Records</w:t>
      </w:r>
      <w:r>
        <w:rPr>
          <w:rFonts w:ascii="Times New Roman" w:hAnsi="Times New Roman"/>
          <w:color w:val="000000"/>
          <w:sz w:val="22"/>
        </w:rPr>
        <w:t>. ReproNovo shall, and shall cause its Affiliates andSsublicensees to, keep complete, true and accurate books and records in accordance with Accounting Standards pertaining to Net Sales of Product, royalties and other sums payable under this Agreement in sufficient detail to calculate all amounts payable hereunder and to verify compliance with its obligations under this Agreement. Such books and records shall be retained by ReproNovo and its Affiliates and Sublicensees until the later of (a) three (3) years after the end of the Calendar Year to which such books and records pertain, and (b) the expiration of the applicable tax statute of limitations (or any extensions thereof), or for such longer period as may be required by Applicable Law.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4.7</w:t>
      </w:r>
    </w:p>
    <w:p>
      <w:pPr>
        <w:pStyle w:val="TextBody"/>
        <w:bidi w:val="0"/>
        <w:spacing w:before="0" w:after="220"/>
        <w:jc w:val="both"/>
        <w:rPr/>
      </w:pPr>
      <w:r>
        <w:rPr>
          <w:rFonts w:ascii="Times New Roman" w:hAnsi="Times New Roman"/>
          <w:color w:val="000000"/>
          <w:sz w:val="22"/>
          <w:u w:val="single"/>
        </w:rPr>
        <w:t>Audit</w:t>
      </w:r>
      <w:r>
        <w:rPr>
          <w:rFonts w:ascii="Times New Roman" w:hAnsi="Times New Roman"/>
          <w:color w:val="000000"/>
          <w:sz w:val="22"/>
        </w:rPr>
        <w:t xml:space="preserve">. At the request of Mereo, ReproNovo shall, and shall cause its Affiliates and Sublicensees to, permit an independent public accounting firm of nationally recognized standing designated by Mereo, at reasonable times during normal business hours and upon reasonable notice, to audit the relevant reports, statements, books and records maintained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22</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pursuant to Section 4.6 to ensure the accuracy of all reports and payments, including Net Sales and royalty calculations, made hereunder. Such examinations may not (a) be conducted more than once with respect to any specific period of time, or (b) be conducted more than once in any twelve (12) month period (other than any year in which a change of control of ReproNovo occurs, in which year such right may be exercised twice). ReproNovo shall, and shall cause its Affiliates and Sublicensees to, provide reasonable assistance to the accounting firm to enable the accounting firm to carry out such audit. The accounting firm shall disclose to Mereo only whether the reports are correct or not, and the specific details concerning any discrepancies. No other information shall be shared. In the event that the audit reveals a variance of more than [***] from the amounts in the Net Sales Report, ReproNovo shall bear the cost of the audit. In the event that the audit reveals a variance of less than [***] from the amounts in the Net Sales Report, Mereo shall bear the cost of the audit. If such audit concludes that (a) additional amounts were owed by ReproNovo, ReproNovo shall pay the additional amounts, or (b) excess payments were made by ReproNovo, in ReproNovo’s sole and exclusive discretion, either Mereo shall reimburse such excess payments or future amounts owed by ReproNovo will be reduced by the amount of such excess payments, in either case ((a) or (b)), within sixty (60) days after the date on which such audit is completed by Mereo's designated accounting firm.</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pPr>
      <w:r>
        <w:rPr>
          <w:rFonts w:ascii="Times New Roman" w:hAnsi="Times New Roman"/>
          <w:color w:val="000000"/>
          <w:sz w:val="22"/>
          <w:u w:val="single"/>
        </w:rPr>
        <w:t>No Limitation.</w:t>
      </w:r>
      <w:r>
        <w:rPr>
          <w:color w:val="000000"/>
        </w:rPr>
        <w:t xml:space="preserve"> </w:t>
      </w:r>
      <w:r>
        <w:rPr>
          <w:rFonts w:ascii="Times New Roman" w:hAnsi="Times New Roman"/>
          <w:color w:val="000000"/>
          <w:sz w:val="22"/>
        </w:rPr>
        <w:t>For clarity, nothing contained in this Section 4 shall in any way limit a Party’s right to recover damages for breach of this Agreement.</w:t>
      </w:r>
      <w:bookmarkStart w:id="48" w:name="ole_link9"/>
      <w:bookmarkEnd w:id="48"/>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4.9</w:t>
      </w:r>
    </w:p>
    <w:p>
      <w:pPr>
        <w:pStyle w:val="TextBody"/>
        <w:bidi w:val="0"/>
        <w:spacing w:before="0" w:after="220"/>
        <w:jc w:val="both"/>
        <w:rPr/>
      </w:pPr>
      <w:r>
        <w:rPr>
          <w:rFonts w:ascii="Times New Roman" w:hAnsi="Times New Roman"/>
          <w:color w:val="000000"/>
          <w:sz w:val="22"/>
          <w:u w:val="single"/>
        </w:rPr>
        <w:t>Withholding Taxes</w:t>
      </w:r>
      <w:r>
        <w:rPr>
          <w:rFonts w:ascii="Times New Roman" w:hAnsi="Times New Roman"/>
          <w:color w:val="000000"/>
          <w:sz w:val="22"/>
        </w:rPr>
        <w:t>. The amounts payable pursuant to this Agreement shall not be reduced on account of any taxes unless required by Applicable Law. Where any sum due to be paid to either Party hereunder is subject to any withholding or similar tax, the Parties shall use their Commercially Reasonable Efforts to do all such acts and things and to sign all such documents as will enable them to take advantage of any applicable double taxation agreement or treaty. In the event there is no applicable double taxation agreement or treaty, or if an applicable double taxation agreement or treaty reduces but does not eliminate such withholding or similar tax, the payor shall remit such withholding or similar tax to the appropriate government authority in a timely manner, deduct the amount paid from the amount due to payee and secure and send to payee the best available evidence of the payment of such withholding or similar tax within sixty (60) days following that payment. Notwithstanding the foregoing, if Mereo is entitled under any applicable tax treaty to a reduction of rate of, or the elimination of, or recovery of, applicable withholding tax, ReproNovo shall cooperate with Mereo to assist Mereo in obtaining any such reduction, elimination or recovery, and Mereo may deliver to ReproNovo or the appropriate governmental authority the prescribed forms necessary to reduce the applicable rate of withholding or to relieve ReproNovo of its obligation to withhold tax. In such case ReproNovo shall apply the reduced rate of withholding, or not withhold, as the case may be. Any such amounts deducted by the payor in respect of such withholding or similar tax shall be treated as having been paid by the payor for purposes of this Agreement. In the event that a government authority retroactively determines that a payment made by a Party to the other pursuant to this Agreement should have been subject to withholding or similar (or to additional withholding or similar) taxes, and such Party (the “</w:t>
      </w:r>
      <w:r>
        <w:rPr>
          <w:rFonts w:ascii="Times New Roman" w:hAnsi="Times New Roman"/>
          <w:color w:val="000000"/>
          <w:sz w:val="22"/>
          <w:u w:val="single"/>
        </w:rPr>
        <w:t>Withholding Party</w:t>
      </w:r>
      <w:r>
        <w:rPr>
          <w:color w:val="000000"/>
        </w:rPr>
        <w:t>”</w:t>
      </w:r>
      <w:r>
        <w:rPr>
          <w:rFonts w:ascii="Times New Roman" w:hAnsi="Times New Roman"/>
          <w:color w:val="000000"/>
          <w:sz w:val="22"/>
        </w:rPr>
        <w:t>) remits such withholding or similar taxes to the government authority, including any interest and penalties that may be imposed thereon (together with the tax paid, the “</w:t>
      </w:r>
      <w:r>
        <w:rPr>
          <w:rFonts w:ascii="Times New Roman" w:hAnsi="Times New Roman"/>
          <w:color w:val="000000"/>
          <w:sz w:val="22"/>
          <w:u w:val="single"/>
        </w:rPr>
        <w:t>Withholding Amount</w:t>
      </w:r>
      <w:r>
        <w:rPr>
          <w:color w:val="000000"/>
        </w:rPr>
        <w:t>”</w:t>
      </w:r>
      <w:r>
        <w:rPr>
          <w:rFonts w:ascii="Times New Roman" w:hAnsi="Times New Roman"/>
          <w:color w:val="000000"/>
          <w:sz w:val="22"/>
        </w:rPr>
        <w:t xml:space="preserve">), the Withholding Party will have the right (a) to offset the Withholding Amount, against future payment obligations of the Withholding Party under this Agreement, (b) to invoice the other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23</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Party for the Withholding Amount (which shall be payable by the other Party within sixty (60) days of its receipt of such invoice) or (c) to pursue reimbursement by any other available remedy.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4.10</w:t>
      </w:r>
    </w:p>
    <w:p>
      <w:pPr>
        <w:pStyle w:val="TextBody"/>
        <w:bidi w:val="0"/>
        <w:spacing w:before="0" w:after="220"/>
        <w:jc w:val="both"/>
        <w:rPr/>
      </w:pPr>
      <w:r>
        <w:rPr>
          <w:rFonts w:ascii="Times New Roman" w:hAnsi="Times New Roman"/>
          <w:color w:val="000000"/>
          <w:sz w:val="22"/>
          <w:u w:val="single"/>
        </w:rPr>
        <w:t>Indirect Taxes.</w:t>
      </w:r>
      <w:r>
        <w:rPr>
          <w:color w:val="000000"/>
        </w:rPr>
        <w:t xml:space="preserve"> </w:t>
      </w:r>
      <w:r>
        <w:rPr>
          <w:rFonts w:ascii="Times New Roman" w:hAnsi="Times New Roman"/>
          <w:color w:val="000000"/>
          <w:sz w:val="22"/>
        </w:rPr>
        <w:t>All payments are exclusive of value added taxes, sales taxes, consumption taxes and other similar taxes (the “</w:t>
      </w:r>
      <w:r>
        <w:rPr>
          <w:rFonts w:ascii="Times New Roman" w:hAnsi="Times New Roman"/>
          <w:color w:val="000000"/>
          <w:sz w:val="22"/>
          <w:u w:val="single"/>
        </w:rPr>
        <w:t>Indirect Taxes</w:t>
      </w:r>
      <w:r>
        <w:rPr>
          <w:color w:val="000000"/>
        </w:rPr>
        <w:t>”</w:t>
      </w:r>
      <w:r>
        <w:rPr>
          <w:rFonts w:ascii="Times New Roman" w:hAnsi="Times New Roman"/>
          <w:color w:val="000000"/>
          <w:sz w:val="22"/>
        </w:rPr>
        <w:t>). If any Indirect Taxes are chargeable in respect of any payments, the paying Party shall pay such Indirect Taxes at the applicable rate in respect of such payments following receipt, where applicable, of an Indirect Taxes invoice in the appropriate form issued by the receiving Party in respect of those payments. The Parties shall issue invoices for all amounts payable under this Agreement consistent with Indirect Tax requirements and irrespective of whether the sums may be netted for settlement purposes. If the Indirect Taxes originally paid or otherwise borne by the paying Party are in whole or in part subsequently determined not to have been chargeable, all necessary steps will be taken by the receiving Party to receive a refund of these undue Indirect Taxes from the applicable Governmental Authority or other fiscal authority and any amount of undue Indirect Taxes repaid by such authority to the receiving Party will be transferred to the paying Party within sixty (60) days of receipt.</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5.</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 xml:space="preserve">Development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ReproNovo shall be responsible for using Commercially Reasonable Efforts to develop and commercialise the Product (either itself or through its Affiliates and Sublicensees) for the treatment of infertility of obese males with low testosterone and low sperm count in the Territory, in accordance with the Summary Development Plan, including in respect of all pre-clinical studies and all clinical trials of the Product in the Field in the Territory, at ReproNovo’s expense. Notwithstanding the foregoing ReproNovo shall use its Commercially Reasonable Efforts to commence first dosing of patients in a Phase II trial of the Product within [***] of the Effective Date.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5.2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Without limiting the information to be exchanged between the Parties, every Calendar Quarter, ReproNovo shall provide Mereo with a written report summarizing its development and commercialization activities, including regulatory activities, in respect of the Product in the Field in the Territory in the previous Calendar Quarter and a summary of its plans for the development and commercialization of the Product, including regulatory activities relating thereto, in the subsequent twelve (12) month period. Such report shall include a summary of the work completed, a summary of the work in progress, the current schedule of anticipated milestone events and Regulatory Approvals, manufacturing efforts, sublicensing efforts, and market plans for the introduction of the Product. The Parties shall review and discuss such reports as necessary. Prior to Regulatory Approval of a Product, the Parties will hold quarterly meetings, or meetings at such longer intervals as the Parties may agree (in any case, in person or by teleconference) to review and discuss the development work performed, clinical trials, milestones, any key issues and the overall status of development. ReproNovo will consider in good faith comments or proposals made by Mereo during such meetings; provided, however, that ReproNovo shall have sole control over all development activities and sole decision-making authority with respect to the development and commercialization of Products.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5.3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Without limiting the information to be exchanged between the Parties, ReproNovo shall provide to Mereo: (a) a copy of read-outs from clinical trials conducted in relation to the Product within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24</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of such top-line final read-outs for the primary and secondary endpoints being available; (b) details of any significant adverse safety events or product recalls reported to Regulatory Authorities within [***] of ReproNovo becoming aware of such events or the need for such recalls; and (c) copies of any reports submitted to or received from Regulatory Authorities, including supporting documents (e.g. regulatory drug lists, advertising and promotional documents, adverse event files and complaint files), promptly following submission or receipt. ReproNovo shall provide such further information relating to such reports and its activities under this Agreement as Mereo may reasonably request in writing.</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6.</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MANUFACTURE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6.1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ReproNovo shall be responsible for the manufacture and supply, at its expense, of all requirements of API and Product for the performance of all development, clinical and commercial activities under this Agreement. ReproNovo will use its Commercially Reasonable Efforts to cause Products manufactured and supplied by or on behalf of ReproNovo pursuant to this Agreement to be manufactured in accordance with GMP and to otherwise comply with Applicable Laws.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6.2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shall have the sole right and responsibility to determine and initiate all recalls, market suspensions or market withdrawals that may be necessary and for handling all returns, recalls or withdrawals, order processing, invoicing, collection, distribution, and inventory management with respect to the Product in Field in the Territory. If any Regulatory Authority seizes any Product or requests the recall of any Product, then the Party becoming aware of such seizure or receiving notice of such recall from such Regulatory Authority, as the case may be, shall notify the other Party promptly of such seizure or recall. ReproNovo shall ensure timely compliance with all Applicable Laws with respect to such seizure or recall and use their Commercially Reasonable Efforts to repossess the Product.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6.3</w:t>
      </w:r>
    </w:p>
    <w:p>
      <w:pPr>
        <w:pStyle w:val="TextBody"/>
        <w:bidi w:val="0"/>
        <w:spacing w:before="0" w:after="220"/>
        <w:jc w:val="both"/>
        <w:rPr/>
      </w:pPr>
      <w:r>
        <w:rPr>
          <w:rFonts w:ascii="Times New Roman" w:hAnsi="Times New Roman"/>
          <w:color w:val="000000"/>
          <w:sz w:val="22"/>
        </w:rPr>
        <w:t>ReproNovo shall bear all costs relating to all recalls and market withdrawals whether voluntary or requested or required by Applicable Laws or by any Regulatory Authority (“</w:t>
      </w:r>
      <w:r>
        <w:rPr>
          <w:rFonts w:ascii="Times New Roman" w:hAnsi="Times New Roman"/>
          <w:color w:val="000000"/>
          <w:sz w:val="22"/>
          <w:u w:val="single"/>
        </w:rPr>
        <w:t>Recall Costs</w:t>
      </w:r>
      <w:r>
        <w:rPr>
          <w:color w:val="000000"/>
        </w:rPr>
        <w:t>”</w:t>
      </w:r>
      <w:r>
        <w:rPr>
          <w:rFonts w:ascii="Times New Roman" w:hAnsi="Times New Roman"/>
          <w:color w:val="000000"/>
          <w:sz w:val="22"/>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6.4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shall notify the other Party promptly if such Party becomes aware of any of the following: (a) any pending or threatened litigation, governmental investigation, proceeding or action involving the Product; (b) any defective, adulterated or misbranded Product or any information which may suggest that any Product is or may be defective, adulterated or misbranded; (c) any other event which such Party believes is likely to materially adversely affect any Product.</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7.</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REPRESENTATIONS AND WARRANTIES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7.1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Each Party hereby represents and warrants to the other Party as follows: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Such Party is a company/corporation, duly organized, validly existing and in good standing under the laws of the jurisdiction of its incorporation or organization, is qualified to do business and is in good standing as a foreign corporation in each jurisdiction in which the conduct of its business or the ownership of its properties requires such qualification and failure to have such would prevent such Party from performing its obligations under this Agreement;</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25</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execution, delivery and performance of this Agreement by such Party have been duly authorized by all necessary corporate or organizational action. This Agreement is a legal and valid obligation binding on such Party and enforceable in accordance with its terms and does not (i) to such Party’s knowledge, violate any law, rule, regulation, order, writ, judgment, decree, determination or award of any court, governmental body or administrative or other agency having jurisdiction over such Party, or (ii) conflict with, or constitute a default under, any agreement, instrument or understanding, oral or written, to which such Party is a party or by which it is bound;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Other than the Regulatory Approvals, no government authorization, consent, approval, license, exemption of, or filing or registration with any court or governmental department, commission, board, bureau, agency or instrumentality, domestic or foreign, under any Applicable Laws currently in effect, is or will be necessary for, or in connection with, the transaction contemplated by this Agreement or any other agreement or instrument executed in connection herewith, or for the performance by it of its obligations under this Agreement and such other agreements;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20"/>
        <w:jc w:val="both"/>
        <w:rPr/>
      </w:pPr>
      <w:r>
        <w:rPr>
          <w:rFonts w:ascii="Times New Roman" w:hAnsi="Times New Roman"/>
          <w:color w:val="000000"/>
          <w:sz w:val="22"/>
        </w:rPr>
        <w:t>Such Party is (i) not, and during the Term shall not be, a Debarred Entity; and (ii) not currently using, and will not in the future use, in any capacity, in connection with the performance of its duties or obligations hereunder, the services of any person or entity debarred or subject to debarment under 21 U.S.C. § 335a or otherwise disqualified or suspended from performing services or otherwise subject to any restrictions or sanctions by the FDA (a “</w:t>
      </w:r>
      <w:r>
        <w:rPr>
          <w:rFonts w:ascii="Times New Roman" w:hAnsi="Times New Roman"/>
          <w:color w:val="000000"/>
          <w:sz w:val="22"/>
          <w:u w:val="single"/>
        </w:rPr>
        <w:t>Debarred Entity</w:t>
      </w:r>
      <w:r>
        <w:rPr>
          <w:color w:val="000000"/>
        </w:rPr>
        <w:t>”</w:t>
      </w:r>
      <w:r>
        <w:rPr>
          <w:rFonts w:ascii="Times New Roman" w:hAnsi="Times New Roman"/>
          <w:color w:val="000000"/>
          <w:sz w:val="22"/>
        </w:rPr>
        <w:t xml:space="preserve">). Such Party shall immediately notify the other Party in writing if either such Party or any person or entity who is performing services on its behalf hereunder is or becomes a Debarred Entity or if any action, claim, investigation, or other legal or administrative proceeding is pending or, to the best of such Party’s knowledge, threatened, that would make the other Party or any person or entity performing services hereunder a Debarred Entity;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Such Party will not take or permit its Affiliates to take, any action to make the Product unfit for commerce under any applicable regulatory requirements in the Territory (including, but not limited to, being adulterated or misbranded as defined under the FD&amp;C Act or becoming an article that may not, under the FD&amp;C Act, be introduced into interstate commerce);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20"/>
        <w:jc w:val="both"/>
        <w:rPr/>
      </w:pPr>
      <w:r>
        <w:rPr>
          <w:rFonts w:ascii="Times New Roman" w:hAnsi="Times New Roman"/>
          <w:color w:val="000000"/>
          <w:sz w:val="22"/>
          <w:u w:val="single"/>
        </w:rPr>
        <w:t>Anti-Bribery and Anti-Corruption Compliance</w:t>
      </w:r>
      <w:r>
        <w:rPr>
          <w:rFonts w:ascii="Times New Roman" w:hAnsi="Times New Roman"/>
          <w:color w:val="000000"/>
          <w:sz w:val="22"/>
        </w:rPr>
        <w:t xml:space="preserve">. Each Party and its Affiliates (i) have complied and shall comply with all Applicable Law governing bribery, money laundering, and other corrupt practices and behaviour (including, as applicable, the U.S. Foreign Corrupt Practices Act and UK Bribery Act) and (ii) shall not, directly or indirectly, offer, give, pay, promise to pay, or authorize the payment of any bribes, kickbacks, influence payments, or other unlawful or improper inducements to any Person in whatever form (including gifts, travel, entertainment, contributions, or anything else of value).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7.2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represents, warrants and/or covenants, as the case may be, to Mereo that ReproNovo shall perform its obligations under this Agreement in compliance with all Applicable Laws.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7.3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Mereo represents, warrants and/or covenants, as the case may be, to ReproNovo that:</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26</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to its Knowledge, as of the Effective Date, the manufacturing , commercialization, selling and/or marketing of the Product in the Territory, will not infringe or misappropriate any Intellectual Property Rights, including Patents, of Third Parties, further including the patent or patent application of any Third Party in the Territory;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as of the Effective Date it has not received a claim by a Third Party that the Product, its manufacturing process, and/or its use would be encompassed by a patent or patent application or other Intellectual Property Rights owned or controlled by such Third Party in the Territory;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as of the Effective Date there are no litigation proceedings, investigations or claims of any nature pending against, or to its Knowledge, threatened by or against, Mereo that may affect fulfilment of the rights and obligations of the Parties under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as of the Effective Date, Mereo has the full right, power and authority to grant all the rights, title and interests under this Agreement to ReproNovo;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sets forth a complete list of all Mereo Patents as at the Effective Date that Cover the Product in the Territory. Mereo, together with its Affiliates, is the sole and exclusive owner of, and has the sole right, title and interest in and to, the Patents listed on [***];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It shall perform its obligations under this Agreement in material compliance with all Applicable Laws.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7.4</w:t>
      </w:r>
    </w:p>
    <w:p>
      <w:pPr>
        <w:pStyle w:val="TextBody"/>
        <w:bidi w:val="0"/>
        <w:spacing w:before="0" w:after="220"/>
        <w:jc w:val="both"/>
        <w:rPr/>
      </w:pPr>
      <w:r>
        <w:rPr>
          <w:rFonts w:ascii="Times New Roman" w:hAnsi="Times New Roman"/>
          <w:color w:val="000000"/>
          <w:sz w:val="22"/>
          <w:u w:val="single"/>
        </w:rPr>
        <w:t>Covenants.</w:t>
      </w:r>
      <w:r>
        <w:rPr>
          <w:color w:val="000000"/>
        </w:rPr>
        <w:t xml:space="preserve"> </w:t>
      </w:r>
      <w:r>
        <w:rPr>
          <w:rFonts w:ascii="Times New Roman" w:hAnsi="Times New Roman"/>
          <w:color w:val="000000"/>
          <w:sz w:val="22"/>
        </w:rPr>
        <w:t>ReproNovo agrees that it will use its Commercially Reasonable Efforts to undertake and update and maintain during the Term an internal compliance program under which its (or its Affiliates’) employees are required to comply with all Applicable Law, including applicable local and international anti-bribery and anti-corruption laws and regulations. ReproNovo will ensure that its respective employees and agents are regularly trained, and will continue to be regularly trained, on the requirements of its compliance program and compliance with applicable anti-bribery and anti-corruption laws.</w:t>
      </w:r>
    </w:p>
    <w:p>
      <w:pPr>
        <w:pStyle w:val="TextBody"/>
        <w:bidi w:val="0"/>
        <w:spacing w:before="0" w:after="220"/>
        <w:jc w:val="both"/>
        <w:rPr>
          <w:rFonts w:ascii="Times New Roman" w:hAnsi="Times New Roman"/>
          <w:sz w:val="20"/>
        </w:rPr>
      </w:pPr>
      <w:r>
        <w:rPr>
          <w:rFonts w:ascii="Times New Roman" w:hAnsi="Times New Roman"/>
          <w:color w:val="000000"/>
          <w:sz w:val="22"/>
        </w:rPr>
        <w:t>EXCEPT AS OTHERWISE SPECIFICALLY STATED IN THIS AGREEMENT, NEITHER PARTY GIVES ANY OTHER REPRESENTATIONS OR WARRANTIES, COVENANT OR AGREEMENT (WHETHER EXPRESS OR IMPLIED). ANY REPRESENTATION, WARRANTY, COVENANT OR AGREEMENT SET FORTH IN THIS AGREEMENT IS EXCLUSIVE AND IN LIEU OF ANY OTHER WARRANTIES, WRITTEN OR ORAL, DIRECT, OR IMPLIED OR STATUTORY, INCLUDING, BUT NOT LIMITED TO, EXPRESS OR IMPLIED WARRANTIES FOR MERCHANTIBILITY, QUALITY OR FITNESS FOR A PARTICULAR PURPOSE. FOR THE SAKE OF CLARITY, MANDATORY STATUTORY WARRANTIES ARE NOT EXCLUDED.</w:t>
      </w:r>
      <w:r>
        <w:rPr>
          <w:rFonts w:ascii="Times New Roman" w:hAnsi="Times New Roman"/>
          <w:color w:val="000000"/>
          <w:sz w:val="20"/>
        </w:rPr>
        <w:t xml:space="preserve">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8.</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Indemnification; Limitations on Liability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8.1</w:t>
      </w:r>
    </w:p>
    <w:p>
      <w:pPr>
        <w:pStyle w:val="TextBody"/>
        <w:bidi w:val="0"/>
        <w:spacing w:before="0" w:after="220"/>
        <w:jc w:val="both"/>
        <w:rPr/>
      </w:pPr>
      <w:r>
        <w:rPr>
          <w:rFonts w:ascii="Times New Roman" w:hAnsi="Times New Roman"/>
          <w:color w:val="000000"/>
          <w:sz w:val="22"/>
        </w:rPr>
        <w:t>ReproNovo shall indemnify and hold harmless each of Mereo and its Affiliates and their respective directors, officers, stockholders, partners, employees, agents, successors and permitted assigns (“</w:t>
      </w:r>
      <w:r>
        <w:rPr>
          <w:rFonts w:ascii="Times New Roman" w:hAnsi="Times New Roman"/>
          <w:color w:val="000000"/>
          <w:sz w:val="22"/>
          <w:u w:val="single"/>
        </w:rPr>
        <w:t>Mereo Indemnitees</w:t>
      </w:r>
      <w:r>
        <w:rPr>
          <w:color w:val="000000"/>
        </w:rPr>
        <w:t>”</w:t>
      </w:r>
      <w:r>
        <w:rPr>
          <w:rFonts w:ascii="Times New Roman" w:hAnsi="Times New Roman"/>
          <w:color w:val="000000"/>
          <w:sz w:val="22"/>
        </w:rPr>
        <w:t xml:space="preserve">) from and against any and all losses, damages,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27</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obligations, liabilities, claims, actions, judgments, settlements, interest, awards, penalties, fines, fees, costs, or expenses of whatever kind, including reasonable attorneys’ fees, fees and the costs of enforcing any right to indemnification under the Agreement and the cost of pursuing any insurance providers (collectively, “</w:t>
      </w:r>
      <w:r>
        <w:rPr>
          <w:rFonts w:ascii="Times New Roman" w:hAnsi="Times New Roman"/>
          <w:color w:val="000000"/>
          <w:sz w:val="22"/>
          <w:u w:val="single"/>
        </w:rPr>
        <w:t>Losses</w:t>
      </w:r>
      <w:r>
        <w:rPr>
          <w:color w:val="000000"/>
        </w:rPr>
        <w:t>”</w:t>
      </w:r>
      <w:r>
        <w:rPr>
          <w:rFonts w:ascii="Times New Roman" w:hAnsi="Times New Roman"/>
          <w:color w:val="000000"/>
          <w:sz w:val="22"/>
        </w:rPr>
        <w:t>), resulting from, based on, or arising out of Third Party claims arising from: (i) the alleged or actual negligence, fraud or wilful misconduct of ReproNovo or its Affiliates; (ii) any breach by ReproNovo of its representations, warranties or obligations pursuant to this Agreement; (iii) the manufacturing, development and commercialization activities (including packaging and storage of the Product) relating to the Product conducted by or on behalf of ReproNovo, its Affiliates or their Sublicensees; and (iv) any Third Party Intellectual Property Rights infringement action in respect of the ReproNovo Trade Marks; and (v) the packaging of the Products. Notwithstanding the foregoing, ReproNovo shall have no obligations under this Section 8.1 with respect to any Losses for which Mereo is required to indemnify the ReproNovo Indemnitees under Section 8.2 or which are the result of any fraud or wilful misconduct of Mereo.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8.2</w:t>
      </w:r>
    </w:p>
    <w:p>
      <w:pPr>
        <w:pStyle w:val="TextBody"/>
        <w:bidi w:val="0"/>
        <w:spacing w:before="0" w:after="220"/>
        <w:jc w:val="both"/>
        <w:rPr/>
      </w:pPr>
      <w:r>
        <w:rPr>
          <w:rFonts w:ascii="Times New Roman" w:hAnsi="Times New Roman"/>
          <w:color w:val="000000"/>
          <w:sz w:val="22"/>
        </w:rPr>
        <w:t>Mereo shall indemnify and hold harmless each of ReproNovo and its Affiliates and their respective directors, officers, stockholders, partners, employees, agents, successors and permitted assigns (“</w:t>
      </w:r>
      <w:r>
        <w:rPr>
          <w:rFonts w:ascii="Times New Roman" w:hAnsi="Times New Roman"/>
          <w:color w:val="000000"/>
          <w:sz w:val="22"/>
          <w:u w:val="single"/>
        </w:rPr>
        <w:t>ReproNovo Indemnitees</w:t>
      </w:r>
      <w:r>
        <w:rPr>
          <w:color w:val="000000"/>
        </w:rPr>
        <w:t>”</w:t>
      </w:r>
      <w:r>
        <w:rPr>
          <w:rFonts w:ascii="Times New Roman" w:hAnsi="Times New Roman"/>
          <w:color w:val="000000"/>
          <w:sz w:val="22"/>
        </w:rPr>
        <w:t>) from and against any and all Losses resulting from, based on, or arising out of Third Party claims arising from: (i) the alleged or actual negligence, fraud or wilful misconduct of Mereo or its Affiliates; and (ii) any breach by Mereo of its representations or warranties pursuant to this Agreement. Notwithstanding the foregoing, Mereo shall have no obligations under this Section 8.2 with respect to any Losses for which ReproNovo is required to indemnify the Mereo Indemnitees under Section 8.1 or which are the result of any fraud or wilful misconduct of ReproNovo.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8.3</w:t>
      </w:r>
    </w:p>
    <w:p>
      <w:pPr>
        <w:pStyle w:val="TextBody"/>
        <w:bidi w:val="0"/>
        <w:spacing w:before="0" w:after="220"/>
        <w:jc w:val="both"/>
        <w:rPr/>
      </w:pPr>
      <w:r>
        <w:rPr>
          <w:rFonts w:ascii="Times New Roman" w:hAnsi="Times New Roman"/>
          <w:color w:val="000000"/>
          <w:sz w:val="22"/>
        </w:rPr>
        <w:t>Neither Party shall be liable to compensate the other Party for any indirect, incidental, special, punitive, exemplary, speculative or consequential damages arising out of or in connection with this Agreement including, but not limited to, any loss of use, loss of opportunity, indirect loss of income or profit from third parties, irrespective of whether it had an advance notice of the possibility of any such damages. The foregoing limitations of liability shall not apply with respect to a Party’s fraud, negligence or wilful misconduct or breach of Section 10 (</w:t>
      </w:r>
      <w:r>
        <w:rPr>
          <w:rFonts w:ascii="Times New Roman" w:hAnsi="Times New Roman"/>
          <w:color w:val="000000"/>
          <w:sz w:val="22"/>
          <w:u w:val="single"/>
        </w:rPr>
        <w:t>Confidential Information</w:t>
      </w:r>
      <w:r>
        <w:rPr>
          <w:rFonts w:ascii="Times New Roman" w:hAnsi="Times New Roman"/>
          <w:color w:val="000000"/>
          <w:sz w:val="22"/>
        </w:rPr>
        <w:t>) or to indemnification for amounts paid or payable to Third Parties in respect of any Third Party claim for which indemnification hereunder is otherwise required or to any liability that may not be excluded under Applicable Law including liability for death or personal injury caused by a Party's negligence.</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8.4</w:t>
      </w:r>
    </w:p>
    <w:p>
      <w:pPr>
        <w:pStyle w:val="TextBody"/>
        <w:bidi w:val="0"/>
        <w:spacing w:before="0" w:after="220"/>
        <w:jc w:val="both"/>
        <w:rPr/>
      </w:pPr>
      <w:r>
        <w:rPr>
          <w:rFonts w:ascii="Times New Roman" w:hAnsi="Times New Roman"/>
          <w:color w:val="000000"/>
          <w:sz w:val="22"/>
        </w:rPr>
        <w:t>All indemnification claims in respect of a Party, its Affiliates, or their respective directors, officers, employees and agents shall be made solely by such Party to this Agreement (the “</w:t>
      </w:r>
      <w:r>
        <w:rPr>
          <w:rFonts w:ascii="Times New Roman" w:hAnsi="Times New Roman"/>
          <w:color w:val="000000"/>
          <w:sz w:val="22"/>
          <w:u w:val="single"/>
        </w:rPr>
        <w:t>Indemnified Party</w:t>
      </w:r>
      <w:r>
        <w:rPr>
          <w:color w:val="000000"/>
        </w:rPr>
        <w:t>”</w:t>
      </w:r>
      <w:r>
        <w:rPr>
          <w:rFonts w:ascii="Times New Roman" w:hAnsi="Times New Roman"/>
          <w:color w:val="000000"/>
          <w:sz w:val="22"/>
        </w:rPr>
        <w:t xml:space="preserve">). A Party that intends to claim indemnification under this Section 8 shall promptly inform the indemnifying Party in writing of any Third Party claim, in respect of which the indemnitee intends to claim such indemnification. Any such indemnification notice shall contain a description of the claim and the nature and amount of such Loss (to the extent that the nature and amount of such Loss is known at such time). The Indemnified Party shall furnish promptly to the indemnifying Party copies of all papers and official documents received in respect of any Losses and Third Party claims. The Indemnified Party shall provide the indemnifying Party with reasonable assistance, at the indemnifying Party’s expense, in connection with the defense of the Third Party claim for which indemnity is being sought,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28</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 xml:space="preserve">including providing such records, information, testimony, or witnesses and attending such meetings, proceedings, hearings, trials and appeals as may be reasonably requested. The Indemnified Party may participate in and monitor such defense with counsel of its own choosing, which participation shall be at such Party's sole expense </w:t>
      </w:r>
      <w:r>
        <w:rPr>
          <w:rFonts w:ascii="Times New Roman" w:hAnsi="Times New Roman"/>
          <w:i/>
          <w:color w:val="000000"/>
          <w:sz w:val="22"/>
        </w:rPr>
        <w:t>except</w:t>
      </w:r>
      <w:r>
        <w:rPr>
          <w:color w:val="000000"/>
        </w:rPr>
        <w:t xml:space="preserve"> </w:t>
      </w:r>
      <w:r>
        <w:rPr>
          <w:rFonts w:ascii="Times New Roman" w:hAnsi="Times New Roman"/>
          <w:color w:val="000000"/>
          <w:sz w:val="22"/>
        </w:rPr>
        <w:t>where (a) the appointment of such counsel for such purpose is authorised in writing by the indemnifying Party, (b) the indemnifying Party has failed to assume such defense, or (c) the interests of the Indemnified Party and indemnifying Party are sufficiently adverse to prohibit their representation by the same counsel. In the event of (a) to (c), the reasonablecosts and expenses incurred by the Indemnified Party in connection with the Third Party claim shall be reimbursed by the indemnifying Party on a Calendar Quarter basis in arrears. At its option so long as the Litigation Condition described below is satisfied, the indemnifying Party shall have the right to assume and conduct the defense of the Third Party claim with counsel of its choice reasonably acceptable to the Indemnified Party, by giving written notice to the Indemnified Party within thirty (30) days after the indemnifying Party’s receipt of an indemnification notice. The assumption of the defense of a Third Party claim by the indemnifying Party shall not be construed as an acknowledgment that the indemnifying Party is liable to indemnify the Indemnified Party in respect of the Third Party claim, nor shall it constitute a waiver by the indemnifying Party of any defenses it may assert against the Indemnified Party’s claim for indemnification. If it is ultimately determined that the indemnifying Party is not obligated to indemnify, defend or hold harmless the Indemnified Party from and against the Third Party claim, the Indemnified Party shall reimburse the indemnifying Party for any Losses incurred by the indemnifying Party in its defense of the Third Party claim, including any costs and expenses paid by the indemnifying Party to the Indemnified Party in accordance with this Section.</w:t>
      </w:r>
      <w:r>
        <w:rPr>
          <w:color w:val="000000"/>
        </w:rPr>
        <w:t xml:space="preserve"> </w:t>
      </w:r>
    </w:p>
    <w:p>
      <w:pPr>
        <w:pStyle w:val="TextBody"/>
        <w:bidi w:val="0"/>
        <w:spacing w:before="0" w:after="220"/>
        <w:jc w:val="both"/>
        <w:rPr>
          <w:rFonts w:ascii="Times New Roman" w:hAnsi="Times New Roman"/>
          <w:sz w:val="20"/>
        </w:rPr>
      </w:pPr>
      <w:r>
        <w:rPr>
          <w:rFonts w:ascii="Times New Roman" w:hAnsi="Times New Roman"/>
          <w:color w:val="000000"/>
          <w:sz w:val="22"/>
        </w:rPr>
        <w:t>In the event the indemnifying Party assumes the defense of a Third Party claim made against the Indemnified Party hereunder: (a) with respect to any Losses relating solely to the payment of money damages in connection with such Third Party claim (i.e. that shall not result in the Indemnified Party becoming subject to injunctive or other relief), the indemnifying Party shall have the sole right to enter into any settlement or otherwise dispose of such claim so long as the Indemnified Party is not subject to any liability or obligation to pay any amounts (the “</w:t>
      </w:r>
      <w:r>
        <w:rPr>
          <w:rFonts w:ascii="Times New Roman" w:hAnsi="Times New Roman"/>
          <w:color w:val="000000"/>
          <w:sz w:val="22"/>
          <w:u w:val="single"/>
        </w:rPr>
        <w:t>Litigation Condition</w:t>
      </w:r>
      <w:r>
        <w:rPr>
          <w:rFonts w:ascii="Times New Roman" w:hAnsi="Times New Roman"/>
          <w:color w:val="000000"/>
          <w:sz w:val="20"/>
        </w:rPr>
        <w:t>”</w:t>
      </w:r>
      <w:r>
        <w:rPr>
          <w:rFonts w:ascii="Times New Roman" w:hAnsi="Times New Roman"/>
          <w:color w:val="000000"/>
          <w:sz w:val="22"/>
        </w:rPr>
        <w:t>); and (b) in respect of any other Losses, the indemnifying Party shall not enter into a settlement or otherwise dispose of the claim without obtaining the prior written consent of the Indemnified Party (which consent shall not be unreasonably withheld, conditioned or delayed). If the indemnifying Party does not assume and conduct the defense of a Third Party Claim as provided above, the Indemnified Party may defend against such Third Party Claim, provided that the Indemnified Party may not admit any liability with respect to, or settle, compromise or dispose of, any Third Party claim without the prior written consent of the indemnifying Party, which consent shall not be unreasonably withheld, conditioned or delayed.</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failure to deliver written notice to the indemnitor within a reasonable time after the commencement of any action with respect to a Third Party claim shall only relieve the indemnitor of its indemnification obligations under this Section 8 if and to the extent the indemnitor is actually prejudiced thereby.</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29</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9.</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INSURANCE</w:t>
      </w:r>
    </w:p>
    <w:p>
      <w:pPr>
        <w:pStyle w:val="TextBody"/>
        <w:bidi w:val="0"/>
        <w:spacing w:before="0" w:after="220"/>
        <w:jc w:val="both"/>
        <w:rPr>
          <w:rFonts w:ascii="Times New Roman" w:hAnsi="Times New Roman"/>
          <w:sz w:val="20"/>
        </w:rPr>
      </w:pPr>
      <w:r>
        <w:rPr>
          <w:rFonts w:ascii="Times New Roman" w:hAnsi="Times New Roman"/>
          <w:color w:val="000000"/>
          <w:sz w:val="22"/>
        </w:rPr>
        <w:t>Each Party will at all times during the Term of this Agreement, and for [***] thereafter, maintain adequate product liability insurance in respect of any claims which may be brought against it in relation to the performance of its activities hereunder, including, in the case of ReproNovo, development and commercialisation of the Products in the Territory, and the Parties will each supply the other Party with a copy of the relevant insurance certificate on request. Such insurance shall not be construed to create a limit of a Party’s liability with respect to its indemnification obligations under Section 8. Each Party shall provide the other with prompt written notice of cancellation, non-renewal or material change in such insurance or self-insurance that could materially adversely affect the rights of such other Party hereunder, and shall provide such notice within thirty (30) days after any such cancellation, non</w:t>
        <w:noBreakHyphen/>
        <w:t>renewal or material change.</w:t>
      </w:r>
      <w:r>
        <w:rPr>
          <w:rFonts w:ascii="Times New Roman" w:hAnsi="Times New Roman"/>
          <w:color w:val="000000"/>
          <w:sz w:val="20"/>
        </w:rPr>
        <w:t xml:space="preserve">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10.</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CONFIDENTIAL INFORMATION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acknowledges that the Confidential Information constitutes and is comprised of valuable confidential proprietary information belonging to or licensed to the Parties. During the term of this Agreement, and for as long as the Confidential Information remains confidential, each Party shall and shall cause its officers, directors, employees, consultants and agents to, keep secret and confidential all Confidential Information belonging to the other, and neither of them shall: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disclose or make any Confidential Information belonging to the other available to any person or entity except to the extent permitted by Section 10.2 or Section 10.3(c); nor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10.1.2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use any Confidential Information belonging to the other for any purpose other than as expressly permitted pursuant to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will take such precautions as it normally takes with its own confidential or proprietary information to prevent the improper disclosure of Confidential Information disclosed to it pursuant to this Agreement, such precautions to be at a minimum commercially reasonable precautions.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Notwithstanding Section 10.1, each Party may, to the extent reasonably necessary in order to fulfil its obligations or exercise its rights under this Agreement, disclose Confidential Information of the other Party to, or permit its use by, its directors, officers, employees or consultants or agents provided that each Party shall prior to such disclosure: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inform the recipient as to the confidential nature of the Confidential Information;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direct any such recipient to treat and hold the Confidential Information as secret and confidential;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ensure that employment contracts or consultancy contracts between itself and the recipients of the Confidential Information all include a confidentiality covenant providing that the recipient shall not disclose Confidential Information to any person or entity other than for the purpose of performing its obligations to the disclosing Party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30</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connection with the performance of the disclosing Party’s obligations under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Notwithstanding the foregoing: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The Parties may agree upon the content of a joint press release announcing this Agreement, the release of which press release the Parties shall coordinate. Neither Party shall issue any other public announcement, press release, or other public disclosure regarding this Agreement or its subject matter without the other Party’s prior written consent, except for any such disclosure that is, in the opinion of the disclosing Party’s counsel, required by Applicable Law or the rules of a stock exchange on which the securities of the disclosing Party are listed. In the event a Party is, in the opinion of its counsel, required by Applicable Law or the rules of a stock exchange on which its securities are listed to make such a public disclosure, such Party shall submit the proposed disclosure in writing to the other Party as far in advance as reasonably practicable (and, if permissible, in no event less than three (3) Business Days prior to the anticipated date of disclosure) so as to provide a reasonable opportunity to comment thereon.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ReproNovo, its Affiliates and their Sublicensees shall have the right to publicly disclose research, development and commercial information (including with respect to regulatory matters) regarding the Product by publication, presentation or otherwise, provided, that (a) such disclosure is subject to the provisions of this Section 10 with respect to Mereo's Confidential Information, and (b) except as required by Applicable Law, ReproNovo shall not use the name of Mereo (or insignia, or any contraction, abbreviation or adaptation thereof) without Mereo's prior written permission.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may disclose Confidential Information to the extent that such disclosure is: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in the reasonable opinion of the receiving Party’s legal counsel, required to be disclosed pursuant to law, regulation or a valid order of a court of competent jurisdiction or other supra-national, federal, national, regional, state, provincial and local governmental body of competent jurisdiction; provided, that the receiving Party shall first have given prompt written notice (and to the extent possible, at least five (5) Business Days’ notice) to the disclosing Party and given the disclosing Party a reasonable opportunity to take whatever action it deems necessary to protect its Confidential Information (e.g. to obtain a protective order or confidential treatment) and that such disclosure is limited to that which is legally required to be disclosed;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made by or on behalf of the receiving Party to the Regulatory Authorities as required in connection with any filing, application or request for any Regulatory Approval in accordance with the terms of this Agreement; provided, that reasonable measures shall be taken to ensure confidential treatment of such Confidential Information to the extent practicable and consistent with Applicable Law; or</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31</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made by the receiving Party or its Affiliates to potential or actual investors or acquirers as may be necessary in connection with their evaluation of such potential or actual investment or acquisition; provided that such persons shall be subject to obligations of confidentiality and non-use with respect to such Confidential Information substantially similar to the obligations of confidentiality and non-use of the receiving Party pursuant to this Section 10. Mereo shall have the right to disclose the terms of this Agreement to Novartis Pharma AG.</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shall be responsible for ensuring compliance by their Affiliates, Sublicensees and representatives receiving Confidential Information hereunder with the foregoing confidentiality provisions and shall be liable for any breach of the confidentiality terms and conditions of this Agreement by any such Affiliates, Sublicensees or representatives receiving Confidential Information.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10.5</w:t>
      </w:r>
    </w:p>
    <w:p>
      <w:pPr>
        <w:pStyle w:val="TextBody"/>
        <w:bidi w:val="0"/>
        <w:spacing w:before="0" w:after="220"/>
        <w:jc w:val="both"/>
        <w:rPr/>
      </w:pPr>
      <w:r>
        <w:rPr>
          <w:rFonts w:ascii="Times New Roman" w:hAnsi="Times New Roman"/>
          <w:color w:val="000000"/>
          <w:sz w:val="22"/>
        </w:rPr>
        <w:t>Upon the termination or expiration of this Agreement, upon the written request of the disclosing Party, the recipient of Confidential Information shall promptly redeliver to the disclosing Party all Confidential Information provided to the recipient in tangible form or destroy the same and certify in writing within thirty (30) days from the request of the disclosing Party or termination of the Agreement, as the case may be, that such destruction has occurred; provided, however, that nothing in this Agreement shall require the alteration, modification, deletion or destruction</w:t>
      </w:r>
      <w:r>
        <w:rPr>
          <w:color w:val="000000"/>
        </w:rPr>
        <w:t xml:space="preserve"> </w:t>
      </w:r>
      <w:r>
        <w:rPr>
          <w:rFonts w:ascii="Times New Roman" w:hAnsi="Times New Roman"/>
          <w:color w:val="000000"/>
          <w:sz w:val="22"/>
        </w:rPr>
        <w:t>of computer backup tapes made in the ordinary course of business. Notwithstanding the foregoing, the recipient shall be permitted to retain in its files one copy of all Confidential Information (a) to evidence the scope of and to enforce the Party’s obligation of confidentiality under this Section 10; and (b) for the performance of any continuing obligations hereunder.</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11.</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 xml:space="preserve">INTELLECTUAL PROPERTY RIGHTS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shall be responsible for making all filings and listings of Patents in respect of the Product, if listable, with Regulatory Authorities in the Territory.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Inventorship of Inventions shall be determined by application of U.S. patent law pertaining to inventorship, and ownership shall follow inventorship.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Subject to Section 2, as between the Parties, each Party shall own and retain all right, title, and interest in and to any and all Intellectual Property Rights, Confidential Information and other information that are conceived, reduced to practice, discovered, developed, or otherwise made by such Party (or its Affiliates or Sublicensees) under or in connection with this Agreement, or Controlled (other than pursuant to the license in Section 2) by such Party or its Affiliates. ReproNovo and/or its designee shall at all times have the right, but not the obligation, to register ReproNovo Trade Marks relating to the commercialization of the Product in the Territory. ReproNovo shall not use any ReproNovo Trade Mark in relation to the Product that includes or is confusingly similar to the “Mereo” name, the name of any Mereo Affiliate or the name of any of their products. ReproNovo shall provide Mereo with any proposed ReproNovo Trade Marks to be used in connection with the Product following the Effective Date for Mereo’s approval, not to be unreasonably withheld, conditioned or delayed (and in no event later than [***]); it being understood and agreed Mereo shall only be permitted to withhold its approval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32</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for any ReproNovo Trade Marks to the extent Mereo can demonstrate that such proposed ReproNovo Trade Mark includes or is confusingly similar to the “Mereo” name, the name of any Mereo Affiliate or the name of any of their products in the Territory.</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Except as expressly provided herein or as required by Applicable Law, neither Party shall mention or otherwise use the name of the other, its Affiliates or Sublicensees in any publication, press release, marketing or promotional material, or other form of publicity without the prior written approval of such other Party in each instance.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If Mereo or ReproNovo becomes aware of misappropriation or infringement or threatened misappropriation or infringement of any Intellectual Property Rights relating to the Product (including Mereo Intellectual Property and Mereo Patents) by a Third Party in the Territory, such Party shall promptly notify the other Party in writing to that effect and provide a summary of the relevant facts and circumstances known to such Party relating to such infringement. ReproNovo shall, in consultation with Mereo, have the right (but not the obligation) to control any claim, litigation or proceeding commenced against any such Third Party for infringement of Intellectual Property Rights with respect to the Product that is Controlled by ReproNovo, Mereo or their respective Affiliates, at ReproNovo’s sole cost and expense. However, ReproNovo shall obtain Mereo’s consent prior to taking any actions that would materially affect Mereo’s Intellectual Property Rights. Mereo shall have the right, at its own cost and expense, to join as a party to, and be represented in, any such action by counsel of its own choice. ReproNovo shall keep Mereo reasonably informed of any actions or proceedings commenced against any such Third Party. Mereo shall cooperate fully with ReproNovo with respect to such actions or proceedings, at ReproNovo's cost. If ReproNovo fails to initiate a claim, litigation or proceeding within [***] after written notice of such infringement is first provided by a Party under this Section 11.5 Mereo will have the right to initiate and control a claim, litigation or proceeding with respect to such infringement by counsel of its own choice, at its own cost expense and ReproNovo will have the right, at its own cost and expense, to be represented in any such action by counsel of its own choice. Mereo shall keep ReproNovo reasonably informed of any actions or proceedings commenced against any such Third Party. ReproNovo shall cooperate fully with Mereo with respect to such actions or proceedings. If ReproNovo ceases to pursue or intends to withdraw from a claim, litigation or proceeding instituted pursuant to this Section 11.5, it will promptly notify Mereo (in good time to enable Mereo to meet any deadlines by which any action must be taken to preserve any rights in such claim, litigation or proceeding) and Mereo may substitute itself for ReproNovo and proceed under the terms and conditions of this Section. Any damages or other monetary awards recovered with respect to a claim, litigation or proceeding brought pursuant to this Section 11.5 will be shared as follows: (a) the amount of such recovery will first be applied to the Parties’ reasonable out-of-pocket costs incurred in connection with such claim, litigation or proceeding (which amounts will be allocated pro rata if insufficient to cover the totality of such expenses); (b) then any remaining proceeds will be allocated between the Parties as follows: ReproNovo will retain [***] of such proceeds and Mereo will receive [***] of such proceeds. ReproNovo shall have the sole right to control any claim, litigation or proceeding commenced against any Third Party for infringement of the ReproNovo Trade Marks, at its sole cost and expense. Mereo agrees to provide any reasonable assistance requested by ReproNovo at the relevant time in relation to such action or defense at ReproNovo’s expense. If responsible for controlling any such claim,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33</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suit, or proceeding, Mereo shall not settle, compromise or withdraw from such claim, suit or proceeding without the prior written consent of ReproNovo.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shall have sole control of and shall be required to defend, at its sole cost and expense, any claim, litigation or proceeding that may arise related to a Third Party patent or other Third Party Intellectual Property Right that is infringed or alleged to be infringed by the Product (or its manufacture, sale or use) as well as all negotiations for its settlement or compromise, provided that ReproNovo shall not settle or compromise any claim, litigation or proceedings or enter into any consent order for the settlement or compromise thereof without the prior written consent of Mereo, which consent shall not be unreasonably withheld, conditioned or delayed. Mereo shall also have the right, but not the obligation, to participate, at its own expense, in the defence thereof with counsel of its choice. ReproNovo will keep Mereo reasonably informed about such proceedings. Mereo shall cooperate to the extent reasonably necessary and at ReproNovo's cost to assist ReproNovo in defending, contesting or otherwise protesting against any such actions. Subject to Section 8.1 and Section 8.2, each Party shall assume and pay all of its own out-of-pocket costs incurred in connection with any litigation or proceedings including the reasonable fees and expenses of that Party’s counsel.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 Party initiates a claim, litigation or proceeding in accordance with Section 11.5, the other Party agrees to be joined as a party plaintiff where necessary under Applicable Law for such initiating Party to initiate and maintain such claim, litigation or proceeding. Each Party agrees to provide the other Party with reasonable assistance and cooperation with respect to any claims, litigations or proceedings conducted under Sections 11.5 and 11.6, with the reasonable internal and out-of-pocket costs and expenses of providing such assistance and cooperation to be borne by the Party conducting the claim, litigation or proceeding.</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11.8</w:t>
      </w:r>
    </w:p>
    <w:p>
      <w:pPr>
        <w:pStyle w:val="TextBody"/>
        <w:bidi w:val="0"/>
        <w:spacing w:before="0" w:after="220"/>
        <w:jc w:val="both"/>
        <w:rPr/>
      </w:pPr>
      <w:r>
        <w:rPr>
          <w:rFonts w:ascii="Times New Roman" w:hAnsi="Times New Roman"/>
          <w:color w:val="000000"/>
          <w:sz w:val="22"/>
        </w:rPr>
        <w:t>In consultation with Mereo, ReproNovo shall have the right, but not the obligation, to prepare, file, prosecute, defend in any oppositions or post-grant proceedings, and maintain the Mereo Patents and any other Patents relating to inventions developed by or on behalf of or otherwise Controlled by ReproNovo, its Affiliates or their sublicensees ("</w:t>
      </w:r>
      <w:r>
        <w:rPr>
          <w:rFonts w:ascii="Times New Roman" w:hAnsi="Times New Roman"/>
          <w:color w:val="000000"/>
          <w:sz w:val="22"/>
          <w:u w:val="single"/>
        </w:rPr>
        <w:t>Arising Patent</w:t>
      </w:r>
      <w:r>
        <w:rPr>
          <w:rFonts w:ascii="Times New Roman" w:hAnsi="Times New Roman"/>
          <w:color w:val="000000"/>
          <w:sz w:val="22"/>
        </w:rPr>
        <w:t xml:space="preserve">"), at ReproNovo's sole cost and expense. The Parties agree to cooperate fully in the preparation, filing, prosecution, defense in oppositions or post-grant proceedings, and maintenance of the Mereo Patents and Arising Patents in the Territory, and to promptly inform one another of any matters coming to their attention that may materially affect such activities. ReproNovo shall keep Mereo fully informed of all material steps with regard to the preparation, filing, prosecution, defense, and maintenance of such Patents, including by providing Mereo with a copy of material communications to and from any patent authority in the Territory, and by providing Mereo drafts of any material filings or responses to be made to such patent authorities in the Territory sufficiently in advance of submitting such filings or responses so as to allow for a reasonable opportunity for Mereo to review and comment thereon. ReproNovo shall consider in good faith the requests and suggestions of Mereo with respect to such drafts and with respect to strategies for filing and prosecuting such Patents in the Territory. ReproNovo shall promptly inform Mereo of any adversarial patent office proceeding or sua sponte filing, including a request for, or filing or declaration of, any opposition, reexamination or other post-grant challenges or proceedings relating to such Patents in the Territory. The Parties shall thereafter consult and cooperate to determine a course of action with respect to any such proceeding in the Territory and ReproNovo shall consider in good faith all comments, requests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34</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and suggestions provided by Mereo. If ReproNovo decides not to prepare, file, prosecute, defend in an opposition or post-grant proceeding, or maintain a Mereo Patent or Arising Patent in a country or other jurisdiction in the Territory, ReproNovo shall provide reasonable prior written notice to Mereo of such intention. Mereo shall thereupon have the right, but not the obligation, in its sole discretion, to assume the control and direction of the preparation, filing, prosecution, defense, and maintenance of such Patents at its expense in such country or other jurisdiction. In the event Mereo assumes such control, within [***] ReproNovo shall promptly deliver to Mereo or its designee copies of all necessary files related to such Patent and take all actions and execute all documents reasonably necessary for Mereo to assume such control. The Parties shall execute all papers and instruments, or require their employees or contractors to execute such papers and instruments, so as to (a) effect the ownership of Intellectual Property Rights set forth in this Section 11; (b) enable the other Party to apply for and to prosecute Patent applications in the Territory; (c) obtain and maintain any Patent term extensions, supplementary protection certificates, and the like with respect to such Patents in the Territory; and(d) provide assistance necessary for registering any license, transfer or assignment with applicable governmental authorities, in each case ((a), (b), and (c)) to the extent provided for in this Agreement.</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ReproNovo shall have the sole right, but not the obligation, to seek, at its cost, in Mereo’s name if so required, Patent term extensions, including any supplementary protection certificates and the like available under Applicable Laws for the Product in the Field in the Territory. ReproNovo will keep Mereo reasonably informed of its efforts to obtain such extensions. Mereo shall cooperate in connection with all such activities. ReproNovo, its agents and attorneys will give due consideration to all suggestions and comments of Mereo regarding any such activities, including the choice of which Patent to apply term extensions to, but in the event of a disagreement between the Parties, ReproNovo shall have the final decision-making authority.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The Parties shall discuss and agree an approach regarding the opt-in or opt-out under Article 83(4) of the Agreement on a Unified Patent Court between the participating Member States of the European Union (2013/C 175/01), with respect to any Mereo Patents. ReproNovo shall have the right to make decisions regarding the opt-in or opt-out with respect to Arising Patents. ReproNovo shall pay all fees associated with such decisions.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12.</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FORCE MAJEURE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If the performance of any obligation under this Agreement (other than delays or non-performance by a Party as and to the extent caused by the intentional act or omission of such Party or an obligation for the payment of money) is prevented, restricted or interfered with by reason of any Force Majeure event, then the Party so affected shall be excused, upon giving written notice to the other Party within [***] of such Force Majeure event, from such performance to the extent of such prevention, restriction or interference and such non-performance shall not be considered a default or breach of this Agreement, provided that the Party so affected shall use Commercially Reasonable Efforts to avoid or remove such causes of non-performance and shall continue performance to the extent reasonably possible and, in any event, at such time as the Force Majeure conditions come to an end. Written notice provided in accordance with this Section 12.1 shall state the nature of the event, its anticipated duration and any action being taken to avoid or minimize its effect.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35</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If the Force Majeure conditions prevent performance completely and such prevention continues for more than [***], then the Parties shall meet to discuss the anticipated duration of any further delay and any amendments to this Agreement proposed by a Party in good faith in light of the anticipated duration of any further delay.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13.</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ASSIGNMENT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13.1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Neither Party may assign, sell, transfer, delegate, pledge or otherwise dispose of its rights or obligations under this Agreement, in part or in whole to a Third Party, without the prior written consent of the other Party; provided that notwithstanding the foregoing, either Party may assign its rights and obligations under this Agreement without the consent of the other Party to an Affiliate; provided that such Party shall remain liable for the performance by its Affiliate(s) of its obligations hereunder. Either Party may also, without such consent, assign its rights and obligations under this Agreement in connection with a merger, consolidation or sale of all or substantially all of the business to which this Agreement relates provided that the assignee agrees to be bound by the terms of this Agreement. Any purported assignment in violation of this Section shall be null and void. For the avoidance of any doubt, ReproNovo may delegate its rights and obligations under this Agreement to any of its Affiliates, including ReproNovo Pharmaceuticals Inc., in order to carry out activities contemplated by this Agreement; it being understood that ReproNovo shall remain liable for the performance by any such Affiliate(s) of its obligations hereunder and nothing herein shall discharge ReproNovo from performing its obligations under this Agreement.</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14.</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TERM AND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14.1</w:t>
      </w:r>
    </w:p>
    <w:p>
      <w:pPr>
        <w:pStyle w:val="TextBody"/>
        <w:bidi w:val="0"/>
        <w:spacing w:before="0" w:after="220"/>
        <w:jc w:val="both"/>
        <w:rPr/>
      </w:pPr>
      <w:r>
        <w:rPr>
          <w:rFonts w:ascii="Times New Roman" w:hAnsi="Times New Roman"/>
          <w:color w:val="000000"/>
          <w:sz w:val="22"/>
        </w:rPr>
        <w:t>This Agreement shall become effective on the Effective Date and, subject to Sections 14.2, 14.3 and 14.4, shall continue in full force and effect on a country-by-country basis until the expiration of the Royalty Term in each such country in the Territory (the “</w:t>
      </w:r>
      <w:r>
        <w:rPr>
          <w:rFonts w:ascii="Times New Roman" w:hAnsi="Times New Roman"/>
          <w:color w:val="000000"/>
          <w:sz w:val="22"/>
          <w:u w:val="single"/>
        </w:rPr>
        <w:t>Term</w:t>
      </w:r>
      <w:r>
        <w:rPr>
          <w:color w:val="000000"/>
        </w:rPr>
        <w:t>”</w:t>
      </w:r>
      <w:r>
        <w:rPr>
          <w:rFonts w:ascii="Times New Roman" w:hAnsi="Times New Roman"/>
          <w:color w:val="000000"/>
          <w:sz w:val="22"/>
        </w:rPr>
        <w:t>). After expiration of the Term on a country-by-country basis, the rights and licenses granted by Mereo to ReproNovo under Section 2.1 to develop, manufacture and commercialize the Product in the Field throughout the Territory shall convert to an irrevocable, exclusive, royalty-free, fully paid-up, non-terminable right and license, with the right to grant sublicenses (through multiple tiers).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Agreement may be terminated at any time by either Party on written notice if:</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other Party is in material breach of any obligations, terms or conditions hereunder and, in the case of a breach capable of remedy, it shall not have been remedied by the defaulting Party within [***] of written notice specifying the breach and requiring its remedy; 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the other Party (a) voluntarily commences any action or seeks any relief regarding its liquidation or dissolution under any bankruptcy or insolvency or similar law, (b) proposes a written agreement of composition or extension of its debts, or (c) admits in writing its inability generally to meet its obligations as they fall due in the general course; or</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36</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 proceeding is commenced or an order, judgement or decree is entered seeking the liquidation, reorganization, dissolution or similar act or any other relief under any bankruptcy, insolvency or similar law against the other Party, without its consent, which continues un-dismissed or un-stayed for a period of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ReproNovo may terminate this Agreement by providing Mereo with [***] prior written notice, provided that no such termination notice may be issued until on or after the first anniversary of the Effective Date.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To the extent not prohibited by Applicable Law, Mereo may terminate this Agreement immediately upon written notice to ReproNovo if ReproNovo, its Affiliates, or its Sublicensees bring, or actively support a Third Party’s efforts to bring, an action (including any interference or opposition proceedings) in a patent office or court challenging the validity, scope, enforceability or extension of any Patents forming part of the Mereo Intellectual Property.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15.</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RIGHTS ON TERMINATION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15.1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Any provisions required for the interpretation or enforcement of this Agreement shall survive the expiration or termination of this Agreement. Expiration or termination of this Agreement shall not relieve any Party of any obligations that are expressly indicated to survive expiration or termination and shall be without prejudice to any rights that have accrued to the benefit of a Party prior to such termination or expiration. Expiration or termination of this Agreement shall not relieve the Parties of any obligation accruing prior to such expiration or termination, and for the avoidance of doubt, the provisions of Sections 1, 10, 12, 13, and 17 through 19 shall survive the expiration or termination of the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15.2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the event of termination of this Agreement by either Party: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Subject to ReproNovo’s right to sell remaining inventory as described herein, all rights and licenses granted by the Parties hereunder shall terminate on the effective date of expiration or termination of this Agreement. In the event of termination by ReproNovo in accordance with Section 14.3, from and after the effective date of expiration or termination of this Agreement and for a period of six (6) months, notwithstanding anything contained herein to the contrary, ReproNovo shall be permitted, on a non-exclusive basis, to continue distributing, marketing and selling remaining inventory of Product held by ReproNovo; provided, that ReproNovo shall continue to be obligated to pay Mereo in respect of such Product in accordance with Section 4 during such time period.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shall and hereby does effective as of the effective date of termination (other than any expiration pursuant to Section 14.1 or termination by ReproNovo pursuant to Section 14.2), and shall procure that its Affiliates and Sublicensees shall: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grant Mereo an exclusive, royalty free license, with the right to grant multiple tiers of sublicenses, under any Intellectual Property Rights Controlled by ReproNovo, its Affiliates and its Sublicensees necessary or useful for the development and commercialisation of the Product in the Field in the Territory, provided that: (1) the foregoing license shall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37</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exclude any license or other rights with respect to any active ingredient that is not the API unless the Product has been granted Regulatory Approval for use in combination with such other active ingredient in which case the license will include a license to the Intellectual Property Rights Controlled by ReproNovo, its Affiliates or Sublicensees necessary to allow Mereo to continue to commercialize such Product for use in such combination; and (2) Mereo shall be solely responsible for any payments (including royalties, milestones and other amounts) payable to Third Parties in respect of Third Party Intellectual Property Rights relating to the Product, insofar as such payments relate to the Intellectual Property Rights of ReproNovo, its Affiliates or their Sublicensees that are the subject of the license in this Section 15.2(b);</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where permitted by Applicable Law, transfer to Mereo all right, title, and interest in all Regulatory Submissions and Regulatory Approvals then Controlled by ReproNovo, its Affiliates or their Sublicensees and related to the Products, and provide to Mereo copies of all such Regulatory Submissions and Regulatory Approvals including correspondence and reports submitted to or received from Regulatory Authorities (including minutes and official contact reports relating to any communications with any Regulatory Authority), all supporting documents with respect thereto, including all regulatory drug lists, advertising and promotional documents, adverse event files, complaint files, and clinical data and other data contained or relied upon in any of the foregoing;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notify the applicable Regulatory Authorities and take any other action reasonably necessary to effect the transfer set forth in subparagraph (ii) above;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ReproNovo shall assign to Mereo for no charge all ReproNovo Trade Marks that are being used exclusively in relation to the Product;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(v)</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unless otherwise required by Applicable Law, at Mereo's election, ReproNovo shall transfer control to Mereo of all clinical studies with respect to the Products and ReproNovo shall continue to conduct such studies, at Mereo's cost, for up to [***] to enable such transfer to be completed without interruption of any such clinical study; provided that (1) Mereo shall not have any obligation to continue any clinical study except if required by Applicable Law, and (2) with respect to any clinical study for which such transfer would be inconsistent with Applicable Law or which relates to the API in combination with any other agent, ReproNovo shall, at Mereo's request, continue to conduct such clinical study to completion, at Mereo's cost;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(vi)</w:t>
      </w:r>
    </w:p>
    <w:p>
      <w:pPr>
        <w:pStyle w:val="TextBody"/>
        <w:bidi w:val="0"/>
        <w:spacing w:before="0" w:after="220"/>
        <w:jc w:val="both"/>
        <w:rPr/>
      </w:pPr>
      <w:r>
        <w:rPr>
          <w:rFonts w:ascii="Times New Roman" w:hAnsi="Times New Roman"/>
          <w:color w:val="000000"/>
          <w:sz w:val="22"/>
        </w:rPr>
        <w:t>the Parties shall negotiate in good faith the terms and conditions of a written transition agreement (“</w:t>
      </w:r>
      <w:r>
        <w:rPr>
          <w:rFonts w:ascii="Times New Roman" w:hAnsi="Times New Roman"/>
          <w:color w:val="000000"/>
          <w:sz w:val="22"/>
          <w:u w:val="single"/>
        </w:rPr>
        <w:t>Transition Agreement</w:t>
      </w:r>
      <w:r>
        <w:rPr>
          <w:color w:val="000000"/>
        </w:rPr>
        <w:t>”</w:t>
      </w:r>
      <w:r>
        <w:rPr>
          <w:rFonts w:ascii="Times New Roman" w:hAnsi="Times New Roman"/>
          <w:color w:val="000000"/>
          <w:sz w:val="22"/>
        </w:rPr>
        <w:t xml:space="preserve">) pursuant to which they will effectuate and coordinate a smooth and efficient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38</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transition of relevant obligations and rights to Mereo as reasonably necessary for Mereo to exercise its licenses pursuant to Section 15.2(b). Such Transition Agreement shall include provisions to ensure the transfer to Mereo, or a Third Party nominated by Mereo, of the manufacturing process then being used by or on behalf of ReproNovo to make the Product.</w:t>
      </w:r>
      <w:r>
        <w:rPr>
          <w:color w:val="000000"/>
        </w:rPr>
        <w:t xml:space="preserve"> </w:t>
      </w:r>
    </w:p>
    <w:p>
      <w:pPr>
        <w:pStyle w:val="TextBody"/>
        <w:bidi w:val="0"/>
        <w:spacing w:before="0" w:after="220"/>
        <w:jc w:val="both"/>
        <w:rPr/>
      </w:pPr>
      <w:r>
        <w:rPr/>
        <w:t>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16.</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NOTICES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16.1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All notices and other communications in connection with this Agreement shall be in writing and shall be sent to the respective Parties at the following addresses, or to such other addresses as may be designated by the Parties in writing from time to time in accordance with this Section 16.1, by registered or certified mail, postage prepaid, or by express courier service, service fee prepaid. A copy of such notices and communications shall be sent to the respective Parties by email, to the following email addresses, or to such other email addresses as may be designated by the Parties in writing from time to time. </w:t>
      </w:r>
    </w:p>
    <w:tbl>
      <w:tblPr>
        <w:tblW w:w="4397" w:type="dxa"/>
        <w:jc w:val="left"/>
        <w:tblInd w:w="0" w:type="dxa"/>
        <w:tblLayout w:type="fixed"/>
        <w:tblCellMar>
          <w:top w:w="28" w:type="dxa"/>
          <w:left w:w="28" w:type="dxa"/>
          <w:bottom w:w="28" w:type="dxa"/>
          <w:right w:w="28" w:type="dxa"/>
        </w:tblCellMar>
      </w:tblPr>
      <w:tblGrid>
        <w:gridCol w:w="1591"/>
        <w:gridCol w:w="2806"/>
      </w:tblGrid>
      <w:tr>
        <w:trPr/>
        <w:tc>
          <w:tcPr>
            <w:tcW w:w="1591"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ind w:left="0" w:right="0" w:firstLine="774"/>
              <w:jc w:val="left"/>
              <w:rPr>
                <w:sz w:val="4"/>
                <w:szCs w:val="4"/>
              </w:rPr>
            </w:pPr>
            <w:r>
              <w:rPr>
                <w:sz w:val="4"/>
                <w:szCs w:val="4"/>
              </w:rPr>
            </w:r>
          </w:p>
        </w:tc>
      </w:tr>
      <w:tr>
        <w:trPr/>
        <w:tc>
          <w:tcPr>
            <w:tcW w:w="1591" w:type="dxa"/>
            <w:tcBorders/>
            <w:tcMar>
              <w:top w:w="0" w:type="dxa"/>
              <w:left w:w="0" w:type="dxa"/>
              <w:bottom w:w="0" w:type="dxa"/>
              <w:right w:w="0" w:type="dxa"/>
            </w:tcMar>
            <w:vAlign w:val="center"/>
          </w:tcPr>
          <w:p>
            <w:pPr>
              <w:pStyle w:val="TableContents"/>
              <w:pBdr/>
              <w:bidi w:val="0"/>
              <w:spacing w:before="0" w:after="220"/>
              <w:ind w:left="0" w:right="0" w:hanging="774"/>
              <w:jc w:val="left"/>
              <w:rPr>
                <w:rFonts w:ascii="Times New Roman" w:hAnsi="Times New Roman"/>
                <w:color w:val="000000"/>
                <w:sz w:val="22"/>
              </w:rPr>
            </w:pPr>
            <w:r>
              <w:rPr>
                <w:rFonts w:ascii="Times New Roman" w:hAnsi="Times New Roman"/>
                <w:color w:val="000000"/>
                <w:sz w:val="22"/>
              </w:rPr>
              <w:t>To Mereo:</w:t>
            </w:r>
          </w:p>
        </w:tc>
        <w:tc>
          <w:tcPr>
            <w:tcW w:w="28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Mereo BioPharma 2 Limited</w:t>
            </w:r>
          </w:p>
          <w:p>
            <w:pPr>
              <w:pStyle w:val="TableContents"/>
              <w:bidi w:val="0"/>
              <w:jc w:val="left"/>
              <w:rPr>
                <w:rFonts w:ascii="Times New Roman" w:hAnsi="Times New Roman"/>
                <w:color w:val="000000"/>
                <w:sz w:val="22"/>
              </w:rPr>
            </w:pPr>
            <w:r>
              <w:rPr>
                <w:rFonts w:ascii="Times New Roman" w:hAnsi="Times New Roman"/>
                <w:color w:val="000000"/>
                <w:sz w:val="22"/>
              </w:rPr>
              <w: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With a copy to:</w:t>
            </w:r>
          </w:p>
          <w:p>
            <w:pPr>
              <w:pStyle w:val="TableContents"/>
              <w:bidi w:val="0"/>
              <w:jc w:val="left"/>
              <w:rPr>
                <w:rFonts w:ascii="Times New Roman" w:hAnsi="Times New Roman"/>
                <w:sz w:val="22"/>
              </w:rPr>
            </w:pPr>
            <w:r>
              <w:rPr>
                <w:rFonts w:ascii="Times New Roman" w:hAnsi="Times New Roman"/>
                <w:color w:val="000000"/>
                <w:sz w:val="22"/>
              </w:rPr>
              <w:t xml:space="preserve">Email: </w:t>
            </w:r>
            <w:r>
              <w:rPr>
                <w:rFonts w:ascii="Times New Roman" w:hAnsi="Times New Roman"/>
                <w:sz w:val="22"/>
              </w:rPr>
              <w:t>[***]</w:t>
            </w:r>
          </w:p>
          <w:p>
            <w:pPr>
              <w:pStyle w:val="TableContents"/>
              <w:bidi w:val="0"/>
              <w:jc w:val="left"/>
              <w:rPr/>
            </w:pPr>
            <w:r>
              <w:rPr/>
              <w:t> </w:t>
            </w:r>
          </w:p>
          <w:p>
            <w:pPr>
              <w:pStyle w:val="TableContents"/>
              <w:pBdr>
                <w:bottom w:val="single" w:sz="12" w:space="1" w:color="000000"/>
              </w:pBdr>
              <w:bidi w:val="0"/>
              <w:jc w:val="left"/>
              <w:rPr>
                <w:rFonts w:ascii="Times New Roman" w:hAnsi="Times New Roman"/>
                <w:color w:val="000000"/>
                <w:sz w:val="22"/>
              </w:rPr>
            </w:pPr>
            <w:r>
              <w:rPr>
                <w:rFonts w:ascii="Times New Roman" w:hAnsi="Times New Roman"/>
                <w:color w:val="000000"/>
                <w:sz w:val="22"/>
              </w:rPr>
              <w:t>With a further copy to [***]</w:t>
            </w:r>
          </w:p>
          <w:p>
            <w:pPr>
              <w:pStyle w:val="TableContents"/>
              <w:bidi w:val="0"/>
              <w:spacing w:before="0" w:after="283"/>
              <w:jc w:val="left"/>
              <w:rPr/>
            </w:pPr>
            <w:r>
              <w:rPr/>
              <w:t> </w:t>
            </w:r>
          </w:p>
        </w:tc>
      </w:tr>
      <w:tr>
        <w:trPr/>
        <w:tc>
          <w:tcPr>
            <w:tcW w:w="15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To ReproNovo:</w:t>
            </w:r>
          </w:p>
        </w:tc>
        <w:tc>
          <w:tcPr>
            <w:tcW w:w="28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ReproNovo SA</w:t>
              <w:br/>
              <w:t>[***]</w:t>
            </w:r>
          </w:p>
          <w:p>
            <w:pPr>
              <w:pStyle w:val="TableContents"/>
              <w:bidi w:val="0"/>
              <w:jc w:val="left"/>
              <w:rPr/>
            </w:pPr>
            <w:r>
              <w:rPr/>
              <w:t> </w:t>
            </w:r>
          </w:p>
          <w:p>
            <w:pPr>
              <w:pStyle w:val="TableContents"/>
              <w:bidi w:val="0"/>
              <w:jc w:val="left"/>
              <w:rPr>
                <w:rFonts w:ascii="Times New Roman" w:hAnsi="Times New Roman"/>
                <w:color w:val="000000"/>
                <w:sz w:val="22"/>
              </w:rPr>
            </w:pPr>
            <w:r>
              <w:rPr>
                <w:rFonts w:ascii="Times New Roman" w:hAnsi="Times New Roman"/>
                <w:color w:val="000000"/>
                <w:sz w:val="22"/>
              </w:rPr>
              <w:t xml:space="preserve">With a copy to: </w:t>
            </w:r>
          </w:p>
          <w:p>
            <w:pPr>
              <w:pStyle w:val="TableContents"/>
              <w:bidi w:val="0"/>
              <w:jc w:val="left"/>
              <w:rPr>
                <w:rFonts w:ascii="Times New Roman" w:hAnsi="Times New Roman"/>
                <w:color w:val="000000"/>
                <w:sz w:val="22"/>
              </w:rPr>
            </w:pPr>
            <w:r>
              <w:rPr>
                <w:rFonts w:ascii="Times New Roman" w:hAnsi="Times New Roman"/>
                <w:color w:val="000000"/>
                <w:sz w:val="22"/>
              </w:rPr>
              <w:t>[***]</w:t>
            </w:r>
          </w:p>
          <w:p>
            <w:pPr>
              <w:pStyle w:val="TableContents"/>
              <w:bidi w:val="0"/>
              <w:jc w:val="left"/>
              <w:rPr/>
            </w:pPr>
            <w:r>
              <w:rPr/>
              <w:t> </w:t>
            </w:r>
          </w:p>
          <w:p>
            <w:pPr>
              <w:pStyle w:val="TableContents"/>
              <w:bidi w:val="0"/>
              <w:spacing w:before="0" w:after="283"/>
              <w:jc w:val="left"/>
              <w:rPr/>
            </w:pPr>
            <w:r>
              <w:rPr/>
              <w:t> </w:t>
            </w:r>
          </w:p>
        </w:tc>
      </w:tr>
    </w:tbl>
    <w:p>
      <w:pPr>
        <w:pStyle w:val="TextBody"/>
        <w:bidi w:val="0"/>
        <w:spacing w:before="0" w:after="220"/>
        <w:jc w:val="both"/>
        <w:rPr>
          <w:rFonts w:ascii="Times New Roman" w:hAnsi="Times New Roman"/>
          <w:sz w:val="20"/>
        </w:rPr>
      </w:pPr>
      <w:r>
        <w:rPr>
          <w:rFonts w:ascii="Times New Roman" w:hAnsi="Times New Roman"/>
          <w:color w:val="000000"/>
          <w:sz w:val="22"/>
        </w:rPr>
        <w:t>All notices shall be deemed given and received (a) if delivered by hand, immediately, (b) if sent by mail, ten (10) Business Days after posting, or (c) if delivered by express courier service, three (3) Business Days in the jurisdiction of the recipient.</w:t>
      </w:r>
      <w:r>
        <w:rPr>
          <w:rFonts w:ascii="Times New Roman" w:hAnsi="Times New Roman"/>
          <w:color w:val="000000"/>
          <w:sz w:val="20"/>
        </w:rPr>
        <w:t xml:space="preserve">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17.</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DISPUTE RESOLUTION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17.1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any dispute arises between the Parties in regard to any aspect of this Agreement or the termination or purported termination of this Agreement, the Parties agree to attempt to resolve the matter amicably. If the Parties are unable to find a resolution within thirty (30) days from the notice of a dispute, then each Party shall refer the dispute to their respective senior officers. The Parties shall then have a further thirty (30) days to resolve the dispute. Any final decision mutually agreed by the senior officers shall be conclusive and binding on the Parties. If the Parties cannot resolve any dispute pursuant to this Section 17.1, either Party may seek to resolve the dispute in accordance with Section 17.2.</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39</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17.2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If any dispute is not resolved as provided in the preceding paragraph, whether before or after termination of this Agreement, it shall be referred to and finally resolved by binding arbitration under the Rules of the LCIA, which Rules are deemed to be incorporated by reference into this Section 17. The number of arbitrators shall be one if the Parties can jointly select a single arbitrator. If, within thirty (30) days following the date upon which a claim is received by the respondent, the Parties cannot agree on a single arbitrator, the number of arbitrators will be three determined as follows: one arbitrator will be appointed by each Party and the third arbitrator will be appointed by the two Party-appointed arbitrators. If either Party fails to select an arbitrator, or if the Party-appointed arbitrators cannot agree on a third arbitrator within sixty (60) days of the respondent receiving the claim, such arbitrator will be appointed by the LCIA, according to its Rules. The seat, or legal place, of arbitration shall be London, UK. The language to be used in the arbitration shall be English. Notwithstanding the provisions of this Section 17.2: (a) each Party shall have the right to seek interim, preliminary or provisional relief, including injunctive relief or other equitable relief in any court of competent jurisdiction as such Party deems necessary to preserve its rights and to protect its interests and to enforce any arbitral award in any court of competent jurisdiction, and (b) any dispute in respect of the validity of Intellectual Property Rights shall not be subject to this Section 17.2, but shall be determined by the national court of the country in which such Intellectual Property Right exists.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18.</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GOVERNING LAW &amp; JURISDICTION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18.1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All issues and questions concerning the construction, validity, enforcement and interpretation of this Agreement shall be governed by, construed exclusively in accordance with, and enforced in accordance with the laws of England and Wales without reference to conflicts of laws principles. </w:t>
      </w:r>
    </w:p>
    <w:p>
      <w:pPr>
        <w:pStyle w:val="TextBody"/>
        <w:bidi w:val="0"/>
        <w:spacing w:before="0" w:after="220"/>
        <w:jc w:val="left"/>
        <w:rPr>
          <w:rFonts w:ascii="Times New Roman" w:hAnsi="Times New Roman"/>
          <w:b/>
          <w:color w:val="000000"/>
          <w:sz w:val="22"/>
        </w:rPr>
      </w:pPr>
      <w:r>
        <w:rPr>
          <w:rFonts w:ascii="Times New Roman" w:hAnsi="Times New Roman"/>
          <w:b/>
          <w:color w:val="000000"/>
          <w:sz w:val="22"/>
        </w:rPr>
        <w:t>19.</w:t>
      </w:r>
    </w:p>
    <w:p>
      <w:pPr>
        <w:pStyle w:val="TextBody"/>
        <w:bidi w:val="0"/>
        <w:spacing w:before="0" w:after="220"/>
        <w:jc w:val="left"/>
        <w:rPr>
          <w:rFonts w:ascii="Times New Roman" w:hAnsi="Times New Roman"/>
          <w:b/>
          <w:caps/>
          <w:color w:val="000000"/>
          <w:sz w:val="22"/>
        </w:rPr>
      </w:pPr>
      <w:r>
        <w:rPr>
          <w:rFonts w:ascii="Times New Roman" w:hAnsi="Times New Roman"/>
          <w:b/>
          <w:caps/>
          <w:color w:val="000000"/>
          <w:sz w:val="22"/>
        </w:rPr>
        <w:t>GENERAL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Agreement together with its Schedules contains the entire agreement between the Parties and supersedes all previous agreements and understandings between them in respect of this Product. No amendment, change, modification, extension, termination or waiver of the Agreement, or any of the provisions herein contained, shall be valid unless made in writing and signed by duly authorized representatives of the Parties hereto.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The waiver by either Party hereto of any right hereunder or the failure to perform, or of a breach by the other Party, shall not be deemed a waiver of any other right hereunder or of any other breach or failure by said other Party whether of a similar nature or otherwise. Any such waiver shall not be effective unless set forth in writing duly executed by or on behalf of the Party providing such waiver.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Agreement together with its Schedules attached hereto, embodies the entire understanding between the Parties and supersedes any prior understanding and agreements between and among them respecting the subject matter hereof. There are no representations, agreements, arrangements or understandings, oral or written, between the Parties hereto relating to the subject matter of the Agreement which are not fully expressed herein.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Any of the provisions of the Agreement which are determined to be invalid or unenforceable in any jurisdiction shall be ineffective to the extent of such invalidity or unenforceability in such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40</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20"/>
        <w:jc w:val="both"/>
        <w:rPr/>
      </w:pPr>
      <w:r>
        <w:rPr>
          <w:rFonts w:ascii="Times New Roman" w:hAnsi="Times New Roman"/>
          <w:color w:val="000000"/>
          <w:sz w:val="22"/>
        </w:rPr>
        <w:t>jurisdiction, without rendering invalid or unenforceable the remaining provisions hereof and without affecting the validity or enforceability of any of the terms of the Agreement in any other jurisdiction and, in lieu of such invalid, or unenforceable provision, there shall be added automatically as a part of this Agreement a legal, valid, and enforceable provision as similar in terms to such invalid, or unenforceable provision as may be possible and reasonably acceptable to the Parties.</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Except as provided in Section 8, this Agreement shall be binding upon and inure solely to the benefit of the Parties and each Party’s respective heirs, successors, permitted assigns and representatives, and nothing herein, express or implied, is intended to or shall confer upon any other Person any legal or equitable right, benefit or remedy hereunder.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It is expressly agreed that Mereo and ReproNovo shall be independent contractors and that the relationship between the Parties shall not constitute a partnership, joint venture, or agency, including for all tax purposes. Each Party acknowledges and agrees that such Party is not authorized to, and shall not, incur any liability for which the other Party may become directly, indirectly or contingently liable, nor shall it, except as explicitly provided in this Agreement, hold themselves out as having authority to represent or act on behalf of the other Party in any capacity whatsoever, nor shall the relationship between the Parties be construed as a co-partnership, joint venture or principal-agent relationship. The relationship of Mereo and ReproNovo under this Agreement shall be that of independent contractor.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Notwithstanding anything contained in this Agreement to the contrary, in the event of any actual or threatened breach of any of the covenants or agreements in this Agreement, the Party who is or is to be thereby aggrieved shall have the right of specific performance and injunctive relief giving effect to its rights under this Agreement, in addition to any and all other rights and remedies at law or in equity. The Parties agree that any such breach or threatened breach would cause irreparable injury, that the remedies at law for any such breach or threatened breach, including monetary damages, are inadequate compensation for any loss and that any defense in any action for specific performance that a remedy at law would be adequate is waived.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Party shall duly execute and deliver, or cause to be duly executed and delivered, such further instruments and do and cause to be done such further acts and things, including the filing of such assignments, agreements, documents, and instruments, as may be necessary or as the other Party may reasonably request in connection with this Agreement or to carry out more effectively the provisions and purposes hereof, or to better assure and confirm unto such other Party its rights and remedies under this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Agreement has been prepared jointly and shall not be strictly construed against either Party. Ambiguities, if any, in this Agreement shall not be construed against any Party, irrespective of which Party may be deemed to have authored the ambiguous provision.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19.10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Agreement may be executed in two or more counterparts, each of which shall be deemed an original, but all of which together shall constitute one and the same instrument, and may be delivered to the other Party by facsimile or electronic transmission thereof and such electronic signatures shall be deemed to bind each Party hereto as if they were original signatures.</w:t>
      </w:r>
    </w:p>
    <w:p>
      <w:pPr>
        <w:pStyle w:val="TextBody"/>
        <w:bidi w:val="0"/>
        <w:spacing w:before="0" w:after="22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 Follows</w:t>
      </w:r>
      <w:r>
        <w:rPr>
          <w:rFonts w:ascii="Times New Roman" w:hAnsi="Times New Roman"/>
          <w:color w:val="000000"/>
          <w:sz w:val="22"/>
        </w:rPr>
        <w:t>]</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41</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TextBody"/>
        <w:bidi w:val="0"/>
        <w:spacing w:before="240" w:after="36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Parties have signed this Agreement as of the Effective Date.</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REPRONOVO SA</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w:t>
      </w:r>
    </w:p>
    <w:p>
      <w:pPr>
        <w:pStyle w:val="TextBody"/>
        <w:bidi w:val="0"/>
        <w:jc w:val="both"/>
        <w:rPr>
          <w:rFonts w:ascii="Times New Roman" w:hAnsi="Times New Roman"/>
          <w:color w:val="000000"/>
          <w:sz w:val="22"/>
        </w:rPr>
      </w:pPr>
      <w:r>
        <w:rPr>
          <w:rFonts w:ascii="Times New Roman" w:hAnsi="Times New Roman"/>
          <w:color w:val="000000"/>
          <w:sz w:val="22"/>
        </w:rPr>
        <w:t>Name: [***]</w:t>
      </w:r>
    </w:p>
    <w:p>
      <w:pPr>
        <w:pStyle w:val="TextBody"/>
        <w:bidi w:val="0"/>
        <w:jc w:val="both"/>
        <w:rPr>
          <w:rFonts w:ascii="Times New Roman" w:hAnsi="Times New Roman"/>
          <w:color w:val="000000"/>
          <w:sz w:val="22"/>
        </w:rPr>
      </w:pPr>
      <w:r>
        <w:rPr>
          <w:rFonts w:ascii="Times New Roman" w:hAnsi="Times New Roman"/>
          <w:color w:val="000000"/>
          <w:sz w:val="22"/>
        </w:rPr>
        <w:t>Title: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w:t>
      </w:r>
    </w:p>
    <w:p>
      <w:pPr>
        <w:pStyle w:val="TextBody"/>
        <w:bidi w:val="0"/>
        <w:jc w:val="both"/>
        <w:rPr>
          <w:rFonts w:ascii="Times New Roman" w:hAnsi="Times New Roman"/>
          <w:color w:val="000000"/>
          <w:sz w:val="22"/>
        </w:rPr>
      </w:pPr>
      <w:r>
        <w:rPr>
          <w:rFonts w:ascii="Times New Roman" w:hAnsi="Times New Roman"/>
          <w:color w:val="000000"/>
          <w:sz w:val="22"/>
        </w:rPr>
        <w:t>Name: [***]</w:t>
      </w:r>
    </w:p>
    <w:p>
      <w:pPr>
        <w:pStyle w:val="TextBody"/>
        <w:bidi w:val="0"/>
        <w:jc w:val="both"/>
        <w:rPr>
          <w:rFonts w:ascii="Times New Roman" w:hAnsi="Times New Roman"/>
          <w:color w:val="000000"/>
          <w:sz w:val="22"/>
        </w:rPr>
      </w:pPr>
      <w:r>
        <w:rPr>
          <w:rFonts w:ascii="Times New Roman" w:hAnsi="Times New Roman"/>
          <w:color w:val="000000"/>
          <w:sz w:val="22"/>
        </w:rPr>
        <w:t>Title: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MEREO BIOPHARMA 2 LIMITED</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By: [***]</w:t>
      </w:r>
    </w:p>
    <w:p>
      <w:pPr>
        <w:pStyle w:val="TextBody"/>
        <w:bidi w:val="0"/>
        <w:jc w:val="both"/>
        <w:rPr>
          <w:rFonts w:ascii="Times New Roman" w:hAnsi="Times New Roman"/>
          <w:color w:val="000000"/>
          <w:sz w:val="22"/>
        </w:rPr>
      </w:pPr>
      <w:r>
        <w:rPr>
          <w:rFonts w:ascii="Times New Roman" w:hAnsi="Times New Roman"/>
          <w:color w:val="000000"/>
          <w:sz w:val="22"/>
        </w:rPr>
        <w:t>Name: [***]</w:t>
      </w:r>
    </w:p>
    <w:p>
      <w:pPr>
        <w:pStyle w:val="TextBody"/>
        <w:bidi w:val="0"/>
        <w:jc w:val="both"/>
        <w:rPr>
          <w:rFonts w:ascii="Times New Roman" w:hAnsi="Times New Roman"/>
          <w:color w:val="000000"/>
          <w:sz w:val="22"/>
        </w:rPr>
      </w:pPr>
      <w:r>
        <w:rPr>
          <w:rFonts w:ascii="Times New Roman" w:hAnsi="Times New Roman"/>
          <w:color w:val="000000"/>
          <w:sz w:val="22"/>
        </w:rPr>
        <w:t>Title: [***]</w:t>
      </w:r>
    </w:p>
    <w:p>
      <w:pPr>
        <w:pStyle w:val="TextBody"/>
        <w:bidi w:val="0"/>
        <w:spacing w:before="0" w:after="220"/>
        <w:jc w:val="center"/>
        <w:rPr/>
      </w:pPr>
      <w:r>
        <w:rPr/>
        <w:t> </w:t>
      </w:r>
    </w:p>
    <w:p>
      <w:pPr>
        <w:pStyle w:val="TextBody"/>
        <w:bidi w:val="0"/>
        <w:spacing w:before="0" w:after="220"/>
        <w:jc w:val="center"/>
        <w:rPr>
          <w:rFonts w:ascii="Times New Roman" w:hAnsi="Times New Roman"/>
          <w:sz w:val="20"/>
        </w:rPr>
      </w:pPr>
      <w:r>
        <w:rPr>
          <w:rFonts w:ascii="Times New Roman" w:hAnsi="Times New Roman"/>
          <w:color w:val="000000"/>
          <w:sz w:val="22"/>
        </w:rPr>
        <w:br/>
      </w:r>
      <w:r>
        <w:rPr>
          <w:rFonts w:ascii="Times New Roman" w:hAnsi="Times New Roman"/>
          <w:color w:val="000000"/>
          <w:sz w:val="20"/>
        </w:rPr>
        <w:t> </w:t>
      </w:r>
    </w:p>
    <w:p>
      <w:pPr>
        <w:pStyle w:val="TextBody"/>
        <w:bidi w:val="0"/>
        <w:jc w:val="left"/>
        <w:rPr/>
      </w:pPr>
      <w:r>
        <w:rPr/>
        <w:t> </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42</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440" w:after="283"/>
        <w:jc w:val="right"/>
        <w:rPr>
          <w:rFonts w:ascii="Times New Roman" w:hAnsi="Times New Roman"/>
          <w:b/>
          <w:smallCaps/>
          <w:color w:val="000000"/>
          <w:sz w:val="20"/>
        </w:rPr>
      </w:pPr>
      <w:r>
        <w:rPr>
          <w:rFonts w:ascii="Times New Roman" w:hAnsi="Times New Roman"/>
          <w:b/>
          <w:smallCaps/>
          <w:color w:val="000000"/>
          <w:sz w:val="20"/>
        </w:rPr>
        <w:t>EXECUTION VERSION</w:t>
      </w:r>
    </w:p>
    <w:p>
      <w:pPr>
        <w:pStyle w:val="TextBody"/>
        <w:bidi w:val="0"/>
        <w:jc w:val="right"/>
        <w:rPr>
          <w:rFonts w:ascii="Times New Roman" w:hAnsi="Times New Roman"/>
          <w:b/>
          <w:smallCaps/>
          <w:color w:val="000000"/>
          <w:sz w:val="20"/>
        </w:rPr>
      </w:pPr>
      <w:r>
        <w:rPr>
          <w:rFonts w:ascii="Times New Roman" w:hAnsi="Times New Roman"/>
          <w:b/>
          <w:smallCaps/>
          <w:color w:val="000000"/>
          <w:sz w:val="20"/>
        </w:rPr>
        <w:t>CONFIDENTIAL</w:t>
      </w:r>
    </w:p>
    <w:p>
      <w:pPr>
        <w:pStyle w:val="TextBody"/>
        <w:bidi w:val="0"/>
        <w:spacing w:before="0" w:after="22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[THIS PAGE AND THE FOLLOWING 7 PAGES OF THIS EXHIBIT HAVE BEEN </w:t>
      </w:r>
      <w:r>
        <w:rPr>
          <w:rFonts w:ascii="Times New Roman" w:hAnsi="Times New Roman"/>
          <w:caps/>
          <w:color w:val="000000"/>
          <w:sz w:val="22"/>
        </w:rPr>
        <w:t>EXCLUDED FROM THIS EXHIBIT because it is both not material and is the type that the registrant treats as private or confidential]</w:t>
      </w:r>
    </w:p>
    <w:p>
      <w:pPr>
        <w:pStyle w:val="TextBody"/>
        <w:bidi w:val="0"/>
        <w:spacing w:before="0" w:after="220"/>
        <w:ind w:left="0" w:right="360" w:hanging="0"/>
        <w:jc w:val="left"/>
        <w:rPr>
          <w:rFonts w:ascii="Times New Roman" w:hAnsi="Times New Roman"/>
          <w:sz w:val="20"/>
        </w:rPr>
      </w:pPr>
      <w:r>
        <w:rPr>
          <w:rFonts w:ascii="Arial" w:hAnsi="Arial"/>
          <w:color w:val="000000"/>
          <w:sz w:val="18"/>
        </w:rPr>
        <w:t>Page 43</w:t>
      </w:r>
      <w:r>
        <w:rPr>
          <w:rFonts w:ascii="Times New Roman" w:hAnsi="Times New Roman"/>
          <w:color w:val="000000"/>
          <w:sz w:val="20"/>
        </w:rPr>
        <w:t xml:space="preserve"> </w:t>
      </w:r>
      <w:r>
        <w:rPr>
          <w:rFonts w:ascii="Arial" w:hAnsi="Arial"/>
          <w:color w:val="000000"/>
          <w:sz w:val="18"/>
        </w:rPr>
        <w:t>of 48</w:t>
      </w:r>
    </w:p>
    <w:p>
      <w:pPr>
        <w:pStyle w:val="TextBody"/>
        <w:bidi w:val="0"/>
        <w:spacing w:before="0" w:after="22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49" w:name="mreo-ex19_1.htm"/>
      <w:bookmarkStart w:id="50" w:name="ksmreoex19_1"/>
      <w:bookmarkEnd w:id="49"/>
      <w:bookmarkEnd w:id="5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19.1</w:t>
      </w:r>
    </w:p>
    <w:p>
      <w:pPr>
        <w:pStyle w:val="TextBody"/>
        <w:bidi w:val="0"/>
        <w:spacing w:before="120" w:after="240"/>
        <w:jc w:val="center"/>
        <w:rPr>
          <w:rFonts w:ascii="Times New Roman" w:hAnsi="Times New Roman"/>
          <w:b/>
          <w:color w:val="000000"/>
          <w:sz w:val="22"/>
        </w:rPr>
      </w:pPr>
      <w:r>
        <w:rPr>
          <w:rFonts w:ascii="Times New Roman" w:hAnsi="Times New Roman"/>
          <w:b/>
          <w:color w:val="000000"/>
          <w:sz w:val="22"/>
        </w:rPr>
        <w:t>MEREO BIOPHARMA GROUP PLC</w:t>
        <w:br/>
        <w:t>INSIDER TRADING POLICY</w:t>
      </w:r>
    </w:p>
    <w:p>
      <w:pPr>
        <w:pStyle w:val="TextBody"/>
        <w:bidi w:val="0"/>
        <w:spacing w:before="0" w:after="220"/>
        <w:jc w:val="both"/>
        <w:rPr>
          <w:rFonts w:ascii="Times New Roman" w:hAnsi="Times New Roman"/>
          <w:sz w:val="20"/>
        </w:rPr>
      </w:pPr>
      <w:r>
        <w:rPr>
          <w:rFonts w:ascii="Times New Roman" w:hAnsi="Times New Roman"/>
          <w:color w:val="000000"/>
          <w:sz w:val="22"/>
        </w:rPr>
        <w:t>This Insider Trading Policy (“</w:t>
      </w:r>
      <w:r>
        <w:rPr>
          <w:rFonts w:ascii="Times New Roman" w:hAnsi="Times New Roman"/>
          <w:b/>
          <w:color w:val="000000"/>
          <w:sz w:val="22"/>
        </w:rPr>
        <w:t>Policy</w:t>
      </w:r>
      <w:r>
        <w:rPr>
          <w:rFonts w:ascii="Times New Roman" w:hAnsi="Times New Roman"/>
          <w:color w:val="000000"/>
          <w:sz w:val="20"/>
        </w:rPr>
        <w:t>”</w:t>
      </w:r>
      <w:r>
        <w:rPr>
          <w:rFonts w:ascii="Times New Roman" w:hAnsi="Times New Roman"/>
          <w:color w:val="000000"/>
          <w:sz w:val="22"/>
        </w:rPr>
        <w:t>) applies to (a) the purchase or sale of securities in Mereo BioPharma Group plc (including its direct and indirect subsidiaries, and affiliated entities, referred to herein as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(b) communications to persons or entities outside the Company of material non</w:t>
        <w:noBreakHyphen/>
        <w:t>public information about the Company; and (c) trading in the securities of other companies or entities with which the Company has conducted, is conducting, or intends to conduct, business, or sharing with anyone outside the Company any material non</w:t>
        <w:noBreakHyphen/>
        <w:t>public information about these other companies or entities.</w:t>
      </w:r>
    </w:p>
    <w:p>
      <w:pPr>
        <w:pStyle w:val="TextBody"/>
        <w:bidi w:val="0"/>
        <w:spacing w:before="0" w:after="220"/>
        <w:jc w:val="both"/>
        <w:rPr>
          <w:rFonts w:ascii="Times New Roman" w:hAnsi="Times New Roman"/>
          <w:sz w:val="20"/>
        </w:rPr>
      </w:pPr>
      <w:r>
        <w:rPr>
          <w:rFonts w:ascii="Times New Roman" w:hAnsi="Times New Roman"/>
          <w:color w:val="000000"/>
          <w:sz w:val="22"/>
        </w:rPr>
        <w:t>This Policy applies to: (a) all directors, officers and other employees of the Company; (b) all agents and consultants of the Company who have access to or receive material non</w:t>
        <w:noBreakHyphen/>
        <w:t>public information about the Company or any other company or entity the Company does or intends to do business with in the course of their engagement by or association with the Company (the persons described in clauses (a) and (b) being “</w:t>
      </w:r>
      <w:r>
        <w:rPr>
          <w:rFonts w:ascii="Times New Roman" w:hAnsi="Times New Roman"/>
          <w:b/>
          <w:color w:val="000000"/>
          <w:sz w:val="22"/>
        </w:rPr>
        <w:t>Company Personnel</w:t>
      </w:r>
      <w:r>
        <w:rPr>
          <w:rFonts w:ascii="Times New Roman" w:hAnsi="Times New Roman"/>
          <w:color w:val="000000"/>
          <w:sz w:val="20"/>
        </w:rPr>
        <w:t>”</w:t>
      </w:r>
      <w:r>
        <w:rPr>
          <w:rFonts w:ascii="Times New Roman" w:hAnsi="Times New Roman"/>
          <w:color w:val="000000"/>
          <w:sz w:val="22"/>
        </w:rPr>
        <w:t>); and (c) immediate family members and persons sharing the same household as a member of Company Personnel, and (d) any other person whose transactions in Company securities are directed by, or subject to their influence or control, including any corporations, limited liability companies, partnerships or trusts (together, with Company Personnel and immediate family members of Company Personnel, “</w:t>
      </w:r>
      <w:r>
        <w:rPr>
          <w:rFonts w:ascii="Times New Roman" w:hAnsi="Times New Roman"/>
          <w:color w:val="000000"/>
          <w:sz w:val="22"/>
          <w:u w:val="single"/>
        </w:rPr>
        <w:t>Covered Persons</w:t>
      </w:r>
      <w:r>
        <w:rPr>
          <w:rFonts w:ascii="Times New Roman" w:hAnsi="Times New Roman"/>
          <w:color w:val="000000"/>
          <w:sz w:val="20"/>
        </w:rPr>
        <w:t>”</w:t>
      </w:r>
      <w:r>
        <w:rPr>
          <w:rFonts w:ascii="Times New Roman" w:hAnsi="Times New Roman"/>
          <w:color w:val="000000"/>
          <w:sz w:val="22"/>
        </w:rPr>
        <w:t>). Company Personnel are obligated to inform their immediate family members and other Covered Persons of the requirements of this Policy.</w:t>
      </w:r>
    </w:p>
    <w:p>
      <w:pPr>
        <w:pStyle w:val="TextBody"/>
        <w:bidi w:val="0"/>
        <w:spacing w:before="0" w:after="220"/>
        <w:jc w:val="both"/>
        <w:rPr/>
      </w:pPr>
      <w:r>
        <w:rPr>
          <w:color w:val="000000"/>
        </w:rPr>
        <w:t>“</w:t>
      </w:r>
      <w:r>
        <w:rPr>
          <w:rFonts w:ascii="Times New Roman" w:hAnsi="Times New Roman"/>
          <w:b/>
          <w:color w:val="000000"/>
          <w:sz w:val="22"/>
        </w:rPr>
        <w:t>Immediate family member</w:t>
      </w:r>
      <w:r>
        <w:rPr>
          <w:rFonts w:ascii="Times New Roman" w:hAnsi="Times New Roman"/>
          <w:color w:val="000000"/>
          <w:sz w:val="20"/>
        </w:rPr>
        <w:t xml:space="preserve">” </w:t>
      </w:r>
      <w:r>
        <w:rPr>
          <w:rFonts w:ascii="Times New Roman" w:hAnsi="Times New Roman"/>
          <w:color w:val="000000"/>
          <w:sz w:val="22"/>
        </w:rPr>
        <w:t>means any spouse, civil partner, child, stepchild, grandchild, parent, stepparent, grandparent, sibling, mother or father</w:t>
        <w:noBreakHyphen/>
        <w:t>in</w:t>
        <w:noBreakHyphen/>
        <w:t>law, son or daughter</w:t>
        <w:noBreakHyphen/>
        <w:t>in</w:t>
        <w:noBreakHyphen/>
        <w:t>law, or brother</w:t>
        <w:noBreakHyphen/>
        <w:t>in</w:t>
        <w:noBreakHyphen/>
        <w:t>law or sister</w:t>
        <w:noBreakHyphen/>
        <w:t>in</w:t>
        <w:noBreakHyphen/>
        <w:t>law (as well as other adoptive relationships), whether or not sharing the same household as the persons described in clauses (a) and (b) above.</w:t>
      </w:r>
    </w:p>
    <w:p>
      <w:pPr>
        <w:pStyle w:val="TextBody"/>
        <w:bidi w:val="0"/>
        <w:spacing w:before="0" w:after="220"/>
        <w:jc w:val="both"/>
        <w:rPr>
          <w:rFonts w:ascii="Times New Roman" w:hAnsi="Times New Roman"/>
          <w:sz w:val="20"/>
        </w:rPr>
      </w:pPr>
      <w:r>
        <w:rPr>
          <w:rFonts w:ascii="Times New Roman" w:hAnsi="Times New Roman"/>
          <w:color w:val="000000"/>
          <w:sz w:val="22"/>
        </w:rPr>
        <w:t>This Policy has been adopted to ensure compliance with the U.S. federal securities laws, and also to prevent even the appearance of improper conduct on the part of anyone employed by or associated with the Company (not just so</w:t>
        <w:noBreakHyphen/>
        <w:t xml:space="preserve">called insiders). </w:t>
      </w:r>
      <w:r>
        <w:rPr>
          <w:rFonts w:ascii="Times New Roman" w:hAnsi="Times New Roman"/>
          <w:b/>
          <w:color w:val="000000"/>
          <w:sz w:val="22"/>
        </w:rPr>
        <w:t>We have all worked hard over the years to establish a reputation for integrity and ethical conduct, and we cannot afford to have that reputation damaged.</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addresses compliance with applicable U.S. laws. Many other laws, including without limitation the laws of England and Wales, may also be implicated by trading in the securities of the Company.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What Is Insider Trading?</w:t>
      </w:r>
    </w:p>
    <w:p>
      <w:pPr>
        <w:pStyle w:val="TextBody"/>
        <w:bidi w:val="0"/>
        <w:spacing w:before="0" w:after="220"/>
        <w:jc w:val="both"/>
        <w:rPr>
          <w:rFonts w:ascii="Times New Roman" w:hAnsi="Times New Roman"/>
          <w:sz w:val="20"/>
        </w:rPr>
      </w:pPr>
      <w:r>
        <w:rPr>
          <w:rFonts w:ascii="Times New Roman" w:hAnsi="Times New Roman"/>
          <w:color w:val="000000"/>
          <w:sz w:val="22"/>
        </w:rPr>
        <w:t>Insider trading occurs when a person who is aware of material non</w:t>
        <w:noBreakHyphen/>
        <w:t>public information about a particular company or particular securities buys or sells that company’s securities, if such acquisition or disposal occurs on a regulated market. A director, officer or other employee, agent, consultant, or any other advisor, such as accountants or outside attorneys, also may violate the insider trading laws if he or she communicates – or “tips” – material non</w:t>
        <w:noBreakHyphen/>
        <w:t>public information, otherwise known as inside information, to another person or entity without authorisation by the Company. Information is “</w:t>
      </w:r>
      <w:r>
        <w:rPr>
          <w:rFonts w:ascii="Times New Roman" w:hAnsi="Times New Roman"/>
          <w:color w:val="000000"/>
          <w:sz w:val="22"/>
          <w:u w:val="single"/>
        </w:rPr>
        <w:t>material</w:t>
      </w:r>
      <w:r>
        <w:rPr>
          <w:rFonts w:ascii="Times New Roman" w:hAnsi="Times New Roman"/>
          <w:color w:val="000000"/>
          <w:sz w:val="20"/>
        </w:rPr>
        <w:t xml:space="preserve">” </w:t>
      </w:r>
      <w:r>
        <w:rPr>
          <w:rFonts w:ascii="Times New Roman" w:hAnsi="Times New Roman"/>
          <w:color w:val="000000"/>
          <w:sz w:val="22"/>
        </w:rPr>
        <w:t xml:space="preserve">if it relates, directly or indirectly, to a company or one of its securities, </w:t>
      </w:r>
      <w:r>
        <w:rPr>
          <w:rFonts w:ascii="Times New Roman" w:hAnsi="Times New Roman"/>
          <w:i/>
          <w:color w:val="000000"/>
          <w:sz w:val="22"/>
        </w:rPr>
        <w:t>and</w:t>
      </w:r>
      <w:r>
        <w:rPr>
          <w:rFonts w:ascii="Times New Roman" w:hAnsi="Times New Roman"/>
          <w:color w:val="000000"/>
          <w:sz w:val="20"/>
        </w:rPr>
        <w:t xml:space="preserve"> </w:t>
      </w:r>
      <w:r>
        <w:rPr>
          <w:rFonts w:ascii="Times New Roman" w:hAnsi="Times New Roman"/>
          <w:color w:val="000000"/>
          <w:sz w:val="22"/>
        </w:rPr>
        <w:t>(a) such information would, if it were made public, be likely to have a significant effect on the prices of those securities, (b) a reasonable investor would consider such information important in deciding whether to buy, hold or sell securities, or (c) such information would significantly alter the total mix of information available to investors, and “</w:t>
      </w:r>
      <w:r>
        <w:rPr>
          <w:rFonts w:ascii="Times New Roman" w:hAnsi="Times New Roman"/>
          <w:color w:val="000000"/>
          <w:sz w:val="22"/>
          <w:u w:val="single"/>
        </w:rPr>
        <w:t>non</w:t>
        <w:noBreakHyphen/>
        <w:t>public</w:t>
      </w:r>
      <w:r>
        <w:rPr>
          <w:rFonts w:ascii="Times New Roman" w:hAnsi="Times New Roman"/>
          <w:color w:val="000000"/>
          <w:sz w:val="20"/>
        </w:rPr>
        <w:t xml:space="preserve">” </w:t>
      </w:r>
      <w:r>
        <w:rPr>
          <w:rFonts w:ascii="Times New Roman" w:hAnsi="Times New Roman"/>
          <w:color w:val="000000"/>
          <w:sz w:val="22"/>
        </w:rPr>
        <w:t>if it has not been disseminated in a manner making it available to investors generally (see below).</w:t>
      </w:r>
    </w:p>
    <w:p>
      <w:pPr>
        <w:pStyle w:val="TextBody"/>
        <w:bidi w:val="0"/>
        <w:spacing w:before="0" w:after="220"/>
        <w:jc w:val="both"/>
        <w:rPr>
          <w:rFonts w:ascii="Times New Roman" w:hAnsi="Times New Roman"/>
          <w:sz w:val="20"/>
        </w:rPr>
      </w:pPr>
      <w:r>
        <w:rPr>
          <w:rFonts w:ascii="Times New Roman" w:hAnsi="Times New Roman"/>
          <w:color w:val="000000"/>
          <w:sz w:val="22"/>
        </w:rPr>
        <w:t>The insider trading (including tipping) prohibitions are not limited to the ordinary shares and American Depositary Shares of the Company. Under the U.S. securities laws, and other applicable laws,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insider trading in any security, including American depositary shares, debt or preferred stock, is illegal. This Policy also applies to trading in the securities of companies or other entities with which the Company has conducted, currently conducts, or intends to conduct, business, such as past, current and potential customers and suppliers.</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I.</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POLICY STATEMENTS</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Statement of Insider Trading Policy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It is the policy of the Company that Company Personnel who are aware of material non</w:t>
        <w:noBreakHyphen/>
        <w:t>public information relating to the Company or its securities may not, directly or through immediate family members or other persons or entities, (a) buy or sell securities (including the purchase or sale of puts, calls and options) of the Company, or engage in any other action to take personal advantage of that information, or (b) pass that information on to others outside the Company, including family and friends. In addition, it is the policy of the Company that Company Personnel who, in the course of working for the Company, learn of material non-public information about a company with which the Company does business, including a customer or supplier of the Company, may not trade in that company’s securities until the information becomes public or is no longer material.</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Transactions that may be necessary or justifiable for independent reasons (such as the need to raise money for an emergency expenditure) are not excepted from the policy. The securities laws do not recognise such mitigating circumstances, and, in any event, even the appearance of an improper transaction must be avoided to preserve the Company’s reputation for adhering to the highest standards of conduct.</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The trading prohibitions and restrictions set forth in this policy will be superseded by any greater prohibitions or restrictions prescribed by federal or state securities laws and regulations (e.g., restrictions on the sale of securities subject to Rule 144 of the Securities Act of 1933).</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Any employee who is uncertain whether these or other prohibitions or restrictions apply should ask the </w:t>
      </w:r>
      <w:r>
        <w:rPr>
          <w:rFonts w:ascii="Times New Roman" w:hAnsi="Times New Roman"/>
          <w:b/>
          <w:color w:val="000000"/>
          <w:sz w:val="22"/>
          <w:u w:val="single"/>
        </w:rPr>
        <w:t>General Counsel before engaging in any transaction in Company securities</w:t>
      </w:r>
      <w:r>
        <w:rPr>
          <w:rFonts w:ascii="Times New Roman" w:hAnsi="Times New Roman"/>
          <w:b/>
          <w:color w:val="000000"/>
          <w:sz w:val="22"/>
        </w:rPr>
        <w:t>.</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II.</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THE CONSEQUENCES OF VIOLATION</w:t>
      </w:r>
    </w:p>
    <w:p>
      <w:pPr>
        <w:pStyle w:val="TextBody"/>
        <w:bidi w:val="0"/>
        <w:spacing w:before="0" w:after="220"/>
        <w:jc w:val="both"/>
        <w:rPr>
          <w:rFonts w:ascii="Times New Roman" w:hAnsi="Times New Roman"/>
          <w:sz w:val="20"/>
        </w:rPr>
      </w:pPr>
      <w:r>
        <w:rPr>
          <w:rFonts w:ascii="Times New Roman" w:hAnsi="Times New Roman"/>
          <w:color w:val="000000"/>
          <w:sz w:val="22"/>
        </w:rPr>
        <w:t>Insider trading is a serious crime. Not only does it damage those directly involved, but it also adversely affects the company whose directors, officers and other employees, agents, consultants, or securities, were the subject of the offense. A company’s reputation for integrity and honesty is an important corporate asset that can be harmed significantly through an insider trading investigation conducted either by the U.S.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or the U.S. Department of Justice, even if no charges ultimately are brought. Insider trading violations are pursued vigorously by the SEC and the U.S. Attorneys and can result in severe punishment. The consequences of violations of insider trading laws (including tipping) are serious:</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b/>
          <w:color w:val="000000"/>
          <w:sz w:val="22"/>
        </w:rPr>
        <w:t xml:space="preserve">For individuals </w:t>
      </w:r>
      <w:r>
        <w:rPr>
          <w:rFonts w:ascii="Times New Roman" w:hAnsi="Times New Roman"/>
          <w:color w:val="000000"/>
          <w:sz w:val="22"/>
        </w:rPr>
        <w:t>who trade on inside information (or tip such information to others):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civil penalty of up to three times the profit gained or loss avoided as a result of the violation;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criminal fine of up to $5,000,000;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jail term of up to 20 years;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disgorgement of profits;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civil injunctions, including cease</w:t>
        <w:noBreakHyphen/>
        <w:t>and</w:t>
        <w:noBreakHyphen/>
        <w:t xml:space="preserve">desist order to stop the violation, and penalties for violations of such orders or the federal securities laws;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SEC may seek to bar an individual found to have engaged in insider trading from serving as an officer or director of the Company or any other public company which reports to the SEC;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securities industry self-regulatory organization sanctions;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damage awards to private plaintiffs.</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b/>
          <w:color w:val="000000"/>
          <w:sz w:val="22"/>
        </w:rPr>
        <w:t xml:space="preserve">For a company </w:t>
      </w:r>
      <w:r>
        <w:rPr>
          <w:rFonts w:ascii="Times New Roman" w:hAnsi="Times New Roman"/>
          <w:color w:val="000000"/>
          <w:sz w:val="22"/>
        </w:rPr>
        <w:t>(as well as possibly any supervisory person) that fails to take appropriate steps to prevent illegal trading or tipping by an employee, director or other person or entity covered by that company’s policy: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civil penalty of up to the greater of $2,479,282 (subject to adjustment for inflation) or three times the profit gained or loss avoided as a result of the employee’s violation;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criminal penalty of up to $25 million.</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b/>
          <w:color w:val="000000"/>
          <w:sz w:val="22"/>
        </w:rPr>
        <w:t xml:space="preserve">Illegal Tipping. </w:t>
      </w:r>
      <w:r>
        <w:rPr>
          <w:rFonts w:ascii="Times New Roman" w:hAnsi="Times New Roman"/>
          <w:color w:val="000000"/>
          <w:sz w:val="22"/>
        </w:rPr>
        <w:t>As discussed, the federal securities laws impose liability on any person who “tips” (the “tipper”), or communicates material non</w:t>
        <w:noBreakHyphen/>
        <w:t>public information to another person or entity (the “tippee”), who then trades on the basis of the information. Penalties may apply regardless of whether the tipper derives any benefits from the tippee’s trading activities.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w:t>
      </w:r>
    </w:p>
    <w:p>
      <w:pPr>
        <w:pStyle w:val="TextBody"/>
        <w:bidi w:val="0"/>
        <w:spacing w:before="0" w:after="220"/>
        <w:jc w:val="both"/>
        <w:rPr/>
      </w:pPr>
      <w:r>
        <w:rPr>
          <w:rFonts w:ascii="Times New Roman" w:hAnsi="Times New Roman"/>
          <w:b/>
          <w:color w:val="000000"/>
          <w:sz w:val="22"/>
        </w:rPr>
        <w:t xml:space="preserve">Prevention of Insider Trading and Tipping by Others. </w:t>
      </w:r>
      <w:r>
        <w:rPr>
          <w:rFonts w:ascii="Times New Roman" w:hAnsi="Times New Roman"/>
          <w:color w:val="000000"/>
          <w:sz w:val="22"/>
        </w:rPr>
        <w:t>The Company, its directors, officers and some supervisory personnel as designated from time to time by the General Counsel (or his/her designee), could be deemed “controlling persons” under the federal securities laws and therefore subject to potential liability for insider trading (including tipping) based on another person’s violations. Accordingly, it is important for these personnel to maintain an awareness of possible insider trading violations by persons under their control and to take measures where appropriate to prevent such violations. Directors, officers and other supervisory personnel who become aware of a potential violation of the insider trading prohibitions and/or violation of this Policy must immediately advise the General Counsel (or his/her designee) and must take steps where appropriate to prevent persons under their supervision from misusing material non</w:t>
        <w:noBreakHyphen/>
        <w:t>public information regarding the Company or any other company or entity covered by this Policy.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Communications in violation of this Policy may expose the Company to liability for material misstatements. Additionally, any Company Personnel who makes an unauthorised selective disclosure of material non</w:t>
        <w:noBreakHyphen/>
        <w:t>public information to an analyst, credit rating agency, investor or other person outside the Company could potentially be held liable for illegal tipping if the recipient of the information trades in Company securities.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addition, if the SEC views a violation of this Policy as causing the Company to violate applicable law, the Company may be subject to an SEC enforcement action. This could occur if the Company is unable to persuade the SEC that the communication was unauthorised and/or otherwise contrary to this Policy. In addition, the person making the communication might be sued by the SEC as a “cause” of the Company’s violation.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Company</w:t>
        <w:noBreakHyphen/>
        <w:t>Imposed Sanctions</w:t>
      </w:r>
    </w:p>
    <w:p>
      <w:pPr>
        <w:pStyle w:val="TextBody"/>
        <w:bidi w:val="0"/>
        <w:spacing w:before="0" w:after="220"/>
        <w:jc w:val="both"/>
        <w:rPr>
          <w:rFonts w:ascii="Times New Roman" w:hAnsi="Times New Roman"/>
          <w:sz w:val="20"/>
        </w:rPr>
      </w:pPr>
      <w:r>
        <w:rPr>
          <w:rFonts w:ascii="Times New Roman" w:hAnsi="Times New Roman"/>
          <w:color w:val="000000"/>
          <w:sz w:val="22"/>
        </w:rPr>
        <w:t>The failure to comply with this Policy may subject Company Personnel to Company</w:t>
        <w:noBreakHyphen/>
        <w:t xml:space="preserve">imposed sanctions, </w:t>
      </w:r>
      <w:r>
        <w:rPr>
          <w:rFonts w:ascii="Times New Roman" w:hAnsi="Times New Roman"/>
          <w:b/>
          <w:color w:val="000000"/>
          <w:sz w:val="22"/>
        </w:rPr>
        <w:t>including dismissal for cause</w:t>
      </w:r>
      <w:r>
        <w:rPr>
          <w:rFonts w:ascii="Times New Roman" w:hAnsi="Times New Roman"/>
          <w:color w:val="000000"/>
          <w:sz w:val="22"/>
        </w:rPr>
        <w:t>, whether or not the failure to comply results in a violation of law. Needless to say, a violation of law, or even an SEC investigation that does not result in prosecution, can tarnish one’s reputation and irreparably damage a career.</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III.</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MATERIALITY AND PUBLIC DISSEMINATION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Material Information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Material information is any information that relates, directly or indirectly, to a company or one of its securities, and any of the following: (a) such information would, if it were made public, be likely to have a significant effect on the price of those securities, (b) a reasonable investor would consider such information important in deciding whether to buy, hold or sell securities, or (c) such information would significantly alter the total mix of information available to investors. Any information that could be expected to affect the price of the Company’s securities, whether the effect would be positive or negative, should be considered material. Some examples of information that ordinarily would be regarded as material include, but are not limited to:</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Information relating to the success of the Company’s product commercialization efforts, including, but not limited to, material information regarding sales, reimubursement, regulatory developments and other factors impacting the Company’s product commercialization efforts;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Projections of future earnings or losses, or other earnings guidance or financial results;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Sales results or earnings that are inconsistent with the consensus expectations of the investment community;</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potential or actual gain or loss of a significant customer, supplier, or purchase order;</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Joint ventures and distribution agreements;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pending or proposed merger, acquisition or tender offer;</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Company restructuring;</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pending or proposed acquisition or disposition of a significant asset;</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Borrowing activities (other than in the ordinary course);</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Material developments in clinical trials;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change in dividend policy, the declaration of a share split, or an offering of additional securities;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Litigation, whether pending or threatened;</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change in senior management or the board of directors;</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change in outside auditor;</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Anticipated credit rating changes if and when the Company has debt securities that are rated by a credit rating agency; and</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Impending bankruptcy or the existence of severe liquidity problems.</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If you have any question as to whether information is material, please err on the side of caution and direct an inquiry to the General Counsel.</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When Information Is “Public”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you are aware of material non</w:t>
        <w:noBreakHyphen/>
        <w:t>public information, you may not trade until the information has been disclosed broadly to the marketplace (such as by press release or an SEC filing) and the investing public has had time to absorb the information fully. Information is made public if it is published in accordance with Nasdaq rules for the purpose of information, if it is contained in public records, if it is readily acquired by those likely to deal in securities to which the information relates or if it is derived from information which has been made public. To avoid the appearance of impropriety, as a general rule, information should not be considered fully absorbed by the marketplace until after the second full business day after the information is released. If, for example, the Company were to make an announcement on a Monday prior to 8:30 a.m. New York Time, you should not trade in the Company’s securities until Wednesday. If an announcement were made on a Monday after 8:30 a.m. New York Time, you should not trade in the Company’s securities until Thursday.</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If you have any question as to whether information is publicly available, please err on the side of caution and ask the General Counsel.</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IV.</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ADDITIONAL RESTRICTIONS ON SECURITIES TRANSACTIONS</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Closed Periods</w:t>
      </w:r>
    </w:p>
    <w:p>
      <w:pPr>
        <w:pStyle w:val="TextBody"/>
        <w:bidi w:val="0"/>
        <w:spacing w:before="0" w:after="220"/>
        <w:jc w:val="both"/>
        <w:rPr>
          <w:rFonts w:ascii="Times New Roman" w:hAnsi="Times New Roman"/>
          <w:sz w:val="20"/>
        </w:rPr>
      </w:pPr>
      <w:r>
        <w:rPr>
          <w:rFonts w:ascii="Times New Roman" w:hAnsi="Times New Roman"/>
          <w:color w:val="000000"/>
          <w:sz w:val="22"/>
        </w:rPr>
        <w:t>To ensure compliance with this Policy and applicable federal and state securities laws, the Company requires that Covered Persons not conduct transactions (for their own or related accounts) involving the purchase or sale of the Company’s securities during the following periods (the “</w:t>
      </w:r>
      <w:r>
        <w:rPr>
          <w:rFonts w:ascii="Times New Roman" w:hAnsi="Times New Roman"/>
          <w:color w:val="000000"/>
          <w:sz w:val="22"/>
          <w:u w:val="single"/>
        </w:rPr>
        <w:t>Closed Periods</w:t>
      </w:r>
      <w:r>
        <w:rPr>
          <w:rFonts w:ascii="Times New Roman" w:hAnsi="Times New Roman"/>
          <w:color w:val="000000"/>
          <w:sz w:val="20"/>
        </w:rPr>
        <w:t>”</w:t>
      </w:r>
      <w:r>
        <w:rPr>
          <w:rFonts w:ascii="Times New Roman" w:hAnsi="Times New Roman"/>
          <w:color w:val="000000"/>
          <w:sz w:val="22"/>
        </w:rPr>
        <w:t>) as follows:</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rPr>
        <w:t>No Covered Person may trade in the securities of the Company during the period beginning on the fifteenth (15</w:t>
      </w:r>
      <w:r>
        <w:rPr>
          <w:rFonts w:ascii="Times New Roman" w:hAnsi="Times New Roman"/>
          <w:color w:val="000000"/>
          <w:sz w:val="15"/>
        </w:rPr>
        <w:t>th</w:t>
      </w:r>
      <w:r>
        <w:rPr>
          <w:rFonts w:ascii="Times New Roman" w:hAnsi="Times New Roman"/>
          <w:color w:val="000000"/>
          <w:sz w:val="22"/>
        </w:rPr>
        <w:t xml:space="preserve">) calendar day of the last month of any fiscal quarter of the Company and ending after completion of the second full trading day after the public release of earnings data. A “trading day” is a day on which U.S. national stock exchanges are open for trading. If, for example, the Company were to make an announcement on Monday </w:t>
      </w:r>
      <w:r>
        <w:rPr>
          <w:rFonts w:ascii="Times New Roman" w:hAnsi="Times New Roman"/>
          <w:i/>
          <w:color w:val="000000"/>
          <w:sz w:val="22"/>
        </w:rPr>
        <w:t>prior</w:t>
      </w:r>
      <w:r>
        <w:rPr>
          <w:color w:val="000000"/>
        </w:rPr>
        <w:t xml:space="preserve"> </w:t>
      </w:r>
      <w:r>
        <w:rPr>
          <w:rFonts w:ascii="Times New Roman" w:hAnsi="Times New Roman"/>
          <w:color w:val="000000"/>
          <w:sz w:val="22"/>
        </w:rPr>
        <w:t xml:space="preserve">to 9:30 a.m. Eastern Time, then the Closed Period would terminate </w:t>
      </w:r>
      <w:r>
        <w:rPr>
          <w:rFonts w:ascii="Times New Roman" w:hAnsi="Times New Roman"/>
          <w:i/>
          <w:color w:val="000000"/>
          <w:sz w:val="22"/>
        </w:rPr>
        <w:t>after</w:t>
      </w:r>
      <w:r>
        <w:rPr>
          <w:color w:val="000000"/>
        </w:rPr>
        <w:t xml:space="preserve"> </w:t>
      </w:r>
      <w:r>
        <w:rPr>
          <w:rFonts w:ascii="Times New Roman" w:hAnsi="Times New Roman"/>
          <w:color w:val="000000"/>
          <w:sz w:val="22"/>
        </w:rPr>
        <w:t>the close of trading on Tuesday. If an announcement were made on Monday after 9:30 a.m. Eastern Time, then the Closed Period would terminate after the close of trading on Wednesday.</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 Covered Persons may trade in the securities of the Company during any other period designated as a Closed Period by the General Counsel. A notice will be issued to relevant Covered Persons when such a Closed Period commences and when it ends.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purpose behind the Closed Period is to help establish a diligent effort to avoid any improper transactions. All Covered Persons must comply with the Closed Period. Specific exceptions may be made, with approval, when Company Personnel do not possess material non</w:t>
        <w:noBreakHyphen/>
        <w:t>public information, personal circumstances warrant the exception, and the exception would not otherwise contravene the law or the purposes of this Policy. Any request for exception shall be directed to the General Counsel. The Closed Periods are particularly sensitive periods and particular attention must be made to ensure that transactions in the Company’s securities are made in accordance with the applicable laws. This is because Company Personnel will, as the fiscal year progresses, be increasingly likely to possess material non</w:t>
        <w:noBreakHyphen/>
        <w:t>public information about the expected financial results for the fiscal year.</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Even at times that do not fall within a Closed Period, any person possessing material non</w:t>
        <w:noBreakHyphen/>
        <w:t>public information concerning the Company should not engage in any transactions in the Company’s securities until such information has been known publicly for at least two full trading days.</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person is individually responsible at all times for compliance with the prohibitions on insider trading. Trading in the Company’s securities outside the Closed Period should not be considered a “safe harbor,” and all Company Personnel should use good judgment at all times.</w:t>
      </w:r>
    </w:p>
    <w:p>
      <w:pPr>
        <w:pStyle w:val="TextBody"/>
        <w:bidi w:val="0"/>
        <w:spacing w:before="0" w:after="220"/>
        <w:jc w:val="both"/>
        <w:rPr>
          <w:rFonts w:ascii="Times New Roman" w:hAnsi="Times New Roman"/>
          <w:sz w:val="20"/>
        </w:rPr>
      </w:pPr>
      <w:r>
        <w:rPr>
          <w:rFonts w:ascii="Times New Roman" w:hAnsi="Times New Roman"/>
          <w:color w:val="000000"/>
          <w:sz w:val="22"/>
        </w:rPr>
        <w:t>If a member of Company Personnel has any doubt as to whether they are in possession of material non</w:t>
        <w:noBreakHyphen/>
        <w:t xml:space="preserve">public information concerning the Company at the time they intend to engage in any transactions in the Company’s securities they should seek advice from the General Counsel </w:t>
      </w:r>
      <w:r>
        <w:rPr>
          <w:rFonts w:ascii="Times New Roman" w:hAnsi="Times New Roman"/>
          <w:b/>
          <w:color w:val="000000"/>
          <w:sz w:val="22"/>
        </w:rPr>
        <w:t xml:space="preserve">before </w:t>
      </w:r>
      <w:r>
        <w:rPr>
          <w:rFonts w:ascii="Times New Roman" w:hAnsi="Times New Roman"/>
          <w:color w:val="000000"/>
          <w:sz w:val="22"/>
        </w:rPr>
        <w:t>engaging in such transaction.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Mandatory Pre</w:t>
        <w:noBreakHyphen/>
        <w:t>Clearance for directors and officers</w:t>
      </w:r>
    </w:p>
    <w:p>
      <w:pPr>
        <w:pStyle w:val="TextBody"/>
        <w:bidi w:val="0"/>
        <w:spacing w:before="0" w:after="220"/>
        <w:jc w:val="both"/>
        <w:rPr>
          <w:rFonts w:ascii="Times New Roman" w:hAnsi="Times New Roman"/>
          <w:sz w:val="20"/>
        </w:rPr>
      </w:pPr>
      <w:r>
        <w:rPr>
          <w:rFonts w:ascii="Times New Roman" w:hAnsi="Times New Roman"/>
          <w:b/>
          <w:color w:val="000000"/>
          <w:sz w:val="22"/>
        </w:rPr>
        <w:t xml:space="preserve">All directors and officers (and their other Covered Persons), must clear his or her trade in the Company’s securities (including without limitation, acquisitions and dispositions of Company shares, gifts, and the sale of Company shares issued upon exercise of share options), with the General Counsel (or his/her designee) </w:t>
      </w:r>
      <w:r>
        <w:rPr>
          <w:rFonts w:ascii="Times New Roman" w:hAnsi="Times New Roman"/>
          <w:b/>
          <w:i/>
          <w:color w:val="000000"/>
          <w:sz w:val="22"/>
          <w:u w:val="single"/>
        </w:rPr>
        <w:t>before</w:t>
      </w:r>
      <w:r>
        <w:rPr>
          <w:rFonts w:ascii="Times New Roman" w:hAnsi="Times New Roman"/>
          <w:color w:val="000000"/>
          <w:sz w:val="20"/>
        </w:rPr>
        <w:t xml:space="preserve"> </w:t>
      </w:r>
      <w:r>
        <w:rPr>
          <w:rFonts w:ascii="Times New Roman" w:hAnsi="Times New Roman"/>
          <w:b/>
          <w:color w:val="000000"/>
          <w:sz w:val="22"/>
        </w:rPr>
        <w:t>the trade may occur.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For purposes of this section, “officers” refer to those individuals who meet the definition of “officer” under Section 16 of the Exchange Act.</w:t>
      </w:r>
    </w:p>
    <w:p>
      <w:pPr>
        <w:pStyle w:val="TextBody"/>
        <w:bidi w:val="0"/>
        <w:spacing w:before="0" w:after="220"/>
        <w:jc w:val="both"/>
        <w:rPr>
          <w:rFonts w:ascii="Times New Roman" w:hAnsi="Times New Roman"/>
          <w:sz w:val="20"/>
        </w:rPr>
      </w:pPr>
      <w:r>
        <w:rPr>
          <w:rFonts w:ascii="Times New Roman" w:hAnsi="Times New Roman"/>
          <w:color w:val="000000"/>
          <w:sz w:val="22"/>
        </w:rPr>
        <w:t>Any director or officer seeking to pre</w:t>
        <w:noBreakHyphen/>
        <w:t xml:space="preserve">clear a trade in the Company’s shares or any other security, must notify the General Counsel (or his/her designee) in writing of the desire to conduct a trade at least </w:t>
      </w:r>
      <w:r>
        <w:rPr>
          <w:rFonts w:ascii="Times New Roman" w:hAnsi="Times New Roman"/>
          <w:b/>
          <w:color w:val="000000"/>
          <w:sz w:val="22"/>
        </w:rPr>
        <w:t xml:space="preserve">TWO </w:t>
      </w:r>
      <w:r>
        <w:rPr>
          <w:rFonts w:ascii="Times New Roman" w:hAnsi="Times New Roman"/>
          <w:color w:val="000000"/>
          <w:sz w:val="22"/>
        </w:rPr>
        <w:t>(2) business days before the date of the proposed transaction. The request for pre</w:t>
        <w:noBreakHyphen/>
        <w:t>clearance must state the date on which the proposed transaction will occur, and identify the broker</w:t>
        <w:noBreakHyphen/>
        <w:t>dealer or any other investment professional responsible for executing the trade. If, after receiving pre</w:t>
        <w:noBreakHyphen/>
        <w:t>clearance, the transaction does not occur on the date proposed or the business day thereafter the requestor must reapply for pre</w:t>
        <w:noBreakHyphen/>
        <w:t>clearance. The General Counsel (or his/her designee) is obligated to inform the requesting individual of a decision with respect to the request as soon as possible after considering all the circumstances relevant to a determination. The proposed transaction may not take place unless and until pre</w:t>
        <w:noBreakHyphen/>
        <w:t>clearance is granted.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General Counsel (or his/her designee) may exercise discretion in determining whether to alert the requestor of the reason(s) for denial of pre</w:t>
        <w:noBreakHyphen/>
        <w:t>clearance. The General Counsel will not normally give reasons for refusing a request to transact in the Company’s securities, and the requester must keep any refusal confidential and not discuss it with any other person.</w:t>
      </w:r>
    </w:p>
    <w:p>
      <w:pPr>
        <w:pStyle w:val="TextBody"/>
        <w:bidi w:val="0"/>
        <w:spacing w:before="0" w:after="220"/>
        <w:jc w:val="both"/>
        <w:rPr>
          <w:rFonts w:ascii="Times New Roman" w:hAnsi="Times New Roman"/>
          <w:sz w:val="20"/>
        </w:rPr>
      </w:pPr>
      <w:r>
        <w:rPr>
          <w:rFonts w:ascii="Times New Roman" w:hAnsi="Times New Roman"/>
          <w:color w:val="000000"/>
          <w:sz w:val="22"/>
        </w:rPr>
        <w:t>Even if approval to trade pursuant to the pre</w:t>
        <w:noBreakHyphen/>
        <w:t xml:space="preserve">clearance process is obtained in writing, the requestor (and/or any other related Other Covered Person) may </w:t>
      </w:r>
      <w:r>
        <w:rPr>
          <w:rFonts w:ascii="Times New Roman" w:hAnsi="Times New Roman"/>
          <w:b/>
          <w:color w:val="000000"/>
          <w:sz w:val="22"/>
        </w:rPr>
        <w:t>NOT</w:t>
      </w:r>
      <w:r>
        <w:rPr>
          <w:rFonts w:ascii="Times New Roman" w:hAnsi="Times New Roman"/>
          <w:color w:val="000000"/>
          <w:sz w:val="20"/>
        </w:rPr>
        <w:t xml:space="preserve"> </w:t>
      </w:r>
      <w:r>
        <w:rPr>
          <w:rFonts w:ascii="Times New Roman" w:hAnsi="Times New Roman"/>
          <w:color w:val="000000"/>
          <w:sz w:val="22"/>
        </w:rPr>
        <w:t>trade in the Company’s or other securities if aware of material non</w:t>
        <w:noBreakHyphen/>
        <w:t>public information about the Company or any of the companies covered by this Policy. This Policy does not require pre</w:t>
        <w:noBreakHyphen/>
        <w:t>clearance of transactions in any other company’s securities unless otherwise indicated in writing by the General Counsel.</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Within </w:t>
      </w:r>
      <w:r>
        <w:rPr>
          <w:rFonts w:ascii="Times New Roman" w:hAnsi="Times New Roman"/>
          <w:b/>
          <w:color w:val="000000"/>
          <w:sz w:val="22"/>
        </w:rPr>
        <w:t xml:space="preserve">ONE </w:t>
      </w:r>
      <w:r>
        <w:rPr>
          <w:rFonts w:ascii="Times New Roman" w:hAnsi="Times New Roman"/>
          <w:color w:val="000000"/>
          <w:sz w:val="22"/>
        </w:rPr>
        <w:t>(1) business day of completing any purchase or sale of Company securities that has been pre</w:t>
        <w:noBreakHyphen/>
        <w:t>cleared, you (or your agent effecting the transaction on your behalf (or on behalf of any related Other Covered Person)) should deliver to the General Counsel confirmation that such transaction(s) has (have) occurred.</w:t>
      </w:r>
    </w:p>
    <w:p>
      <w:pPr>
        <w:pStyle w:val="TextBody"/>
        <w:bidi w:val="0"/>
        <w:spacing w:before="0" w:after="220"/>
        <w:jc w:val="both"/>
        <w:rPr>
          <w:rFonts w:ascii="Times New Roman" w:hAnsi="Times New Roman"/>
          <w:sz w:val="20"/>
        </w:rPr>
      </w:pPr>
      <w:r>
        <w:rPr>
          <w:rFonts w:ascii="Times New Roman" w:hAnsi="Times New Roman"/>
          <w:color w:val="000000"/>
          <w:sz w:val="22"/>
        </w:rPr>
        <w:t>Pre</w:t>
        <w:noBreakHyphen/>
        <w:t xml:space="preserve">clearance is </w:t>
      </w:r>
      <w:r>
        <w:rPr>
          <w:rFonts w:ascii="Times New Roman" w:hAnsi="Times New Roman"/>
          <w:color w:val="000000"/>
          <w:sz w:val="22"/>
          <w:u w:val="single"/>
        </w:rPr>
        <w:t>not</w:t>
      </w:r>
      <w:r>
        <w:rPr>
          <w:rFonts w:ascii="Times New Roman" w:hAnsi="Times New Roman"/>
          <w:color w:val="000000"/>
          <w:sz w:val="20"/>
        </w:rPr>
        <w:t xml:space="preserve"> </w:t>
      </w:r>
      <w:r>
        <w:rPr>
          <w:rFonts w:ascii="Times New Roman" w:hAnsi="Times New Roman"/>
          <w:color w:val="000000"/>
          <w:sz w:val="22"/>
        </w:rPr>
        <w:t>required for the following transactions in Company securities:</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u w:val="single"/>
        </w:rPr>
        <w:t>Option Exercises</w:t>
      </w:r>
      <w:r>
        <w:rPr>
          <w:rFonts w:ascii="Times New Roman" w:hAnsi="Times New Roman"/>
          <w:color w:val="000000"/>
          <w:sz w:val="22"/>
        </w:rPr>
        <w:t>. This Policy does not apply to the mere exercise of a share option under the Company’s share option plans. This Policy does apply, however, to:</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any sale of shares or ADSs as part of a broker</w:t>
        <w:noBreakHyphen/>
        <w:t>assisted “cashless” exercise of an option (i.e., any market sale for the purpose of generating the cash needed to pay the exercise price of an option); and</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any sale of shares or ADSs received upon exercise of an option.</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u w:val="single"/>
        </w:rPr>
        <w:t>Transactions pursuant to an irrevocable instruction or power of attorney upon</w:t>
      </w:r>
      <w:r>
        <w:rPr>
          <w:color w:val="000000"/>
        </w:rPr>
        <w:t xml:space="preserve"> </w:t>
      </w:r>
      <w:r>
        <w:rPr>
          <w:rFonts w:ascii="Times New Roman" w:hAnsi="Times New Roman"/>
          <w:color w:val="000000"/>
          <w:sz w:val="22"/>
          <w:u w:val="single"/>
        </w:rPr>
        <w:t>vesting of restricted share or ADS awards</w:t>
      </w:r>
      <w:r>
        <w:rPr>
          <w:rFonts w:ascii="Times New Roman" w:hAnsi="Times New Roman"/>
          <w:color w:val="000000"/>
          <w:sz w:val="22"/>
        </w:rPr>
        <w:t>. The trading restrictions under this Policy do not apply to transactions made by a third party on your behalf pursuant to an irrevocable instruction or power of attorney executed during an open trading window at a time you were not in possession of material non-public information if:</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on or after the time you receive such an award you execute an irrevocable instructions or power of attorney that cannot be terminated by you;</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sales undertaken are solely for the purpose of funding withholding tax obligations that arise as restricted shares or ADSs granted by the Company to you vest;</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sales occur without your prior consent (other than as set forth in the irrevocable instruction or power of attorney) at market prices in a brokers’ transaction;</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proceeds of the sales are remitted to the Company or the applicable tax authority directly; and</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sales occur within 30 days of the vesting of the applicable award.</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Company Personnel should make elections with respect to payment of applicable taxes and implementation of irrevocable instructions or power of attorney with respect thereto </w:t>
      </w:r>
      <w:r>
        <w:rPr>
          <w:rFonts w:ascii="Times New Roman" w:hAnsi="Times New Roman"/>
          <w:i/>
          <w:color w:val="000000"/>
          <w:sz w:val="22"/>
        </w:rPr>
        <w:t xml:space="preserve">as promptly as practicable </w:t>
      </w:r>
      <w:r>
        <w:rPr>
          <w:rFonts w:ascii="Times New Roman" w:hAnsi="Times New Roman"/>
          <w:color w:val="000000"/>
          <w:sz w:val="22"/>
        </w:rPr>
        <w:t>after awards vest during open trading windows and at least 30 days prior to the vesting of applicable awards. Instructions with respect to sales of shares or ADSs to pay taxes upon vesting of awards within 30 days of applicable vesting dates must be approved by the General Counsel.</w:t>
      </w:r>
    </w:p>
    <w:p>
      <w:pPr>
        <w:pStyle w:val="TextBody"/>
        <w:bidi w:val="0"/>
        <w:spacing w:before="0" w:after="220"/>
        <w:jc w:val="both"/>
        <w:rPr>
          <w:rFonts w:ascii="Times New Roman" w:hAnsi="Times New Roman"/>
          <w:sz w:val="20"/>
        </w:rPr>
      </w:pPr>
      <w:r>
        <w:rPr>
          <w:rFonts w:ascii="Times New Roman" w:hAnsi="Times New Roman"/>
          <w:color w:val="000000"/>
          <w:sz w:val="22"/>
          <w:u w:val="single"/>
        </w:rPr>
        <w:t>Transactions pursuant to a trading plan that complies with SEC rules</w:t>
      </w:r>
      <w:r>
        <w:rPr>
          <w:rFonts w:ascii="Times New Roman" w:hAnsi="Times New Roman"/>
          <w:color w:val="000000"/>
          <w:sz w:val="22"/>
        </w:rPr>
        <w:t>. The SEC has enacted rules that provide an affirmative defense against alleged violations of U.S. federal insider trading laws for transactions pursuant to trading plans that meet certain requirements. In general, these rules, as set forth in Rule 10b5</w:t>
        <w:noBreakHyphen/>
        <w:t>1 under the U.S. Securities Exchange Act of 1934, as amended (the “</w:t>
      </w:r>
      <w:r>
        <w:rPr>
          <w:rFonts w:ascii="Times New Roman" w:hAnsi="Times New Roman"/>
          <w:color w:val="000000"/>
          <w:sz w:val="22"/>
          <w:u w:val="single"/>
        </w:rPr>
        <w:t>Exchange Act</w:t>
      </w:r>
      <w:r>
        <w:rPr>
          <w:rFonts w:ascii="Times New Roman" w:hAnsi="Times New Roman"/>
          <w:color w:val="000000"/>
          <w:sz w:val="20"/>
        </w:rPr>
        <w:t>”</w:t>
      </w:r>
      <w:r>
        <w:rPr>
          <w:rFonts w:ascii="Times New Roman" w:hAnsi="Times New Roman"/>
          <w:color w:val="000000"/>
          <w:sz w:val="22"/>
        </w:rPr>
        <w:t>), provide for an affirmative defense if you enter into a contract, provide instructions or adopt a written plan for trading securities when you are not aware of material non</w:t>
        <w:noBreakHyphen/>
        <w:t>public information. A description of the trading plans permitted under this Policy is set forth below under the heading “</w:t>
      </w:r>
      <w:r>
        <w:rPr>
          <w:rFonts w:ascii="Times New Roman" w:hAnsi="Times New Roman"/>
          <w:i/>
          <w:color w:val="000000"/>
          <w:sz w:val="22"/>
        </w:rPr>
        <w:t>Rule 10b5-1 Trading Plans</w:t>
      </w:r>
      <w:r>
        <w:rPr>
          <w:rFonts w:ascii="Times New Roman" w:hAnsi="Times New Roman"/>
          <w:color w:val="000000"/>
          <w:sz w:val="22"/>
        </w:rPr>
        <w:t>.” The SEC rules regarding trading plans are complex and must be complied with completely to be effective. The description provided herein is only a summary, and the Company strongly advises that you consult with your legal advisor if you intend to adopt a trading plan.</w:t>
      </w:r>
      <w:r>
        <w:rPr>
          <w:rFonts w:ascii="Times New Roman" w:hAnsi="Times New Roman"/>
          <w:color w:val="000000"/>
          <w:sz w:val="20"/>
        </w:rPr>
        <w:t xml:space="preserve"> </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u w:val="single"/>
        </w:rPr>
        <w:t>Gifts</w:t>
      </w:r>
      <w:r>
        <w:rPr>
          <w:rFonts w:ascii="Times New Roman" w:hAnsi="Times New Roman"/>
          <w:color w:val="000000"/>
          <w:sz w:val="22"/>
        </w:rPr>
        <w:t xml:space="preserve">. This Policy does not apply to </w:t>
      </w:r>
      <w:r>
        <w:rPr>
          <w:rFonts w:ascii="Times New Roman" w:hAnsi="Times New Roman"/>
          <w:i/>
          <w:color w:val="000000"/>
          <w:sz w:val="22"/>
        </w:rPr>
        <w:t xml:space="preserve">bona fide </w:t>
      </w:r>
      <w:r>
        <w:rPr>
          <w:rFonts w:ascii="Times New Roman" w:hAnsi="Times New Roman"/>
          <w:color w:val="000000"/>
          <w:sz w:val="22"/>
        </w:rPr>
        <w:t>gifts of shares or ADS of the Company, unless the person giving the gift knows, or is reckless in not knowing, that the recipient intends to sell the securities while the donor is in possession of material non-public information about the Company.</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u w:val="single"/>
        </w:rPr>
        <w:t>401(k) Plan</w:t>
      </w:r>
      <w:r>
        <w:rPr>
          <w:rFonts w:ascii="Times New Roman" w:hAnsi="Times New Roman"/>
          <w:color w:val="000000"/>
          <w:sz w:val="22"/>
        </w:rPr>
        <w:t>: This Policy does not apply to purchases of Company shares or ADSs in 401(k) plans resulting from periodic contributions of money pursuant to a payroll deduction election. The Policy does apply, however, to certain elections made under the Company’s 401(k) plan, including (a) an election to increase or decrease the percentage of periodic contributions that will be allocated to any Company shares or ADSs, (b) an election to make an intra</w:t>
        <w:noBreakHyphen/>
        <w:t xml:space="preserve">plan transfer of an existing account balance into or out of any Company shares or ADSs, (c) an election to borrow money against a 401(k) plan account if the loan will result in a liquidation of some or all of any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Company shares or ADSs and (d) an election to pre</w:t>
        <w:noBreakHyphen/>
        <w:t>pay a plan loan if the pre</w:t>
        <w:noBreakHyphen/>
        <w:t>payment will result in allocation of loan proceeds to any Company shares or ADSs.</w:t>
      </w:r>
    </w:p>
    <w:p>
      <w:pPr>
        <w:pStyle w:val="TextBody"/>
        <w:bidi w:val="0"/>
        <w:spacing w:before="0" w:after="220"/>
        <w:jc w:val="both"/>
        <w:rPr>
          <w:color w:val="000000"/>
        </w:rPr>
      </w:pPr>
      <w:r>
        <w:rPr>
          <w:color w:val="000000"/>
        </w:rPr>
        <w:t>•</w:t>
      </w:r>
    </w:p>
    <w:p>
      <w:pPr>
        <w:pStyle w:val="TextBody"/>
        <w:bidi w:val="0"/>
        <w:spacing w:before="0" w:after="220"/>
        <w:jc w:val="both"/>
        <w:rPr/>
      </w:pPr>
      <w:r>
        <w:rPr>
          <w:rFonts w:ascii="Times New Roman" w:hAnsi="Times New Roman"/>
          <w:color w:val="000000"/>
          <w:sz w:val="22"/>
          <w:u w:val="single"/>
        </w:rPr>
        <w:t>Employee Share/ADS Purchase Plan</w:t>
      </w:r>
      <w:r>
        <w:rPr>
          <w:rFonts w:ascii="Times New Roman" w:hAnsi="Times New Roman"/>
          <w:color w:val="000000"/>
          <w:sz w:val="22"/>
        </w:rPr>
        <w:t>. If the Company chooses to implement an employee share or ADS purchase plan then this Policy will not apply to (i) an employee’s election to participate in, or increase his or her participation in, the Company’s employee share or ADS purchase plan, (ii) purchases of Company shares or ADSs in the plan resulting from periodic contributions of money to the plan pursuant to the elections made at the time of enrollment in the plan, or (iii) purchases of Company shares or ADSs resulting from lump sum contributions to the plan, provided that the participant elected to participate by lump</w:t>
        <w:noBreakHyphen/>
        <w:t>sum payment at the beginning of the applicable enrollment period. However, this Policy does apply to a participant’s sale of Company shares or ADSs purchased under the plan.</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Rule 10b-5 Trading Plans</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Overview</w:t>
      </w:r>
    </w:p>
    <w:p>
      <w:pPr>
        <w:pStyle w:val="TextBody"/>
        <w:bidi w:val="0"/>
        <w:spacing w:before="0" w:after="220"/>
        <w:jc w:val="both"/>
        <w:rPr>
          <w:rFonts w:ascii="Times New Roman" w:hAnsi="Times New Roman"/>
          <w:sz w:val="20"/>
        </w:rPr>
      </w:pPr>
      <w:r>
        <w:rPr>
          <w:rFonts w:ascii="Times New Roman" w:hAnsi="Times New Roman"/>
          <w:color w:val="000000"/>
          <w:sz w:val="22"/>
        </w:rPr>
        <w:t>Rule 10b5-1 will protect directors, officers, employees and consultants from insider trading liability under Rule 10b5-1 for transactions under a previously established contract, plan or instruction to trade in the Company’s shares entered into and conducted in good faith and in accordance with the terms of Rule 10b5-1 (a “</w:t>
      </w:r>
      <w:r>
        <w:rPr>
          <w:rFonts w:ascii="Times New Roman" w:hAnsi="Times New Roman"/>
          <w:color w:val="000000"/>
          <w:sz w:val="22"/>
          <w:u w:val="single"/>
        </w:rPr>
        <w:t>Trading Plan</w:t>
      </w:r>
      <w:r>
        <w:rPr>
          <w:rFonts w:ascii="Times New Roman" w:hAnsi="Times New Roman"/>
          <w:color w:val="000000"/>
          <w:sz w:val="20"/>
        </w:rPr>
        <w:t>”</w:t>
      </w:r>
      <w:r>
        <w:rPr>
          <w:rFonts w:ascii="Times New Roman" w:hAnsi="Times New Roman"/>
          <w:color w:val="000000"/>
          <w:sz w:val="22"/>
        </w:rPr>
        <w:t>) and will be exempt from the trading restrictions set forth in this Policy. Each such Trading Plan, and any proposed modification or termination thereof, must be submitted to and pre-approved by the General Counsel, or such other person as the Board of Directors may designate from time to time (the “</w:t>
      </w:r>
      <w:r>
        <w:rPr>
          <w:rFonts w:ascii="Times New Roman" w:hAnsi="Times New Roman"/>
          <w:color w:val="000000"/>
          <w:sz w:val="22"/>
          <w:u w:val="single"/>
        </w:rPr>
        <w:t>Authorizing Officer</w:t>
      </w:r>
      <w:r>
        <w:rPr>
          <w:rFonts w:ascii="Times New Roman" w:hAnsi="Times New Roman"/>
          <w:color w:val="000000"/>
          <w:sz w:val="20"/>
        </w:rPr>
        <w:t>”</w:t>
      </w:r>
      <w:r>
        <w:rPr>
          <w:rFonts w:ascii="Times New Roman" w:hAnsi="Times New Roman"/>
          <w:color w:val="000000"/>
          <w:sz w:val="22"/>
        </w:rPr>
        <w:t>), who may impose such conditions on the implementation and operation of the Trading Plan as the Authorizing Officer deems necessary or advisable. However, compliance of the Trading Plan to the terms of Rule 10b5-1 and the execution of transactions pursuant to the Trading Plan are the sole responsibility of the person entering into, modifying, or terminating the Trading Plan, not the Company or the Authorizing Officer.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Rule 10b5-1 presents an opportunity for insiders to establish arrangements to sell (or purchase) Company shares without the restrictions of trading windows and black-out periods, even when there is undisclosed material information. A Trading Plan may also help reduce negative publicity that may result when key executives sell the Company’s shares. Rule 10b5-1 only provides an “affirmative defense” in the event there is an insider trading lawsuit. It does not prevent someone from bringing a lawsuit.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Trading Plan must either (1) specify the amounts, prices, and dates of all transactions under the Trading Plan, or (2) provide a written formula, algorithm, or computer program for determining the amount, price, and date of the transactions, and (3) prohibit the individual from exercising any subsequent influence over the transactions;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Trading Plan must have been entered into in good faith at a time when the individual is not in possession of material non-public information about the Company, and only during a trading window period outside of the trading black-out period, and the person who entered into the Trading Plan must have acted in good faith with respect to the Trading Plan. For Section 16 reporting persons, the Trading Plan must include a representation that the Section 16 reporting person is (1) not aware of any material non-public information about the Company or its securities, and (2) adopting the Trading Plan in good faith and not as part of a plan or scheme to evade Rule 10b-5.</w:t>
      </w:r>
    </w:p>
    <w:p>
      <w:pPr>
        <w:pStyle w:val="TextBody"/>
        <w:bidi w:val="0"/>
        <w:spacing w:before="0" w:after="220"/>
        <w:jc w:val="both"/>
        <w:rPr>
          <w:rFonts w:ascii="Times New Roman" w:hAnsi="Times New Roman"/>
          <w:sz w:val="20"/>
        </w:rPr>
      </w:pPr>
      <w:r>
        <w:rPr>
          <w:rFonts w:ascii="Times New Roman" w:hAnsi="Times New Roman"/>
          <w:color w:val="000000"/>
          <w:sz w:val="22"/>
        </w:rPr>
        <w:t>The Company reserves the right from time to time to suspend, discontinue or otherwise prohibit any transaction in the Company’s securities, even pursuant to a previously approved Trading Plan, if the Authorizing Officer or the Board of Directors, in its discretion, determines that such suspension, discontinuation or other prohibition is in the best interests of the Company. Any Trading Plan submitted for approval hereunder should explicitly acknowledge the Company’s right to prohibit transactions 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Company’s securities. Failure to discontinue purchases and sales as directed shall constitute a violation of the terms of this section and result in a loss of the exemption set forth herein.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Officers, directors, employees and consultants may adopt Trading Plans with brokers that outline a pre-set plan for trading of the Company’s shares, including the exercise of options. Trades pursuant to a Trading Plan generally may occur at any time. However, the Trading Plan must include a minimum “cooling-off period” between the establishment of a Trading Plan and commencement of any transactions under such plan for:</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Section 16 reporting persons that extends to the later of 90 days after adoption or modification of a Trading Plan or two business days after filing or furnishing, as applicable, the Form10-K or Form 10-Q covering the fiscal quarter in which the Trading Plan was adopted or modified, as applicable, up to a maximum of 120 days; and </w:t>
      </w:r>
    </w:p>
    <w:p>
      <w:pPr>
        <w:pStyle w:val="TextBody"/>
        <w:bidi w:val="0"/>
        <w:spacing w:before="0" w:after="220"/>
        <w:jc w:val="both"/>
        <w:rPr>
          <w:color w:val="000000"/>
        </w:rPr>
      </w:pPr>
      <w:r>
        <w:rPr>
          <w:color w:val="000000"/>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employees who are not Section 16 reporting persons and any other persons, other than the Company, that extends 30 days after adoption or modification of a Trading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Individuals may not adopt more than one Trading Plan at a time except under the limited circumstances permitted by Rule 10b5-1 and subject to pre-approval by the Authorizing Officer.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For clarity, the requirements of this section do not apply to any Trading Plan entered into by a private equity firm or other similar entity with which a director is affiliated. It is the responsibility of each such venture capital partnership or other entity, in consultation with their own counsel (as appropriate), to comply with applicable securities laws in connection with any Trading Plan.</w:t>
      </w:r>
    </w:p>
    <w:p>
      <w:pPr>
        <w:pStyle w:val="TextBody"/>
        <w:bidi w:val="0"/>
        <w:spacing w:before="0" w:after="220"/>
        <w:jc w:val="both"/>
        <w:rPr>
          <w:rFonts w:ascii="Times New Roman" w:hAnsi="Times New Roman"/>
          <w:b/>
          <w:i/>
          <w:color w:val="000000"/>
          <w:sz w:val="22"/>
          <w:u w:val="single"/>
        </w:rPr>
      </w:pPr>
      <w:r>
        <w:rPr>
          <w:rFonts w:ascii="Times New Roman" w:hAnsi="Times New Roman"/>
          <w:b/>
          <w:i/>
          <w:color w:val="000000"/>
          <w:sz w:val="22"/>
          <w:u w:val="single"/>
        </w:rPr>
        <w:t>Terminations of and Modifications to Trading Plans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Terminations of Trading Plans should occur only in unusual circumstances. Effectiveness of any termination of a Trading Plan will be subject to the prior review and approval of the Authorizing Officer. Termination is effected upon written notice to the broker. You should note that termination of a Trading Plan can result in the loss of an affirmative defense for past or future transactions under a Trading Plan. You should consult with your own legal counsel before deciding to terminate a Trading Plan.</w:t>
      </w:r>
    </w:p>
    <w:p>
      <w:pPr>
        <w:pStyle w:val="TextBody"/>
        <w:bidi w:val="0"/>
        <w:spacing w:before="0" w:after="220"/>
        <w:jc w:val="both"/>
        <w:rPr>
          <w:rFonts w:ascii="Times New Roman" w:hAnsi="Times New Roman"/>
          <w:color w:val="000000"/>
          <w:sz w:val="22"/>
        </w:rPr>
      </w:pPr>
      <w:bookmarkStart w:id="51" w:name="x__discretionary_plans"/>
      <w:bookmarkEnd w:id="51"/>
      <w:r>
        <w:rPr>
          <w:rFonts w:ascii="Times New Roman" w:hAnsi="Times New Roman"/>
          <w:color w:val="000000"/>
          <w:sz w:val="22"/>
        </w:rPr>
        <w:t>A person acting in good faith may modify a prior Trading Plan so long as such modifications are made outside of a quarterly trading Closed Period and at a time when the Trading Plan participant does not possess material non-public information. Modifications to a Trading Plan are subject to pre</w:t>
        <w:noBreakHyphen/>
        <w:t>approval by the Authorizing Officer and modifications of a Trading Plan that change the amount, price, or timing of the purchase or sale of the securities underlying a Trading Plan will trigger a new cooling-off period (as described above). Under certain circumstances, a Trading Plan must be terminated. This may include circumstances such as the announcement of a merger or the occurrence of an event that would cause the transaction either to violate the law or to have an adverse effect on the Company. The Authorizing Officer or administrator of the Company’s share plans is authorized to notify the broker in such circumstances, thereby insulating the insider in the event of termination.</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Discretionary Plans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Although non-discretionary Trading Plans, where neither the participant nor the broker generally has discretion or control over trading, are preferred, discretionary Trading Plans, where the discretion or control over trading is transferred to a broker, are permitted if pre-approved by the Authorizing Officer.</w:t>
      </w:r>
    </w:p>
    <w:p>
      <w:pPr>
        <w:pStyle w:val="TextBody"/>
        <w:bidi w:val="0"/>
        <w:spacing w:before="0" w:after="220"/>
        <w:jc w:val="both"/>
        <w:rPr>
          <w:rFonts w:ascii="Times New Roman" w:hAnsi="Times New Roman"/>
          <w:sz w:val="20"/>
        </w:rPr>
      </w:pPr>
      <w:r>
        <w:rPr>
          <w:rFonts w:ascii="Times New Roman" w:hAnsi="Times New Roman"/>
          <w:color w:val="000000"/>
          <w:sz w:val="22"/>
        </w:rPr>
        <w:t>The Authorizing Officer must pre-approve any Trading Plan, arrangement or trading instructions, etc., involving potential sales or purchases of the Company’s shares or option exercises, including but not limited to, blind trusts, discretionary accounts with banks or brokers or limit orders.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actual transactions effected pursuant to a pre-approved Trading Plan will not be subject to further pre-clearance for transactions in the Company’s shares once the Trading Plan or other arrangement has been pre-approved.</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Reporting (if Required)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If required, an SEC Form 144 will be filled out and filed by the individual/brokerage firm in accordance with the existing rules regarding Form 144 filings. A footnote at the bottom of the Form 144 should indicate that the trades are in accordance with a Trading Plan that complies with Rule 10b5-1 adopted on a specific date and expires at the relevant expiration date.</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Options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As set forth above, exercises of options by means of a cash payment may be executed at any time. “Cashless exercise” option exercises through a broker are subject to trading windows. However, the Company will permit same day sales under Trading Plans. If a broker is required to execute a cashless exercise in accordance with a Trading Plan, then the Company must have exercise forms attached to the Trading Plan that are signed, undated and with the number of shares to be exercised left blank. Once a broker determines that the time is right to exercise the option and dispose of the shares in accordance with the Trading Plan, the broker will notify the Company in writing and the administrator of the Company’s share plans will fill in the number of shares and the date of exercise on the previously signed exercise form. The insider should not be involved with this part of the exercise.</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Trades Outside of a Trading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During an open trading window, trades differing from Trading Plan instructions that are already in place are allowed as long as the Trading Plan continues to be followed in accordance with the requirements of Rule 10b5-1 and such trades receive the necessary pre-clearance.</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Public Disclosure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reserves the right to publicly disclose, announce, or respond to inquiries from the media regarding the adoption, modification, or termination of a Trading Plan and non-Rule 10b5-1 trading arrangements, or the execution of transactions made under a Trading Plan.</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Prohibited Transactions</w:t>
      </w:r>
    </w:p>
    <w:p>
      <w:pPr>
        <w:pStyle w:val="TextBody"/>
        <w:bidi w:val="0"/>
        <w:spacing w:before="0" w:after="220"/>
        <w:jc w:val="both"/>
        <w:rPr>
          <w:rFonts w:ascii="Times New Roman" w:hAnsi="Times New Roman"/>
          <w:sz w:val="20"/>
        </w:rPr>
      </w:pPr>
      <w:r>
        <w:rPr>
          <w:rFonts w:ascii="Times New Roman" w:hAnsi="Times New Roman"/>
          <w:color w:val="000000"/>
          <w:sz w:val="22"/>
        </w:rPr>
        <w:t>The transactions prohibited under this Policy, as set forth below under the heading “</w:t>
      </w:r>
      <w:r>
        <w:rPr>
          <w:rFonts w:ascii="Times New Roman" w:hAnsi="Times New Roman"/>
          <w:i/>
          <w:color w:val="000000"/>
          <w:sz w:val="22"/>
        </w:rPr>
        <w:t>Prohibited Types of Transactions</w:t>
      </w:r>
      <w:r>
        <w:rPr>
          <w:rFonts w:ascii="Times New Roman" w:hAnsi="Times New Roman"/>
          <w:color w:val="000000"/>
          <w:sz w:val="22"/>
        </w:rPr>
        <w:t>,” including among others short sales and hedging transactions, may not be carried out through a Trading Plan or other arrangement or trading instruction involving potential sales or purchases of the Company’s securities.</w:t>
      </w:r>
    </w:p>
    <w:p>
      <w:pPr>
        <w:pStyle w:val="TextBody"/>
        <w:bidi w:val="0"/>
        <w:spacing w:before="0" w:after="220"/>
        <w:jc w:val="both"/>
        <w:rPr>
          <w:rFonts w:ascii="Times New Roman" w:hAnsi="Times New Roman"/>
          <w:b/>
          <w:i/>
          <w:color w:val="000000"/>
          <w:sz w:val="22"/>
        </w:rPr>
      </w:pPr>
      <w:r>
        <w:rPr>
          <w:rFonts w:ascii="Times New Roman" w:hAnsi="Times New Roman"/>
          <w:b/>
          <w:i/>
          <w:color w:val="000000"/>
          <w:sz w:val="22"/>
        </w:rPr>
        <w:t>Limitation on Liability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None of the Company, the Chief Executive Officer, the Chief Financial Officer, the General Counsel or other Authorizing Officer, the Company’s other employees or consultants or any other person will have any liability for any delay in reviewing, or refusal of, a Trading Plan submitted pursuant to this Policy or a request for pre-clearance submitted pursuant to this Policy. Notwithstanding any review of a Trading Plan pursuant to this Policy or pre-clearance of a transaction pursuant to this Policy, none of the Company, the Chief Executive Officer, the Chief Financial Officer, the General Counsel or other Authorizing Officer, the Company’s other employees or consultants or any other persons assumes any liability for the legality or consequences of such Trading Plan or transaction to the person engaging in or adopting such Trading Plan or transaction.</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Prohibited Types of Transactions</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The Company considers it improper and inappropriate for </w:t>
      </w:r>
      <w:r>
        <w:rPr>
          <w:rFonts w:ascii="Times New Roman" w:hAnsi="Times New Roman"/>
          <w:b/>
          <w:color w:val="000000"/>
          <w:sz w:val="22"/>
        </w:rPr>
        <w:t>ANY</w:t>
      </w:r>
      <w:r>
        <w:rPr>
          <w:rFonts w:ascii="Times New Roman" w:hAnsi="Times New Roman"/>
          <w:color w:val="000000"/>
          <w:sz w:val="20"/>
        </w:rPr>
        <w:t xml:space="preserve"> </w:t>
      </w:r>
      <w:r>
        <w:rPr>
          <w:rFonts w:ascii="Times New Roman" w:hAnsi="Times New Roman"/>
          <w:color w:val="000000"/>
          <w:sz w:val="22"/>
        </w:rPr>
        <w:t>Company Personnel to engage in short</w:t>
        <w:noBreakHyphen/>
        <w:t>term or speculative transactions in the Company’s securities at any time. It therefore is the Company’s policy that Company Personnel may not engage in any of the following transactions:</w:t>
      </w:r>
    </w:p>
    <w:p>
      <w:pPr>
        <w:pStyle w:val="TextBody"/>
        <w:bidi w:val="0"/>
        <w:spacing w:before="0" w:after="220"/>
        <w:jc w:val="both"/>
        <w:rPr>
          <w:rFonts w:ascii="Times New Roman" w:hAnsi="Times New Roman"/>
          <w:sz w:val="20"/>
        </w:rPr>
      </w:pPr>
      <w:r>
        <w:rPr>
          <w:rFonts w:ascii="Times New Roman" w:hAnsi="Times New Roman"/>
          <w:b/>
          <w:i/>
          <w:color w:val="000000"/>
          <w:sz w:val="22"/>
        </w:rPr>
        <w:t>Short</w:t>
        <w:noBreakHyphen/>
        <w:t xml:space="preserve">term Trading: </w:t>
      </w:r>
      <w:r>
        <w:rPr>
          <w:rFonts w:ascii="Times New Roman" w:hAnsi="Times New Roman"/>
          <w:color w:val="000000"/>
          <w:sz w:val="22"/>
        </w:rPr>
        <w:t>Company Personnel’s short</w:t>
        <w:noBreakHyphen/>
        <w:t>term trading of the Company’s securities may be distracting and may unduly focus on the Company’s short</w:t>
        <w:noBreakHyphen/>
        <w:t>term stock market performance instead of the Company’s long</w:t>
        <w:noBreakHyphen/>
        <w:t>term business objectives. For these reasons, Company Personnel who purchase Company securities in the open market may not sell any Company securities of the same class during the six months following the purchase. Note that shares purchased through either the Company’s employee share purchase plan or its’ employee share option plan are not subject to this restriction.</w:t>
      </w:r>
    </w:p>
    <w:p>
      <w:pPr>
        <w:pStyle w:val="TextBody"/>
        <w:bidi w:val="0"/>
        <w:spacing w:before="0" w:after="220"/>
        <w:jc w:val="both"/>
        <w:rPr>
          <w:rFonts w:ascii="Times New Roman" w:hAnsi="Times New Roman"/>
          <w:sz w:val="20"/>
        </w:rPr>
      </w:pPr>
      <w:r>
        <w:rPr>
          <w:rFonts w:ascii="Times New Roman" w:hAnsi="Times New Roman"/>
          <w:b/>
          <w:i/>
          <w:color w:val="000000"/>
          <w:sz w:val="22"/>
        </w:rPr>
        <w:t>Short Sales:</w:t>
      </w:r>
      <w:r>
        <w:rPr>
          <w:rFonts w:ascii="Times New Roman" w:hAnsi="Times New Roman"/>
          <w:color w:val="000000"/>
          <w:sz w:val="20"/>
        </w:rPr>
        <w:t xml:space="preserve"> </w:t>
      </w:r>
      <w:r>
        <w:rPr>
          <w:rFonts w:ascii="Times New Roman" w:hAnsi="Times New Roman"/>
          <w:color w:val="000000"/>
          <w:sz w:val="22"/>
        </w:rPr>
        <w:t>Short sales of the Company’s securities, or sales of shares that the insider does not own at the time of sale, or sales of shares against which the insider does not deliver shares within 20 days after the sale, evidence an expectation on the part of the seller that the securities will decline in value, and therefore signal to the market that the seller has no confidence in the Company or its short</w:t>
        <w:noBreakHyphen/>
        <w:t>term prospects. In addition, short sales may reduce the seller’s incentive to improve the Company’s performance. For these reasons, short sales of the Company’s securities are prohibited by this Policy. In addition, Section 16(c) of the Exchange Act prohibits Section 16 reporting persons (i.e., directors, officers, and the Company’s 10% shareholders) from making short sales of the Company’s equity securities.</w:t>
      </w:r>
    </w:p>
    <w:p>
      <w:pPr>
        <w:pStyle w:val="TextBody"/>
        <w:bidi w:val="0"/>
        <w:spacing w:before="0" w:after="220"/>
        <w:jc w:val="both"/>
        <w:rPr>
          <w:rFonts w:ascii="Times New Roman" w:hAnsi="Times New Roman"/>
          <w:sz w:val="20"/>
        </w:rPr>
      </w:pPr>
      <w:r>
        <w:rPr>
          <w:rFonts w:ascii="Times New Roman" w:hAnsi="Times New Roman"/>
          <w:b/>
          <w:i/>
          <w:color w:val="000000"/>
          <w:sz w:val="22"/>
        </w:rPr>
        <w:t>Publicly Traded Options:</w:t>
      </w:r>
      <w:r>
        <w:rPr>
          <w:rFonts w:ascii="Times New Roman" w:hAnsi="Times New Roman"/>
          <w:color w:val="000000"/>
          <w:sz w:val="20"/>
        </w:rPr>
        <w:t xml:space="preserve"> </w:t>
      </w:r>
      <w:r>
        <w:rPr>
          <w:rFonts w:ascii="Times New Roman" w:hAnsi="Times New Roman"/>
          <w:color w:val="000000"/>
          <w:sz w:val="22"/>
        </w:rPr>
        <w:t>A transaction in options is, in effect, a bet on the short</w:t>
        <w:noBreakHyphen/>
        <w:t>term movement of the Company’s shares and therefore creates the appearance that trading is based on inside information. Transactions in options also may focus attention on short</w:t>
        <w:noBreakHyphen/>
        <w:t>term performance at the expense of the Company’s long</w:t>
        <w:noBreakHyphen/>
        <w:t>term objectives. Accordingly, transactions in puts, calls or other derivative securities, on an exchange or in any other organised market, are prohibited by this Policy. (Option positions arising from certain types of hedging transactions are governed by the section below captioned “Hedging Transactions.”).</w:t>
      </w:r>
    </w:p>
    <w:p>
      <w:pPr>
        <w:pStyle w:val="TextBody"/>
        <w:bidi w:val="0"/>
        <w:spacing w:before="0" w:after="220"/>
        <w:jc w:val="both"/>
        <w:rPr>
          <w:rFonts w:ascii="Times New Roman" w:hAnsi="Times New Roman"/>
          <w:sz w:val="20"/>
        </w:rPr>
      </w:pPr>
      <w:r>
        <w:rPr>
          <w:rFonts w:ascii="Times New Roman" w:hAnsi="Times New Roman"/>
          <w:b/>
          <w:i/>
          <w:color w:val="000000"/>
          <w:sz w:val="22"/>
        </w:rPr>
        <w:t>Hedging Transactions:</w:t>
      </w:r>
      <w:r>
        <w:rPr>
          <w:rFonts w:ascii="Times New Roman" w:hAnsi="Times New Roman"/>
          <w:color w:val="000000"/>
          <w:sz w:val="20"/>
        </w:rPr>
        <w:t xml:space="preserve"> </w:t>
      </w:r>
      <w:r>
        <w:rPr>
          <w:rFonts w:ascii="Times New Roman" w:hAnsi="Times New Roman"/>
          <w:color w:val="000000"/>
          <w:sz w:val="22"/>
        </w:rPr>
        <w:t>Certain forms of hedging or monetization transactions, such as zero</w:t>
        <w:noBreakHyphen/>
        <w:t>cost collars and forward sale contracts, allow Company Personnel to lock in much of the value of his or her shareholdings, often in exchange for all or part of the potential for upside appreciation in the shares. These transactions allow Company Personnel to continue to own the covered securities, but without the full risks and rewards of ownership. When that occurs, Company Personnel may no longer have the same objectives as the Company’s other shareholders. Therefore, Company Personnel are prohibited from engaging in such transactions. Any person wishing to enter into such an arrangement must first pre</w:t>
        <w:noBreakHyphen/>
        <w:t>clear the proposed transaction with the General Counsel. Any request for pre</w:t>
        <w:noBreakHyphen/>
        <w:t>clearance of a hedging or similar arrangement must be submitted to the General Counsel at least two weeks prior to the proposed execution of documents evidencing the proposed transaction and must set forth a justification for the proposed transaction.</w:t>
      </w:r>
    </w:p>
    <w:p>
      <w:pPr>
        <w:pStyle w:val="TextBody"/>
        <w:bidi w:val="0"/>
        <w:spacing w:before="0" w:after="220"/>
        <w:jc w:val="both"/>
        <w:rPr>
          <w:rFonts w:ascii="Times New Roman" w:hAnsi="Times New Roman"/>
          <w:sz w:val="20"/>
        </w:rPr>
      </w:pPr>
      <w:r>
        <w:rPr>
          <w:rFonts w:ascii="Times New Roman" w:hAnsi="Times New Roman"/>
          <w:b/>
          <w:i/>
          <w:color w:val="000000"/>
          <w:sz w:val="22"/>
        </w:rPr>
        <w:t>Margin Accounts and Pledges:</w:t>
      </w:r>
      <w:r>
        <w:rPr>
          <w:rFonts w:ascii="Times New Roman" w:hAnsi="Times New Roman"/>
          <w:color w:val="000000"/>
          <w:sz w:val="20"/>
        </w:rPr>
        <w:t xml:space="preserve"> </w:t>
      </w:r>
      <w:r>
        <w:rPr>
          <w:rFonts w:ascii="Times New Roman" w:hAnsi="Times New Roman"/>
          <w:color w:val="000000"/>
          <w:sz w:val="22"/>
        </w:rPr>
        <w:t>Company Personnel who are subject to mandatory pre</w:t>
        <w:noBreakHyphen/>
        <w:t>clearance of securities transactions under this Policy may not hold any Company shares or any other securities subject to this Policy in margin accounts and may not pledge such Company shares or other securities as collateral for loans or other obligations.</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Post</w:t>
        <w:noBreakHyphen/>
        <w:t>Termination Transactions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Policy continues to apply to your transactions in Company securities even after you have terminated employment. If you are in possession of material non</w:t>
        <w:noBreakHyphen/>
        <w:t>public information when your employment terminates, you may not trade in Company securities until that information has become public or is no longer material.</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Share Option Exercises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does not apply to the exercise of an employee share option where all exercised shares continue to be held by the option holder. The policy does apply, however, to any sale of shares as part of a broker</w:t>
        <w:noBreakHyphen/>
        <w:t>assisted cashless exercise of an option, or any other market sale of shares, including a sale for the purpose of generating the cash needed to pay the exercise price of an option.</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V.</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COMPANY ASSISTANCE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General Counsel or his or her designee will administer this Policy. Accordingly, any person who has a question about this Policy or its application to any proposed transaction may obtain additional guidance from the General Counsel. Ultimately, however, the responsibility for adhering to this Policy and avoiding unlawful transactions rests with the individual Company Personnel.</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VI.</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UNDERSTANDING</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Policy is in addition to and supplements any existing Company policy relating to a similar or related subject matter.</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VII.</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CERTIFICATIONS UNDER THE POLICY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Each of the Company Personnel subject to this Policy must certify initially and on a regular basis that such individual has read and is in compliance with this Policy and will abide by the provisions set forth herein in the future. The General Counsel (or his/her designee) will circulate these certifications at least annually, or for employees will arrange for certification via the Company’s online training system (if applicable).</w:t>
      </w:r>
    </w:p>
    <w:p>
      <w:pPr>
        <w:pStyle w:val="TextBody"/>
        <w:bidi w:val="0"/>
        <w:spacing w:before="0" w:after="220"/>
        <w:jc w:val="both"/>
        <w:rPr/>
      </w:pPr>
      <w:r>
        <w:rPr/>
        <w:t> </w:t>
      </w:r>
    </w:p>
    <w:p>
      <w:pPr>
        <w:pStyle w:val="TextBody"/>
        <w:bidi w:val="0"/>
        <w:spacing w:before="0" w:after="240"/>
        <w:jc w:val="center"/>
        <w:rPr>
          <w:rFonts w:ascii="Times New Roman" w:hAnsi="Times New Roman"/>
          <w:color w:val="000000"/>
          <w:sz w:val="22"/>
        </w:rPr>
      </w:pPr>
      <w:r>
        <w:rPr>
          <w:rFonts w:ascii="Times New Roman" w:hAnsi="Times New Roman"/>
          <w:color w:val="000000"/>
          <w:sz w:val="22"/>
        </w:rPr>
        <w:t>* * * * *</w:t>
      </w:r>
    </w:p>
    <w:tbl>
      <w:tblPr>
        <w:tblW w:w="8403" w:type="dxa"/>
        <w:jc w:val="left"/>
        <w:tblInd w:w="0" w:type="dxa"/>
        <w:tblLayout w:type="fixed"/>
        <w:tblCellMar>
          <w:top w:w="28" w:type="dxa"/>
          <w:left w:w="28" w:type="dxa"/>
          <w:bottom w:w="28" w:type="dxa"/>
          <w:right w:w="28" w:type="dxa"/>
        </w:tblCellMar>
      </w:tblPr>
      <w:tblGrid>
        <w:gridCol w:w="1816"/>
        <w:gridCol w:w="5086"/>
        <w:gridCol w:w="1501"/>
      </w:tblGrid>
      <w:tr>
        <w:trPr/>
        <w:tc>
          <w:tcPr>
            <w:tcW w:w="1816" w:type="dxa"/>
            <w:tcBorders/>
            <w:vAlign w:val="center"/>
          </w:tcPr>
          <w:p>
            <w:pPr>
              <w:pStyle w:val="TableContents"/>
              <w:bidi w:val="0"/>
              <w:spacing w:before="0" w:after="283"/>
              <w:jc w:val="left"/>
              <w:rPr>
                <w:sz w:val="4"/>
                <w:szCs w:val="4"/>
              </w:rPr>
            </w:pPr>
            <w:r>
              <w:rPr>
                <w:sz w:val="4"/>
                <w:szCs w:val="4"/>
              </w:rPr>
            </w:r>
          </w:p>
        </w:tc>
        <w:tc>
          <w:tcPr>
            <w:tcW w:w="508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r>
      <w:tr>
        <w:trPr/>
        <w:tc>
          <w:tcPr>
            <w:tcW w:w="181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Effective Version</w:t>
            </w:r>
          </w:p>
        </w:tc>
        <w:tc>
          <w:tcPr>
            <w:tcW w:w="508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Description of changes</w:t>
            </w:r>
          </w:p>
        </w:tc>
        <w:tc>
          <w:tcPr>
            <w:tcW w:w="150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left"/>
              <w:rPr>
                <w:rFonts w:ascii="Times New Roman" w:hAnsi="Times New Roman"/>
                <w:b/>
                <w:color w:val="000000"/>
                <w:sz w:val="22"/>
              </w:rPr>
            </w:pPr>
            <w:r>
              <w:rPr>
                <w:rFonts w:ascii="Times New Roman" w:hAnsi="Times New Roman"/>
                <w:b/>
                <w:color w:val="000000"/>
                <w:sz w:val="22"/>
              </w:rPr>
              <w:t>Effective date</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1.0</w:t>
            </w:r>
          </w:p>
        </w:tc>
        <w:tc>
          <w:tcPr>
            <w:tcW w:w="5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New Policy</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03DEC20</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2.0</w:t>
            </w:r>
          </w:p>
        </w:tc>
        <w:tc>
          <w:tcPr>
            <w:tcW w:w="5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 xml:space="preserve">Amendments </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30SEP21</w:t>
            </w:r>
          </w:p>
        </w:tc>
      </w:tr>
      <w:tr>
        <w:trPr/>
        <w:tc>
          <w:tcPr>
            <w:tcW w:w="181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3.0</w:t>
            </w:r>
          </w:p>
        </w:tc>
        <w:tc>
          <w:tcPr>
            <w:tcW w:w="508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Amendments to reflect domestic filer status transition</w:t>
            </w:r>
          </w:p>
        </w:tc>
        <w:tc>
          <w:tcPr>
            <w:tcW w:w="150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120" w:after="120"/>
              <w:jc w:val="left"/>
              <w:rPr>
                <w:rFonts w:ascii="Times New Roman" w:hAnsi="Times New Roman"/>
                <w:color w:val="000000"/>
                <w:sz w:val="22"/>
              </w:rPr>
            </w:pPr>
            <w:r>
              <w:rPr>
                <w:rFonts w:ascii="Times New Roman" w:hAnsi="Times New Roman"/>
                <w:color w:val="000000"/>
                <w:sz w:val="22"/>
              </w:rPr>
              <w:t>01JAN24</w:t>
            </w:r>
          </w:p>
        </w:tc>
      </w:tr>
    </w:tbl>
    <w:p>
      <w:pPr>
        <w:pStyle w:val="TextBody"/>
        <w:bidi w:val="0"/>
        <w:spacing w:before="0" w:after="240"/>
        <w:jc w:val="center"/>
        <w:rPr/>
      </w:pPr>
      <w:r>
        <w:rPr/>
        <w:t> </w:t>
      </w:r>
    </w:p>
    <w:p>
      <w:pPr>
        <w:pStyle w:val="TextBody"/>
        <w:bidi w:val="0"/>
        <w:spacing w:before="0" w:after="220"/>
        <w:jc w:val="both"/>
        <w:rPr/>
      </w:pPr>
      <w:r>
        <w:rPr/>
        <w:t>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rFonts w:ascii="Times New Roman" w:hAnsi="Times New Roman"/>
          <w:color w:val="000000"/>
          <w:sz w:val="16"/>
        </w:rPr>
      </w:pPr>
      <w:r>
        <w:rPr>
          <w:rFonts w:ascii="Times New Roman" w:hAnsi="Times New Roman"/>
          <w:color w:val="000000"/>
          <w:sz w:val="16"/>
        </w:rPr>
        <w:t>|EU-DOCS\45882870.4||</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color w:val="000000"/>
          <w:sz w:val="27"/>
        </w:rPr>
      </w:pPr>
      <w:bookmarkStart w:id="52" w:name="mreo-ex23_1.htm"/>
      <w:bookmarkStart w:id="53" w:name="ksmreoex23_1"/>
      <w:bookmarkEnd w:id="52"/>
      <w:bookmarkEnd w:id="53"/>
      <w:r>
        <w:rPr>
          <w:rFonts w:ascii="Times New Roman" w:hAnsi="Times New Roman"/>
          <w:color w:val="000000"/>
          <w:sz w:val="27"/>
        </w:rPr>
        <w:t>Exhibit 23.1</w:t>
      </w:r>
      <w:r>
        <w:br w:type="page"/>
      </w:r>
    </w:p>
    <w:p>
      <w:pPr>
        <w:pStyle w:val="TextBody"/>
        <w:bidi w:val="0"/>
        <w:spacing w:before="0" w:after="160"/>
        <w:jc w:val="left"/>
        <w:rPr/>
      </w:pPr>
      <w:r>
        <w:rPr/>
        <w:t> </w:t>
      </w:r>
    </w:p>
    <w:p>
      <w:pPr>
        <w:pStyle w:val="TextBody"/>
        <w:bidi w:val="0"/>
        <w:spacing w:before="0" w:after="160"/>
        <w:jc w:val="left"/>
        <w:rPr>
          <w:rFonts w:ascii="Times New Roman" w:hAnsi="Times New Roman"/>
          <w:color w:val="000000"/>
          <w:sz w:val="27"/>
        </w:rPr>
      </w:pPr>
      <w:r>
        <w:rPr>
          <w:rFonts w:ascii="Times New Roman" w:hAnsi="Times New Roman"/>
          <w:color w:val="000000"/>
          <w:sz w:val="27"/>
        </w:rPr>
        <w:t>CONSENT OF INDEPENDENT REGISTERED PUBLIC ACCOUNTING FIRM</w:t>
      </w:r>
    </w:p>
    <w:p>
      <w:pPr>
        <w:pStyle w:val="TextBody"/>
        <w:bidi w:val="0"/>
        <w:spacing w:before="0" w:after="160"/>
        <w:jc w:val="left"/>
        <w:rPr>
          <w:rFonts w:ascii="Times New Roman" w:hAnsi="Times New Roman"/>
          <w:color w:val="000000"/>
          <w:sz w:val="27"/>
        </w:rPr>
      </w:pPr>
      <w:r>
        <w:rPr>
          <w:rFonts w:ascii="Times New Roman" w:hAnsi="Times New Roman"/>
          <w:color w:val="000000"/>
          <w:sz w:val="27"/>
        </w:rPr>
        <w:t>We hereby consent to the incorporation by reference in the Registration Statements on Form S-8 (Nos. 333-276656, 333-231636, 333-236498, 333-252147, 333-262151 and 333-269388) of Mereo BioPharma Group plc of our report dated March 27, 2024 relating to the financial statements, which appears in this Form 10-K.</w:t>
      </w:r>
    </w:p>
    <w:p>
      <w:pPr>
        <w:pStyle w:val="TextBody"/>
        <w:bidi w:val="0"/>
        <w:spacing w:before="0" w:after="160"/>
        <w:jc w:val="left"/>
        <w:rPr/>
      </w:pPr>
      <w:r>
        <w:rPr/>
        <w:t> </w:t>
      </w:r>
    </w:p>
    <w:p>
      <w:pPr>
        <w:pStyle w:val="TextBody"/>
        <w:bidi w:val="0"/>
        <w:spacing w:before="0" w:after="160"/>
        <w:jc w:val="left"/>
        <w:rPr/>
      </w:pPr>
      <w:r>
        <w:rPr/>
        <w:t> </w:t>
      </w:r>
    </w:p>
    <w:p>
      <w:pPr>
        <w:pStyle w:val="TextBody"/>
        <w:bidi w:val="0"/>
        <w:spacing w:before="0" w:after="160"/>
        <w:jc w:val="left"/>
        <w:rPr>
          <w:rFonts w:ascii="Times New Roman" w:hAnsi="Times New Roman"/>
          <w:sz w:val="20"/>
        </w:rPr>
      </w:pPr>
      <w:r>
        <w:rPr>
          <w:rFonts w:ascii="Times New Roman" w:hAnsi="Times New Roman"/>
          <w:color w:val="000000"/>
          <w:sz w:val="27"/>
        </w:rPr>
        <w:t>/s/ PricewaterhouseCoopers LLP</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7"/>
        </w:rPr>
      </w:pPr>
      <w:r>
        <w:rPr>
          <w:rFonts w:ascii="Times New Roman" w:hAnsi="Times New Roman"/>
          <w:color w:val="000000"/>
          <w:sz w:val="27"/>
        </w:rPr>
        <w:t>Reading, United Kingdom</w:t>
      </w:r>
    </w:p>
    <w:p>
      <w:pPr>
        <w:pStyle w:val="TextBody"/>
        <w:bidi w:val="0"/>
        <w:spacing w:before="0" w:after="160"/>
        <w:jc w:val="left"/>
        <w:rPr>
          <w:rFonts w:ascii="Times New Roman" w:hAnsi="Times New Roman"/>
          <w:sz w:val="20"/>
        </w:rPr>
      </w:pPr>
      <w:r>
        <w:rPr>
          <w:rFonts w:ascii="Times New Roman" w:hAnsi="Times New Roman"/>
          <w:color w:val="000000"/>
          <w:sz w:val="27"/>
        </w:rPr>
        <w:t>March 27, 2024</w:t>
      </w:r>
      <w:r>
        <w:rPr>
          <w:rFonts w:ascii="Times New Roman" w:hAnsi="Times New Roman"/>
          <w:color w:val="000000"/>
          <w:sz w:val="20"/>
        </w:rPr>
        <w:t xml:space="preserve"> </w:t>
      </w:r>
    </w:p>
    <w:p>
      <w:pPr>
        <w:pStyle w:val="TextBody"/>
        <w:bidi w:val="0"/>
        <w:spacing w:before="0" w:after="160"/>
        <w:jc w:val="left"/>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both"/>
        <w:rPr/>
      </w:pPr>
      <w:bookmarkStart w:id="54" w:name="mreo-ex31_1.htm"/>
      <w:bookmarkStart w:id="55" w:name="ksmreoex31_1"/>
      <w:bookmarkEnd w:id="54"/>
      <w:bookmarkEnd w:id="5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b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Denise Scots-Knight, certify that:</w:t>
      </w:r>
    </w:p>
    <w:tbl>
      <w:tblPr>
        <w:tblW w:w="8417" w:type="dxa"/>
        <w:jc w:val="left"/>
        <w:tblInd w:w="0" w:type="dxa"/>
        <w:tblLayout w:type="fixed"/>
        <w:tblCellMar>
          <w:top w:w="28" w:type="dxa"/>
          <w:left w:w="28" w:type="dxa"/>
          <w:bottom w:w="28" w:type="dxa"/>
          <w:right w:w="28" w:type="dxa"/>
        </w:tblCellMar>
      </w:tblPr>
      <w:tblGrid>
        <w:gridCol w:w="271"/>
        <w:gridCol w:w="8146"/>
      </w:tblGrid>
      <w:tr>
        <w:trPr/>
        <w:tc>
          <w:tcPr>
            <w:tcW w:w="27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annual report on Form 10-K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27, 2024</w:t>
      </w:r>
    </w:p>
    <w:tbl>
      <w:tblPr>
        <w:tblW w:w="3133" w:type="dxa"/>
        <w:jc w:val="left"/>
        <w:tblInd w:w="0" w:type="dxa"/>
        <w:tblLayout w:type="fixed"/>
        <w:tblCellMar>
          <w:top w:w="28" w:type="dxa"/>
          <w:left w:w="28" w:type="dxa"/>
          <w:bottom w:w="28" w:type="dxa"/>
          <w:right w:w="28" w:type="dxa"/>
        </w:tblCellMar>
      </w:tblPr>
      <w:tblGrid>
        <w:gridCol w:w="646"/>
        <w:gridCol w:w="146"/>
        <w:gridCol w:w="234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341" w:type="dxa"/>
            <w:tcBorders/>
            <w:vAlign w:val="center"/>
          </w:tcPr>
          <w:p>
            <w:pPr>
              <w:pStyle w:val="TableContents"/>
              <w:bidi w:val="0"/>
              <w:spacing w:before="0" w:after="283"/>
              <w:jc w:val="left"/>
              <w:rPr/>
            </w:pPr>
            <w:r>
              <w:rPr/>
              <w:t> </w:t>
            </w:r>
          </w:p>
        </w:tc>
      </w:tr>
      <w:tr>
        <w:trPr/>
        <w:tc>
          <w:tcPr>
            <w:tcW w:w="3133" w:type="dxa"/>
            <w:gridSpan w:val="3"/>
            <w:tcBorders/>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 Ph.D.</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6" w:name="mreo-ex31_2.htm"/>
      <w:bookmarkStart w:id="57" w:name="ksmreoex31_2"/>
      <w:bookmarkEnd w:id="56"/>
      <w:bookmarkEnd w:id="57"/>
      <w:r>
        <w:rPr>
          <w:rFonts w:ascii="Times New Roman" w:hAnsi="Times New Roman"/>
          <w:b/>
          <w:color w:val="000000"/>
          <w:sz w:val="20"/>
        </w:rPr>
        <w:t>Exhibit 31.2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Christine Fox, certify that:</w:t>
      </w:r>
    </w:p>
    <w:tbl>
      <w:tblPr>
        <w:tblW w:w="8417" w:type="dxa"/>
        <w:jc w:val="left"/>
        <w:tblInd w:w="0" w:type="dxa"/>
        <w:tblLayout w:type="fixed"/>
        <w:tblCellMar>
          <w:top w:w="28" w:type="dxa"/>
          <w:left w:w="28" w:type="dxa"/>
          <w:bottom w:w="28" w:type="dxa"/>
          <w:right w:w="28" w:type="dxa"/>
        </w:tblCellMar>
      </w:tblPr>
      <w:tblGrid>
        <w:gridCol w:w="271"/>
        <w:gridCol w:w="8146"/>
      </w:tblGrid>
      <w:tr>
        <w:trPr/>
        <w:tc>
          <w:tcPr>
            <w:tcW w:w="271" w:type="dxa"/>
            <w:tcBorders/>
            <w:vAlign w:val="center"/>
          </w:tcPr>
          <w:p>
            <w:pPr>
              <w:pStyle w:val="TableContents"/>
              <w:bidi w:val="0"/>
              <w:spacing w:before="0" w:after="283"/>
              <w:jc w:val="left"/>
              <w:rPr>
                <w:sz w:val="4"/>
                <w:szCs w:val="4"/>
              </w:rPr>
            </w:pPr>
            <w:r>
              <w:rPr>
                <w:sz w:val="4"/>
                <w:szCs w:val="4"/>
              </w:rPr>
            </w:r>
          </w:p>
        </w:tc>
        <w:tc>
          <w:tcPr>
            <w:tcW w:w="8146" w:type="dxa"/>
            <w:tcBorders/>
            <w:vAlign w:val="center"/>
          </w:tcPr>
          <w:p>
            <w:pPr>
              <w:pStyle w:val="TableContents"/>
              <w:bidi w:val="0"/>
              <w:spacing w:before="0" w:after="283"/>
              <w:jc w:val="left"/>
              <w:rPr>
                <w:sz w:val="4"/>
                <w:szCs w:val="4"/>
              </w:rPr>
            </w:pPr>
            <w:r>
              <w:rPr>
                <w:sz w:val="4"/>
                <w:szCs w:val="4"/>
              </w:rPr>
            </w:r>
          </w:p>
        </w:tc>
      </w:tr>
      <w:tr>
        <w:trPr/>
        <w:tc>
          <w:tcPr>
            <w:tcW w:w="27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w:t>
            </w:r>
          </w:p>
        </w:tc>
        <w:tc>
          <w:tcPr>
            <w:tcW w:w="81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 have reviewed this annual report on Form 10-K of Mereo BioPharma Group plc (the “Company”);</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w:t>
            </w:r>
          </w:p>
        </w:tc>
        <w:tc>
          <w:tcPr>
            <w:tcW w:w="99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28" w:type="dxa"/>
          <w:left w:w="28" w:type="dxa"/>
          <w:bottom w:w="28" w:type="dxa"/>
          <w:right w:w="28" w:type="dxa"/>
        </w:tblCellMar>
      </w:tblPr>
      <w:tblGrid>
        <w:gridCol w:w="245"/>
        <w:gridCol w:w="9960"/>
      </w:tblGrid>
      <w:tr>
        <w:trPr/>
        <w:tc>
          <w:tcPr>
            <w:tcW w:w="245" w:type="dxa"/>
            <w:tcBorders/>
            <w:vAlign w:val="center"/>
          </w:tcPr>
          <w:p>
            <w:pPr>
              <w:pStyle w:val="TableContents"/>
              <w:bidi w:val="0"/>
              <w:spacing w:before="0" w:after="283"/>
              <w:jc w:val="left"/>
              <w:rPr>
                <w:sz w:val="4"/>
                <w:szCs w:val="4"/>
              </w:rPr>
            </w:pPr>
            <w:r>
              <w:rPr>
                <w:sz w:val="4"/>
                <w:szCs w:val="4"/>
              </w:rPr>
            </w:r>
          </w:p>
        </w:tc>
        <w:tc>
          <w:tcPr>
            <w:tcW w:w="9960" w:type="dxa"/>
            <w:tcBorders/>
            <w:vAlign w:val="center"/>
          </w:tcPr>
          <w:p>
            <w:pPr>
              <w:pStyle w:val="TableContents"/>
              <w:bidi w:val="0"/>
              <w:spacing w:before="0" w:after="283"/>
              <w:jc w:val="left"/>
              <w:rPr>
                <w:sz w:val="4"/>
                <w:szCs w:val="4"/>
              </w:rPr>
            </w:pPr>
            <w:r>
              <w:rPr>
                <w:sz w:val="4"/>
                <w:szCs w:val="4"/>
              </w:rPr>
            </w:r>
          </w:p>
        </w:tc>
      </w:tr>
      <w:tr>
        <w:trPr/>
        <w:tc>
          <w:tcPr>
            <w:tcW w:w="245"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w:t>
            </w:r>
          </w:p>
        </w:tc>
        <w:tc>
          <w:tcPr>
            <w:tcW w:w="996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tbl>
      <w:tblPr>
        <w:tblW w:w="10205" w:type="dxa"/>
        <w:jc w:val="left"/>
        <w:tblInd w:w="0" w:type="dxa"/>
        <w:tblLayout w:type="fixed"/>
        <w:tblCellMar>
          <w:top w:w="28" w:type="dxa"/>
          <w:left w:w="28" w:type="dxa"/>
          <w:bottom w:w="28" w:type="dxa"/>
          <w:right w:w="28" w:type="dxa"/>
        </w:tblCellMar>
      </w:tblPr>
      <w:tblGrid>
        <w:gridCol w:w="241"/>
        <w:gridCol w:w="9964"/>
      </w:tblGrid>
      <w:tr>
        <w:trPr/>
        <w:tc>
          <w:tcPr>
            <w:tcW w:w="241" w:type="dxa"/>
            <w:tcBorders/>
            <w:vAlign w:val="center"/>
          </w:tcPr>
          <w:p>
            <w:pPr>
              <w:pStyle w:val="TableContents"/>
              <w:bidi w:val="0"/>
              <w:spacing w:before="0" w:after="283"/>
              <w:jc w:val="left"/>
              <w:rPr>
                <w:sz w:val="4"/>
                <w:szCs w:val="4"/>
              </w:rPr>
            </w:pPr>
            <w:r>
              <w:rPr>
                <w:sz w:val="4"/>
                <w:szCs w:val="4"/>
              </w:rPr>
            </w:r>
          </w:p>
        </w:tc>
        <w:tc>
          <w:tcPr>
            <w:tcW w:w="9964" w:type="dxa"/>
            <w:tcBorders/>
            <w:vAlign w:val="center"/>
          </w:tcPr>
          <w:p>
            <w:pPr>
              <w:pStyle w:val="TableContents"/>
              <w:bidi w:val="0"/>
              <w:spacing w:before="0" w:after="283"/>
              <w:jc w:val="left"/>
              <w:rPr>
                <w:sz w:val="4"/>
                <w:szCs w:val="4"/>
              </w:rPr>
            </w:pPr>
            <w:r>
              <w:rPr>
                <w:sz w:val="4"/>
                <w:szCs w:val="4"/>
              </w:rPr>
            </w:r>
          </w:p>
        </w:tc>
      </w:tr>
      <w:tr>
        <w:trPr/>
        <w:tc>
          <w:tcPr>
            <w:tcW w:w="24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w:t>
            </w:r>
          </w:p>
        </w:tc>
        <w:tc>
          <w:tcPr>
            <w:tcW w:w="996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tbl>
      <w:tblPr>
        <w:tblW w:w="10205" w:type="dxa"/>
        <w:jc w:val="left"/>
        <w:tblInd w:w="0" w:type="dxa"/>
        <w:tblLayout w:type="fixed"/>
        <w:tblCellMar>
          <w:top w:w="28" w:type="dxa"/>
          <w:left w:w="28" w:type="dxa"/>
          <w:bottom w:w="28" w:type="dxa"/>
          <w:right w:w="28" w:type="dxa"/>
        </w:tblCellMar>
      </w:tblPr>
      <w:tblGrid>
        <w:gridCol w:w="124"/>
        <w:gridCol w:w="214"/>
        <w:gridCol w:w="9867"/>
      </w:tblGrid>
      <w:tr>
        <w:trPr/>
        <w:tc>
          <w:tcPr>
            <w:tcW w:w="1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986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1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6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28" w:type="dxa"/>
          <w:left w:w="28" w:type="dxa"/>
          <w:bottom w:w="28" w:type="dxa"/>
          <w:right w:w="28" w:type="dxa"/>
        </w:tblCellMar>
      </w:tblPr>
      <w:tblGrid>
        <w:gridCol w:w="124"/>
        <w:gridCol w:w="229"/>
        <w:gridCol w:w="9852"/>
      </w:tblGrid>
      <w:tr>
        <w:trPr/>
        <w:tc>
          <w:tcPr>
            <w:tcW w:w="1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852"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28" w:type="dxa"/>
          <w:left w:w="28" w:type="dxa"/>
          <w:bottom w:w="28" w:type="dxa"/>
          <w:right w:w="28" w:type="dxa"/>
        </w:tblCellMar>
      </w:tblPr>
      <w:tblGrid>
        <w:gridCol w:w="124"/>
        <w:gridCol w:w="220"/>
        <w:gridCol w:w="9861"/>
      </w:tblGrid>
      <w:tr>
        <w:trPr/>
        <w:tc>
          <w:tcPr>
            <w:tcW w:w="124"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861"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0"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98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28" w:type="dxa"/>
          <w:left w:w="28" w:type="dxa"/>
          <w:bottom w:w="28" w:type="dxa"/>
          <w:right w:w="28" w:type="dxa"/>
        </w:tblCellMar>
      </w:tblPr>
      <w:tblGrid>
        <w:gridCol w:w="124"/>
        <w:gridCol w:w="234"/>
        <w:gridCol w:w="9847"/>
      </w:tblGrid>
      <w:tr>
        <w:trPr/>
        <w:tc>
          <w:tcPr>
            <w:tcW w:w="12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7"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34"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w:t>
            </w:r>
          </w:p>
        </w:tc>
        <w:tc>
          <w:tcPr>
            <w:tcW w:w="9847"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tbl>
      <w:tblPr>
        <w:tblW w:w="10205" w:type="dxa"/>
        <w:jc w:val="left"/>
        <w:tblInd w:w="0" w:type="dxa"/>
        <w:tblLayout w:type="fixed"/>
        <w:tblCellMar>
          <w:top w:w="28" w:type="dxa"/>
          <w:left w:w="28" w:type="dxa"/>
          <w:bottom w:w="28" w:type="dxa"/>
          <w:right w:w="28" w:type="dxa"/>
        </w:tblCellMar>
      </w:tblPr>
      <w:tblGrid>
        <w:gridCol w:w="243"/>
        <w:gridCol w:w="9962"/>
      </w:tblGrid>
      <w:tr>
        <w:trPr/>
        <w:tc>
          <w:tcPr>
            <w:tcW w:w="243" w:type="dxa"/>
            <w:tcBorders/>
            <w:vAlign w:val="center"/>
          </w:tcPr>
          <w:p>
            <w:pPr>
              <w:pStyle w:val="TableContents"/>
              <w:bidi w:val="0"/>
              <w:spacing w:before="0" w:after="283"/>
              <w:jc w:val="left"/>
              <w:rPr>
                <w:sz w:val="4"/>
                <w:szCs w:val="4"/>
              </w:rPr>
            </w:pPr>
            <w:r>
              <w:rPr>
                <w:sz w:val="4"/>
                <w:szCs w:val="4"/>
              </w:rPr>
            </w:r>
          </w:p>
        </w:tc>
        <w:tc>
          <w:tcPr>
            <w:tcW w:w="9962" w:type="dxa"/>
            <w:tcBorders/>
            <w:vAlign w:val="center"/>
          </w:tcPr>
          <w:p>
            <w:pPr>
              <w:pStyle w:val="TableContents"/>
              <w:bidi w:val="0"/>
              <w:spacing w:before="0" w:after="283"/>
              <w:jc w:val="left"/>
              <w:rPr>
                <w:sz w:val="4"/>
                <w:szCs w:val="4"/>
              </w:rPr>
            </w:pPr>
            <w:r>
              <w:rPr>
                <w:sz w:val="4"/>
                <w:szCs w:val="4"/>
              </w:rPr>
            </w:r>
          </w:p>
        </w:tc>
      </w:tr>
      <w:tr>
        <w:trPr/>
        <w:tc>
          <w:tcPr>
            <w:tcW w:w="243"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w:t>
            </w:r>
          </w:p>
        </w:tc>
        <w:tc>
          <w:tcPr>
            <w:tcW w:w="996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Company’s other certifying officer(s) and I have disclosed, based on our most recent evaluation of internal control over financial reporting, to the Company’s auditors and the audit and risk committee of the Company’s board of directors (or persons performing the equivalent functions):</w:t>
            </w:r>
          </w:p>
        </w:tc>
      </w:tr>
    </w:tbl>
    <w:tbl>
      <w:tblPr>
        <w:tblW w:w="10205" w:type="dxa"/>
        <w:jc w:val="left"/>
        <w:tblInd w:w="0" w:type="dxa"/>
        <w:tblLayout w:type="fixed"/>
        <w:tblCellMar>
          <w:top w:w="28" w:type="dxa"/>
          <w:left w:w="28" w:type="dxa"/>
          <w:bottom w:w="28" w:type="dxa"/>
          <w:right w:w="28" w:type="dxa"/>
        </w:tblCellMar>
      </w:tblPr>
      <w:tblGrid>
        <w:gridCol w:w="124"/>
        <w:gridCol w:w="222"/>
        <w:gridCol w:w="9859"/>
      </w:tblGrid>
      <w:tr>
        <w:trPr/>
        <w:tc>
          <w:tcPr>
            <w:tcW w:w="12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985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2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85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tbl>
      <w:tblPr>
        <w:tblW w:w="10205" w:type="dxa"/>
        <w:jc w:val="left"/>
        <w:tblInd w:w="0" w:type="dxa"/>
        <w:tblLayout w:type="fixed"/>
        <w:tblCellMar>
          <w:top w:w="28" w:type="dxa"/>
          <w:left w:w="28" w:type="dxa"/>
          <w:bottom w:w="28" w:type="dxa"/>
          <w:right w:w="28" w:type="dxa"/>
        </w:tblCellMar>
      </w:tblPr>
      <w:tblGrid>
        <w:gridCol w:w="124"/>
        <w:gridCol w:w="252"/>
        <w:gridCol w:w="9829"/>
      </w:tblGrid>
      <w:tr>
        <w:trPr/>
        <w:tc>
          <w:tcPr>
            <w:tcW w:w="12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829" w:type="dxa"/>
            <w:tcBorders/>
            <w:vAlign w:val="center"/>
          </w:tcPr>
          <w:p>
            <w:pPr>
              <w:pStyle w:val="TableContents"/>
              <w:bidi w:val="0"/>
              <w:spacing w:before="0" w:after="283"/>
              <w:jc w:val="left"/>
              <w:rPr>
                <w:sz w:val="4"/>
                <w:szCs w:val="4"/>
              </w:rPr>
            </w:pPr>
            <w:r>
              <w:rPr>
                <w:sz w:val="4"/>
                <w:szCs w:val="4"/>
              </w:rPr>
            </w:r>
          </w:p>
        </w:tc>
      </w:tr>
      <w:tr>
        <w:trPr/>
        <w:tc>
          <w:tcPr>
            <w:tcW w:w="124" w:type="dxa"/>
            <w:tcBorders/>
            <w:shd w:fill="FFFFFF" w:val="clear"/>
            <w:vAlign w:val="center"/>
          </w:tcPr>
          <w:p>
            <w:pPr>
              <w:pStyle w:val="TableContents"/>
              <w:bidi w:val="0"/>
              <w:spacing w:before="0" w:after="283"/>
              <w:jc w:val="left"/>
              <w:rPr>
                <w:sz w:val="4"/>
                <w:szCs w:val="4"/>
              </w:rPr>
            </w:pPr>
            <w:r>
              <w:rPr>
                <w:sz w:val="4"/>
                <w:szCs w:val="4"/>
              </w:rPr>
            </w:r>
          </w:p>
        </w:tc>
        <w:tc>
          <w:tcPr>
            <w:tcW w:w="252"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829"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Company’s internal control over financial reporting.</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27, 2024</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2011" w:type="dxa"/>
            <w:tcBorders/>
            <w:vAlign w:val="center"/>
          </w:tcPr>
          <w:p>
            <w:pPr>
              <w:pStyle w:val="TableContents"/>
              <w:bidi w:val="0"/>
              <w:spacing w:before="0" w:after="283"/>
              <w:jc w:val="left"/>
              <w:rPr/>
            </w:pPr>
            <w:r>
              <w:rPr/>
              <w:t> </w:t>
            </w:r>
          </w:p>
        </w:tc>
      </w:tr>
      <w:tr>
        <w:trPr/>
        <w:tc>
          <w:tcPr>
            <w:tcW w:w="2803" w:type="dxa"/>
            <w:gridSpan w:val="3"/>
            <w:tcBorders/>
            <w:vAlign w:val="center"/>
          </w:tcPr>
          <w:p>
            <w:pPr>
              <w:pStyle w:val="TableContents"/>
              <w:pBdr>
                <w:bottom w:val="single" w:sz="6" w:space="1" w:color="000000"/>
              </w:pBdr>
              <w:bidi w:val="0"/>
              <w:spacing w:before="0" w:after="20"/>
              <w:jc w:val="left"/>
              <w:rPr>
                <w:color w:val="000000"/>
              </w:rPr>
            </w:pPr>
            <w:r>
              <w:rPr>
                <w:color w:val="000000"/>
              </w:rPr>
              <w:t>                    </w:t>
            </w:r>
            <w:r>
              <w:rPr>
                <w:rFonts w:ascii="Times New Roman" w:hAnsi="Times New Roman"/>
                <w:color w:val="000000"/>
                <w:sz w:val="20"/>
              </w:rPr>
              <w:t>/s/ Christine Fox</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8" w:name="mreo-ex32_1.htm"/>
      <w:bookmarkStart w:id="59" w:name="ksmreoex32_1"/>
      <w:bookmarkEnd w:id="58"/>
      <w:bookmarkEnd w:id="59"/>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Mereo BioPharma Group plc (the “Company”) on Form 10-K for the year ended December 31, 2023 as filed with the Securities and Exchange Commission on the date hereof (the “Report”), I, Denise Scots-Knight, Chief Executive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27, 2024</w:t>
      </w:r>
    </w:p>
    <w:tbl>
      <w:tblPr>
        <w:tblW w:w="3373" w:type="dxa"/>
        <w:jc w:val="left"/>
        <w:tblInd w:w="0" w:type="dxa"/>
        <w:tblLayout w:type="fixed"/>
        <w:tblCellMar>
          <w:top w:w="28" w:type="dxa"/>
          <w:left w:w="28" w:type="dxa"/>
          <w:bottom w:w="28" w:type="dxa"/>
          <w:right w:w="28" w:type="dxa"/>
        </w:tblCellMar>
      </w:tblPr>
      <w:tblGrid>
        <w:gridCol w:w="646"/>
        <w:gridCol w:w="146"/>
        <w:gridCol w:w="258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81" w:type="dxa"/>
            <w:tcBorders/>
            <w:shd w:fill="FFFFFF" w:val="clear"/>
            <w:vAlign w:val="center"/>
          </w:tcPr>
          <w:p>
            <w:pPr>
              <w:pStyle w:val="TableContents"/>
              <w:bidi w:val="0"/>
              <w:spacing w:before="0" w:after="283"/>
              <w:jc w:val="left"/>
              <w:rPr/>
            </w:pPr>
            <w:r>
              <w:rPr/>
              <w:t> </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81"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Denise Scots-Knight, Ph.D.</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Denise Scots-Knight, Ph.D.</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58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0" w:name="mreo-ex32_2.htm"/>
      <w:bookmarkStart w:id="61" w:name="ksmreoex32_2"/>
      <w:bookmarkEnd w:id="60"/>
      <w:bookmarkEnd w:id="61"/>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by the Chief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annual report of Mereo BioPharma Group plc (the “Company”) on Form 10-K for the year ended December 31, 2023 as filed with the Securities and Exchange Commission on the date hereof (the “Report”), I, Christine Fox, Chief Financial Officer of the Company, certify, pursuant to 18 U.S.C. Section 1350, as adopted pursuant to Section 906 of the Sarbanes-Oxley Act of 2002, that to my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March 27, 2024</w:t>
      </w:r>
    </w:p>
    <w:tbl>
      <w:tblPr>
        <w:tblW w:w="2803" w:type="dxa"/>
        <w:jc w:val="left"/>
        <w:tblInd w:w="0" w:type="dxa"/>
        <w:tblLayout w:type="fixed"/>
        <w:tblCellMar>
          <w:top w:w="28" w:type="dxa"/>
          <w:left w:w="28" w:type="dxa"/>
          <w:bottom w:w="28" w:type="dxa"/>
          <w:right w:w="28" w:type="dxa"/>
        </w:tblCellMar>
      </w:tblPr>
      <w:tblGrid>
        <w:gridCol w:w="646"/>
        <w:gridCol w:w="146"/>
        <w:gridCol w:w="2011"/>
      </w:tblGrid>
      <w:tr>
        <w:trPr/>
        <w:tc>
          <w:tcPr>
            <w:tcW w:w="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6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011" w:type="dxa"/>
            <w:tcBorders/>
            <w:shd w:fill="FFFFFF" w:val="clear"/>
            <w:vAlign w:val="center"/>
          </w:tcPr>
          <w:p>
            <w:pPr>
              <w:pStyle w:val="TableContents"/>
              <w:bidi w:val="0"/>
              <w:spacing w:before="0" w:after="283"/>
              <w:jc w:val="left"/>
              <w:rPr/>
            </w:pPr>
            <w:r>
              <w:rPr/>
              <w:t> </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Christine Fox</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Christine Fox</w:t>
            </w:r>
          </w:p>
        </w:tc>
      </w:tr>
      <w:tr>
        <w:trPr/>
        <w:tc>
          <w:tcPr>
            <w:tcW w:w="646"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01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spacing w:before="0" w:after="24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2" w:name="mreo-ex97_1.htm"/>
      <w:bookmarkStart w:id="63" w:name="ksmreoex97_1"/>
      <w:bookmarkEnd w:id="62"/>
      <w:bookmarkEnd w:id="63"/>
      <w:r>
        <w:rPr>
          <w:rFonts w:ascii="Times New Roman" w:hAnsi="Times New Roman"/>
          <w:b/>
          <w:color w:val="000000"/>
          <w:sz w:val="20"/>
        </w:rPr>
        <w:t>Exhibit 97.1</w:t>
      </w:r>
      <w:r>
        <w:br w:type="page"/>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Clawback Policy of Mereo BioPharma Group plc</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(the “Company”)</w:t>
      </w:r>
    </w:p>
    <w:p>
      <w:pPr>
        <w:pStyle w:val="TextBody"/>
        <w:bidi w:val="0"/>
        <w:jc w:val="left"/>
        <w:rPr>
          <w:rFonts w:ascii="Times New Roman" w:hAnsi="Times New Roman"/>
          <w:sz w:val="20"/>
        </w:rPr>
      </w:pPr>
      <w:r>
        <w:rPr>
          <w:rFonts w:ascii="Times New Roman" w:hAnsi="Times New Roman"/>
          <w:b/>
          <w:color w:val="000000"/>
          <w:sz w:val="22"/>
          <w:u w:val="single"/>
        </w:rPr>
        <w:t>Introduction</w:t>
      </w:r>
      <w:r>
        <w:rPr>
          <w:rFonts w:ascii="Times New Roman" w:hAnsi="Times New Roman"/>
          <w:color w:val="000000"/>
          <w:sz w:val="22"/>
        </w:rPr>
        <w:t>: The Board of Directors of the Company (the “Board”) believes that it is in the best</w:t>
      </w:r>
    </w:p>
    <w:p>
      <w:pPr>
        <w:pStyle w:val="TextBody"/>
        <w:bidi w:val="0"/>
        <w:jc w:val="left"/>
        <w:rPr>
          <w:rFonts w:ascii="Times New Roman" w:hAnsi="Times New Roman"/>
          <w:color w:val="000000"/>
          <w:sz w:val="22"/>
        </w:rPr>
      </w:pPr>
      <w:r>
        <w:rPr>
          <w:rFonts w:ascii="Times New Roman" w:hAnsi="Times New Roman"/>
          <w:color w:val="000000"/>
          <w:sz w:val="22"/>
        </w:rPr>
        <w:t>interests of the Company and its shareholders to create and maintain a culture that emphasizes integrity</w:t>
      </w:r>
    </w:p>
    <w:p>
      <w:pPr>
        <w:pStyle w:val="TextBody"/>
        <w:bidi w:val="0"/>
        <w:jc w:val="left"/>
        <w:rPr>
          <w:rFonts w:ascii="Times New Roman" w:hAnsi="Times New Roman"/>
          <w:color w:val="000000"/>
          <w:sz w:val="22"/>
        </w:rPr>
      </w:pPr>
      <w:r>
        <w:rPr>
          <w:rFonts w:ascii="Times New Roman" w:hAnsi="Times New Roman"/>
          <w:color w:val="000000"/>
          <w:sz w:val="22"/>
        </w:rPr>
        <w:t>and accountability and that reinforces the Company’s pay-for-performance compensation philosophy.</w:t>
      </w:r>
    </w:p>
    <w:p>
      <w:pPr>
        <w:pStyle w:val="TextBody"/>
        <w:bidi w:val="0"/>
        <w:jc w:val="left"/>
        <w:rPr>
          <w:rFonts w:ascii="Times New Roman" w:hAnsi="Times New Roman"/>
          <w:sz w:val="20"/>
        </w:rPr>
      </w:pPr>
      <w:r>
        <w:rPr>
          <w:rFonts w:ascii="Times New Roman" w:hAnsi="Times New Roman"/>
          <w:color w:val="000000"/>
          <w:sz w:val="22"/>
        </w:rPr>
        <w:t>The Board has adopted this policy which requires the recovery of erroneously awarded compensation in order to satisfy the requirements of Nasdaq Stock Market LLC (“Nasdaq") Listing Rule 5608 (the “Listing Standards”) and to satisfy the requirements of Rule 10D-1 (“Rule 10D-1”), as adopted by the Securities and Exchange Commission (the “SEC”) pursuant to the Securities Exchange Act of 1934, as amended (the “Exchange Act”) to implement Section 954 of the Dodd-Frank Wall Street Reform and Consumer Protection Act of 2010 (this “Policy”).</w:t>
      </w:r>
      <w:r>
        <w:rPr>
          <w:rFonts w:ascii="Times New Roman" w:hAnsi="Times New Roman"/>
          <w:color w:val="000000"/>
          <w:sz w:val="20"/>
        </w:rPr>
        <w:t xml:space="preserve"> </w:t>
      </w:r>
    </w:p>
    <w:p>
      <w:pPr>
        <w:pStyle w:val="TextBody"/>
        <w:bidi w:val="0"/>
        <w:jc w:val="left"/>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Administration</w:t>
      </w:r>
      <w:r>
        <w:rPr>
          <w:rFonts w:ascii="Times New Roman" w:hAnsi="Times New Roman"/>
          <w:color w:val="000000"/>
          <w:sz w:val="22"/>
        </w:rPr>
        <w:t>: This Policy shall be administered by the Board or, if so designated by the Board, the Remuneration Committee of the Board (the “Remuneration Committee”), in which case references herein to the Board shall be deemed references to the Remuneration Committee. Any determinations made by the Board in respect of this Policy shall be final and binding. The Board is authorized to interpret and construe this Policy and to make all determinations necessary, appropriate, or advisable for the administration of the Policy.</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It is intended that the Policy be interpreted in a manner that is consistent with the requirements of the Listing Standards and Rule 10D-1.</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Definitions</w:t>
      </w:r>
      <w:r>
        <w:rPr>
          <w:rFonts w:ascii="Times New Roman" w:hAnsi="Times New Roman"/>
          <w:color w:val="000000"/>
          <w:sz w:val="22"/>
        </w:rPr>
        <w:t>: For purposes of this Policy, the following terms shall have the meanings set forth below:</w:t>
      </w:r>
    </w:p>
    <w:p>
      <w:pPr>
        <w:pStyle w:val="TextBody"/>
        <w:bidi w:val="0"/>
        <w:spacing w:before="0" w:after="160"/>
        <w:jc w:val="left"/>
        <w:rPr>
          <w:color w:val="000000"/>
        </w:rPr>
      </w:pPr>
      <w:r>
        <w:rPr>
          <w:color w:val="000000"/>
        </w:rPr>
        <w:t>“</w:t>
      </w:r>
      <w:r>
        <w:rPr>
          <w:rFonts w:ascii="Times New Roman" w:hAnsi="Times New Roman"/>
          <w:color w:val="000000"/>
          <w:sz w:val="22"/>
        </w:rPr>
        <w:t>Accounting Restatement” shall mean an accounting restatement of the Company’s financial statements due to material noncompliance with any financial reporting requirement under the U.S. federal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160"/>
        <w:jc w:val="left"/>
        <w:rPr/>
      </w:pPr>
      <w:r>
        <w:rPr>
          <w:color w:val="000000"/>
        </w:rPr>
        <w:t>“</w:t>
      </w:r>
      <w:r>
        <w:rPr>
          <w:rFonts w:ascii="Times New Roman" w:hAnsi="Times New Roman"/>
          <w:color w:val="000000"/>
          <w:sz w:val="22"/>
        </w:rPr>
        <w:t>Applicable Period” shall mean the three completed fiscal years prior to the earlier of (a) the date the Board, a Board committee, or officer(s) authorized to take such action if Board action is not required, concludes, or reasonably should have concluded, that the Company is required to prepare an Accounting Restatement or (b) the date a court, regulator, or other legally authorized body directs the Company to prepare an Accounting Restatement. In addition to the last three completed fiscal years described in the preceding sentence, the Applicable Period includes any transition period (that results from a change in the Company’s fiscal year) within or immediately following those three completed fiscal years; provided, however, a transition period between the last day of the Company’s previous fiscal year end and the first day of its new fiscal year that comprises a period of nine to 12 months would be deemed a completed fiscal year for purposes of the Applicable Period.</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2"/>
        </w:rPr>
        <w:t>Covered Executive(s)” shall mean the Company’s current and former “officers” as determined by the Board, in accordance with the Listing Standards and Rule 10D-1 and the definition of “executive officer” as defined in Rule 10D-1(d).</w:t>
      </w:r>
      <w:r>
        <w:rPr>
          <w:rFonts w:ascii="Times New Roman" w:hAnsi="Times New Roman"/>
          <w:color w:val="000000"/>
          <w:sz w:val="20"/>
        </w:rPr>
        <w:t xml:space="preserve"> </w:t>
      </w:r>
    </w:p>
    <w:p>
      <w:pPr>
        <w:pStyle w:val="TextBody"/>
        <w:bidi w:val="0"/>
        <w:spacing w:before="0" w:after="160"/>
        <w:jc w:val="left"/>
        <w:rPr/>
      </w:pPr>
      <w:r>
        <w:rPr>
          <w:color w:val="000000"/>
        </w:rPr>
        <w:t>“</w:t>
      </w:r>
      <w:r>
        <w:rPr>
          <w:rFonts w:ascii="Times New Roman" w:hAnsi="Times New Roman"/>
          <w:color w:val="000000"/>
          <w:sz w:val="22"/>
        </w:rPr>
        <w:t>Erroneously Awarded Compensation” shall mean the amount of Incentive Compensation received by a Covered Executive that exceeds the amount of Incentive Compensation that</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DOCVARIABLE #DNDocID \* MERGEFORMAT 758608104.4</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otherwise would have been received had it been determined based on the restated financial statements.</w:t>
      </w:r>
    </w:p>
    <w:p>
      <w:pPr>
        <w:pStyle w:val="TextBody"/>
        <w:bidi w:val="0"/>
        <w:spacing w:before="0" w:after="160"/>
        <w:jc w:val="left"/>
        <w:rPr>
          <w:color w:val="000000"/>
        </w:rPr>
      </w:pPr>
      <w:r>
        <w:rPr>
          <w:color w:val="000000"/>
        </w:rPr>
        <w:t>“</w:t>
      </w:r>
      <w:r>
        <w:rPr>
          <w:rFonts w:ascii="Times New Roman" w:hAnsi="Times New Roman"/>
          <w:color w:val="000000"/>
          <w:sz w:val="22"/>
        </w:rPr>
        <w:t>Financial Reporting Measure(s)” shall mean measures that are determined and presented in accordance with the accounting principles used in preparing the Company’s financial statements, and any measures that are derived wholly or in part from such measures, including any measure based in whole or in part on the Company’s share price or total shareholder return. For the avoidance of doubt, any such measure does not need to be presented within the Company’s financial statements or included in a filing with the SEC to constitute a Financial Reporting Measure.</w:t>
      </w:r>
    </w:p>
    <w:p>
      <w:pPr>
        <w:pStyle w:val="TextBody"/>
        <w:bidi w:val="0"/>
        <w:spacing w:before="0" w:after="160"/>
        <w:jc w:val="left"/>
        <w:rPr>
          <w:color w:val="000000"/>
        </w:rPr>
      </w:pPr>
      <w:r>
        <w:rPr>
          <w:color w:val="000000"/>
        </w:rPr>
        <w:t>“</w:t>
      </w:r>
      <w:r>
        <w:rPr>
          <w:rFonts w:ascii="Times New Roman" w:hAnsi="Times New Roman"/>
          <w:color w:val="000000"/>
          <w:sz w:val="22"/>
        </w:rPr>
        <w:t>Incentive Compensation” shall mean any compensation awarded to a Covered Executive that is granted, earned, or vested based wholly or in part upon attainment of a Financial Reporting Measure (as defined herein). Incentive Compensation is deemed to be “received” in the fiscal period during which the relevant Financial Reporting Measure is attained, regardless of when the compensation is actually paid or awarded.</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Recoupment; Accounting Restatement</w:t>
      </w:r>
      <w:r>
        <w:rPr>
          <w:rFonts w:ascii="Times New Roman" w:hAnsi="Times New Roman"/>
          <w:color w:val="000000"/>
          <w:sz w:val="22"/>
        </w:rPr>
        <w:t>: In the event that the Company is required to prepare an Accounting Restatement, the Board must recover Incentive Compensation if: (a) the Incentive Compensation was received by the recipient after he or she began service as a Covered Executive, (b) the recipient served as a Covered Executive at any time during the performance period for the Incentive Compensation, and (c) the Incentive Compensation was received (or would have been settled in the absence of an elective deferral of payment by the individual) during, or in respect of, the Applicable Period and that was received (or would have been settled in the absence of an elective deferral of payment by the individual) during the period while the Company has a class of securities listed on a national securities exchange or a national securities association.</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2"/>
        </w:rPr>
      </w:pPr>
      <w:r>
        <w:rPr>
          <w:rFonts w:ascii="Times New Roman" w:hAnsi="Times New Roman"/>
          <w:color w:val="000000"/>
          <w:sz w:val="22"/>
        </w:rPr>
        <w:t>The amount of Incentive Compensation recovered under this Policy shall be the Erroneously Awarded Compensation. The Board will take actions necessary to recover the Erroneously Awarded Compensation reasonably promptly following an Accounting Restatement. Where the amount of Erroneously Awarded Compensation is not subject to mathematical recalculation directly from the information in the Accounting Restatement, the amount must be based on a reasonable estimate of the effect of the Accounting Restatement on the share price or total shareholder return upon which the Incentive Compensation was granted, earned, or vested. The Company will maintain documentation of the determination of that reasonable estimate and provide such documentation to Nasdaq. The amount of the Erroneously Awarded Compensation shall not be reduced, based on, or otherwise calculated with regard to, any taxes paid by the Covered Executive with respect to such amounts.</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Method of Recoupment</w:t>
      </w:r>
      <w:r>
        <w:rPr>
          <w:rFonts w:ascii="Times New Roman" w:hAnsi="Times New Roman"/>
          <w:color w:val="000000"/>
          <w:sz w:val="22"/>
        </w:rPr>
        <w:t>: The Board will determine, in its sole discretion, the method for recouping Erroneously Awarded Compensation hereunder which may include, without limitation: (a) requiring reimbursement of cash Erroneously Awarded Compensation previously paid to the Covered Executive; (b) seeking recovery of any gain realized by the Covered Executive on the vesting, exercise, settlement, sale, transfer or other disposition of any equity-based awards that constituted Erroneously Awarded Compensation; (c) offsetting the recouped amount from any compensation otherwise owed by the Company to the Covered Executive; (d) cancelling outstanding vested or unvested equity awards held by the Covered Executive or (e) taking any other remedial and recovery action permitted by applicable law.</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Impracticability</w:t>
      </w:r>
      <w:r>
        <w:rPr>
          <w:rFonts w:ascii="Times New Roman" w:hAnsi="Times New Roman"/>
          <w:color w:val="000000"/>
          <w:sz w:val="22"/>
        </w:rPr>
        <w:t>: The Company shall recover any Erroneously Awarded Compensation unless the conditions set forth in clauses (a), (b) or (c) of the following sentence are met and such recovery would be impracticable, as determined by the Board in accordance with Rule 10D-1 and the Listing Standards. No recovery shall be required if: (a) the direct expense paid to a third party to assist in enforcing this Policy</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DOCVARIABLE #DNDocID \* MERGEFORMAT 758608104.4</w:t>
      </w:r>
    </w:p>
    <w:p>
      <w:pPr>
        <w:pStyle w:val="HorizontalLine"/>
        <w:pBdr>
          <w:bottom w:val="double" w:sz="2" w:space="0" w:color="808080"/>
        </w:pBdr>
        <w:bidi w:val="0"/>
        <w:spacing w:before="0" w:after="283"/>
        <w:jc w:val="left"/>
        <w:rPr/>
      </w:pPr>
      <w:r>
        <w:rPr/>
      </w:r>
    </w:p>
    <w:p>
      <w:pPr>
        <w:pStyle w:val="TextBody"/>
        <w:bidi w:val="0"/>
        <w:spacing w:before="0" w:after="160"/>
        <w:jc w:val="left"/>
        <w:rPr>
          <w:rFonts w:ascii="Times New Roman" w:hAnsi="Times New Roman"/>
          <w:sz w:val="20"/>
        </w:rPr>
      </w:pPr>
      <w:r>
        <w:rPr>
          <w:rFonts w:ascii="Times New Roman" w:hAnsi="Times New Roman"/>
          <w:color w:val="000000"/>
          <w:sz w:val="22"/>
        </w:rPr>
        <w:t>would exceed the amount to be recovered; provided that before concluding that it would be impractical to recover any amount of Erroneously Awarded Compensation based on this clause (a), the Company shall make a reasonable attempt to recover such Erroneously Awarded Compensation, document such reasonable attempt(s), and provide such documentation to Nasdaq; (b) recovery would violate the laws of England or Wales that were adopted prior to November 28, 2022; provided that before concluding that it would be impractical to recover any amount of Erroneously Awarded Compensation based on this clause (b), the Company shall obtain an opinion of English counsel, acceptable to Nasdaq, that recovery would result in such violation, and provide such opinion to Nasdaq; or (c) recovery would likely cause an otherwise tax-qualified retirement plan, under which benefits are broadly available to employees of the Company or a subsidiary, to fail to meet the requirements of Section 401(a)(13) or Section 411(a) of the Internal Revenue Code.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Effective Date</w:t>
      </w:r>
      <w:r>
        <w:rPr>
          <w:rFonts w:ascii="Times New Roman" w:hAnsi="Times New Roman"/>
          <w:color w:val="000000"/>
          <w:sz w:val="22"/>
        </w:rPr>
        <w:t>: This Policy first became effective as of October 2, 2023 (the “Effective Date”). The terms of this Policy shall apply to any Incentive Compensation that is received by a Covered Executive on or after October 2, 2023, even if such Incentive Compensation was approved, awarded or granted to the Covered Executive prior to October 2, 2023. For clarity, subsequent adoptions by the Board of any version of this Policy shall not change the Effective Date of this Policy unless such version expressly amends the Effective Date.</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Amendment; Termination</w:t>
      </w:r>
      <w:r>
        <w:rPr>
          <w:rFonts w:ascii="Times New Roman" w:hAnsi="Times New Roman"/>
          <w:color w:val="000000"/>
          <w:sz w:val="22"/>
        </w:rPr>
        <w:t>: The Board may amend or terminate this Policy at any time, provided that, the Company shall maintain a policy requiring recoupment of Erroneously Awarded Compensation that complies with applicable U.S. federal securities laws and regulations, including Rule 10D-1, and the Listing Standards, as each may be amended from time to time.</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Other Recoupment Rights</w:t>
      </w:r>
      <w:r>
        <w:rPr>
          <w:rFonts w:ascii="Times New Roman" w:hAnsi="Times New Roman"/>
          <w:color w:val="000000"/>
          <w:sz w:val="22"/>
        </w:rPr>
        <w:t>: Any right of recoupment under this Policy is in addition to, and not in lieu of, any other remedies or rights of recoupment that may be available to the Company pursuant to the terms of any employment agreement, equity award agreement or similar agreement and any other legal remedies available to the Company. For the avoidance of doubt, duplicate recovery under any other remedies or rights of recoupment that may be available to the Company pursuant to the terms of any employment agreement, equity award agreement or similar agreement and any other legal remedies available to the Company is not required.</w:t>
      </w:r>
      <w:r>
        <w:rPr>
          <w:rFonts w:ascii="Times New Roman" w:hAnsi="Times New Roman"/>
          <w:color w:val="000000"/>
          <w:sz w:val="20"/>
        </w:rPr>
        <w:t xml:space="preserve"> </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Indemnification Prohibition</w:t>
      </w:r>
      <w:r>
        <w:rPr>
          <w:rFonts w:ascii="Times New Roman" w:hAnsi="Times New Roman"/>
          <w:color w:val="000000"/>
          <w:sz w:val="22"/>
        </w:rPr>
        <w:t>: The Company shall not be permitted to indemnify any Covered Executive (including through the payment of insurance premiums or gross-up payments) against (i) the loss of any Incentive Compensation that is repaid, returned or recovered pursuant to the terms of this Policy, or (ii) any claims relating to the Company’s enforcement of its rights under this Policy. Further, the Company shall not enter into any agreement that exempts any Incentive Compensation from the application of this Policy or that waives the Company’s right to recovery of any Erroneously Awarded Compensation and this Policy shall supersede any such agreement (whether entered into before, on or after the effective date of this Policy).</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Acknowledgment</w:t>
      </w:r>
      <w:r>
        <w:rPr>
          <w:rFonts w:ascii="Times New Roman" w:hAnsi="Times New Roman"/>
          <w:color w:val="000000"/>
          <w:sz w:val="22"/>
        </w:rPr>
        <w:t>: Each Covered Executive shall sign and return to the Company, within 30 calendar days following the later of (a) the Effective Date of this Policy set forth above or (b) the date the individual becomes a Covered Executive, the Acknowledgement Form attached hereto as Appendix A, pursuant to which the Covered Executive agrees to be bound by, and to comply with, the terms and conditions of this Policy.</w:t>
      </w:r>
    </w:p>
    <w:p>
      <w:pPr>
        <w:pStyle w:val="TextBody"/>
        <w:bidi w:val="0"/>
        <w:spacing w:before="0" w:after="160"/>
        <w:jc w:val="left"/>
        <w:rPr>
          <w:rFonts w:ascii="Times New Roman" w:hAnsi="Times New Roman"/>
          <w:sz w:val="20"/>
        </w:rPr>
      </w:pPr>
      <w:r>
        <w:rPr>
          <w:rFonts w:ascii="Times New Roman" w:hAnsi="Times New Roman"/>
          <w:b/>
          <w:color w:val="000000"/>
          <w:sz w:val="22"/>
          <w:u w:val="single"/>
        </w:rPr>
        <w:t>Successors</w:t>
      </w:r>
      <w:r>
        <w:rPr>
          <w:rFonts w:ascii="Times New Roman" w:hAnsi="Times New Roman"/>
          <w:color w:val="000000"/>
          <w:sz w:val="22"/>
        </w:rPr>
        <w:t>: This Policy shall be binding and enforceable against all Covered Executives and their respective beneficiaries, heirs, executors, administrators or other legal representatives.</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DOCVARIABLE #DNDocID \* MERGEFORMAT 758608104.4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jc w:val="center"/>
        <w:rPr>
          <w:rFonts w:ascii="Times New Roman" w:hAnsi="Times New Roman"/>
          <w:sz w:val="20"/>
        </w:rPr>
      </w:pPr>
      <w:r>
        <w:rPr>
          <w:rFonts w:ascii="Times New Roman" w:hAnsi="Times New Roman"/>
          <w:b/>
          <w:color w:val="000000"/>
          <w:sz w:val="24"/>
        </w:rPr>
        <w:t>Acknowledgement</w:t>
      </w:r>
      <w:r>
        <w:rPr>
          <w:rFonts w:ascii="Times New Roman" w:hAnsi="Times New Roman"/>
          <w:color w:val="000000"/>
          <w:sz w:val="20"/>
        </w:rPr>
        <w:t xml:space="preserve"> </w:t>
      </w:r>
    </w:p>
    <w:p>
      <w:pPr>
        <w:pStyle w:val="TextBody"/>
        <w:bidi w:val="0"/>
        <w:jc w:val="left"/>
        <w:rPr>
          <w:rFonts w:ascii="Times New Roman" w:hAnsi="Times New Roman"/>
          <w:i/>
          <w:color w:val="000000"/>
          <w:sz w:val="24"/>
        </w:rPr>
      </w:pPr>
      <w:r>
        <w:rPr>
          <w:rFonts w:ascii="Times New Roman" w:hAnsi="Times New Roman"/>
          <w:i/>
          <w:color w:val="000000"/>
          <w:sz w:val="24"/>
        </w:rPr>
        <w:t>[Date]</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[Covered Executive name</w:t>
      </w:r>
    </w:p>
    <w:p>
      <w:pPr>
        <w:pStyle w:val="TextBody"/>
        <w:bidi w:val="0"/>
        <w:jc w:val="left"/>
        <w:rPr>
          <w:rFonts w:ascii="Times New Roman" w:hAnsi="Times New Roman"/>
          <w:i/>
          <w:color w:val="000000"/>
          <w:sz w:val="24"/>
        </w:rPr>
      </w:pPr>
      <w:r>
        <w:rPr>
          <w:rFonts w:ascii="Times New Roman" w:hAnsi="Times New Roman"/>
          <w:i/>
          <w:color w:val="000000"/>
          <w:sz w:val="24"/>
        </w:rPr>
        <w:t>Address]</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 xml:space="preserve">Dear </w:t>
      </w:r>
      <w:r>
        <w:rPr>
          <w:rFonts w:ascii="Times New Roman" w:hAnsi="Times New Roman"/>
          <w:i/>
          <w:color w:val="000000"/>
          <w:sz w:val="24"/>
        </w:rPr>
        <w:t>[Covered Executive name]: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Please sign and return to me this letter acknowledging that you have received a copy of the Mereo BioPharma Group plc Clawback Policy (the “Policy”) and that you agree to its application to you as a Covered Executive. Your receipt of grants of equity or incentive compensation on or after the effective date of the Policy is conditioned on your agreeing to the terms of the Policy.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By signing this letter, you agree that the Policy, as it may be amended from time to time, applies to your Incentive Compensation (as defined in the Policy), regardless of whether it is granted on, before, or after the date on which this Policy was adopted by the Company or the date that you sign this letter. Additionally, you agree and acknowledge that the Policy supersedes any prior contract, agreement, and understanding, written or oral, between you and the Company with respect to the subject matter of this Policy and that, in the event any contract, agreement or understanding with you is inconsistent with the Policy, the terms of the Policy shall govern.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You also agree and acknowledge that the Incentive Compensation subject to the Policy are voluntary programs, that you have chosen to accept such Incentive Compensation understanding that such Incentive Compensation are subject to forfeiture and recoupment as set forth in the Policy, and that you specifically agree to such forfeiture and recoupment. If you do not wish to accept any future Incentive Compensation subject to the Policy or to otherwise agree to the terms of the Policy, you must notify to the General Counsel by email to </w:t>
      </w:r>
      <w:r>
        <w:rPr>
          <w:rFonts w:ascii="Times New Roman" w:hAnsi="Times New Roman"/>
          <w:sz w:val="24"/>
        </w:rPr>
        <w:t>legal@mereobiopharma.com</w:t>
      </w:r>
      <w:r>
        <w:rPr>
          <w:rFonts w:ascii="Times New Roman" w:hAnsi="Times New Roman"/>
          <w:color w:val="000000"/>
          <w:sz w:val="20"/>
        </w:rPr>
        <w:t xml:space="preserve"> </w:t>
      </w:r>
      <w:r>
        <w:rPr>
          <w:rFonts w:ascii="Times New Roman" w:hAnsi="Times New Roman"/>
          <w:color w:val="000000"/>
          <w:sz w:val="24"/>
        </w:rPr>
        <w:t>within 10 days after receiving notice of a grant of Incentive Compensation that you are rejecting such grant.</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If you have any questions about the Policy, please contact me.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[Company representative name]</w:t>
      </w:r>
    </w:p>
    <w:p>
      <w:pPr>
        <w:pStyle w:val="TextBody"/>
        <w:bidi w:val="0"/>
        <w:jc w:val="left"/>
        <w:rPr>
          <w:rFonts w:ascii="Times New Roman" w:hAnsi="Times New Roman"/>
          <w:i/>
          <w:color w:val="000000"/>
          <w:sz w:val="24"/>
        </w:rPr>
      </w:pPr>
      <w:r>
        <w:rPr>
          <w:rFonts w:ascii="Times New Roman" w:hAnsi="Times New Roman"/>
          <w:i/>
          <w:color w:val="000000"/>
          <w:sz w:val="24"/>
        </w:rPr>
        <w:t>[Title]</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4"/>
        </w:rPr>
      </w:pPr>
      <w:r>
        <w:rPr>
          <w:rFonts w:ascii="Times New Roman" w:hAnsi="Times New Roman"/>
          <w:i/>
          <w:color w:val="000000"/>
          <w:sz w:val="24"/>
        </w:rPr>
        <w:t>[Covered Executive name]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Date:</w:t>
      </w:r>
      <w:r>
        <w:rPr>
          <w:rFonts w:ascii="Times New Roman" w:hAnsi="Times New Roman"/>
          <w:color w:val="000000"/>
          <w:sz w:val="20"/>
        </w:rPr>
        <w:t xml:space="preserve"> </w:t>
      </w:r>
    </w:p>
    <w:p>
      <w:pPr>
        <w:pStyle w:val="TextBody"/>
        <w:bidi w:val="0"/>
        <w:jc w:val="left"/>
        <w:rPr>
          <w:rFonts w:ascii="Times New Roman" w:hAnsi="Times New Roman"/>
          <w:color w:val="000000"/>
          <w:sz w:val="16"/>
        </w:rPr>
      </w:pPr>
      <w:r>
        <w:rPr>
          <w:rFonts w:ascii="Times New Roman" w:hAnsi="Times New Roman"/>
          <w:color w:val="000000"/>
          <w:sz w:val="16"/>
        </w:rPr>
        <w:t>DOCVARIABLE #DNDocID \* MERGEFORMAT 758608104.4</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altName w:val="serif"/>
    <w:charset w:val="01"/>
    <w:family w:val="auto"/>
    <w:pitch w:val="default"/>
  </w:font>
  <w:font w:name="Calibri">
    <w:altName w:val="sans-serif"/>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19714/000119312519016112/d680874dex1020.htm" TargetMode="External"/><Relationship Id="rId4" Type="http://schemas.openxmlformats.org/officeDocument/2006/relationships/hyperlink" Target="https://www.sec.gov/Archives/edgar/data/1719714/000119312519016112/d680874dex1020.htm" TargetMode="External"/><Relationship Id="rId5" Type="http://schemas.openxmlformats.org/officeDocument/2006/relationships/hyperlink" Target="https://www.sec.gov/Archives/edgar/data/1719714/000119312519016112/d680874dex10203.htm" TargetMode="External"/><Relationship Id="rId6" Type="http://schemas.openxmlformats.org/officeDocument/2006/relationships/hyperlink" Target="https://www.sec.gov/Archives/edgar/data/1719714/000119312519016112/d680874dex10203.htm" TargetMode="External"/><Relationship Id="rId7" Type="http://schemas.openxmlformats.org/officeDocument/2006/relationships/hyperlink" Target="https://www.sec.gov/Archives/edgar/data/1719714/000119312519016112/d680874dex10202.htm" TargetMode="External"/><Relationship Id="rId8" Type="http://schemas.openxmlformats.org/officeDocument/2006/relationships/hyperlink" Target="https://www.sec.gov/Archives/edgar/data/1719714/000119312519016112/d680874dex10202.htm" TargetMode="External"/><Relationship Id="rId9" Type="http://schemas.openxmlformats.org/officeDocument/2006/relationships/hyperlink" Target="https://www.sec.gov/Archives/edgar/data/1719714/000119312519016112/d680874dex10201.htm" TargetMode="External"/><Relationship Id="rId10" Type="http://schemas.openxmlformats.org/officeDocument/2006/relationships/hyperlink" Target="https://www.sec.gov/Archives/edgar/data/1719714/000119312519016112/d680874dex10201.htm" TargetMode="External"/><Relationship Id="rId11" Type="http://schemas.openxmlformats.org/officeDocument/2006/relationships/hyperlink" Target="https://www.sec.gov/Archives/edgar/data/1719714/000119312519016112/d680874dex1021.htm" TargetMode="External"/><Relationship Id="rId12" Type="http://schemas.openxmlformats.org/officeDocument/2006/relationships/hyperlink" Target="https://www.sec.gov/Archives/edgar/data/1719714/000119312519016112/d680874dex1021.htm" TargetMode="External"/><Relationship Id="rId13" Type="http://schemas.openxmlformats.org/officeDocument/2006/relationships/hyperlink" Target="https://www.sec.gov/Archives/edgar/data/1719714/000119312519016112/d680874dex10212.htm" TargetMode="External"/><Relationship Id="rId14" Type="http://schemas.openxmlformats.org/officeDocument/2006/relationships/hyperlink" Target="https://www.sec.gov/Archives/edgar/data/1719714/000119312519016112/d680874dex10212.htm" TargetMode="External"/><Relationship Id="rId15" Type="http://schemas.openxmlformats.org/officeDocument/2006/relationships/hyperlink" Target="https://www.sec.gov/Archives/edgar/data/1719714/000119312519016112/d680874dex10211.htm" TargetMode="External"/><Relationship Id="rId16" Type="http://schemas.openxmlformats.org/officeDocument/2006/relationships/hyperlink" Target="https://www.sec.gov/Archives/edgar/data/1719714/000119312519016112/d680874dex10211.htm" TargetMode="External"/><Relationship Id="rId17" Type="http://schemas.openxmlformats.org/officeDocument/2006/relationships/hyperlink" Target="https://www.sec.gov/Archives/edgar/data/1719714/000119312519016112/d680874dex1022.htm" TargetMode="External"/><Relationship Id="rId18" Type="http://schemas.openxmlformats.org/officeDocument/2006/relationships/hyperlink" Target="https://www.sec.gov/Archives/edgar/data/1719714/000119312519016112/d680874dex1022.htm" TargetMode="External"/><Relationship Id="rId19" Type="http://schemas.openxmlformats.org/officeDocument/2006/relationships/hyperlink" Target="https://www.sec.gov/Archives/edgar/data/1719714/000119312519016112/d680874dex10222.htm" TargetMode="External"/><Relationship Id="rId20" Type="http://schemas.openxmlformats.org/officeDocument/2006/relationships/hyperlink" Target="https://www.sec.gov/Archives/edgar/data/1719714/000119312519016112/d680874dex10222.htm" TargetMode="External"/><Relationship Id="rId21" Type="http://schemas.openxmlformats.org/officeDocument/2006/relationships/hyperlink" Target="https://www.sec.gov/Archives/edgar/data/1719714/000119312519016112/d680874dex10221.htm" TargetMode="External"/><Relationship Id="rId22" Type="http://schemas.openxmlformats.org/officeDocument/2006/relationships/hyperlink" Target="https://www.sec.gov/Archives/edgar/data/1719714/000119312519016112/d680874dex10221.htm" TargetMode="External"/><Relationship Id="rId23" Type="http://schemas.openxmlformats.org/officeDocument/2006/relationships/hyperlink" Target="https://www.sec.gov/Archives/edgar/data/1719714/000119312523297624/d677335dex31.htm" TargetMode="External"/><Relationship Id="rId24" Type="http://schemas.openxmlformats.org/officeDocument/2006/relationships/hyperlink" Target="https://www.sec.gov/Archives/edgar/data/1719714/000119312523297624/d677335dex31.htm" TargetMode="External"/><Relationship Id="rId25" Type="http://schemas.openxmlformats.org/officeDocument/2006/relationships/hyperlink" Target="https://www.sec.gov/Archives/edgar/data/1719714/000119312519016112/d680874dex42.htm" TargetMode="External"/><Relationship Id="rId26" Type="http://schemas.openxmlformats.org/officeDocument/2006/relationships/hyperlink" Target="https://www.sec.gov/Archives/edgar/data/1719714/000119312519016112/d680874dex42.htm" TargetMode="External"/><Relationship Id="rId27" Type="http://schemas.openxmlformats.org/officeDocument/2006/relationships/hyperlink" Target="https://www.sec.gov/Archives/edgar/data/1719714/000119312519016112/d680874dex1023.htm" TargetMode="External"/><Relationship Id="rId28" Type="http://schemas.openxmlformats.org/officeDocument/2006/relationships/hyperlink" Target="https://www.sec.gov/Archives/edgar/data/1719714/000119312519016112/d680874dex1023.htm" TargetMode="External"/><Relationship Id="rId29" Type="http://schemas.openxmlformats.org/officeDocument/2006/relationships/hyperlink" Target="https://www.sec.gov/Archives/edgar/data/1719714/000119312519016112/d680874dex1024.htm" TargetMode="External"/><Relationship Id="rId30" Type="http://schemas.openxmlformats.org/officeDocument/2006/relationships/hyperlink" Target="https://www.sec.gov/Archives/edgar/data/1719714/000119312519016112/d680874dex1024.htm" TargetMode="External"/><Relationship Id="rId31" Type="http://schemas.openxmlformats.org/officeDocument/2006/relationships/hyperlink" Target="https://www.sec.gov/Archives/edgar/data/1719714/000119312519016112/d680874dex1026.htm" TargetMode="External"/><Relationship Id="rId32" Type="http://schemas.openxmlformats.org/officeDocument/2006/relationships/hyperlink" Target="https://www.sec.gov/Archives/edgar/data/1719714/000119312519016112/d680874dex1026.htm" TargetMode="External"/><Relationship Id="rId33" Type="http://schemas.openxmlformats.org/officeDocument/2006/relationships/hyperlink" Target="https://www.sec.gov/Archives/edgar/data/1719714/000119312521010098/d35302dex991.htm" TargetMode="External"/><Relationship Id="rId34" Type="http://schemas.openxmlformats.org/officeDocument/2006/relationships/hyperlink" Target="https://www.sec.gov/Archives/edgar/data/1719714/000119312521010098/d35302ds8.htm" TargetMode="External"/><Relationship Id="rId35" Type="http://schemas.openxmlformats.org/officeDocument/2006/relationships/hyperlink" Target="https://www.sec.gov/Archives/edgar/data/1719714/000119312521102416/d60415dex421.htm" TargetMode="External"/><Relationship Id="rId36" Type="http://schemas.openxmlformats.org/officeDocument/2006/relationships/hyperlink" Target="https://www.sec.gov/Archives/edgar/data/1719714/000119312521102416/d60415dex421.htm" TargetMode="External"/><Relationship Id="rId37" Type="http://schemas.openxmlformats.org/officeDocument/2006/relationships/hyperlink" Target="https://www.sec.gov/Archives/edgar/data/1719714/000119312521010098/d35302dex991.htm" TargetMode="External"/><Relationship Id="rId38" Type="http://schemas.openxmlformats.org/officeDocument/2006/relationships/hyperlink" Target="https://www.sec.gov/Archives/edgar/data/1719714/000119312521010098/d35302dex991.htm" TargetMode="External"/><Relationship Id="rId39" Type="http://schemas.openxmlformats.org/officeDocument/2006/relationships/hyperlink" Target="https://www.sec.gov/Archives/edgar/data/1719714/000119312521010098/d35302dex991.htm" TargetMode="External"/><Relationship Id="rId40" Type="http://schemas.openxmlformats.org/officeDocument/2006/relationships/hyperlink" Target="https://www.sec.gov/Archives/edgar/data/1719714/000119312521102416/d60415dex422.htm" TargetMode="External"/><Relationship Id="rId41" Type="http://schemas.openxmlformats.org/officeDocument/2006/relationships/hyperlink" Target="https://www.sec.gov/Archives/edgar/data/1719714/000119312521102416/d60415dex422.htm" TargetMode="External"/><Relationship Id="rId42" Type="http://schemas.openxmlformats.org/officeDocument/2006/relationships/hyperlink" Target="https://www.sec.gov/Archives/edgar/data/1719714/000119312521102416/d60415dex423.htm" TargetMode="External"/><Relationship Id="rId43" Type="http://schemas.openxmlformats.org/officeDocument/2006/relationships/hyperlink" Target="https://www.sec.gov/Archives/edgar/data/1719714/000119312521102416/d60415dex424.htm" TargetMode="External"/><Relationship Id="rId44" Type="http://schemas.openxmlformats.org/officeDocument/2006/relationships/hyperlink" Target="https://www.sec.gov/Archives/edgar/data/1719714/000119312521102416/d60415dex425.htm" TargetMode="External"/><Relationship Id="rId45" Type="http://schemas.openxmlformats.org/officeDocument/2006/relationships/hyperlink" Target="https://www.sec.gov/Archives/edgar/data/1719714/000119312521102416/d60415dex427.htm" TargetMode="External"/><Relationship Id="rId46" Type="http://schemas.openxmlformats.org/officeDocument/2006/relationships/hyperlink" Target="https://www.sec.gov/Archives/edgar/data/1719714/000119312522091822/d237872dex445.htm" TargetMode="External"/><Relationship Id="rId47" Type="http://schemas.openxmlformats.org/officeDocument/2006/relationships/hyperlink" Target="https://www.sec.gov/Archives/edgar/data/1719714/000119312521102416/d60415dex428.htm" TargetMode="External"/><Relationship Id="rId48" Type="http://schemas.openxmlformats.org/officeDocument/2006/relationships/hyperlink" Target="https://www.sec.gov/Archives/edgar/data/1719714/000119312521102416/d60415dex429.htm" TargetMode="External"/><Relationship Id="rId49" Type="http://schemas.openxmlformats.org/officeDocument/2006/relationships/hyperlink" Target="https://www.sec.gov/Archives/edgar/data/1719714/000119312521102416/d60415dex430.htm" TargetMode="External"/><Relationship Id="rId50" Type="http://schemas.openxmlformats.org/officeDocument/2006/relationships/hyperlink" Target="https://www.sec.gov/Archives/edgar/data/1719714/000119312521102416/d60415dex431.htm" TargetMode="External"/><Relationship Id="rId51" Type="http://schemas.openxmlformats.org/officeDocument/2006/relationships/hyperlink" Target="https://www.sec.gov/Archives/edgar/data/1719714/000119312521102416/d60415dex432.htm" TargetMode="External"/><Relationship Id="rId52" Type="http://schemas.openxmlformats.org/officeDocument/2006/relationships/hyperlink" Target="https://www.sec.gov/Archives/edgar/data/1719714/000119312522091822/d237872dex433.htm" TargetMode="External"/><Relationship Id="rId53" Type="http://schemas.openxmlformats.org/officeDocument/2006/relationships/hyperlink" Target="https://www.sec.gov/Archives/edgar/data/1719714/000119312522091822/d237872dex434.htm" TargetMode="External"/><Relationship Id="rId54" Type="http://schemas.openxmlformats.org/officeDocument/2006/relationships/hyperlink" Target="https://www.sec.gov/Archives/edgar/data/1719714/000119312522091822/d237872dex436.htm" TargetMode="External"/><Relationship Id="rId55" Type="http://schemas.openxmlformats.org/officeDocument/2006/relationships/hyperlink" Target="https://www.sec.gov/Archives/edgar/data/1719714/000119312522091822/d237872dex437.htm" TargetMode="External"/><Relationship Id="rId56" Type="http://schemas.openxmlformats.org/officeDocument/2006/relationships/hyperlink" Target="https://www.sec.gov/Archives/edgar/data/1719714/000119312522091822/d237872dex440.htm" TargetMode="External"/><Relationship Id="rId57" Type="http://schemas.openxmlformats.org/officeDocument/2006/relationships/hyperlink" Target="https://www.sec.gov/Archives/edgar/data/1719714/000119312522091822/d237872dex440.htm" TargetMode="External"/><Relationship Id="rId58" Type="http://schemas.openxmlformats.org/officeDocument/2006/relationships/hyperlink" Target="https://www.sec.gov/Archives/edgar/data/1719714/000119312523082264/d430075dex417.htm" TargetMode="External"/><Relationship Id="rId59" Type="http://schemas.openxmlformats.org/officeDocument/2006/relationships/hyperlink" Target="https://www.sec.gov/Archives/edgar/data/1719714/000119312523082264/d430075dex446.htm" TargetMode="External"/><Relationship Id="rId60" Type="http://schemas.openxmlformats.org/officeDocument/2006/relationships/hyperlink" Target="https://www.sec.gov/Archives/edgar/data/1719714/000119312523082264/d430075dex447.htm" TargetMode="External"/><Relationship Id="rId61" Type="http://schemas.openxmlformats.org/officeDocument/2006/relationships/hyperlink" Target="https://www.sec.gov/Archives/edgar/data/1719714/000119312523082264/d430075dex447.htm" TargetMode="External"/><Relationship Id="rId62" Type="http://schemas.openxmlformats.org/officeDocument/2006/relationships/hyperlink" Target="https://www.sec.gov/Archives/edgar/data/1719714/000119312524012995/d735625dex43.htm" TargetMode="External"/><Relationship Id="rId63" Type="http://schemas.openxmlformats.org/officeDocument/2006/relationships/hyperlink" Target="https://www.sec.gov/Archives/edgar/data/1719714/000119312523014256/d421215dex44.htm" TargetMode="External"/><Relationship Id="rId64" Type="http://schemas.openxmlformats.org/officeDocument/2006/relationships/hyperlink" Target="https://www.sec.gov/Archives/edgar/data/1719714/000119312523014256/d421215dex44.htm" TargetMode="External"/><Relationship Id="rId65" Type="http://schemas.openxmlformats.org/officeDocument/2006/relationships/hyperlink" Target="https://www.sec.gov/Archives/edgar/data/1719714/000119312523014256/d421215dex45.htm" TargetMode="External"/><Relationship Id="rId66" Type="http://schemas.openxmlformats.org/officeDocument/2006/relationships/hyperlink" Target="https://www.sec.gov/Archives/edgar/data/1719714/000119312523014256/d421215dex45.htm" TargetMode="External"/><Relationship Id="rId67" Type="http://schemas.openxmlformats.org/officeDocument/2006/relationships/hyperlink" Target="https://www.sec.gov/ix?doc=/Archives/edgar/data/0001719714/000119312523082264/d430075dex81.htm" TargetMode="External"/><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148639</Words>
  <Characters>816241</Characters>
  <CharactersWithSpaces>965832</CharactersWithSpaces>
  <Paragraphs>11644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