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53" w:lineRule="exact"/>
        <w:rPr>
          <w:sz w:val="24"/>
          <w:szCs w:val="24"/>
          <w:color w:val="auto"/>
        </w:rPr>
      </w:pPr>
    </w:p>
    <w:p>
      <w:pPr>
        <w:ind w:left="4020" w:right="2540" w:hanging="4012"/>
        <w:spacing w:after="0" w:line="306" w:lineRule="auto"/>
        <w:tabs>
          <w:tab w:leader="none" w:pos="355"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7"/>
          <w:szCs w:val="17"/>
          <w:color w:val="auto"/>
          <w:highlight w:val="black"/>
        </w:rPr>
      </w:pPr>
    </w:p>
    <w:p>
      <w:pPr>
        <w:ind w:left="550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OR</w:t>
      </w:r>
    </w:p>
    <w:p>
      <w:pPr>
        <w:spacing w:after="0" w:line="4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959" w:right="339" w:bottom="1440" w:gutter="0" w:footer="0" w:header="0"/>
        </w:sectPr>
      </w:pPr>
    </w:p>
    <w:p>
      <w:pPr>
        <w:spacing w:after="0" w:line="7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Commission File Number 001-38452</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24" w:lineRule="exact"/>
        <w:rPr>
          <w:sz w:val="24"/>
          <w:szCs w:val="24"/>
          <w:color w:val="auto"/>
        </w:rPr>
      </w:pPr>
    </w:p>
    <w:p>
      <w:pPr>
        <w:sectPr>
          <w:pgSz w:w="11900" w:h="16838" w:orient="portrait"/>
          <w:cols w:equalWidth="0" w:num="2">
            <w:col w:w="6960" w:space="180"/>
            <w:col w:w="4100"/>
          </w:cols>
          <w:pgMar w:left="320" w:top="95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5"/>
          <w:szCs w:val="25"/>
          <w:b w:val="1"/>
          <w:bCs w:val="1"/>
          <w:color w:val="auto"/>
        </w:rPr>
        <w:t>MEREO BIOPHARMA GROUP PLC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Borders>
              <w:bottom w:val="single" w:sz="8" w:color="auto"/>
            </w:tcBorders>
          </w:tcPr>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60" w:type="dxa"/>
            <w:vAlign w:val="bottom"/>
            <w:tcBorders>
              <w:bottom w:val="single" w:sz="8" w:color="auto"/>
            </w:tcBorders>
          </w:tcPr>
          <w:p>
            <w:pPr>
              <w:jc w:val="center"/>
              <w:ind w:right="742"/>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207"/>
        </w:trPr>
        <w:tc>
          <w:tcPr>
            <w:tcW w:w="4800" w:type="dxa"/>
            <w:vAlign w:val="bottom"/>
          </w:tcPr>
          <w:p>
            <w:pPr>
              <w:jc w:val="center"/>
              <w:ind w:left="66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60" w:type="dxa"/>
            <w:vAlign w:val="bottom"/>
          </w:tcPr>
          <w:p>
            <w:pPr>
              <w:jc w:val="center"/>
              <w:ind w:right="762"/>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216"/>
        </w:trPr>
        <w:tc>
          <w:tcPr>
            <w:tcW w:w="4800" w:type="dxa"/>
            <w:vAlign w:val="bottom"/>
          </w:tcPr>
          <w:p>
            <w:pPr>
              <w:jc w:val="center"/>
              <w:ind w:left="660"/>
              <w:spacing w:after="0" w:line="217" w:lineRule="exact"/>
              <w:rPr>
                <w:sz w:val="20"/>
                <w:szCs w:val="20"/>
                <w:color w:val="auto"/>
              </w:rPr>
            </w:pPr>
            <w:r>
              <w:rPr>
                <w:rFonts w:ascii="Times New Roman" w:cs="Times New Roman" w:eastAsia="Times New Roman" w:hAnsi="Times New Roman"/>
                <w:sz w:val="16"/>
                <w:szCs w:val="16"/>
                <w:b w:val="1"/>
                <w:bCs w:val="1"/>
                <w:color w:val="auto"/>
                <w:w w:val="99"/>
              </w:rPr>
              <w:t>One Cavendish Place, 4</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6"/>
                <w:szCs w:val="16"/>
                <w:b w:val="1"/>
                <w:bCs w:val="1"/>
                <w:color w:val="auto"/>
                <w:w w:val="99"/>
              </w:rPr>
              <w:t xml:space="preserve"> Floor</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03"/>
        </w:trPr>
        <w:tc>
          <w:tcPr>
            <w:tcW w:w="4800" w:type="dxa"/>
            <w:vAlign w:val="bottom"/>
          </w:tcPr>
          <w:p>
            <w:pPr>
              <w:jc w:val="center"/>
              <w:ind w:left="660"/>
              <w:spacing w:after="0"/>
              <w:rPr>
                <w:sz w:val="20"/>
                <w:szCs w:val="20"/>
                <w:color w:val="auto"/>
              </w:rPr>
            </w:pPr>
            <w:r>
              <w:rPr>
                <w:rFonts w:ascii="Times New Roman" w:cs="Times New Roman" w:eastAsia="Times New Roman" w:hAnsi="Times New Roman"/>
                <w:sz w:val="16"/>
                <w:szCs w:val="16"/>
                <w:b w:val="1"/>
                <w:bCs w:val="1"/>
                <w:color w:val="auto"/>
              </w:rPr>
              <w:t>London, W1G 0QF</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212"/>
        </w:trPr>
        <w:tc>
          <w:tcPr>
            <w:tcW w:w="4800" w:type="dxa"/>
            <w:vAlign w:val="bottom"/>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60" w:type="dxa"/>
            <w:vAlign w:val="bottom"/>
          </w:tcPr>
          <w:p>
            <w:pPr>
              <w:jc w:val="right"/>
              <w:ind w:right="2082"/>
              <w:spacing w:after="0"/>
              <w:rPr>
                <w:sz w:val="20"/>
                <w:szCs w:val="20"/>
                <w:color w:val="auto"/>
              </w:rPr>
            </w:pPr>
            <w:r>
              <w:rPr>
                <w:rFonts w:ascii="Times New Roman" w:cs="Times New Roman" w:eastAsia="Times New Roman" w:hAnsi="Times New Roman"/>
                <w:sz w:val="16"/>
                <w:szCs w:val="16"/>
                <w:b w:val="1"/>
                <w:bCs w:val="1"/>
                <w:color w:val="auto"/>
              </w:rPr>
              <w:t>+44-333-023-7300</w:t>
            </w:r>
          </w:p>
        </w:tc>
      </w:tr>
      <w:tr>
        <w:trPr>
          <w:trHeight w:val="227"/>
        </w:trPr>
        <w:tc>
          <w:tcPr>
            <w:tcW w:w="4800" w:type="dxa"/>
            <w:vAlign w:val="bottom"/>
          </w:tcPr>
          <w:p>
            <w:pPr>
              <w:jc w:val="center"/>
              <w:ind w:left="640"/>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60" w:type="dxa"/>
            <w:vAlign w:val="bottom"/>
          </w:tcPr>
          <w:p>
            <w:pPr>
              <w:jc w:val="center"/>
              <w:ind w:right="762"/>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r>
      <w:tr>
        <w:trPr>
          <w:trHeight w:val="238"/>
        </w:trPr>
        <w:tc>
          <w:tcPr>
            <w:tcW w:w="11240" w:type="dxa"/>
            <w:vAlign w:val="bottom"/>
            <w:gridSpan w:val="5"/>
          </w:tcPr>
          <w:p>
            <w:pPr>
              <w:jc w:val="right"/>
              <w:ind w:right="3462"/>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97"/>
        </w:trPr>
        <w:tc>
          <w:tcPr>
            <w:tcW w:w="4800" w:type="dxa"/>
            <w:vAlign w:val="bottom"/>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660" w:type="dxa"/>
            <w:vAlign w:val="bottom"/>
          </w:tcPr>
          <w:p>
            <w:pPr>
              <w:jc w:val="center"/>
              <w:ind w:left="242"/>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3"/>
        </w:trPr>
        <w:tc>
          <w:tcPr>
            <w:tcW w:w="4800" w:type="dxa"/>
            <w:vAlign w:val="bottom"/>
          </w:tcPr>
          <w:p>
            <w:pPr>
              <w:jc w:val="center"/>
              <w:ind w:right="360"/>
              <w:spacing w:after="0"/>
              <w:rPr>
                <w:sz w:val="20"/>
                <w:szCs w:val="20"/>
                <w:color w:val="auto"/>
              </w:rPr>
            </w:pPr>
            <w:r>
              <w:rPr>
                <w:rFonts w:ascii="Times New Roman" w:cs="Times New Roman" w:eastAsia="Times New Roman" w:hAnsi="Times New Roman"/>
                <w:sz w:val="16"/>
                <w:szCs w:val="16"/>
                <w:color w:val="auto"/>
              </w:rPr>
              <w:t>American Depositary Shares, each representing five ordinary</w:t>
            </w: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MREO</w:t>
            </w:r>
          </w:p>
        </w:tc>
        <w:tc>
          <w:tcPr>
            <w:tcW w:w="466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43"/>
        </w:trPr>
        <w:tc>
          <w:tcPr>
            <w:tcW w:w="4800" w:type="dxa"/>
            <w:vAlign w:val="bottom"/>
          </w:tcPr>
          <w:p>
            <w:pPr>
              <w:jc w:val="center"/>
              <w:ind w:right="300"/>
              <w:spacing w:after="0"/>
              <w:rPr>
                <w:sz w:val="20"/>
                <w:szCs w:val="20"/>
                <w:color w:val="auto"/>
              </w:rPr>
            </w:pPr>
            <w:r>
              <w:rPr>
                <w:rFonts w:ascii="Times New Roman" w:cs="Times New Roman" w:eastAsia="Times New Roman" w:hAnsi="Times New Roman"/>
                <w:sz w:val="16"/>
                <w:szCs w:val="16"/>
                <w:color w:val="auto"/>
              </w:rPr>
              <w:t>shares, nominal value of £0.003 per share</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6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800" w:type="dxa"/>
            <w:vAlign w:val="bottom"/>
          </w:tcPr>
          <w:p>
            <w:pPr>
              <w:jc w:val="center"/>
              <w:ind w:right="400"/>
              <w:spacing w:after="0"/>
              <w:rPr>
                <w:sz w:val="20"/>
                <w:szCs w:val="20"/>
                <w:color w:val="auto"/>
              </w:rPr>
            </w:pPr>
            <w:r>
              <w:rPr>
                <w:rFonts w:ascii="Times New Roman" w:cs="Times New Roman" w:eastAsia="Times New Roman" w:hAnsi="Times New Roman"/>
                <w:sz w:val="16"/>
                <w:szCs w:val="16"/>
                <w:color w:val="auto"/>
              </w:rPr>
              <w:t>Ordinary Shares, nominal value of £0.003 per share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60" w:type="dxa"/>
            <w:vAlign w:val="bottom"/>
          </w:tcPr>
          <w:p>
            <w:pPr>
              <w:spacing w:after="0"/>
              <w:rPr>
                <w:sz w:val="18"/>
                <w:szCs w:val="18"/>
                <w:color w:val="auto"/>
              </w:rPr>
            </w:pPr>
          </w:p>
        </w:tc>
      </w:tr>
    </w:tbl>
    <w:p>
      <w:pPr>
        <w:spacing w:after="0" w:line="73" w:lineRule="exact"/>
        <w:rPr>
          <w:sz w:val="24"/>
          <w:szCs w:val="24"/>
          <w:color w:val="auto"/>
        </w:rPr>
      </w:pPr>
    </w:p>
    <w:p>
      <w:pPr>
        <w:ind w:right="80" w:firstLine="757"/>
        <w:spacing w:after="0" w:line="269" w:lineRule="auto"/>
        <w:tabs>
          <w:tab w:leader="none" w:pos="87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for trading, but only in connection with the registration of American Depositary Shares representing such Ordinary Shares pursuant to the requirements of the U.S. Securities and Exchange Commission.</w:t>
      </w: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9" w:lineRule="exact"/>
        <w:rPr>
          <w:sz w:val="24"/>
          <w:szCs w:val="24"/>
          <w:color w:val="auto"/>
        </w:rPr>
      </w:pPr>
    </w:p>
    <w:p>
      <w:pPr>
        <w:ind w:left="760" w:right="1740"/>
        <w:spacing w:after="0" w:line="250"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Indicate by check mark if the registrant is not required to file reports pursuant to Section 13 or Section 15(d) of the Act.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 w:lineRule="exact"/>
        <w:rPr>
          <w:sz w:val="24"/>
          <w:szCs w:val="24"/>
          <w:color w:val="auto"/>
        </w:rPr>
      </w:pPr>
    </w:p>
    <w:p>
      <w:pPr>
        <w:jc w:val="both"/>
        <w:ind w:right="140" w:firstLine="74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No</w:t>
      </w:r>
    </w:p>
    <w:p>
      <w:pPr>
        <w:spacing w:after="0" w:line="9" w:lineRule="exact"/>
        <w:rPr>
          <w:sz w:val="24"/>
          <w:szCs w:val="24"/>
          <w:color w:val="auto"/>
        </w:rPr>
      </w:pPr>
    </w:p>
    <w:p>
      <w:pPr>
        <w:ind w:right="120" w:firstLine="749"/>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ind w:left="200" w:hanging="192"/>
        <w:spacing w:after="0"/>
        <w:tabs>
          <w:tab w:leader="none" w:pos="200" w:val="left"/>
        </w:tabs>
        <w:numPr>
          <w:ilvl w:val="0"/>
          <w:numId w:val="4"/>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No</w:t>
      </w:r>
    </w:p>
    <w:p>
      <w:pPr>
        <w:spacing w:after="0" w:line="29" w:lineRule="exact"/>
        <w:rPr>
          <w:sz w:val="24"/>
          <w:szCs w:val="24"/>
          <w:color w:val="auto"/>
        </w:rPr>
      </w:pPr>
    </w:p>
    <w:p>
      <w:pPr>
        <w:ind w:right="20" w:firstLine="749"/>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59" w:right="339" w:bottom="1440" w:gutter="0" w:footer="0" w:header="0"/>
          <w:type w:val="continuous"/>
        </w:sectPr>
      </w:pPr>
    </w:p>
    <w:p>
      <w:pPr>
        <w:spacing w:after="0" w:line="34" w:lineRule="exact"/>
        <w:rPr>
          <w:sz w:val="24"/>
          <w:szCs w:val="24"/>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br w:type="column"/>
      </w:r>
    </w:p>
    <w:p>
      <w:pPr>
        <w:jc w:val="center"/>
        <w:ind w:right="20"/>
        <w:spacing w:after="0" w:line="165"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both"/>
        <w:ind w:right="1080" w:hanging="3"/>
        <w:spacing w:after="0" w:line="20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Wingdings" w:cs="Wingdings" w:eastAsia="Wingdings" w:hAnsi="Wingdings"/>
          <w:sz w:val="16"/>
          <w:szCs w:val="16"/>
          <w:b w:val="1"/>
          <w:bCs w:val="1"/>
          <w:color w:val="auto"/>
        </w:rPr>
        <w:t></w:t>
      </w:r>
    </w:p>
    <w:p>
      <w:pPr>
        <w:spacing w:after="0" w:line="34" w:lineRule="exact"/>
        <w:rPr>
          <w:sz w:val="24"/>
          <w:szCs w:val="24"/>
          <w:color w:val="auto"/>
        </w:rPr>
      </w:pPr>
    </w:p>
    <w:p>
      <w:pPr>
        <w:sectPr>
          <w:pgSz w:w="11900" w:h="16838" w:orient="portrait"/>
          <w:cols w:equalWidth="0" w:num="4">
            <w:col w:w="3080" w:space="720"/>
            <w:col w:w="1380" w:space="720"/>
            <w:col w:w="1580" w:space="720"/>
            <w:col w:w="3040"/>
          </w:cols>
          <w:pgMar w:left="320" w:top="959" w:right="339" w:bottom="1440" w:gutter="0" w:footer="0" w:header="0"/>
          <w:type w:val="continuous"/>
        </w:sectPr>
      </w:pPr>
    </w:p>
    <w:p>
      <w:pPr>
        <w:ind w:right="320" w:firstLine="749"/>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1" w:lineRule="exact"/>
        <w:rPr>
          <w:sz w:val="24"/>
          <w:szCs w:val="24"/>
          <w:color w:val="auto"/>
        </w:rPr>
      </w:pPr>
    </w:p>
    <w:p>
      <w:pPr>
        <w:ind w:right="60" w:firstLine="74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 w:lineRule="exact"/>
        <w:rPr>
          <w:sz w:val="24"/>
          <w:szCs w:val="24"/>
          <w:color w:val="auto"/>
        </w:rPr>
      </w:pPr>
    </w:p>
    <w:p>
      <w:pPr>
        <w:ind w:right="260" w:firstLine="749"/>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right="260" w:firstLine="749"/>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 w:lineRule="exact"/>
        <w:rPr>
          <w:sz w:val="24"/>
          <w:szCs w:val="24"/>
          <w:color w:val="auto"/>
        </w:rPr>
      </w:pPr>
    </w:p>
    <w:p>
      <w:pPr>
        <w:ind w:left="7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66" w:lineRule="exact"/>
        <w:rPr>
          <w:sz w:val="24"/>
          <w:szCs w:val="24"/>
          <w:color w:val="auto"/>
        </w:rPr>
      </w:pPr>
    </w:p>
    <w:p>
      <w:pPr>
        <w:ind w:right="120" w:firstLine="749"/>
        <w:spacing w:after="0" w:line="281"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2025, the last business day of the registrant’s most recently completed second fiscal quarter, was approximately $368,470,120.</w:t>
      </w:r>
    </w:p>
    <w:p>
      <w:pPr>
        <w:spacing w:after="0" w:line="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As of March 18, 2026 the number of outstanding ordinary shares, par value £0.003 per share, of the registrant was 798,078,829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63500</wp:posOffset>
            </wp:positionV>
            <wp:extent cx="198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10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59" w:lineRule="exact"/>
        <w:rPr>
          <w:sz w:val="24"/>
          <w:szCs w:val="24"/>
          <w:color w:val="auto"/>
        </w:rPr>
      </w:pPr>
    </w:p>
    <w:p>
      <w:pPr>
        <w:jc w:val="both"/>
        <w:ind w:right="220" w:firstLine="749"/>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2026 Annual Meeting of Stockholders (“Proxy Statement”)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9"/>
              </w:rPr>
              <w:t>PART I</w:t>
            </w:r>
          </w:p>
        </w:tc>
        <w:tc>
          <w:tcPr>
            <w:tcW w:w="340" w:type="dxa"/>
            <w:vAlign w:val="bottom"/>
            <w:gridSpan w:val="4"/>
            <w:vMerge w:val="restart"/>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0"/>
        </w:trPr>
        <w:tc>
          <w:tcPr>
            <w:tcW w:w="580" w:type="dxa"/>
            <w:vAlign w:val="bottom"/>
            <w:tcBorders>
              <w:bottom w:val="single" w:sz="8" w:color="0000FF"/>
            </w:tcBorders>
            <w:vMerge w:val="continue"/>
          </w:tcPr>
          <w:p>
            <w:pPr>
              <w:spacing w:after="0"/>
              <w:rPr>
                <w:sz w:val="24"/>
                <w:szCs w:val="24"/>
                <w:color w:val="auto"/>
              </w:rPr>
            </w:pPr>
          </w:p>
        </w:tc>
        <w:tc>
          <w:tcPr>
            <w:tcW w:w="340" w:type="dxa"/>
            <w:vAlign w:val="bottom"/>
            <w:gridSpan w:val="4"/>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24"/>
                <w:szCs w:val="24"/>
                <w:color w:val="auto"/>
              </w:rPr>
            </w:pPr>
          </w:p>
        </w:tc>
        <w:tc>
          <w:tcPr>
            <w:tcW w:w="8820" w:type="dxa"/>
            <w:vAlign w:val="bottom"/>
            <w:gridSpan w:val="2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45"/>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70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412"/>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74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412"/>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24"/>
                <w:szCs w:val="24"/>
                <w:color w:val="auto"/>
              </w:rPr>
            </w:pPr>
          </w:p>
        </w:tc>
        <w:tc>
          <w:tcPr>
            <w:tcW w:w="9000" w:type="dxa"/>
            <w:vAlign w:val="bottom"/>
            <w:gridSpan w:val="2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345"/>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24"/>
                <w:szCs w:val="24"/>
                <w:color w:val="auto"/>
              </w:rPr>
            </w:pPr>
          </w:p>
        </w:tc>
        <w:tc>
          <w:tcPr>
            <w:tcW w:w="8400" w:type="dxa"/>
            <w:vAlign w:val="bottom"/>
            <w:gridSpan w:val="1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34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345"/>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PART II</w:t>
            </w:r>
          </w:p>
        </w:tc>
        <w:tc>
          <w:tcPr>
            <w:tcW w:w="28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34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24"/>
                <w:szCs w:val="24"/>
                <w:color w:val="auto"/>
              </w:rPr>
            </w:pPr>
          </w:p>
        </w:tc>
        <w:tc>
          <w:tcPr>
            <w:tcW w:w="7280" w:type="dxa"/>
            <w:vAlign w:val="bottom"/>
            <w:tcBorders>
              <w:top w:val="single" w:sz="8" w:color="0000FF"/>
            </w:tcBorders>
            <w:gridSpan w:val="21"/>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345"/>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2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4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45"/>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24"/>
                <w:szCs w:val="24"/>
                <w:color w:val="auto"/>
              </w:rPr>
            </w:pPr>
          </w:p>
        </w:tc>
        <w:tc>
          <w:tcPr>
            <w:tcW w:w="1000" w:type="dxa"/>
            <w:vAlign w:val="bottom"/>
            <w:tcBorders>
              <w:top w:val="single" w:sz="8" w:color="0000FF"/>
            </w:tcBorders>
            <w:gridSpan w:val="2"/>
          </w:tcPr>
          <w:p>
            <w:pPr>
              <w:spacing w:after="0"/>
              <w:rPr>
                <w:sz w:val="24"/>
                <w:szCs w:val="24"/>
                <w:color w:val="auto"/>
              </w:rPr>
            </w:pPr>
          </w:p>
        </w:tc>
        <w:tc>
          <w:tcPr>
            <w:tcW w:w="540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4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45"/>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1"/>
          </w:tcPr>
          <w:p>
            <w:pPr>
              <w:spacing w:after="0"/>
              <w:rPr>
                <w:sz w:val="24"/>
                <w:szCs w:val="24"/>
                <w:color w:val="auto"/>
              </w:rPr>
            </w:pPr>
          </w:p>
        </w:tc>
        <w:tc>
          <w:tcPr>
            <w:tcW w:w="32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45"/>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24"/>
                <w:szCs w:val="24"/>
                <w:color w:val="auto"/>
              </w:rPr>
            </w:pPr>
          </w:p>
        </w:tc>
        <w:tc>
          <w:tcPr>
            <w:tcW w:w="842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12"/>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44"/>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PART III</w:t>
            </w:r>
          </w:p>
        </w:tc>
        <w:tc>
          <w:tcPr>
            <w:tcW w:w="22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345"/>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66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12"/>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4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34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345"/>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430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345"/>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220" w:type="dxa"/>
            <w:vAlign w:val="bottom"/>
            <w:gridSpan w:val="2"/>
          </w:tcPr>
          <w:p>
            <w:pPr>
              <w:spacing w:after="0"/>
              <w:rPr>
                <w:sz w:val="24"/>
                <w:szCs w:val="24"/>
                <w:color w:val="auto"/>
              </w:rPr>
            </w:pPr>
          </w:p>
        </w:tc>
        <w:tc>
          <w:tcPr>
            <w:tcW w:w="3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Exhibit and Financial Statement Schedules</w:t>
            </w:r>
          </w:p>
        </w:tc>
        <w:tc>
          <w:tcPr>
            <w:tcW w:w="66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34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345"/>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6"/>
        </w:trPr>
        <w:tc>
          <w:tcPr>
            <w:tcW w:w="5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ind w:left="4083"/>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8"/>
          <w:szCs w:val="18"/>
          <w:color w:val="auto"/>
        </w:rPr>
        <w:t>Unless otherwise indicated and except where the context otherwise requires, references in this Annual Report on Form 10-K (defined below) to:</w:t>
      </w:r>
    </w:p>
    <w:p>
      <w:pPr>
        <w:spacing w:after="0" w:line="333" w:lineRule="exact"/>
        <w:rPr>
          <w:sz w:val="20"/>
          <w:szCs w:val="20"/>
          <w:color w:val="auto"/>
        </w:rPr>
      </w:pPr>
    </w:p>
    <w:p>
      <w:pPr>
        <w:ind w:left="503" w:right="48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“AATD” are to alpha-1 antitrypsin deficiency, a lack of alpha 1 anti-trypsin protein, a protein made by the liver that’s released into the bloodstream to protect the body from neutrophil serine proteases damaging the lungs;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“Acumapimod” are to an oral p38 MAP kinase inhibitor for potential treatment of AECOPD;</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“Alvelestat” are to an oral neutrophil elastase inhibitor for potential treatment of AATD;</w:t>
      </w:r>
    </w:p>
    <w:p>
      <w:pPr>
        <w:spacing w:after="0" w:line="117"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"ADO2" are to Autosomal Dominant Osteopetrosis Type 2, an inherited metabolic bone disorder characterized by impaired osteoclast function.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our American Depositary Shares, each of which represents five ordinary shares of Mereo BioPharma Group plc;</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evidence our ADSs;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“AECOPD” are to acute exacerbation of chronic obstructive pulmonary disease;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"ASBMR 2025" are to the American Society for Bone and Mineral Research Annual Meeting held in September 2025;</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"Āshibio" are to āshibio, Inc.;</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 are to Biologics License Application;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 are to contract manufacturing organization;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“COPD” are to chronic obstructive pulmonary disease, the name for a group of lung conditions that cause breathing difficulties;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 are to contract research organization;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are to European Medicines Agency;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“Etigilimab” are to an anti-TIGIT designed to activate the immune system through multiple mechanisms and enable anti-tumor activity;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are to the United States Securities and Exchange Act of 1934;</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“Feng Biosciences” are to Feng Biosciences, Inc. In 2023, OncXerna Therapeutics, Inc. (“OncXerna”) was renamed as Feng Biosciences, Inc.;</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are to the United States Food and Drug Administration;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“HH” are to hypogonadotropic hypogonadism, a condition in which the male testes or the female ovaries produce little or no sex hormones;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are to Investigational New Drug Application;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“Leflutrozole” are to an oral aromatase inhibitor for potential treatment of male infertility associated with HH;</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 are to Marketing Authorization Applications;</w:t>
      </w:r>
    </w:p>
    <w:p>
      <w:pPr>
        <w:spacing w:after="0" w:line="117" w:lineRule="exact"/>
        <w:rPr>
          <w:rFonts w:ascii="Times New Roman" w:cs="Times New Roman" w:eastAsia="Times New Roman" w:hAnsi="Times New Roman"/>
          <w:sz w:val="18"/>
          <w:szCs w:val="18"/>
          <w:color w:val="auto"/>
        </w:rPr>
      </w:pPr>
    </w:p>
    <w:p>
      <w:pPr>
        <w:ind w:left="503" w:right="4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“Mereo,” the “Company,” the “Group,” “we,” “our,” “ours,” “us” or similar terms are to Mereo BioPharma Group plc, together with its subsidiaries;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are to the merger of Mereo MergerCo One Inc. and OncoMed Pharmaceuticals, Inc. (“OncoMed”), with OncoMed surviving as a wholly-owned subsidiary of Mereo US Holdings Inc., and as an indirect wholly-owned subsidiary of Mereo BioPharma Group plc, and in 2020 OncoMed was renamed as Mereo BioPharma 5, Inc. (“Mereo BioPharma 5”);</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"MHRA" are to the United Kingdom Medicines and Healthcare products Regulatory Agency;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“Navicixizumab” are to an anti-DLL4/VEGF bispecific antibody for the potential treatment of post platinum ovarian cancer;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are to New Drug Application;</w:t>
      </w:r>
    </w:p>
    <w:p>
      <w:pPr>
        <w:spacing w:after="0" w:line="117"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981" w:right="379" w:bottom="1440" w:gutter="0" w:footer="0" w:header="0"/>
        </w:sectPr>
      </w:pPr>
    </w:p>
    <w:bookmarkStart w:id="3" w:name="page4"/>
    <w:bookmarkEnd w:id="3"/>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 neutrophil elastase, a serine protease and a major constituent of lung elastoytic activity;</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 are to osteogenesis imperfecta a rare genetic bone disorder characterized by fragile bones that break easily, also known as brittle bone disease;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ordinary shares, each of £0.003 nominal value;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are to the United States Securities and Exchange Commission;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“Setrusumab” are to a fully human monoclonal antibody for potential treatment of OI;</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“US$” and “U.S. dollar” are to the United States dollar;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“TIGIT” are to T-cell immunoreceptor with Ig and ITIM domains;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“Ultragenyx” are to Ultragenyx Pharmaceutical, Inc.;</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are to accounting principles generally accepted in the United States of America;</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"Vantictumab" are to an anti-FZD monoclonal antibody for potential treatment of Autosomal Dominant Osteopetrosis Type 2;</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“GBP,” “pound sterling,” “pence” and “p” are to the British pound sterling (or units thereof).</w:t>
      </w:r>
    </w:p>
    <w:p>
      <w:pPr>
        <w:spacing w:after="0" w:line="117"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3"/>
          </w:cols>
          <w:pgMar w:left="837" w:top="1093" w:right="5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8" w:lineRule="exact"/>
        <w:rPr>
          <w:sz w:val="20"/>
          <w:szCs w:val="20"/>
          <w:color w:val="auto"/>
        </w:rPr>
      </w:pPr>
    </w:p>
    <w:p>
      <w:pPr>
        <w:ind w:right="100" w:firstLine="749"/>
        <w:spacing w:after="0" w:line="236" w:lineRule="exact"/>
        <w:rPr>
          <w:sz w:val="20"/>
          <w:szCs w:val="20"/>
          <w:color w:val="auto"/>
        </w:rPr>
      </w:pPr>
      <w:r>
        <w:rPr>
          <w:rFonts w:ascii="Times New Roman" w:cs="Times New Roman" w:eastAsia="Times New Roman" w:hAnsi="Times New Roman"/>
          <w:sz w:val="18"/>
          <w:szCs w:val="18"/>
          <w:color w:val="auto"/>
        </w:rPr>
        <w:t>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(“Annual Report”), “Mereo,” the “Group,” the “Company,” “we,” “us” and “our” refer to Mereo BioPharma Group plc and its consolidated subsidiaries, except where the context otherwise requires. “Mereo,” the Mereo logo and other trademarks, trade names or service marks of Mereo appearing in this Annual Report are the property of Mereo.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 xml:space="preserve">This Annual Report contains forward-looking statements that involve substantial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w:t>
      </w:r>
      <w:r>
        <w:rPr>
          <w:rFonts w:ascii="Times New Roman" w:cs="Times New Roman" w:eastAsia="Times New Roman" w:hAnsi="Times New Roman"/>
          <w:sz w:val="18"/>
          <w:szCs w:val="18"/>
          <w:u w:val="single" w:color="auto"/>
          <w:color w:val="008080"/>
        </w:rPr>
        <w:t>within the meaning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8080"/>
        </w:rPr>
        <w:t>of Section 27A of the United States Securities Act of 1933, as amended, and Section 21E of the United States Securities Exchange Act of 1934, as amended</w:t>
      </w:r>
      <w:r>
        <w:rPr>
          <w:rFonts w:ascii="Times New Roman" w:cs="Times New Roman" w:eastAsia="Times New Roman" w:hAnsi="Times New Roman"/>
          <w:sz w:val="18"/>
          <w:szCs w:val="18"/>
          <w:color w:val="000000"/>
        </w:rPr>
        <w:t>. In some cases, you can identify forward-looking statements by words such as “believe,” “may,” “will,” “estimate,” “continue,” “anticipate,”</w:t>
      </w:r>
      <w:r>
        <w:rPr>
          <w:rFonts w:ascii="Times New Roman" w:cs="Times New Roman" w:eastAsia="Times New Roman" w:hAnsi="Times New Roman"/>
          <w:sz w:val="18"/>
          <w:szCs w:val="18"/>
          <w:color w:val="008080"/>
        </w:rPr>
        <w:t xml:space="preserve"> </w:t>
      </w:r>
      <w:r>
        <w:rPr>
          <w:rFonts w:ascii="Times New Roman" w:cs="Times New Roman" w:eastAsia="Times New Roman" w:hAnsi="Times New Roman"/>
          <w:sz w:val="18"/>
          <w:szCs w:val="18"/>
          <w:color w:val="000000"/>
        </w:rPr>
        <w:t xml:space="preserve">“intend,” “expect”, </w:t>
      </w:r>
      <w:r>
        <w:rPr>
          <w:rFonts w:ascii="Times New Roman" w:cs="Times New Roman" w:eastAsia="Times New Roman" w:hAnsi="Times New Roman"/>
          <w:sz w:val="18"/>
          <w:szCs w:val="18"/>
          <w:u w:val="single" w:color="auto"/>
          <w:color w:val="008080"/>
        </w:rPr>
        <w:t>“plan,” “foresee,” “should,” “would,” “could,” “outlook,” and similar expressions, including</w:t>
      </w:r>
      <w:r>
        <w:rPr>
          <w:rFonts w:ascii="Times New Roman" w:cs="Times New Roman" w:eastAsia="Times New Roman" w:hAnsi="Times New Roman"/>
          <w:sz w:val="18"/>
          <w:szCs w:val="18"/>
          <w:color w:val="000000"/>
        </w:rPr>
        <w:t xml:space="preserve"> the negative thereof. </w:t>
      </w:r>
      <w:r>
        <w:rPr>
          <w:rFonts w:ascii="Times New Roman" w:cs="Times New Roman" w:eastAsia="Times New Roman" w:hAnsi="Times New Roman"/>
          <w:sz w:val="18"/>
          <w:szCs w:val="18"/>
          <w:u w:val="single" w:color="auto"/>
          <w:color w:val="008080"/>
        </w:rPr>
        <w:t>The absence of these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8080"/>
        </w:rPr>
        <w:t>words, however, does not mean that the statements are not forward-looking.</w:t>
      </w:r>
    </w:p>
    <w:p>
      <w:pPr>
        <w:spacing w:after="0" w:line="219" w:lineRule="exact"/>
        <w:rPr>
          <w:sz w:val="20"/>
          <w:szCs w:val="20"/>
          <w:color w:val="auto"/>
        </w:rPr>
      </w:pPr>
    </w:p>
    <w:p>
      <w:pPr>
        <w:ind w:right="220" w:firstLine="749"/>
        <w:spacing w:after="0" w:line="269" w:lineRule="auto"/>
        <w:rPr>
          <w:sz w:val="20"/>
          <w:szCs w:val="20"/>
          <w:color w:val="auto"/>
        </w:rPr>
      </w:pPr>
      <w:r>
        <w:rPr>
          <w:rFonts w:ascii="Times New Roman" w:cs="Times New Roman" w:eastAsia="Times New Roman" w:hAnsi="Times New Roman"/>
          <w:sz w:val="17"/>
          <w:szCs w:val="17"/>
          <w:color w:val="auto"/>
        </w:rPr>
        <w:t xml:space="preserve">Any forward-looking statements in this Annual Report reflect our current </w:t>
      </w:r>
      <w:r>
        <w:rPr>
          <w:rFonts w:ascii="Times New Roman" w:cs="Times New Roman" w:eastAsia="Times New Roman" w:hAnsi="Times New Roman"/>
          <w:sz w:val="17"/>
          <w:szCs w:val="17"/>
          <w:u w:val="single" w:color="auto"/>
          <w:color w:val="008080"/>
        </w:rPr>
        <w:t>expectations, beliefs and assumptions concerning</w:t>
      </w:r>
      <w:r>
        <w:rPr>
          <w:rFonts w:ascii="Times New Roman" w:cs="Times New Roman" w:eastAsia="Times New Roman" w:hAnsi="Times New Roman"/>
          <w:sz w:val="17"/>
          <w:szCs w:val="17"/>
          <w:color w:val="auto"/>
        </w:rPr>
        <w:t xml:space="preserve">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w:t>
      </w:r>
      <w:r>
        <w:rPr>
          <w:rFonts w:ascii="Times New Roman" w:cs="Times New Roman" w:eastAsia="Times New Roman" w:hAnsi="Times New Roman"/>
          <w:sz w:val="17"/>
          <w:szCs w:val="17"/>
          <w:u w:val="single" w:color="auto"/>
          <w:color w:val="008080"/>
        </w:rPr>
        <w:t>the uncertainties inherent in the clinical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8080"/>
        </w:rPr>
        <w:t>development process; the Company’s reliance on third parties to conduct its clinical trials and provide funding for its clinical trials; the sufficiency of existing cash to fund operations and/or the inability to raise additional funding on favorable terms or at all; the uncertainty inherent in regulatory review processes, including varying interpretations and analyses of data from clinical trials; the Company’s dependence on enrollment of patients in its clinical trials; potentially smaller than anticipated market opportunities for the Company's product candidates; the Company’s dependence on its key executives;</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008080"/>
        </w:rPr>
        <w:t>the Company’s ability to maintain compliance with Nasdaq continued listing requirements; and additional factors</w:t>
      </w:r>
      <w:r>
        <w:rPr>
          <w:rFonts w:ascii="Times New Roman" w:cs="Times New Roman" w:eastAsia="Times New Roman" w:hAnsi="Times New Roman"/>
          <w:sz w:val="18"/>
          <w:szCs w:val="18"/>
          <w:color w:val="008080"/>
        </w:rPr>
        <w:t xml:space="preserve"> </w:t>
      </w:r>
      <w:r>
        <w:rPr>
          <w:rFonts w:ascii="Times New Roman" w:cs="Times New Roman" w:eastAsia="Times New Roman" w:hAnsi="Times New Roman"/>
          <w:sz w:val="18"/>
          <w:szCs w:val="18"/>
          <w:color w:val="000000"/>
        </w:rPr>
        <w:t>listed under Part I, Item 1A. Risk Factors</w:t>
      </w:r>
      <w:r>
        <w:rPr>
          <w:rFonts w:ascii="Times New Roman" w:cs="Times New Roman" w:eastAsia="Times New Roman" w:hAnsi="Times New Roman"/>
          <w:sz w:val="18"/>
          <w:szCs w:val="18"/>
          <w:color w:val="008080"/>
        </w:rPr>
        <w:t xml:space="preserve"> </w:t>
      </w:r>
      <w:r>
        <w:rPr>
          <w:rFonts w:ascii="Times New Roman" w:cs="Times New Roman" w:eastAsia="Times New Roman" w:hAnsi="Times New Roman"/>
          <w:sz w:val="18"/>
          <w:szCs w:val="18"/>
          <w:color w:val="000000"/>
        </w:rPr>
        <w:t>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w:t>
      </w:r>
    </w:p>
    <w:p>
      <w:pPr>
        <w:spacing w:after="0" w:line="183" w:lineRule="exact"/>
        <w:rPr>
          <w:sz w:val="20"/>
          <w:szCs w:val="20"/>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never generated any revenue from product sales.</w:t>
      </w:r>
    </w:p>
    <w:p>
      <w:pPr>
        <w:spacing w:after="0" w:line="225" w:lineRule="exact"/>
        <w:rPr>
          <w:rFonts w:ascii="Times New Roman" w:cs="Times New Roman" w:eastAsia="Times New Roman" w:hAnsi="Times New Roman"/>
          <w:sz w:val="18"/>
          <w:szCs w:val="18"/>
          <w:color w:val="auto"/>
        </w:rPr>
      </w:pPr>
    </w:p>
    <w:p>
      <w:pPr>
        <w:ind w:left="1140" w:right="160" w:hanging="383"/>
        <w:spacing w:after="0" w:line="261"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179"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setrusumab and alvelestat. We cannot give any assurance that any of these product candidates will receive regulatory approval, which is necessary before they can be commercialized. If we are unable to</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383" w:right="100"/>
        <w:spacing w:after="0" w:line="282" w:lineRule="auto"/>
        <w:rPr>
          <w:sz w:val="20"/>
          <w:szCs w:val="20"/>
          <w:color w:val="auto"/>
        </w:rPr>
      </w:pPr>
      <w:r>
        <w:rPr>
          <w:rFonts w:ascii="Times New Roman" w:cs="Times New Roman" w:eastAsia="Times New Roman" w:hAnsi="Times New Roman"/>
          <w:sz w:val="18"/>
          <w:szCs w:val="18"/>
          <w:color w:val="auto"/>
        </w:rPr>
        <w:t>commercialize setrusumab and alvelestat, whether on our own or through agreements with third parties, or experience significant delays in doing so, our ability to generate revenue and our financial condition will be adversely affected.</w:t>
      </w:r>
    </w:p>
    <w:p>
      <w:pPr>
        <w:spacing w:after="0" w:line="162" w:lineRule="exact"/>
        <w:rPr>
          <w:sz w:val="20"/>
          <w:szCs w:val="20"/>
          <w:color w:val="auto"/>
        </w:rPr>
      </w:pPr>
    </w:p>
    <w:p>
      <w:pPr>
        <w:ind w:left="383" w:hanging="383"/>
        <w:spacing w:after="0"/>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and ability to compete depends on retaining our key personnel and recruiting additional qualified personnel.</w:t>
      </w:r>
    </w:p>
    <w:p>
      <w:pPr>
        <w:spacing w:after="0" w:line="225" w:lineRule="exact"/>
        <w:rPr>
          <w:rFonts w:ascii="Times New Roman" w:cs="Times New Roman" w:eastAsia="Times New Roman" w:hAnsi="Times New Roman"/>
          <w:sz w:val="18"/>
          <w:szCs w:val="18"/>
          <w:color w:val="auto"/>
        </w:rPr>
      </w:pPr>
    </w:p>
    <w:p>
      <w:pPr>
        <w:jc w:val="both"/>
        <w:ind w:left="383" w:hanging="383"/>
        <w:spacing w:after="0" w:line="266"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175" w:lineRule="exact"/>
        <w:rPr>
          <w:rFonts w:ascii="Times New Roman" w:cs="Times New Roman" w:eastAsia="Times New Roman" w:hAnsi="Times New Roman"/>
          <w:sz w:val="18"/>
          <w:szCs w:val="18"/>
          <w:color w:val="auto"/>
        </w:rPr>
      </w:pPr>
    </w:p>
    <w:p>
      <w:pPr>
        <w:ind w:left="383" w:right="740" w:hanging="383"/>
        <w:spacing w:after="0" w:line="282"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61" w:lineRule="exact"/>
        <w:rPr>
          <w:rFonts w:ascii="Times New Roman" w:cs="Times New Roman" w:eastAsia="Times New Roman" w:hAnsi="Times New Roman"/>
          <w:sz w:val="18"/>
          <w:szCs w:val="18"/>
          <w:color w:val="auto"/>
        </w:rPr>
      </w:pPr>
    </w:p>
    <w:p>
      <w:pPr>
        <w:ind w:left="383" w:right="460" w:hanging="383"/>
        <w:spacing w:after="0" w:line="266"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authorities, such as the EMA and MHRA, are lengthy, time consuming and inherently unpredictable, and if we are ultimately unable to obtain regulatory approval for our product candidates, our business will be harmed substantially.</w:t>
      </w:r>
    </w:p>
    <w:p>
      <w:pPr>
        <w:spacing w:after="0" w:line="175" w:lineRule="exact"/>
        <w:rPr>
          <w:rFonts w:ascii="Times New Roman" w:cs="Times New Roman" w:eastAsia="Times New Roman" w:hAnsi="Times New Roman"/>
          <w:sz w:val="18"/>
          <w:szCs w:val="18"/>
          <w:color w:val="auto"/>
        </w:rPr>
      </w:pPr>
    </w:p>
    <w:p>
      <w:pPr>
        <w:ind w:left="383" w:right="60" w:hanging="383"/>
        <w:spacing w:after="0" w:line="282"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Enacted and future healthcare legislation may increase the difficulty and cost for us to obtain marketing approval of and commercialize our product candidates and may affect the prices we may set.</w:t>
      </w:r>
    </w:p>
    <w:p>
      <w:pPr>
        <w:spacing w:after="0" w:line="161" w:lineRule="exact"/>
        <w:rPr>
          <w:rFonts w:ascii="Times New Roman" w:cs="Times New Roman" w:eastAsia="Times New Roman" w:hAnsi="Times New Roman"/>
          <w:sz w:val="18"/>
          <w:szCs w:val="18"/>
          <w:color w:val="auto"/>
        </w:rPr>
      </w:pPr>
    </w:p>
    <w:p>
      <w:pPr>
        <w:ind w:left="383" w:right="260" w:hanging="383"/>
        <w:spacing w:after="0" w:line="282"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and rapidly changing industry, which may result in others acquiring, developing, or commercializing competing product candidates before or more successfully than we do.</w:t>
      </w:r>
    </w:p>
    <w:p>
      <w:pPr>
        <w:spacing w:after="0" w:line="161" w:lineRule="exact"/>
        <w:rPr>
          <w:rFonts w:ascii="Times New Roman" w:cs="Times New Roman" w:eastAsia="Times New Roman" w:hAnsi="Times New Roman"/>
          <w:sz w:val="18"/>
          <w:szCs w:val="18"/>
          <w:color w:val="auto"/>
        </w:rPr>
      </w:pPr>
    </w:p>
    <w:p>
      <w:pPr>
        <w:ind w:left="383" w:right="520" w:hanging="383"/>
        <w:spacing w:after="0" w:line="289" w:lineRule="auto"/>
        <w:tabs>
          <w:tab w:leader="none" w:pos="38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w:t>
      </w:r>
    </w:p>
    <w:p>
      <w:pPr>
        <w:spacing w:after="0" w:line="157" w:lineRule="exact"/>
        <w:rPr>
          <w:rFonts w:ascii="Times New Roman" w:cs="Times New Roman" w:eastAsia="Times New Roman" w:hAnsi="Times New Roman"/>
          <w:sz w:val="17"/>
          <w:szCs w:val="17"/>
          <w:color w:val="auto"/>
        </w:rPr>
      </w:pPr>
    </w:p>
    <w:p>
      <w:pPr>
        <w:ind w:left="383" w:hanging="383"/>
        <w:spacing w:after="0" w:line="261"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179" w:lineRule="exact"/>
        <w:rPr>
          <w:rFonts w:ascii="Times New Roman" w:cs="Times New Roman" w:eastAsia="Times New Roman" w:hAnsi="Times New Roman"/>
          <w:sz w:val="18"/>
          <w:szCs w:val="18"/>
          <w:color w:val="auto"/>
        </w:rPr>
      </w:pPr>
    </w:p>
    <w:p>
      <w:pPr>
        <w:ind w:left="383" w:right="280" w:hanging="383"/>
        <w:spacing w:after="0" w:line="282"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future product candidates may not gain market acceptance, in which case our ability to generate revenues from product sales will be compromised.</w:t>
      </w:r>
    </w:p>
    <w:p>
      <w:pPr>
        <w:spacing w:after="0" w:line="161" w:lineRule="exact"/>
        <w:rPr>
          <w:rFonts w:ascii="Times New Roman" w:cs="Times New Roman" w:eastAsia="Times New Roman" w:hAnsi="Times New Roman"/>
          <w:sz w:val="18"/>
          <w:szCs w:val="18"/>
          <w:color w:val="auto"/>
        </w:rPr>
      </w:pPr>
    </w:p>
    <w:p>
      <w:pPr>
        <w:ind w:left="383" w:right="160" w:hanging="383"/>
        <w:spacing w:after="0" w:line="261"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our partners to develop and commercialize our licensed or partnered product candidates. If our partners do not secure adequate funding or satisfy their obligations under our agreements with them, or if they terminate our licenses, partnerships or collaborations with them, we may not be able to develop or commercialize our licensed or partnered product candidates as planned.</w:t>
      </w:r>
    </w:p>
    <w:p>
      <w:pPr>
        <w:spacing w:after="0" w:line="179" w:lineRule="exact"/>
        <w:rPr>
          <w:rFonts w:ascii="Times New Roman" w:cs="Times New Roman" w:eastAsia="Times New Roman" w:hAnsi="Times New Roman"/>
          <w:sz w:val="18"/>
          <w:szCs w:val="18"/>
          <w:color w:val="auto"/>
        </w:rPr>
      </w:pPr>
    </w:p>
    <w:p>
      <w:pPr>
        <w:ind w:left="383" w:right="240" w:hanging="383"/>
        <w:spacing w:after="0" w:line="261"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179" w:lineRule="exact"/>
        <w:rPr>
          <w:rFonts w:ascii="Times New Roman" w:cs="Times New Roman" w:eastAsia="Times New Roman" w:hAnsi="Times New Roman"/>
          <w:sz w:val="18"/>
          <w:szCs w:val="18"/>
          <w:color w:val="auto"/>
        </w:rPr>
      </w:pPr>
    </w:p>
    <w:p>
      <w:pPr>
        <w:ind w:left="383" w:right="160" w:hanging="383"/>
        <w:spacing w:after="0" w:line="261"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179" w:lineRule="exact"/>
        <w:rPr>
          <w:rFonts w:ascii="Times New Roman" w:cs="Times New Roman" w:eastAsia="Times New Roman" w:hAnsi="Times New Roman"/>
          <w:sz w:val="18"/>
          <w:szCs w:val="18"/>
          <w:color w:val="auto"/>
        </w:rPr>
      </w:pPr>
    </w:p>
    <w:p>
      <w:pPr>
        <w:ind w:left="383" w:right="560" w:hanging="383"/>
        <w:spacing w:after="0" w:line="266"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175" w:lineRule="exact"/>
        <w:rPr>
          <w:rFonts w:ascii="Times New Roman" w:cs="Times New Roman" w:eastAsia="Times New Roman" w:hAnsi="Times New Roman"/>
          <w:sz w:val="18"/>
          <w:szCs w:val="18"/>
          <w:color w:val="auto"/>
        </w:rPr>
      </w:pPr>
    </w:p>
    <w:p>
      <w:pPr>
        <w:ind w:left="383" w:right="160" w:hanging="383"/>
        <w:spacing w:after="0" w:line="266"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175" w:lineRule="exact"/>
        <w:rPr>
          <w:rFonts w:ascii="Times New Roman" w:cs="Times New Roman" w:eastAsia="Times New Roman" w:hAnsi="Times New Roman"/>
          <w:sz w:val="18"/>
          <w:szCs w:val="18"/>
          <w:color w:val="auto"/>
        </w:rPr>
      </w:pPr>
    </w:p>
    <w:p>
      <w:pPr>
        <w:ind w:left="383" w:right="240" w:hanging="383"/>
        <w:spacing w:after="0" w:line="282"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may suffer, and proprietary information may be lost, in the event of information technology system failures, cyberattacks or deficiencies in our cybersecurity.</w:t>
      </w:r>
    </w:p>
    <w:p>
      <w:pPr>
        <w:spacing w:after="0" w:line="54"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201" w:right="359" w:bottom="1440" w:gutter="0" w:footer="0" w:header="0"/>
        </w:sectPr>
      </w:pPr>
    </w:p>
    <w:bookmarkStart w:id="6" w:name="page7"/>
    <w:bookmarkEnd w:id="6"/>
    <w:p>
      <w:pPr>
        <w:ind w:left="383" w:hanging="383"/>
        <w:spacing w:after="0" w:line="266" w:lineRule="auto"/>
        <w:tabs>
          <w:tab w:leader="none" w:pos="3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January 1, 2024 we were required to comply with the domestic reporting regime under the Exchange Act and will continue to incur significant legal, accounting and other expenses, and our management must devote substantial time to public company compliance initiatives and corporate governance matters.</w:t>
      </w:r>
    </w:p>
    <w:p>
      <w:pPr>
        <w:spacing w:after="0" w:line="175" w:lineRule="exact"/>
        <w:rPr>
          <w:rFonts w:ascii="Times New Roman" w:cs="Times New Roman" w:eastAsia="Times New Roman" w:hAnsi="Times New Roman"/>
          <w:sz w:val="18"/>
          <w:szCs w:val="18"/>
          <w:color w:val="auto"/>
        </w:rPr>
      </w:pPr>
    </w:p>
    <w:p>
      <w:pPr>
        <w:ind w:left="383" w:right="280" w:hanging="383"/>
        <w:spacing w:after="0" w:line="282" w:lineRule="auto"/>
        <w:tabs>
          <w:tab w:leader="none" w:pos="3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satisfy Nasdaq’s requirements for continued listing. If we cannot satisfy these requirements, Nasdaq could delist our ADSs which could have an adverse impact on the liquidity and market price of our ADSs.</w:t>
      </w:r>
    </w:p>
    <w:p>
      <w:pPr>
        <w:spacing w:after="0" w:line="161"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internal controls could have a material adverse effect on our business and stock price.</w:t>
      </w:r>
    </w:p>
    <w:p>
      <w:pPr>
        <w:spacing w:after="0" w:line="11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3"/>
          </w:cols>
          <w:pgMar w:left="1077" w:top="1201" w:right="399"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of innovative therapeutics for rare diseases. We have developed a portfolio of late-stage clinical product candidates. Our late-stage rare disease product candidates are setrusumab for the treatment of osteogenesis imperfecta (“OI”) and alvelestat for the treatment of severe alpha-1 antitrypsin deficiency-associated lung disease (“AATD-LD”). Setrusumab has received orphan designation for OI from the European Commission (“EC”) and the FDA, PRIME designation from the EMA and has Breakthrough Therapy designation and rare pediatric disease designation from the FDA. Alvelestat has received orphan designation for AATD from the EC and the FDA, and Fast Track designation for the treatment of AATD-LD from the FDA. We also have an early-stage rare disease program, vantictumab, for the treatment of a second bone disease, autosomal dominant osteopetrosis Type 2 (“ADO2”). The global development of vantictumab is being funded and led by our partner, āshibio, and we retain the European commercial rights.</w:t>
      </w:r>
    </w:p>
    <w:p>
      <w:pPr>
        <w:spacing w:after="0" w:line="19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all of our clinical-stage product candidates of which three were in rare diseases. We have successfully completed large, randomized Phase 2 clinical trials for four of our product candidates and the Phase 1b portion of a Phase 1b/2 for a fifth product candidate, and we and our partner Ultragenyx recently announced the results from two Phase 3 studies for our lead program setrusumab in OI.</w:t>
      </w:r>
    </w:p>
    <w:p>
      <w:pPr>
        <w:spacing w:after="0" w:line="19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We intend to become a leading biopharmaceutical company developing innovative therapeutics that aim to improve outcomes for patients with rare diseases. The key elements of our strategy to achieve this goal include:</w:t>
      </w:r>
    </w:p>
    <w:p>
      <w:pPr>
        <w:spacing w:after="0" w:line="171" w:lineRule="exact"/>
        <w:rPr>
          <w:sz w:val="20"/>
          <w:szCs w:val="20"/>
          <w:color w:val="auto"/>
        </w:rPr>
      </w:pPr>
    </w:p>
    <w:p>
      <w:pPr>
        <w:ind w:left="1020" w:hanging="503"/>
        <w:spacing w:after="0" w:line="253"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develop and potentially commercialize our rare disease product candidates. </w:t>
      </w:r>
      <w:r>
        <w:rPr>
          <w:rFonts w:ascii="Times New Roman" w:cs="Times New Roman" w:eastAsia="Times New Roman" w:hAnsi="Times New Roman"/>
          <w:sz w:val="18"/>
          <w:szCs w:val="18"/>
          <w:color w:val="auto"/>
        </w:rPr>
        <w:t>Our late-stage rare disease product candidates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setrusumab and alvelestat have been acquired or in-licensed from pharmaceutical companies following strategic de-prioritization. Prior to this they have received significant investment in preclinical, toxicology, clinical studies and CMC. We have built expertise in the areas of patient identification, clinical study design and regulatory strategy. This combination of prior investment and our expertise has allowed us to rapidly develop our two late-stage rare disease product candidates. For example, setrusumab has completed a Phase 2 in adult OI patients and we and our partner Ultragenyx recently reported data from two Phase 3 studies in pediatric and young adult OI patients, and alvelestat has completed two Phase 2 studies and is ready to progress into Phase 3. We may seek to partner our rare disease product candidates for further development where it makes strategic sense to do so, including potentially seeking partnerships on a regional basis. However, as commercialization of rare disease products can be achieved using a highly specialized and focused infrastructure, we may seek to commercialize our rare disease product candidates, once approved, in select markets. For example, as part of our partnership with Ultragenyx, we have the retained the commercial rights to setrusumab in Europe and the U.K., and we have out-licensed our early-stage rare disease product candidate vantictumab to āshibio, while retaining rights to commercialize in Europe and the U.K.</w:t>
      </w:r>
    </w:p>
    <w:p>
      <w:pPr>
        <w:spacing w:after="0" w:line="81"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be a partner of choice for pharmaceutical and biotechnology companies. </w:t>
      </w:r>
      <w:r>
        <w:rPr>
          <w:rFonts w:ascii="Times New Roman" w:cs="Times New Roman" w:eastAsia="Times New Roman" w:hAnsi="Times New Roman"/>
          <w:sz w:val="18"/>
          <w:szCs w:val="18"/>
          <w:color w:val="auto"/>
        </w:rPr>
        <w:t>We believe that we are a preferred partner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AG ("Novartis") and AstraZeneca AB ("AstraZeneca"), as well as our partnership with Ultragenyx, and a track record of structuring transactions that enable us to leverage our core capabilities while creating value for all stakeholders. We intend to continue to enter into strategic relationships that align our interests with those of pharmaceutical and biotechnology companies and that we believe to be mutually beneficial.</w:t>
      </w:r>
    </w:p>
    <w:p>
      <w:pPr>
        <w:spacing w:after="0" w:line="74" w:lineRule="exact"/>
        <w:rPr>
          <w:rFonts w:ascii="Times New Roman" w:cs="Times New Roman" w:eastAsia="Times New Roman" w:hAnsi="Times New Roman"/>
          <w:sz w:val="18"/>
          <w:szCs w:val="18"/>
          <w:color w:val="auto"/>
        </w:rPr>
      </w:pPr>
    </w:p>
    <w:p>
      <w:pPr>
        <w:ind w:left="1020" w:right="160" w:hanging="503"/>
        <w:spacing w:after="0" w:line="26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expertise in business development. </w:t>
      </w:r>
      <w:r>
        <w:rPr>
          <w:rFonts w:ascii="Times New Roman" w:cs="Times New Roman" w:eastAsia="Times New Roman" w:hAnsi="Times New Roman"/>
          <w:sz w:val="18"/>
          <w:szCs w:val="18"/>
          <w:color w:val="auto"/>
        </w:rPr>
        <w:t>Our senior management team has extensive relationships with large pharmaceutical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companies. These relationships are important to us as we seek to form strategic partnerships on our product candidates, such as our partnership with Ultragenyx, and to grow our pipeline of product candidates in rare diseases.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 w:name="page9"/>
    <w:bookmarkEnd w:id="8"/>
    <w:p>
      <w:pPr>
        <w:ind w:left="1020" w:right="20" w:hanging="503"/>
        <w:spacing w:after="0" w:line="275"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Explore out-licensing or sale opportunities with third parties for further clinical development and/or commercialization of our non-core and non-rare disease programs. </w:t>
      </w:r>
      <w:r>
        <w:rPr>
          <w:rFonts w:ascii="Times New Roman" w:cs="Times New Roman" w:eastAsia="Times New Roman" w:hAnsi="Times New Roman"/>
          <w:sz w:val="17"/>
          <w:szCs w:val="17"/>
          <w:color w:val="auto"/>
        </w:rPr>
        <w:t>In March 2018, we reported top-line Phase 2b data for leflutrozole for the treatment of HH and in December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2018, we reported positive results from the safety extension study for leflutrozole. In December 2023, leflutrozole was partnered on a global basis with ReproNovo SA ("ReproNovo") and ReproNovo has commenced a Phase 2 clinical trial for leflutrozole for the treatment of infertility in men with low serum testosterone. Navicixizumab, for the treatment of late line ovarian cancer has completed a Phase 1 study and was partnered on a global basis with Feng Biosciences in January 2020. Etigilimab and acumapimod remain available for partnering.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pipeline for our core product candidates. We have global commercial rights to alvelestat, commercial rights to setrusumab in Europe and the U.K., and commercial rights to vantictumab in Europe and the U.K. We granted exclusive licenses to Ultragenyx to develop and commercialize setrusumab and to āshibio to develop and commercialize vantictumab outside our territories in the U.S. and rest of the world. In addition, we have licensed global rights for leflutrozole to ReproNovo and for navicixizumab to Feng Biosciences. We have global rights to etigilimab and acumapimod, which both remain available for partnering.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-8255</wp:posOffset>
            </wp:positionV>
            <wp:extent cx="5374640" cy="3025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7464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Rare Disease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Setrusumab (BPS-804/UX143) for the Treatment of Osteogenesis Imperfecta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collaboration with Ultragenyx, we are developing setrusumab for the treatment of OI, a rare genetic disease, which is caused by variants in the COL1A1 or COL1A2 genes, which results in bones that can break easily and is commonly known as brittle bone disease. Setrusumab is a novel, intravenously administered antibody that is designed to inhibit sclerostin, a protein that inhibits the activity of bone-forming cells, known as osteoblasts. We believe that by blocking sclerostin, setrusumab has the potential to induce or increase osteoblast function and maturation of these cells, and to inhibit bone-resorption through osteoclasts, increasing overall bone mass and thereby reducing fractures in OI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of Osteogenesis Imperfecta</w:t>
      </w:r>
    </w:p>
    <w:p>
      <w:pPr>
        <w:spacing w:after="0" w:line="229"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right="480"/>
        <w:spacing w:after="0" w:line="282" w:lineRule="auto"/>
        <w:rPr>
          <w:sz w:val="20"/>
          <w:szCs w:val="20"/>
          <w:color w:val="auto"/>
        </w:rPr>
      </w:pPr>
      <w:r>
        <w:rPr>
          <w:rFonts w:ascii="Times New Roman" w:cs="Times New Roman" w:eastAsia="Times New Roman" w:hAnsi="Times New Roman"/>
          <w:sz w:val="18"/>
          <w:szCs w:val="18"/>
          <w:color w:val="auto"/>
        </w:rPr>
        <w:t>problems and short stature. The disease can be extremely debilitating and even fatal in newborn infants with a severe form of the disease. OI is a rare condition that affects an estimated 60,000 people in the U.S. and Europe, according to estimates by Orphanet.</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There are many different recognized forms of OI, but the Type I, II, III and IV are estimated to represent approximately 80% to 90% of the total population. Type I is cited to be the least severe, although patients can still have many fractures and other physical manifestations of the disease, while Type II is the most severe and frequently causes death at or shortly after birth. Type I is the most prevalent and estimated to occur in approximately 50% to 60% of OI patients. Type III and Type IV patients may be wheelchair bound and typically have many fractures through their lifetime. Type III and Type IV patients may also have short stature, scoliosis and hearing loss by the time they are young adults. OI is typically diagnosed at birth with most patients being born with a blue or gray tint to the sclera, the part of the eye that is usually white.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Landscape for Osteogenesis Imperfecta</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There are no therapies approved by the FDA, EMA or MHRA for the treatment of OI, except for neridronate which is approved for the treatment of OI in Italy. The only treatments available to OI patients are the acute management of fractures as they occur and drugs such as bisphosphonates which are typically used to treat osteoporosis and are not approved for OI but are commonly used off-label in both children and adults. Bisphosphonates reduce the rate of bone resorption by inhibiting osteoclastic activity. These anti-resorptives include Aredia (pamidronate), Fosamax (alendronate), Reclast (zoledronic acid) and neridronate (which is approved for the treatment of OI in Italy). Bisphosphonates have not consistently been shown to reduce fractures in pediatric or adult OI patients and the effect of long-term therapy with these drugs remains unclear in both children and adults.</w:t>
      </w:r>
    </w:p>
    <w:p>
      <w:pPr>
        <w:spacing w:after="0" w:line="18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Current treatment of OI is directed towards management of fractures with casting or surgical fixation. Following either of these, physical therapy will often be required. Preventative surgeries, such as intramedullary, or in-bone, rodding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w:t>
      </w:r>
    </w:p>
    <w:p>
      <w:pPr>
        <w:spacing w:after="0" w:line="22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Setrusumab, our product candidate for the treatment of OI, is specifically designed to inhibit sclerostin. Sclerostin is produced in osteocytes, which are mature bone cells that are thought to be the mechanoreceptor cells that regulate the activity of bone-building osteoblasts and bone-resorbing osteoclasts. Sclerostin inhibits the activity of osteoblasts. We believe that by blocking sclerostin, setrusumab has the potential to induce or increase osteoblast activity and maturation of these cells, increasing overall bone mass, and thereby reducing fractures in OI patients.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2016, we obtained orphan drug designation in OI for setrusumab in the U.S. and the EU and, in November 2017, the program was accepted into the PRIority MEdicinePriority Medicines scheme (“PRIME”) of the EMA. In September 2020 we received rare pediatric disease designation for setrusumab in OI from the FDA. In October 2024 our partner, Ultragenyx, received Breakthrough Therapy designation from the FDA. See “—Government Regulation—Foreign Government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Setrusumab</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Prior to our acquisition of setrusumab, Novartis conducted four clinical trials in 106 patients and healthy volunteers. In 2019 we completed a Phase 2b dose-finding study (ASTEROID) study of setrusumab in 112 adult patients with Type I, III and IV OI. Following the 12-month dosing part of the trial, patients were followed for a further twelve months to examine the off-effects of setrusumab. The results of this Phase 2b trial supported the progression of setrusumab into a pivotal study in OI. Setrusumab was safe and well-tolerated in the study. There were no cardiac-related safety concerns observed in the study.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Top-line Data from Setrusumab Phase 2 Portion of Phase 2/3 Orbit Study</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June 2023, we along with our partner, Ultragenyx, announced successful completion of the Phase 2 portion of the pivotal Phase 2/3 Orbit study in 24 pediatric and young adult patients (5 to &lt;26 years old) for setrusumab in OI, which compared two different doses of setrusumab, 20 and 40 mg/kg, to determine the optimal dose for the Phase 3. The primary endpoint of the Phase 2 study was circulating levels of P1NP, a biomarker reflective of bone formation. The study also evaluated numerous other endpoints, including bone mineral density (“BMD”) and annualized fracture rates, PK and safety. Across all patients evaluated at both doses, these data showed statistically significant increases in levels of serum P1NP, a sensitive marker of bone formation, and substantial and significant improvement in BMD by three months. An increase in lumbar spine BMD from baseline of 9.4% at 20 mg/kg (n=10) was observed, with a substantial mean change in the Z-score of +0.65 from -2.12 (n=11) at baseline. There was no significant difference between the two doses tested, accordingly, the 20 mg/kg was selected as the Phase 3 dose. The changes observed in BMD in these younger patients at three months are equivalent to the changes following 12 months treatment with setrusumab in adult patients reported from the Phase 2b ASTEROID study. The 24 patients from the Phase 2 portion of the Orbit study are continuing to receive setrusumab treatment in an open-label extension study.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 w:name="page11"/>
    <w:bookmarkEnd w:id="10"/>
    <w:p>
      <w:pPr>
        <w:ind w:firstLine="749"/>
        <w:spacing w:after="0" w:line="254" w:lineRule="auto"/>
        <w:rPr>
          <w:sz w:val="20"/>
          <w:szCs w:val="20"/>
          <w:color w:val="auto"/>
        </w:rPr>
      </w:pPr>
      <w:r>
        <w:rPr>
          <w:rFonts w:ascii="Times New Roman" w:cs="Times New Roman" w:eastAsia="Times New Roman" w:hAnsi="Times New Roman"/>
          <w:sz w:val="18"/>
          <w:szCs w:val="18"/>
          <w:color w:val="auto"/>
        </w:rPr>
        <w:t>Additional data from the Phase 2 portion of the Phase 2/3 Orbit study were reported at the annual ASBMR meeting in October 2023 and demonstrated that treatment with setrusumab significantly reduced incidence of fractures in patients with OI with at least six months of follow-up and continued to demonstrate ongoing and meaningful improvements in lumbar spine BMD. As of the cut-off date and following at least six months of treatment with setrusumab, the annualized fracture rate across all 24 patients in the Phase 2 portion of the study was reduced by 67%. The median annualized fracture rate of 0.72 in the two years prior to treatment was reduced to 0.00 (n=24, p=0.042) during the mean treatment duration period of nine months. These fractures excluded fractures of the fingers, toes, skull and face consistent with the Phase 3 study design. Following initiation of treatment with setrusumab, 20 patients experienced no radiographic-confirmed fractures, and four patients experienced seven radiographic-confirmed fractures in five separate events. Two of these fractures occurred within the first two months of treatment, a time in which setrusumab-induced increases in BMD may have been suboptimal in reducing fractures.</w:t>
      </w:r>
    </w:p>
    <w:p>
      <w:pPr>
        <w:spacing w:after="0" w:line="188"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At the six-month timepoint, treatment with setrusumab resulted in a mean increase in lumbar spine BMD from baseline of 13% at 20 mg/kg (n=11) and 16% at 40 mg/kg (n=8), which represented the same substantial mean improvement in Z-score of +0.85 for both dose groups at six months compared to a combined mean baseline Z-score of –1.68. The small apparent difference in BMD change from baseline is likely related to differences in patients assigned to the two treated groups. There was no statistically significant difference in BMD percent change or Z-score change from baseline between the 20 and 40 mg/kg dosing cohorts. As of the data cut-off for our October 2023 announcement, there were no treatment-related serious adverse events observed in the study.</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data reported in June 2024, the large reduction in annualized radiologically confirmed fracture rate previously reported in patients treated for a minimum of six months was sustained in patients treated for at least 14 months with a high degree of statistical significance. The median annualized rate of radiologically confirmed fractures across all 24 patients in the two years prior to treatment was 0.72. Following a mean treatment duration period of 16 months, the median annualized fracture rate was reduced to 0.00 (p=0.0014; n=24), reflecting a 67% reduction relative to the pre-treatment period. Patients enrolled in the Phase 2 portion of the Orbit study are continuing to receive setrusumab treatment at 20 mg/kg in an open label extension study.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Orbit and Cosmic Studies</w:t>
      </w:r>
    </w:p>
    <w:p>
      <w:pPr>
        <w:spacing w:after="0" w:line="227"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The Phase 3 portion of the Orbit study completed enrollment in April 2024 of 158 patients (aged 5 - &lt;26 years old) at 45 sites across 11 countries. Patients were randomized 2:1 to receive setrusumab (20 mg/kg) or placebo, respectively, with a primary efficacy endpoint of a reduction in annualized clinical fracture rate, excluding fingers, toes, skull and face.</w:t>
      </w:r>
    </w:p>
    <w:p>
      <w:pPr>
        <w:spacing w:after="0" w:line="176"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A second study, Cosmic, a Phase 3 open-label study in younger children (aged 2 - &lt; 7 years old) completed enrollment in April 2024 of 66 patients at 21 sites across seven countries. The Cosmic study is an active-controlled study evaluating the effect of setrusumab compared to intravenous bisphosphonates (IV-BP) therapy (randomized 1:1) on annualized total fracture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Top-line Data from Setrusumab Phase 3 Orbit and Cosmic Studies</w:t>
      </w:r>
    </w:p>
    <w:p>
      <w:pPr>
        <w:spacing w:after="0" w:line="22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December 29, 2025, we announced the results from the Phase 3 Orbit and Cosmic studies evaluating setrusumab in pediatric and young adult patients with OI. Neither study achieved statistical significance against the primary endpoints of reduction in annualized clinical fracture rate compared to placebo or bisphosphonates, respectively. Both studies achieved their secondary endpoints of improvements in BMD against comparators (placebo and bisphosphonates) with strong statistical significance. There was no change in the safety profile observed.</w:t>
      </w:r>
    </w:p>
    <w:p>
      <w:pPr>
        <w:spacing w:after="0" w:line="11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 the Orbit study, participants experienced statistically significant and substantial improvements in BMD compared to placebo, at levels consistent with the treatment effect observed in Phase 2 studies. These BMD changes were not accompanied by a corresponding reduction in annualized fracture rates and there was a low fracture rate in the placebo group.</w:t>
      </w:r>
    </w:p>
    <w:p>
      <w:pPr>
        <w:spacing w:after="0" w:line="9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the pediatric Cosmic study, patients had a substantially higher baseline fracture rate compared to the patients enrolled in Orbit. In this younger patient population, meaningful improvements in BMD were associated with a reduction in annualized fracture rate for setrusumab treated patients over bisphosphonates treated patients, though the reduction did not meet statistical significance.</w:t>
      </w:r>
    </w:p>
    <w:p>
      <w:pPr>
        <w:spacing w:after="0" w:line="108"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Following the top-line data release, additional analyses from both studies indicate that in pediatrics and teens, setrusumab results in a reduction in vertebral fractures, and has a positive impact on pain and mobility/sports activity. The data continue to be analyzed and once completed, we expect to determine the next steps, including potential regulatory interactions.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Alvelestat (MPH-966) for the Treatment of Severe Alpha-1 Antitrypsin Deficiency-Associated Lung Disease (AATD-LD)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right="460" w:firstLine="749"/>
        <w:spacing w:after="0" w:line="266" w:lineRule="auto"/>
        <w:rPr>
          <w:sz w:val="20"/>
          <w:szCs w:val="20"/>
          <w:color w:val="auto"/>
        </w:rPr>
      </w:pPr>
      <w:r>
        <w:rPr>
          <w:rFonts w:ascii="Times New Roman" w:cs="Times New Roman" w:eastAsia="Times New Roman" w:hAnsi="Times New Roman"/>
          <w:sz w:val="18"/>
          <w:szCs w:val="18"/>
          <w:color w:val="auto"/>
        </w:rPr>
        <w:t>We are developing alvelestat for the treatment of severe AATD-LD. AATD-LD is a potentially life-threatening rare, genetic condition that results in severe debilitating diseases, including early-onset pulmonary emphysema. Alvelestat is a novel, oral small molecule designed to inhibit NE. Scientific data indicate that the increased risk of lung tissue injury in patients with AATD-LD may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right="320"/>
        <w:spacing w:after="0" w:line="282" w:lineRule="auto"/>
        <w:rPr>
          <w:sz w:val="20"/>
          <w:szCs w:val="20"/>
          <w:color w:val="auto"/>
        </w:rPr>
      </w:pPr>
      <w:r>
        <w:rPr>
          <w:rFonts w:ascii="Times New Roman" w:cs="Times New Roman" w:eastAsia="Times New Roman" w:hAnsi="Times New Roman"/>
          <w:sz w:val="18"/>
          <w:szCs w:val="18"/>
          <w:color w:val="auto"/>
        </w:rPr>
        <w:t>be due to inadequately controlled NE caused by insufficient alpha-1 antitrypsin (AAT). We believe that by inhibiting NE, alvelestat has the potential to reduce the destruction of lung tissue and stabilize clinical deterioration in patients with severe AATD-LD patients.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of Alpha-1-Antitrypsin Deficiency</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AATD is a genetic disease. There are estimated to be 50,000 people in North America and 60,000 in Europe with severe AATD, which we define as AATD in patients with serum AAT levels &lt;11mM, (most commonly either a PiZZ genotype or Null/Null genotype) although there are approximately only 10,000 people diagnosed in North America. The major function of AAT in the lungs is to protect the connective tissue from NE released from triggered neutrophils. The lungs are normally defended from NE attack by AAT, which is a highly effective inhibitor of NE. People with severe AATD produce ineffective or no AAT and are, therefore, unable to defend against NE attack. As a result, individuals with severe AATD commonly experience degeneration of lung function, such as early-onset pulmonary emphysema, which significantly affects quality of life and life expectancy. They may require oxygen therapy in order to continue their daily lives and the most severe patients may require lung transplantation.</w:t>
      </w:r>
    </w:p>
    <w:p>
      <w:pPr>
        <w:spacing w:after="0" w:line="18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Patients with the PiZZ genotype experience loss of lung tissue as measured by lung density on computed tomographic (CT) scanning, a decline in FEV1, a standard measure of exhalation, acute exacerbations of respiratory disease and poor quality of life. Respiratory disease can progress to need for chronic oxygen therapy, lung transplant and death. The annual mortality rate in this genotype is estimated to be 4%. Given that individuals with the Null/Null genotype do not produce any AAT, we believe that they are likely to experience an even greater annual decline in lung function.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Landscape for Alpha-1 Antitrypsin Deficiency-Associated Lung Disease</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AATD-LD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180" w:lineRule="exact"/>
        <w:rPr>
          <w:sz w:val="20"/>
          <w:szCs w:val="20"/>
          <w:color w:val="auto"/>
        </w:rPr>
      </w:pPr>
    </w:p>
    <w:p>
      <w:pPr>
        <w:ind w:right="200" w:firstLine="749"/>
        <w:spacing w:after="0" w:line="245" w:lineRule="auto"/>
        <w:rPr>
          <w:sz w:val="20"/>
          <w:szCs w:val="20"/>
          <w:color w:val="auto"/>
        </w:rPr>
      </w:pPr>
      <w:r>
        <w:rPr>
          <w:rFonts w:ascii="Times New Roman" w:cs="Times New Roman" w:eastAsia="Times New Roman" w:hAnsi="Times New Roman"/>
          <w:sz w:val="18"/>
          <w:szCs w:val="18"/>
          <w:color w:val="auto"/>
        </w:rPr>
        <w:t>Augmentation therapy is available for AATD-LD, using a partially purified plasma preparation highly enriched for AAT that is administered weekly by intravenous infusion. This therapy was first approved by the FDA in the 1980s based on its biochemical efficacy, meaning its ability to raise blood levels of AAT, but not based on clinical outcome data. Several observational studies have suggested that AAT augmentation therapy may slow the rate of decline in lung function in a subgroup of AATD-LD patients with moderate-to-severe airflow obstruction, but not for those with earlier stages of lung disease. In a randomized, controlled trial of augmentation therapy, patients had some reduction in the progression of emphysema, as assessed by measuring lung density using computed tomography. The study did not show a slowing in the decline in FEV</w:t>
      </w:r>
      <w:r>
        <w:rPr>
          <w:rFonts w:ascii="Times New Roman" w:cs="Times New Roman" w:eastAsia="Times New Roman" w:hAnsi="Times New Roman"/>
          <w:sz w:val="24"/>
          <w:szCs w:val="24"/>
          <w:color w:val="auto"/>
          <w:vertAlign w:val="subscript"/>
        </w:rPr>
        <w:t>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We believe that current therapies for AATD-LD are inadequate. Surgical options are limited to a few patients, are highly invasive, have variable results, and do not address the underlying pathology of AATD-LD. AAT augmentation therapy, while FDA approved, was not approved on the basis of clinical outcome data. Benefit has not been demonstrated in patients with earlier stages of lung disease where there is an unmet need to reduce progression of irreversible lung tissue loss. In Europe, regulatory approval was on efficacy based on slowing of CT density decline, without effects on other measures such as FEV</w:t>
      </w:r>
      <w:r>
        <w:rPr>
          <w:rFonts w:ascii="Times New Roman" w:cs="Times New Roman" w:eastAsia="Times New Roman" w:hAnsi="Times New Roman"/>
          <w:sz w:val="24"/>
          <w:szCs w:val="24"/>
          <w:color w:val="auto"/>
          <w:vertAlign w:val="subscript"/>
        </w:rPr>
        <w:t>1</w:t>
      </w:r>
      <w:r>
        <w:rPr>
          <w:rFonts w:ascii="Times New Roman" w:cs="Times New Roman" w:eastAsia="Times New Roman" w:hAnsi="Times New Roman"/>
          <w:sz w:val="18"/>
          <w:szCs w:val="18"/>
          <w:color w:val="auto"/>
        </w:rPr>
        <w:t xml:space="preserve"> or patient-reported outcomes. Further, AAT augmentation therapy is not universally reimbursed and thus is not currently available to patients in several jurisdictions, including some key European markets. In addition, AAT augmentation therapy requires potentially inconvenient weekly intravenous infusions.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product candidate for treating severe AATD-LD is alvelestat, a potent, specific oral small molecule that is designed to inhibit NE. We believe that by inhibiting NE, alvelestat has the potential to reduce the enzymatic destruction of lung tissue. Furthermore, we believe that convenient oral dosing of alvelestat could provide a significant advantage compared to the current treatments for AATD of weekly intravenous AAT augmentation therapy. Alvelestat is not being investigated for treatment of the hepatic disease which is due to the damaging effect of accumulated abnormal ZZ protein in the liver, rather than the protein deficiency. Severe liver disease occurs in approximately 10% cases of severe AATD, predominantly in children.</w:t>
      </w:r>
    </w:p>
    <w:p>
      <w:pPr>
        <w:spacing w:after="0" w:line="183"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Alvelestat has received orphan designation for AATD from the EC and the FDA, and Fast Track designation for the treatment of AATD-LD from the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Alvelestat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2" w:name="page13"/>
    <w:bookmarkEnd w:id="12"/>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Prior to our license of alvelestat, AstraZeneca conducted 12 clinical trials involving 1,776 subjects, including trials in COPD, bronchiectasis and cystic fibrosis. Although these trials were conducted in diseases other than AATD-LD, we believe the data demonstrated potential clinical benefit and biomarker evidence of treatment effect for AATD-LD patients. These trials created a safety database of 1,149 subjects treated with alvelestat.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 Clinical Trials in AATD-LD</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May 2022, we successfully completed a Phase 2, placebo-controlled, 12-week, dose-ranging, proof-of-concept clinical trial (ASTRAEUS) in 99 patients with AATD-LD in the U.S. and the EU which demonstrated statistically significant changes in NE activity and biomarkers of disease severity at different time points up to 12 weeks. We enrolled only adult patients with PiZZ or Null/Null genotypes or rare genotypes with severe deficiency of alpha-1 antitrypsin (&lt;11 microMolar) with confirmed emphysema, who had not received AAT augmentation therapy or had undergone a wash-out period following AAT augmentation therapy. The study examined two doses of alvelestat (120 mg and 240 mg) compared to placebo with three primary endpoints along the pathogenic pathway of lung disease in AATD-LD patients. These primary endpoints were plasma desmosine (a biomarker of protease-driven elastin breakdown), Aα-Val360, a specific biomarker of NE proteolytic activity, and NE activity in blood. Secondary endpoints were safety, exacerbation frequency, and pharmacokinetics. Exploratory endpoints were St. Georges Respiratory Questionnaire (SGRQ) which is a patient-reported outcome of Respiratory Health Status and lung function tests, including FEV1.</w:t>
      </w:r>
    </w:p>
    <w:p>
      <w:pPr>
        <w:spacing w:after="0" w:line="188" w:lineRule="exact"/>
        <w:rPr>
          <w:sz w:val="20"/>
          <w:szCs w:val="20"/>
          <w:color w:val="auto"/>
        </w:rPr>
      </w:pPr>
    </w:p>
    <w:p>
      <w:pPr>
        <w:ind w:right="200" w:firstLine="749"/>
        <w:spacing w:after="0" w:line="312" w:lineRule="auto"/>
        <w:rPr>
          <w:sz w:val="20"/>
          <w:szCs w:val="20"/>
          <w:color w:val="auto"/>
        </w:rPr>
      </w:pPr>
      <w:r>
        <w:rPr>
          <w:rFonts w:ascii="Times New Roman" w:cs="Times New Roman" w:eastAsia="Times New Roman" w:hAnsi="Times New Roman"/>
          <w:sz w:val="17"/>
          <w:szCs w:val="17"/>
          <w:color w:val="auto"/>
        </w:rPr>
        <w:t>We subsequently announced additional Phase 2 data from this study in October 2022 demonstrating the association of biomarker responders in alvelestat-treated patients to improvement in the Activity domain of the St George’s Respiratory Questionnaire, but not in patients treated with placebo.</w:t>
      </w:r>
    </w:p>
    <w:p>
      <w:pPr>
        <w:spacing w:after="0" w:line="140" w:lineRule="exact"/>
        <w:rPr>
          <w:sz w:val="20"/>
          <w:szCs w:val="20"/>
          <w:color w:val="auto"/>
        </w:rPr>
      </w:pPr>
    </w:p>
    <w:p>
      <w:pPr>
        <w:ind w:right="60" w:firstLine="749"/>
        <w:spacing w:after="0" w:line="274" w:lineRule="auto"/>
        <w:rPr>
          <w:sz w:val="20"/>
          <w:szCs w:val="20"/>
          <w:color w:val="auto"/>
        </w:rPr>
      </w:pPr>
      <w:r>
        <w:rPr>
          <w:rFonts w:ascii="Times New Roman" w:cs="Times New Roman" w:eastAsia="Times New Roman" w:hAnsi="Times New Roman"/>
          <w:sz w:val="17"/>
          <w:szCs w:val="17"/>
          <w:color w:val="auto"/>
        </w:rPr>
        <w:t>No new safety signals were detected in patients with AATD-LD compared to the previous studies conducted by AstraZeneca. The most frequent adverse event was headache which was more frequently observed at the higher doses of alvelestat (120 mg and 240 mg) used in AATD-LD than at the lower doses used in previous studies in COPD, bronchiectasis and cystic fibrosis. There was evidence of tolerance to headache being induced, and we intend to use a dose-escalation regime for initiation of treatment in future trials. Monitoring for Adverse Events of Special Interest (AESIs) documented a single treatment-emergent adverse event (TEAE) of liver function abnormality (raised hepatic transaminases, without meeting Hy’s Law) and one AESI of prolonged QTc, in which study-drug stopping criteria being met were reported in the ASTRAEUS trial. Both events fully resolved on study drug cessation.</w:t>
      </w:r>
    </w:p>
    <w:p>
      <w:pPr>
        <w:spacing w:after="0" w:line="173"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color w:val="auto"/>
        </w:rPr>
        <w:t>In October 2023, the University of Alabama at Birmingham (UAB) and Mereo reported on the ATALANTa study, a multi-center, double-blind, placebo-controlled, proof-of-concept investigator-led study run by Professor Mark Dransfield, Director of the Division of Pulmonary, Allergy and Critical Care, UAB, in collaboration with Mereo. ATALANTa investigated the safety and efficacy of alvelestat 120 mg, or matched placebo, twice daily, for 12 weeks in a broad range of individuals with AATD-LD, including those with less severe phenotypes (Pi*SZ) and earlier stage patients than were enrolled in the Company-sponsored ASTRAEUS Phase 2 study, and those receiving augmentation therapy. The study randomized 63 patients, 32 in the 120 mg alvelestat arm (44% on augmentation therapy) and 31 in the placebo arm (48% on augmentation therapy). The results demonstrated with the 120 mg dose of alvelestat (the lower dose used in the Phase 2 ASTRAEUS study) are consistent with those observed in ASTRAEUS on blood NE activity and changes in the disease-activity biomarkers, desmosine and Aα-val360. The data demonstrate that the 120 mg dose of alvelestat appears generally safe on top of augmentation. The greater biomarker efficacy supports Mereo’s selection of the 240 mg dose to be studied in the planned Phase 3 pivotal trial. Exploratory endpoints in ATALANTa demonstrated statistically significant improvement in SGRQ Activity score (p=0.0106 versus placebo) and a trend to improvement in SGRQ Total score at 12 weeks in patients not receiving augmentation therapy and having earlier stage lung disease (based on their FEV</w:t>
      </w:r>
      <w:r>
        <w:rPr>
          <w:rFonts w:ascii="Times New Roman" w:cs="Times New Roman" w:eastAsia="Times New Roman" w:hAnsi="Times New Roman"/>
          <w:sz w:val="24"/>
          <w:szCs w:val="24"/>
          <w:color w:val="auto"/>
          <w:vertAlign w:val="subscript"/>
        </w:rPr>
        <w:t>1</w:t>
      </w:r>
      <w:r>
        <w:rPr>
          <w:rFonts w:ascii="Times New Roman" w:cs="Times New Roman" w:eastAsia="Times New Roman" w:hAnsi="Times New Roman"/>
          <w:sz w:val="18"/>
          <w:szCs w:val="18"/>
          <w:color w:val="auto"/>
        </w:rPr>
        <w:t>). The ATALANTa and ASTRAEUS data support the use of the SGRQ Total score in the planned Phase 3 pivotal trial and inclusion of patients with earlier stages of lung disease. Safety in ATALANTa was consistent with the known alvelestat profile and there were no liver or QTc AESIs documented.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Planned Phase 3 Clinical Trial in AATD-LD</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March 2023, we announced the outcome of the end-of-Phase 2 discussions with the FDA and the EMA (Scientific Advice) and the guidance on the Phase 3 endpoints received from both Regulatory Agencies. In the EU, the Company received guidance that lung density by computed tomography (CT) scan with a relaxed p value (p&lt;0.1) may be sufficient for full regulatory approval. In the U.S., following additional FDA interactions in the second half of 2023, the Company has aligned on St George’s Respiratory questionnaire (SGRQ) total score as the primary endpoint, with a functional assessment as a key secondary endpoint, which, if successful, is expected to support submissions for full regulatory approval in the U.S. Inclusion of patients with earlier and later stage lung disease progression in the planned registrational study could increase the addressable patient population for alvelestat. Based on the guidance from the FDA and the EMA, the Company has designed a single, global, Phase 3 study evaluating the 240 mg dose of alvelestat versus placebo in approximately 220 patients with AATD-LD with two independent primary endpoints to support applications for full marketing approvals in both the U.S. and EU. Qualitative research to test that the SGRQ is fit for purpose in the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right="280"/>
        <w:spacing w:after="0" w:line="282" w:lineRule="auto"/>
        <w:rPr>
          <w:sz w:val="20"/>
          <w:szCs w:val="20"/>
          <w:color w:val="auto"/>
        </w:rPr>
      </w:pPr>
      <w:r>
        <w:rPr>
          <w:rFonts w:ascii="Times New Roman" w:cs="Times New Roman" w:eastAsia="Times New Roman" w:hAnsi="Times New Roman"/>
          <w:sz w:val="18"/>
          <w:szCs w:val="18"/>
          <w:color w:val="auto"/>
        </w:rPr>
        <w:t>AATD-LD population, as required by FDA, was completed in 2024. A Pediatric Investigation Plan ("PIP") full waiver was agreed by the EMA in 2024, meaning that no pediatric studies are required.</w:t>
      </w:r>
    </w:p>
    <w:p>
      <w:pPr>
        <w:spacing w:after="0" w:line="162"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Company continues to evaluate non-dilutive financing options for the development and potential commercialization of alvelestat in AATD-LD while continuing to progress the program towards the initiation of the planned Phase 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1b/2 Clinical Trial in Bronchiolitis Obliterans Syndrome (“BOS”)</w:t>
      </w:r>
    </w:p>
    <w:p>
      <w:pPr>
        <w:spacing w:after="0" w:line="227"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BOS is a rare progressive, fibrosing disease of the lungs affecting approximately 6% of the estimated 12,000 stem cell transplants a year in the U.S., often as part of graft versus host disease. BOS is characterized by neutrophil infiltration in the lung, excess NE and inflammation.</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An investigator-sponsored open-label Phase 1b/2 study in BOS following allogeneic stem cell transplant is being conducted. In January 2025, the Clinical Trial Agreement between Mereo and The Center for Cancer Research, National Cancer Institute was amended to expire on the earlier of completion of the research or May 31, 2026 and no subject was enrolled in the trial after May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Vantictumab (OMP-18R5) for the Treatment of Autosomal Dominant Osteopetrosis Type 2</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Vantictumab is an anti-FZD monoclonal antibody that we acquired in the Merger, which is being investigated for treatment in ADO2. In August 2025, we announced a license agreement with āshibio under which āshibio will fund and lead global clinical development of vantictumab and we retain rights to commercialize vantictumab in Europe and the U.K. with āshibio having exclusive rights in the U.S. and rest of world.</w:t>
      </w:r>
    </w:p>
    <w:p>
      <w:pPr>
        <w:spacing w:after="0" w:line="176"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ADO2 (also known as Albers-Schönberg disease) is a rare inherited metabolic bone disorder for which there is currently no approved therapy. ADO2 is caused by reduced function of osteoclasts. Impaired osteoclast function results in dense, brittle bone and leads to complications such as multiple fractures, poor bone healing, low blood counts (due to encroachment of the bone marrow), and nerve compression that can cause pain, deafness, and/or blindness. ADO2 results from a mutation in the chloride channel 7 (CLCN7) gene, with the most common mutation being G215R.</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Wnt pathway plays a key role in bone homeostasis. Vantictumab is a novel antibody that binds to certain Frizzled receptors and inhibits the Wnt signaling pathway. This enhances bone resorption by promoting osteoclast activity resulting in re-established bone homeostasis. Between 2011 and 2017 vantictumab was investigated in approximately 100 patients in four Phase 1a/1b studies in oncology indications. Biomarker data demonstrated an impact on osteoclast function and high bone turnover leading to fragility fractures in some patients.</w:t>
      </w:r>
    </w:p>
    <w:p>
      <w:pPr>
        <w:spacing w:after="0" w:line="180"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Āshibio reported promising pre-clinical data at ASBMR 2025 with vantictumab significantly decreasing areal BMD in the ADO2 mouse model (whole body, femur and spine), improving measures of bone structure and quality and rescuing the bone phenotype in ADO2 mice. These results support the clinical development of vantictumab and āshibio expect to file an IND in the second half of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Non-Core Partnered Programs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completion of successful Phase 1b or Phase 2 studies the products below are programs which we have successfully partnered.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Leflutrozole (BGS-649) for the Treatment of Hypogonadotropic Hypogonadism</w:t>
      </w:r>
    </w:p>
    <w:p>
      <w:pPr>
        <w:spacing w:after="0" w:line="22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Leflutrozole is an oral inhibitor of aromatase. Excess aromatase in fat tissue reduces testosterone, luteinizing hormone ("LH") and follicle-stimulating hormone ("FSH"), leading to HH. In Phase 2 trials, leflutrozole normalized testosterone, increased LH and FSH, improved total sperm count, and was reported to be well-tolerated.</w:t>
      </w:r>
    </w:p>
    <w:p>
      <w:pPr>
        <w:spacing w:after="0" w:line="176"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In December 2023, we entered into an exclusive global license agreement with ReproNovo for the development and commercialization of leflutrozole, a non-steroidal aromatase inhibitor. See “—Other Licensing Agreements—Licensing Agreement for Leflutrozole.” Under the terms of the license agreement, ReproNovo, a reproductive medicine company, is responsible for all future development and commercialization of leflutrozole.</w:t>
      </w:r>
    </w:p>
    <w:p>
      <w:pPr>
        <w:spacing w:after="0" w:line="176"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Mereo previously received an upfront payment of $1.0 million in 2023 and received an additional $0.5 million milestone payment in the year ended December 31, 2025 following the announcement that the first participant had been included in a Phase 2</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440"/>
        <w:spacing w:after="0" w:line="282" w:lineRule="auto"/>
        <w:rPr>
          <w:sz w:val="20"/>
          <w:szCs w:val="20"/>
          <w:color w:val="auto"/>
        </w:rPr>
      </w:pPr>
      <w:r>
        <w:rPr>
          <w:rFonts w:ascii="Times New Roman" w:cs="Times New Roman" w:eastAsia="Times New Roman" w:hAnsi="Times New Roman"/>
          <w:sz w:val="18"/>
          <w:szCs w:val="18"/>
          <w:color w:val="auto"/>
        </w:rPr>
        <w:t>trial of leflutrozole. Mereo will be eligible to receive up to $63.8 million for additional development, regulatory and commercial milestones as well as tiered mid-single digit royalties on global annual net sales of leflutrozole.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Navicixizumab (OMP-305B83) for the Treatment of Ovarian Cancer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Navicixizumab is a bispecific antibody that inhibits delta-like ligand 4 (DLL4) and vascular endothelial growth factor (VEGF).</w:t>
      </w:r>
    </w:p>
    <w:p>
      <w:pPr>
        <w:spacing w:after="0" w:line="225"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We acquired navicixizumab in the Merger. In January 2020, we out-licensed navicixizumab to Feng Biosciences. See “— Other Licensing Agreements—Licensing Agreement for Navicixizumab.”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Non-Core Programs Available for Partnering</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completion of successful Phase 1b or Phase 2 studies, the following programs are available for partnering.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Etigilimab (MPH-313) for the Treatment of Advanced Solid Tumors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Etigilimab is an antibody against TIGIT. TIGIT is a next generation 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 Etigilimab has completed a Phase 1a dose escalation clinical trial in 23 patients with advanced solid tumors and has been evaluated in a Phase 1b study in combination with nivolumab in select tumor types.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Acumapimod (BCT-197) for the Treatment of AECOPD</w:t>
      </w:r>
    </w:p>
    <w:p>
      <w:pPr>
        <w:spacing w:after="0" w:line="22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Acumapimod is a p38 MAP kinase inhibitor therapy for treatment during severe acute exacerbations of COPD (AECOPD). In a Phase 2 trial, acumapimod given over five days in patients hospitalized with AECOPD demonstrated a statistically significant reduction in re-hospitalization for treatment failure and recurrent exacerbations. Acumapimod was reported to be safe and well tolerated. Following meetings with FDA and EMA a global Phase 3 registrational program has been designed.</w:t>
      </w:r>
    </w:p>
    <w:p>
      <w:pPr>
        <w:spacing w:after="0" w:line="180"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We intend to out-license or sell etigilimab and acumapimod to third parties for the further development, recognizing the need for greater resources to take these product candidates to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Ultragenyx for Setrusumab</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December 17, 2020, we announced that we entered into a license and collaboration agreement with Ultragenyx, for setrusumab for OI. Under the terms of the agreement, Ultragenyx will lead future global development of setrusumab in both pediatric and adult patients. We granted Ultragenyx an exclusive license to develop and commercialize setrusumab in the U.S. and rest of the world, excluding Europe and the U.K., where we retain commercial rights. Each party will be responsible for post-marketing commitments in their respective territories. Under the terms of the agreement, Ultragenyx made an upfront payment of $50 million to Mereo and a $9.0 million payment during the year ended December 31, 2023 upon achievement of a clinical milestone. Ultragenyx will pay up to $245 million in additional development, regulatory and commercial milestones and tiered double digit percentage royalties to us on net sales outside of Europe and the U.K. and we will pay a fixed double digit percentage royalty to Ultragenyx on net sales in Europe and the U.K. If Ultragenyx receives and resells an FDA priority review voucher (“PRV”) in connection with a new drug application approval, Mereo is entitled to receive a portion of the proceeds from the sale of the PRV or a cash payment from Ultragenyx, in the event they choose to retain the PRV. Under the terms of our 2015 agreement with Novartis, we will pay Novartis a percentage of proceeds, subject to certain deductions, and we will receive a substantial majority of the payments from Ultragenyx.</w:t>
      </w:r>
    </w:p>
    <w:p>
      <w:pPr>
        <w:spacing w:after="0" w:line="192"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In December 2024, we entered into a manufacturing and supply agreement with Ultragenyx (the “Ultragenyx Manufacturing and Supply Agreement”) under which Ultragenyx is responsible for the manufacture and supply of setrusumab to Mereo in our territories. We are also required to reimburse Ultragenyx for a portion of the manufacturing process development costs, future commercial supply costs as well as a portion of costs in the event of cancellation of certain manufacturing slots.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Agreement with AstraZeneca</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In October 2017, we entered into an exclusive license and option agreement (“the AstraZeneca License Agreement”) and subscription deed (the “AstraZeneca Subscription Deed”), together (the “Original Agreements”) with AstraZeneca AB. Each of these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were amended on November 8, 2024, when we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Original Agreements, we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we made a payment of $3.0 million and issued 490,798 ordinary shares (equivalent to 98,159 ADSs) to AstraZeneca, for an aggregate upfront payment equal to $5.0 million. Upon execution of the Amended AstraZeneca License Agreement, we issued 2,044,390 ordinary shares and paid $0.5 million to AstraZeneca in respect of an agreed milestone.</w:t>
      </w:r>
    </w:p>
    <w:p>
      <w:pPr>
        <w:spacing w:after="0" w:line="187" w:lineRule="exact"/>
        <w:rPr>
          <w:sz w:val="20"/>
          <w:szCs w:val="20"/>
          <w:color w:val="auto"/>
        </w:rPr>
      </w:pPr>
    </w:p>
    <w:p>
      <w:pPr>
        <w:ind w:right="80" w:firstLine="794"/>
        <w:spacing w:after="0" w:line="253" w:lineRule="auto"/>
        <w:rPr>
          <w:sz w:val="20"/>
          <w:szCs w:val="20"/>
          <w:color w:val="auto"/>
        </w:rPr>
      </w:pPr>
      <w:r>
        <w:rPr>
          <w:rFonts w:ascii="Times New Roman" w:cs="Times New Roman" w:eastAsia="Times New Roman" w:hAnsi="Times New Roman"/>
          <w:sz w:val="18"/>
          <w:szCs w:val="18"/>
          <w:color w:val="auto"/>
        </w:rPr>
        <w:t>Under the terms of the Amended AstraZeneca Agreements, we have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AstraZeneca License Agreement. The number of ADSs to be issued to satisfy equity milestones is determined by dividing a monetary amount by a defined subscription price (the “Subscription Price”). In addition, we have agreed to make payments to AstraZeneca based on specified commercial milestones of the product. We have also agreed to pay a specified percentage of sub-licensing revenue to AstraZeneca and to make royalty payments to AstraZeneca equal to ascending specified percentages of tiered annual worldwide net sales by us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We have agreed to use commercially reasonable efforts to develop and commercialize at least one licensed product.</w:t>
      </w:r>
    </w:p>
    <w:p>
      <w:pPr>
        <w:spacing w:after="0" w:line="194"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Amended AstraZeneca License Agreement will expire on the expiration of the last-to-expire royalty term with respect to all licensed products. Upon the expiration of the royalty term for a licensed product in a particular country, the licenses to us for such product in such country will become fully paid and irrevocable. Prior to exercise of the Option, if at all, we may terminate the Amended AstraZeneca License Agreement upon prior written notice. Either party may terminate the agreement upon prior written notice for the other party’s material breach that remains uncured for a specified period of time or insolvency.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Agreements</w:t>
      </w:r>
    </w:p>
    <w:p>
      <w:pPr>
        <w:spacing w:after="0" w:line="229"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Royalties will be payable on a country-by-country basis until the later of expiration of the last valid claim of the licensed patents covering the Antibody Product Candidates in a country and ten years after the first commercial sale of the Antibody Product Candidates in such country, with a maximum royalty term of 12 years after the first commercial sale of the Antibody Product Candidates in such country. We have also agreed to pay Novartis up to $3.25 million in development and regulatory milestones, of which $0.8 million was paid in 2023, and to use</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6" w:name="page17"/>
    <w:bookmarkEnd w:id="16"/>
    <w:p>
      <w:pPr>
        <w:ind w:right="340"/>
        <w:spacing w:after="0" w:line="256" w:lineRule="auto"/>
        <w:rPr>
          <w:sz w:val="20"/>
          <w:szCs w:val="20"/>
          <w:color w:val="auto"/>
        </w:rPr>
      </w:pPr>
      <w:r>
        <w:rPr>
          <w:rFonts w:ascii="Times New Roman" w:cs="Times New Roman" w:eastAsia="Times New Roman" w:hAnsi="Times New Roman"/>
          <w:sz w:val="18"/>
          <w:szCs w:val="18"/>
          <w:color w:val="auto"/>
        </w:rPr>
        <w:t>commercially reasonable efforts to develop and commercialize an Antibody Product. The Sublicense Agreement will expire on the earlier of the termination of the agreement under which Novartis is granting us a sublicense (the “Original License Agreement”) and, on a product-by-product and country-by-country basis, the expiration of the royalty term with respect to such Antibody Product Candidate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pacing w:after="0" w:line="18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addition, as of December 31, 2025, Novartis has warrants outstanding to purchase a total of 2,000,000 ordinary shares at an exercise price of £0.150 per ordinary share, exercisable until February 10, 2028. These warrants were issued on February 10, 2023, in connection with the amendment of a £3.8 million convertible loan note instrument (the "Novartis Loan Note") that we originally entered into on February 10, 2020, and which was fully converted in February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Licensing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Agreement for Vantictumab</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August 2025, we announced a license agreement with āshibio for the development and commercialization of vantictumab, an anti-FZD monoclonal antibody that we acquired in the Merger, which is being investigated for treatment in ADO2. Under the terms of the license agreement, āshibio will fund and lead global clinical development of vantictumab and we retain rights to commercialize vantictumab in Europe in the U.K., with āshibio having exclusive rights in the U.S. and rest of world. We received an upfront payment of $0.3 million and will be eligible to receive up to €13 million of additional development and regulatory milestones as well as tiered mid-single digit royalties on annual net sales of vantictumab outside of Europe and the U.K from āshibio. Mereo is obligated to pay āshibio up to $190 million in future milestone payments, contingent upon the achievement of certain regulatory and commercial milestones, as well as tiered mid-single and low-double digit royalties on annual net sales of vantictumab in Europe and the U.K.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Agreement for Leflutrozole</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December 2023, we entered into an exclusive global license agreement with ReproNovo for the development and commercialization of leflutrozole, a non-steroidal aromatase inhibitor. Under the terms of the license agreement, ReproNovo, a reproductive medicine company, is responsible for all future development and commercialization of leflutrozole. Mereo previously received an upfront payment of $1.0 million in 2023 and received an additional $0.5 million milestone payment in the year ended December 31, 2025 following the announcement that the first participant had been included in a Phase 2 trial of leflutrozole. Mereo will be eligible to receive up to $63.8 million additional development, regulatory and commercial milestones as well as tiered mid-single digit royalties on global annual net sales of leflutrozole.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Agreement for Navicixizumab</w:t>
      </w:r>
    </w:p>
    <w:p>
      <w:pPr>
        <w:spacing w:after="0" w:line="229"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In January 2020, we entered into a global license agreement with Feng Biosciences for the development and commercialization of navicixizumab, an anti-DLL4/VEGF bispecific antibody, which, at the time, was being evaluated in a Phase 1b study in combination with paclitaxel in patients with advanced heavily pretreated ovarian cancer. Navicixizumab previously completed a Phase 1a monotherapy study in patients with various types of refractory solid tumors and is one of two product candidates we acquired through the Merger.</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Under the terms of the license agreement, Feng Biosciences received an exclusive worldwide license to develop and commercialize navicixizumab. We received an upfront payment of $4.0 million and in February 2022 we received an additional payment of $2.0 million, following satisfaction of a milestone. Feng Biosciences will be responsible for all future research, development and commercialization of navicixizumab. Additionally, we will be eligible to receive up to $300 million in future clinical, regulatory and commercial milestones, tiered royalties ranging from the mid-single-digit to sub-teen percentages on global annual net sales of navicixizumab, as well as a negotiated percentage of sublicensing revenues from any sublicensees. We will only be eligible to receive a negotiated percentage of sublicensing revenues in the event Feng Biosciences elects only to sublicense and not commercialize navicixizumab, or a negotiated percentage of the total consideration paid by a purchaser in the event of change of control of Feng Biosciences.</w:t>
      </w:r>
    </w:p>
    <w:p>
      <w:pPr>
        <w:spacing w:after="0" w:line="192"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In February 2022, we received a milestone payment of $2.0 million (£1.5 million) under the Navicixizumab License Agreement with Feng Biosciences. An associated payment was made to the former shareholders of Mereo BioPharma 5, (formerly OncoMed) under the CVR Agreement of a total of $0.9 million (£0.7 million), after deductions of costs, charges and expenditures.</w:t>
      </w:r>
    </w:p>
    <w:p>
      <w:pPr>
        <w:spacing w:after="0" w:line="176"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18"/>
          <w:szCs w:val="18"/>
          <w:color w:val="auto"/>
        </w:rPr>
        <w:t>In the fourth quarter of 2023, Feng Biosciences completed a restructuring, recapitalization and closed on a refinancing. Feng Biosciences is a clinical stage therapeutics company advancing precision medicine for people with cancer. Feng Biosciences will continue to utilize its Xerna</w:t>
      </w:r>
      <w:r>
        <w:rPr>
          <w:rFonts w:ascii="Arial" w:cs="Arial" w:eastAsia="Arial" w:hAnsi="Arial"/>
          <w:sz w:val="26"/>
          <w:szCs w:val="26"/>
          <w:color w:val="auto"/>
          <w:vertAlign w:val="superscript"/>
        </w:rPr>
        <w:t>TM</w:t>
      </w:r>
      <w:r>
        <w:rPr>
          <w:rFonts w:ascii="Times New Roman" w:cs="Times New Roman" w:eastAsia="Times New Roman" w:hAnsi="Times New Roman"/>
          <w:sz w:val="18"/>
          <w:szCs w:val="18"/>
          <w:color w:val="auto"/>
        </w:rPr>
        <w:t xml:space="preserve"> platform to progress navicixizumab.</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setrusumab and alvelestat, and we intend to enter into additional manufacturing agreements as necessary. Following our license of alvelestat, we acquired certain clinical trial materials and we subsequently outsourced production of further clinical supplies to our own manufacturing suppliers. We also outsource certain product formulation trials. We expect that drug product pre-validation and validation batches will be manufactured to satisfy regulatory requirements where we progress product candidates to late-stage trials.</w:t>
      </w:r>
    </w:p>
    <w:p>
      <w:pPr>
        <w:spacing w:after="0" w:line="187"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In December 2024, we entered into the Ultragenyx Manufacturing and Supply Agreement under which Ultragenyx is responsible for the manufacture and supply of setrusumab to Mereo in our territories. We intend to enter into contractual relationships for the packaging and labeling of commercial supplies for setrusumab and for the manufacture, packaging and labeling of commercial supplies for alvelestat, if approved.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Sales and Marketing</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We do not have our own marketing, sales, or distribution capabilities. In order to commercialize our product candidates, if approved for commercial sale, we must either develop a sales and marketing infrastructure or collaborate with third parties that have sales and marketing experience. In December 2020, we entered into a license and collaboration agreement with Ultragenyx for setrusumab and in August 2025 we announced a license agreement with āshibio for vantictumab, under which we retain rights to commercialize both product candidates in Europe and the U.K. For our other partnered programs, leflutrozole and navicixizumab, global commercialization rights are held by our partners. For our other current and future product candidates, we intend to take strategic decisions on whether to further develop them, potentially through to approval, directly commercializing globally or in certain territories, or to seek a partner for further development, co-development and/or commercialization. For product candidates we intend to commercialize or co-commercialize, we must either establish a sales and marketing organization with technical expertise and supporting distribution capabilities in major markets or potentially outsource aspects of these functions to third parties or partners.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compete directly with other biopharmaceutical and pharmaceutical companies that focus on the treatment of OI, AATD and ADO2, as well as face competition in treatments for solid tumors and AECOPD potentially impacting our ability to partner our non-core programs. We may also face competition from academic research institutions, governmental agencies and other various public and private research institutions. We expect to face increasingly intense competition as new technologies become available. Any product candidates, including setrusumab, alvelestat, vantictumab, etigilimab and acumapimod that we or our partners successfully develop and commercialize will compete with existing therapies and new therapies that may become available in the future.</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consider setrusumab’s current closest potential competitors in development for the treatment of OI to be Amgen and UCB’s anti-sclerostin antibody, romosozumab (Evenity), which was approved for osteoporosis in the U.S. in April 2019 and in December 2019 in Europe. Amgen Inc. (“Amgen”) and UCB Pharma SA ("UCB") are studying romosozumab in an open-label Phase 3 study in children and adolescents with OI in line with their pediatric investigation plan. In addition, Transcenta Holding has licensed the Chinese rights to the anti-sclerostin antibody blosozumab from Eli Lilly and Company (“Lilly”) and plans to develop it for osteoporosis. Amgen has also terminated a Phase 3 study and an open label extension study of denosumab (Prolia) an anti-resorptive agent in pediatric patients with OI. BOOST Pharma has conducted a Phase 1/2 trial of its fetal-derived mesenchymal stem cell therapy in prenatal &amp; postnatal patients with severe OI and is now planning a Phase 3 trial. Furthermore, Angitia Biopharmaceuticals has completed a Phase 1 trial of its Sclerostin &amp; Dickkopf-1 bispecific antibody and is now planning a Phase 2 Clinical Trial in adults with OI.</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consider alvelestat’s current closest potential competitors for the treatment of severe AATD to be alpha-1 proteinase inhibitors that are administered intravenously in AAT augmentation therapy. Currently, there are four inhibitors on the market in the U.S. and the EU: Prolastin-C from Grifols, S.A. (“Grifols”), Aralast from Shire plc, now a subsidiary of Takeda Pharmaceutical Company Ltd (“Shire”), Zemaira from CSL Limited (“CSL”), and Glassia from Kamada Ltd. (“Kamada”). Kamada also has a recombinant alpha-1 antitrypsin in early development. Sanofi S.A. (“Sanofi”) has completed a Phase 2 potentially registrational trial of SAR-447537, a recombinant human alpha-1 antitrypsin Fc fusion protein (rhAAT-Fc) for replacement therapy and are now seeking regulatory guidance. Wave Life Sciences Ltd. (“Wave”) has initiated a Phase 1/2 study of RNA base-editing oligonucleotide</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t>(WVE-0006) to restore wild-type protein in lung and liver disease. Beam Therapeutics Inc. (“Beam”) commenced a Phase 1/2 study of BEAM-302, a genome editing therapy to correct mutant Z-AAT. Krystal Biotech, Inc. (“Krystal”) commenced a Phase 1 study of KB-408, an inhaled gene therapy. Korro Bio, Inc. (“Korro”) were in preliminary stages of clinical development of an RNA Base editing oligonucleotide therapy and now are expected to nominate a new development candidate in 2026. We expect Yoltech Therapeutics, Cornell University, AIRNA, Prime Medicine, CRISPR Therapeutics, and Tessera Therapeutics (a program that is partnered with Regeneron) each to begin early-stage clinical trials in AATD over the next 12-18 months.</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There are no therapies with regulatory approval for ADO2. We consider vantictumab's closest competitor to be the pre-clinical CLCN7-targeting siRNA developed by SiSaf Ltd.</w:t>
      </w:r>
    </w:p>
    <w:p>
      <w:pPr>
        <w:spacing w:after="0" w:line="17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We consider etigilimab’s current closest potential competitors to include other anti-TIGIT agents being developed by companies including Roche, Merck, iTeos and GSK, BeOne Medicines, Arcus/Gilead, and Compugen amongst others. In addition, there are other combinations of existing cancer therapies available commercially for example, Yervoy and Opdivo and Opdivo or Keytruda in combination with chemotherapeutic targeted agents. There are a number of bispecific antibodies with an anti-TIGIT arm in development including a Phase 3 program in NSCLC being developed by AstraZeneca. There are also a number of other agents in development to other immuno-oncology targets that could compete with an anti-TIGIT approach, for example anti-LAG3.</w:t>
      </w:r>
    </w:p>
    <w:p>
      <w:pPr>
        <w:spacing w:after="0" w:line="187"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For acumapimod, although we are not aware of any approved therapies for the treatment of AECOPD, there are a wide range of established therapies available for the treatment of COPD as well as a number of product candidates in development. We consider acumapimod’s current closest potential competitor for the treatment of AECOPD to be Merck &amp; Co’s nebulized and inhaled ensifentrine (Ohtuvayre), a PDE3 / PDE4 dual inhibitor that recently received regulatory approval as a bronchodilator and anti-inflammatory agent for COPD, Asthma and Cystic Fibrosis patients. Pulmatrix, Inc. (“Pulmatrix”) has PUR1800, a narrow-spectrum kinase inhibitor (NSKI) that completed a Phase 1b trial in COPD. In addition to Pulmatrix, there are several compounds, which directly or indirectly target the p38 MAP Kinase pathway in clinical development by Poolbeg Pharma Plc (“Poolbeg), Fulcrum Therapeutics Inc (“Fulcrum”), GEn1E Lifesciences Inc (“GEn1E Lifesciences”), CervoMed Inc (“CervoMed”), Kinarus AG (“Kinarus”), Neurokine Therapeutics (“Neurokine”), and Inovio Pharmaceuticals Inc (“Inovio”), among others, for therapeutic indications outside the COPD setting. In addition, ReAlta Life Sciences commenced a Phase 2 clinical trial evaluating its complement 1 sub-component inhibitor for the treatment of AECOPD.</w:t>
      </w:r>
    </w:p>
    <w:p>
      <w:pPr>
        <w:spacing w:after="0" w:line="188"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We may face increasing competition for additional new product acquisitions from pharmaceutical companies as new companies emerge with a similar business model and other more established companies focus on acquiring product candidates to develop their pipelines. Many of our competitors have significantly greater name recognition, financial, manufacturing, marketing, drug development, technical and human resources than we do. Mergers and acquisitions in the biopharmaceutical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top qualified scientific and management personnel, establishing clinical trial sites and patient registration for clinical trials and in acquiring technologies complementary to, or necessary for, our programs.</w:t>
      </w:r>
    </w:p>
    <w:p>
      <w:pPr>
        <w:spacing w:after="0" w:line="18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setrusumab, alvelestat, vantictumab, etigilimab and acumapimod,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 candidates that are safer, more effective, less expensive, convenient or easier to administer or have fewer or less severe side effects than any product candidates that we may develop. Our competitors may also obtain FDA, EMA, MHRA or other regulatory approval for their product candidates more rapidly than we may obtain approval for our own product candidates, which could result in our competitors establishing a strong market position before we are able to enter the market. Even if setrusumab, alvelestat, vantictumab, etigilimab, or acumapimod achieve marketing approval, they may be priced at a significant premium over competing product candidates if any have been approved by then, potentially reducing our market opportunity. For more information, see “Item 1A. Risk Factors—Risks Related to Commercialization—We operate in a highly competitive and rapidly changing industry, which may result in others acquiring, developing, or commercializing competing product candidates before or more successfully than we or our partners do.”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We have acquired or exclusively licensed our intellectual property portfolio from Novartis, AstraZeneca and Mereo BioPharma 5 (formerly OncoMed). We strive to protect and enhance the proprietary technologies, inventions and improvements that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U.S. and in jurisdictions outside of the U.S. related to our proprietary technology, inventions, improvements, platforms and our product candidates that are important to the development and implementation of our business.</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intellectual property is held by our wholly owned subsidiaries. As of December 31, 2025, our patent portfolio comprises approximately 559 issued patents and approximately 57 pending patent applications on a global basis.</w:t>
      </w:r>
    </w:p>
    <w:p>
      <w:pPr>
        <w:spacing w:after="0" w:line="16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w:t>
      </w:r>
    </w:p>
    <w:p>
      <w:pPr>
        <w:spacing w:after="0" w:line="18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U.S., that also claim technology to which we have rights, we may have to participate in interference proceedings in the USPTO, to determine priority of invention. For more information, please see “Item 1A. Risk Factors—Risks Related to Intellectual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Setrusumab (BPS-804/UX143)</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As of December 31, 2025, we have 132 patents globally (including 5 issued U.S. patents) and 20 patent applications globally (including 2 pending U.S. patent applications) relating to setrusumab and its use for the treatment of OI. A first patent family includes 3 issued U.S. patents and 88 corresponding issued foreign patents that relate to the setrusumab antibody, nucleic acids encoding setrusumab, processes for producing setrusumab, and setrusumab’s use as a medicament. Patents emanating from this first patent family expire in 2028 (not accounting for any available patent term extension). We also have two additional patent families, including 2 issued U.S. patents and 39 issued foreign patents that relate to methods of using anti-sclerostin antibodies, including setrusumab, for the treatment of OI. Patents emanating from these additional patent families expire in 2037 (not accounting for any available patent term extension). Beyond these patents and patent applications, we jointly own with Ultragenyx one additional patent family relating to dosing regimens for the use of anti-sclerostin antibodies, including setrusumab, in the treatment of OI; we expect any patents emanating from this patent family to expire in 2042 (not accounting for any available patent term extension). In December 2020, we entered into a license and collaboration agreement with Ultragenyx for setrusumab for OI, under which Ultragenyx have exclusive rights under all setrusumab patent families outside of Europe. See “— Licensing Agreements with Ultragenyx for Setrusumab.”</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February 3, 2023, Ultragenyx, Mereo BioPharma 3 Limited, UCB and Amgen entered into a non-exclusive worldwide, royalty-free license to research, develop, and commercialize setrusumab in OI under certain UCB/Amgen-owned patent rights related to anti-sclerostin compounds and their uses.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Alvelestat (MPH-966)</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2025, our patent portfolio relating to our product candidate alvelestat consisted of 2 issued U.S. patents, no pending U.S. patent applications, 17 issued or allowed foreign patents and 1 pending foreign patent application, licensed under our agreement with AstraZeneca. See “— Material Agreements—Licensing Agreement with AstraZeneca.” These issued patents and patent applications, if issued, include claims directed to 2-pyridone derivatives as NE inhibitors and their uses as well as claims to a specific polymorph of a tosylate salt of alvelestat, with expected expiry dates between 2027 and 2030.</w:t>
      </w:r>
    </w:p>
    <w:p>
      <w:pPr>
        <w:spacing w:after="0" w:line="183"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Our patent portfolio relating to our product candidate alvelestat also includes 4 pending international patent applications filed under the PCT, 4 pending U.S. patent applications, 35 granted foreign patents and 17 pending foreign patent applications which have been filed subsequent to the license agreement with AstraZeneca. These patent applications, if issued, include claims directed to dosing regimens of alvelestat, methods of treatment using alvelestat, and dosage forms of alvelestat with expected expiry dates between 2040 and 2045.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Vantictumab (OMP-18R5)</w:t>
      </w:r>
    </w:p>
    <w:p>
      <w:pPr>
        <w:spacing w:after="0" w:line="22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our patent portfolio relating to vantictumab and related compounds consisted of 3 U.S. patents. These patents were licensed to āshibio pursuant to the terms of a global licensing agreement announced in August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Etigilimab (MPH-313)</w:t>
      </w:r>
    </w:p>
    <w:p>
      <w:pPr>
        <w:spacing w:after="0" w:line="229"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our patent portfolio relating to our product candidate etigilimab consisted of 4 granted U.S. patents as well as corresponding patents and patent applications in major foreign jurisdictions.</w:t>
      </w:r>
    </w:p>
    <w:p>
      <w:pPr>
        <w:spacing w:after="0" w:line="16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patent portfolio relating to our product candidate etigilimab contains one core patent family that covers the product per se as well as medical uses thereof. This patent family currently consists of 2 granted U.S. patents, 32 granted or allowed foreign patents and 2 pending foreign patent applications. Patents that issue from this core family are generally expected to expire in 2036.</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portfolio also includes a second patent family that relates to specific methods of treatment using etigilimab. This patent family currently consists of 2 granted U.S. patents and 7 granted or allowed foreign patents. Any patents that issue from this family are generally expected to expire in 2037.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Navicixizumab (OMP-305B83)</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2025, our patent portfolio relating to navicixizumab consisted of 21 issued or allowed U.S. patents and 3 pending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applications, as well as corresponding patents or patent applications in major foreign jurisdictions.</w:t>
      </w:r>
    </w:p>
    <w:p>
      <w:pPr>
        <w:spacing w:after="0" w:line="207"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patent portfolio relating to navicixizumab contains two core patent families, both of which cover the product per se as well as medical uses thereof. Patents and patent applications, if issued, in these core families are expected to expire between 2030 and 2032.</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portfolio also includes several other patent families including issued U.S. and foreign patents and pending applications that relate to specific methods of treatment using navicixizumab. Patents and patent applications, if issued, in these families are expected to expire between 2030 and 2039. Navicixizumab was licensed to Feng Biosciences in January 2020 pursuant to the terms of a global licensing agreement. See “—Other Licensing Agreements—Licensing Agreement for Navicixizumab.”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Acumapimod (BCT-197)</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2025, our patent portfolio relating to our product acumapimod consisted of 10 issued or allowed U.S. patents, no pending U.S. patent applications, 202 issued or allowed foreign patents and 6 pending foreign applications. These issued patents and patent applications, if issued, include claims directed to 5-membered heterocycle-based p38 kinase inhibitors, the use of acumapimod in the treatment of AECOPD, dosage regimens of acumapimod, the use of acumapimod in the treatment of specific patient subpopulations, specific polymorphs of acumapimod, methods of producing specific polymorphs of acumapimod and synthetic methods of production of acumapimod with expected expiry dates between 2025 and 2039.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Leflutrozole (BGS-649)</w:t>
      </w:r>
    </w:p>
    <w:p>
      <w:pPr>
        <w:spacing w:after="0" w:line="229" w:lineRule="exact"/>
        <w:rPr>
          <w:sz w:val="20"/>
          <w:szCs w:val="20"/>
          <w:color w:val="auto"/>
        </w:rPr>
      </w:pPr>
    </w:p>
    <w:p>
      <w:pPr>
        <w:jc w:val="both"/>
        <w:ind w:right="54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2025, our patent portfolio relating to our product leflutrozole consisted of 4 issued U.S. patents and 90 issued foreign patents. These issued patents include claims directed to leflutrozole formulations and the use of leflutrozole in treating hypogonadism according to a specific dosing regimen, with expected expiry dates in 2032 and 2037. Leflutrozole was licensed to</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540"/>
        <w:spacing w:after="0" w:line="282" w:lineRule="auto"/>
        <w:rPr>
          <w:sz w:val="20"/>
          <w:szCs w:val="20"/>
          <w:color w:val="auto"/>
        </w:rPr>
      </w:pPr>
      <w:r>
        <w:rPr>
          <w:rFonts w:ascii="Times New Roman" w:cs="Times New Roman" w:eastAsia="Times New Roman" w:hAnsi="Times New Roman"/>
          <w:sz w:val="18"/>
          <w:szCs w:val="18"/>
          <w:color w:val="auto"/>
        </w:rPr>
        <w:t>ReproNovo in December 2023 pursuant to the terms of global licensing agreement. See "—Other Licensing Agreements—Licensing Agreement for Leflutrozole".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Among others, the FDA, U.S. Department of Health and Human Services Office of Inspector General, Centers for Medicare &amp; Medicaid Services ("CMS") and comparable regulatory authorities in state, local and foreign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229" w:lineRule="exact"/>
        <w:rPr>
          <w:sz w:val="20"/>
          <w:szCs w:val="20"/>
          <w:color w:val="auto"/>
        </w:rPr>
      </w:pPr>
    </w:p>
    <w:p>
      <w:pPr>
        <w:jc w:val="both"/>
        <w:ind w:right="720" w:firstLine="749"/>
        <w:spacing w:after="0" w:line="282"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("FDCA") and its implementing regulations, and biological product candidates (“biologics”), under both the FDCA and the Public Health Service Act ("PHSA") and its implementing regulations.</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process required by the FDA before a drug or biologic may be marketed in the U.S. generally involves the following:</w:t>
      </w:r>
    </w:p>
    <w:p>
      <w:pPr>
        <w:spacing w:after="0" w:line="225" w:lineRule="exact"/>
        <w:rPr>
          <w:sz w:val="20"/>
          <w:szCs w:val="20"/>
          <w:color w:val="auto"/>
        </w:rPr>
      </w:pPr>
    </w:p>
    <w:p>
      <w:pPr>
        <w:ind w:left="1140" w:right="12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certain of which must be conducted in compliance with the FDA’s Good Laboratory Practice (“GLP”) regulations and other applicable regulations;</w:t>
      </w:r>
    </w:p>
    <w:p>
      <w:pPr>
        <w:spacing w:after="0" w:line="161"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(an “IND”), which must become effective before human clinical trials may begin;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trial may be initiated;</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Clinical Practice (“GCP”) requirements to evaluate the safety, purity, potency and/or efficacy of the product candidate for its intended use;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 after completion of all pivotal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1140" w:right="340" w:hanging="383"/>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current Good Manufacturing Practice (“GMP”) requirements and to assure that the facilities, methods and controls are adequate to preserve the product’s identity, strength, quality and purity;</w:t>
      </w:r>
    </w:p>
    <w:p>
      <w:pPr>
        <w:spacing w:after="0" w:line="175"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FDA audits of clinical trials sites and the sponsor’s clinical trial records to assure compliance with GCPs and the integrity of the clinical data;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if applicable, and FDA review and approval of the NDA or BLA.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ind w:right="60"/>
        <w:spacing w:after="0" w:line="254" w:lineRule="auto"/>
        <w:rPr>
          <w:sz w:val="20"/>
          <w:szCs w:val="20"/>
          <w:color w:val="auto"/>
        </w:rPr>
      </w:pPr>
      <w:r>
        <w:rPr>
          <w:rFonts w:ascii="Times New Roman" w:cs="Times New Roman" w:eastAsia="Times New Roman" w:hAnsi="Times New Roman"/>
          <w:sz w:val="18"/>
          <w:szCs w:val="18"/>
          <w:color w:val="auto"/>
        </w:rPr>
        <w:t>available clinical data or literature, among other things,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or biologic to human subjects under the supervision of qualified investigators in accordance with GCP requirements, which among other things,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94"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Information about certain clinical trials must also be submitted within specific timeframes to the National Institutes of Health for public dissemination on their website, </w:t>
      </w:r>
      <w:r>
        <w:rPr>
          <w:rFonts w:ascii="Times New Roman" w:cs="Times New Roman" w:eastAsia="Times New Roman" w:hAnsi="Times New Roman"/>
          <w:sz w:val="18"/>
          <w:szCs w:val="18"/>
          <w:u w:val="single" w:color="auto"/>
          <w:color w:val="auto"/>
        </w:rPr>
        <w:t>www.clinicaltrials.gov.</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225" w:lineRule="exact"/>
        <w:rPr>
          <w:sz w:val="20"/>
          <w:szCs w:val="20"/>
          <w:color w:val="auto"/>
        </w:rPr>
      </w:pPr>
    </w:p>
    <w:p>
      <w:pPr>
        <w:jc w:val="both"/>
        <w:ind w:left="1140" w:right="80" w:hanging="383"/>
        <w:spacing w:after="0" w:line="312"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39" w:lineRule="exact"/>
        <w:rPr>
          <w:rFonts w:ascii="Times New Roman" w:cs="Times New Roman" w:eastAsia="Times New Roman" w:hAnsi="Times New Roman"/>
          <w:sz w:val="17"/>
          <w:szCs w:val="17"/>
          <w:color w:val="auto"/>
        </w:rPr>
      </w:pPr>
    </w:p>
    <w:p>
      <w:pPr>
        <w:ind w:left="1140" w:right="480" w:hanging="383"/>
        <w:spacing w:after="0" w:line="312"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39" w:lineRule="exact"/>
        <w:rPr>
          <w:rFonts w:ascii="Times New Roman" w:cs="Times New Roman" w:eastAsia="Times New Roman" w:hAnsi="Times New Roman"/>
          <w:sz w:val="17"/>
          <w:szCs w:val="17"/>
          <w:color w:val="auto"/>
        </w:rPr>
      </w:pPr>
    </w:p>
    <w:p>
      <w:pPr>
        <w:ind w:left="1140" w:right="140" w:hanging="383"/>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76"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or similar foreign requirements. The manufacturing process must be capable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Priority Review Voucher Program</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w:t>
      </w:r>
    </w:p>
    <w:p>
      <w:pPr>
        <w:spacing w:after="0" w:line="180"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80"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ind w:right="160" w:firstLine="8"/>
        <w:spacing w:after="0" w:line="253"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 diseases or conditions within the meaning of the Orphan Drug Act. Congress has only authorized the Rare Pediatric Disease Priority Review Voucher program until September 30, 2029. Consequently, unless Congress reauthorizes the program, the sponsor of the marketing application for a drug that receives Rare Pediatric Disease Designation will only be eligible to receive a voucher if the FDA grants the designation on or before September 30, 2029.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Product Designation and Exclusivity</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product if it is intended to treat a rare disease or condition (generally meaning that it affects fewer than 200,000 individuals in the U.S., or more in cases in which there is no reasonable expectation that the cost of developing and making a drug product available in the U.S.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Orphan product designation does not convey any advantage in or shorten the duration of the regulatory review and approval process.</w:t>
      </w:r>
    </w:p>
    <w:p>
      <w:pPr>
        <w:spacing w:after="0" w:line="18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a use or indication within the rare disease or condition for which it has such designation, the product is entitled to orphan-product exclusivity. Orphan-product exclusivity means that the FDA may not approve any other applications for the same drug, as defined by the FDA, for the same approved use or indication within the applicable rare disease or condition for seven years, except in certain limited circumstances. If a product designated as an orphan product ultimately receives marketing approval for disease or condition broader than what was designated in its orphan-product application, it may not be entitled to exclusivity. Orphan exclusivity will not bar approval of another product under certain circumstances, including if a subsequent product with the same active ingredient is shown to be clinically superior to the approved product with respect to the same approved use or indication on the basis of greater efficacy or safety, or providing a major contribution to patient care, or if the company with orphan drug exclusivity is not able to meet market demand. Further, the FDA may approve more than one product for the same orphan use or indication within the same rare disease or condition as long as the product candidates contain different active ingredients. Moreover, competitors may receive approval of different product candidates for the same use or indication within the rare disease or condition for which the orphan product has exclusivity or obtain approval for the same product but for a different use or indication.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Approval</w:t>
      </w:r>
    </w:p>
    <w:p>
      <w:pPr>
        <w:spacing w:after="0" w:line="22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as amended and reauthorized (“PREA”), certain NDAs, BLAs or supplements to an NDA or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unless the sponsor has received a deferral or waiver. The required assessments must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40"/>
        <w:spacing w:after="0" w:line="256" w:lineRule="auto"/>
        <w:rPr>
          <w:sz w:val="20"/>
          <w:szCs w:val="20"/>
          <w:color w:val="auto"/>
        </w:rPr>
      </w:pPr>
      <w:r>
        <w:rPr>
          <w:rFonts w:ascii="Times New Roman" w:cs="Times New Roman" w:eastAsia="Times New Roman" w:hAnsi="Times New Roman"/>
          <w:sz w:val="18"/>
          <w:szCs w:val="18"/>
          <w:color w:val="auto"/>
        </w:rPr>
        <w:t>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This review typically takes 12 months from the date the NDA or BLA is submitted to the FDA, because the FDA has approximately two months to make a “filing” decision.</w:t>
      </w:r>
    </w:p>
    <w:p>
      <w:pPr>
        <w:spacing w:after="0" w:line="194"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that the application will not be approved in its present form. A complete response letter generally details specific conditions that must be met in order to secure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5" w:name="page26"/>
    <w:bookmarkEnd w:id="25"/>
    <w:p>
      <w:pPr>
        <w:ind w:right="40"/>
        <w:spacing w:after="0" w:line="266" w:lineRule="auto"/>
        <w:rPr>
          <w:sz w:val="20"/>
          <w:szCs w:val="20"/>
          <w:color w:val="auto"/>
        </w:rPr>
      </w:pPr>
      <w:r>
        <w:rPr>
          <w:rFonts w:ascii="Times New Roman" w:cs="Times New Roman" w:eastAsia="Times New Roman" w:hAnsi="Times New Roman"/>
          <w:sz w:val="18"/>
          <w:szCs w:val="18"/>
          <w:color w:val="auto"/>
        </w:rPr>
        <w:t>approved product, such as adding new indications or other labeling claims are subject to prior FDA review and approval. There also are continuing, annual user fee requirements for any marketed product candidates and the establishments at which such product candidates are manufactured, as well as new application fees for supplemental applications with clinical data.</w:t>
      </w:r>
    </w:p>
    <w:p>
      <w:pPr>
        <w:spacing w:after="0" w:line="176"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manufacturers and other entities involved in the manufacture and distribution of approved product candidates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3"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1140" w:right="60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 or</w:t>
      </w:r>
    </w:p>
    <w:p>
      <w:pPr>
        <w:spacing w:after="0" w:line="225"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or other safety information about the product.</w:t>
      </w:r>
    </w:p>
    <w:p>
      <w:pPr>
        <w:spacing w:after="0" w:line="16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 candidates that are placed on the market. Product candidates may be promoted only for the approved indications and in accordance with the provisions of the approved label. Physicians may prescribe legally available products for uses that are not described in the product’s labeling and that differ from those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FDA and other agencies actively enforce the laws and regulations prohibiting the promotion of off-label uses, and a company that is found to have improperly promoted off-label uses may be subject to significant liability.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FDA Expedited Review and Approval</w:t>
      </w:r>
    </w:p>
    <w:p>
      <w:pPr>
        <w:spacing w:after="0" w:line="229"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FDA has various programs, such as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 w:name="page27"/>
    <w:bookmarkEnd w:id="26"/>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candidate is intended to treat a serious or life-threatening disease or condition and demonstrates the potential to address an unmet medical need for such disease or condition. Fast Track designation provides opportunities for frequent interactions with the FDA review team to expedite development and review of the product. The FDA may also review sections of the NDA or BLA for a Fast Track-designated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a sponsor can request designation of a product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Depending on the design of the relevant clinical studies, product candidates studied for their safety and effectiveness in treating serious or life-threatening illnesses and that have the potential to provide meaningful therapeutic benefit over existing treatments may be eligible for accelerated approval upon a determination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generally require a sponsor of a product receiving accelerated approval to perform adequate and well-controlled confirmatory trials to verify and describe the predicted clinical benefit, and may require that such confirmatory trails be underway prior to granting any accelerated approval. Products receiving accelerated approval may be subject to expedited withdrawal procedures if the sponsor fails to conduct the required confirmatory trials in a timely manner or if such trials fail to verify the predicted clinical benefit. Sponsors of such products are also required to send updates to the FDA every 180 days regarding the progress of any required confirmatory studies. In addition, the FDA requires pre-approval of promotional materials a condition of accelerated approval, which could adversely impact the timing of the commercial launch of the product.</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Once an NDA or BLA is submitted for a product intended to treat a serious condition, the FDA may assign a priority review designation to the application if the FDA determines that the product candidate, if approved, would provide a significant improvement in safety or effectiveness. The FDA will attempt to direct additional resources to the evaluation of an NDA or BLA designated for priority review in an effort to facilitate the review. The FDA endeavors to review NDAs for new molecular entities and original BLAs with priority review designations within six months of the filing date as compared to ten months under its current review goals.</w:t>
      </w:r>
    </w:p>
    <w:p>
      <w:pPr>
        <w:spacing w:after="0" w:line="18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ultimately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and Biological Product Exclusivities</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or the approval of some marketing applications. For example, the FDCA provides a five-year period of non-patent data exclusivity within the U.S. to the first applicant to obtain approval of an NDA for a new chemical entity. A drug is a new chemical entity if the FDA has not previously approved any other new drug containing the same active moiety, which is the molecule or ion, excluding those appended portions of the molecule that cause the drug to be an ester, salt, including a salt with hydrogen or coordination bonds, or other noncovalent derivative, such as a complex, chelate, or clathrate,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4"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of approval for which the drug received approval on the basis of the new clinical</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ind w:right="120"/>
        <w:spacing w:after="0" w:line="261" w:lineRule="auto"/>
        <w:rPr>
          <w:sz w:val="20"/>
          <w:szCs w:val="20"/>
          <w:color w:val="auto"/>
        </w:rPr>
      </w:pPr>
      <w:r>
        <w:rPr>
          <w:rFonts w:ascii="Times New Roman" w:cs="Times New Roman" w:eastAsia="Times New Roman" w:hAnsi="Times New Roman"/>
          <w:sz w:val="18"/>
          <w:szCs w:val="18"/>
          <w:color w:val="auto"/>
        </w:rPr>
        <w:t>investigations and does not prohibit the FDA from approving ANDAs or 505(b) (2)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the Biologics Price Competition and Innovation Act of 2009 ("BPCIA"), created an abbreviated approval pathway for biological products that are highly similar, or “biosimilar,” to or interchangeable with an FDA-approved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spacing w:after="0" w:line="194"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w:t>
      </w:r>
    </w:p>
    <w:p>
      <w:pPr>
        <w:spacing w:after="0" w:line="183"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Pediatric exclusivity is another type of regulatory exclusivity available in the U.S. Pediatric exclusivity provides for an additional six months of exclusivity attached to another existing patent term or period of regulatory exclusivity if a sponsor conducts clinical trials in children in response to a “written request” from the FDA. The issuance of a written request does not require the sponsor to undertake the described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 Regulation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are subject to similar laws and regulations imposed by jurisdictions outside of the U.S., and, in particular, the European Union (“EU”), governing, among other things, clinical trials, marketing authorization (“MA”), commercial sales and distribution of our products. The foreign regulatory approval process includes all of the risks associated with FDA approval set forth above, as well as additional country-specific regulation. Because biologically sourced, raw materials are subject to unique contamination risks and their use may be restricted in some countries.</w:t>
      </w:r>
    </w:p>
    <w:p>
      <w:pPr>
        <w:spacing w:after="0" w:line="18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Similarly to the U.S., the various phases of non-clinical and clinical research in the EU, are subject to significant regulatory controls.</w:t>
      </w:r>
    </w:p>
    <w:p>
      <w:pPr>
        <w:spacing w:after="0" w:line="225"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CTR transition period ended on January 31, 2025, and all clinical trials (and related applications) are now fully subject to the provisions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CTR.</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GMP. Other national and EU-wide regulatory requirements may also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order to market our product candidates in the EU, and many other foreign jurisdictions, we must obtain separate regulatory approvals. More concretely, in the EU, medicinal product candidates can only be commercialized after obtaining a MA. To obtain regulatory approval of a product candidate under EU regulatory systems, we must submit a MA application (“MAA”). The process for doing this depends, among other things, on the nature of the medicinal product. There are two types of MAs:</w:t>
      </w:r>
    </w:p>
    <w:p>
      <w:pPr>
        <w:spacing w:after="0" w:line="180" w:lineRule="exact"/>
        <w:rPr>
          <w:sz w:val="20"/>
          <w:szCs w:val="20"/>
          <w:color w:val="auto"/>
        </w:rPr>
      </w:pPr>
    </w:p>
    <w:p>
      <w:pPr>
        <w:ind w:left="1140" w:right="40" w:hanging="383"/>
        <w:spacing w:after="0" w:line="254"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EC through the centralized procedure, based on the opinion of the Committee for Medicinal Products for Human Use (“CHMP”) of the European Medicines Agency (“EMA”) and are valid throughout the EU. The centralized procedure is mandatory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neurodegenerative diseases, diabetes,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and</w:t>
      </w:r>
    </w:p>
    <w:p>
      <w:pPr>
        <w:spacing w:after="0" w:line="191" w:lineRule="exact"/>
        <w:rPr>
          <w:rFonts w:ascii="Times New Roman" w:cs="Times New Roman" w:eastAsia="Times New Roman" w:hAnsi="Times New Roman"/>
          <w:sz w:val="18"/>
          <w:szCs w:val="18"/>
          <w:color w:val="auto"/>
        </w:rPr>
      </w:pPr>
    </w:p>
    <w:p>
      <w:pPr>
        <w:ind w:left="1140" w:hanging="383"/>
        <w:spacing w:after="0" w:line="25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8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120"/>
        <w:spacing w:after="0" w:line="254" w:lineRule="auto"/>
        <w:rPr>
          <w:sz w:val="20"/>
          <w:szCs w:val="20"/>
          <w:color w:val="auto"/>
        </w:rPr>
      </w:pPr>
      <w:r>
        <w:rPr>
          <w:rFonts w:ascii="Times New Roman" w:cs="Times New Roman" w:eastAsia="Times New Roman" w:hAnsi="Times New Roman"/>
          <w:sz w:val="18"/>
          <w:szCs w:val="18"/>
          <w:color w:val="auto"/>
        </w:rPr>
        <w:t>to the Breakthrough Therapy designation in the U.S. In March 2016, the EMA launched the PRIME scheme.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An initial meeting initiates these relationships and includes a team of multidisciplinary experts at the EMA to provide guidance on the overall development and regulatory strategies. The benefits of a PRIME designation includes, but not limited to, the appointment of a dedicated contact and rapporteur from the CHMP before submission of an MAA, early and proactive dialogue and scientific advice at key development milestones, and the ability to request for accelerated review earlier in the application process, however this is at the discretion of the CHMP. Setrusumab was granted PRIME designation in November 2017.</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(timelines may be re-negotiated with CHMP approval if appropriate) set by the EMA, the MA ceases to be renewed. The EMA may also grant a MA in absence of comprehensive data under “exceptional circumstances”. Unlike a conditional MA, where MA is granted in the likelihood that the sponsor will provide such data within an agreed timeframe, the EMA can grant authorization under exceptional circumstances when comprehensive data cannot be obtained even after authorization.</w:t>
      </w:r>
    </w:p>
    <w:p>
      <w:pPr>
        <w:spacing w:after="0" w:line="189" w:lineRule="exact"/>
        <w:rPr>
          <w:sz w:val="20"/>
          <w:szCs w:val="20"/>
          <w:color w:val="auto"/>
        </w:rPr>
      </w:pPr>
    </w:p>
    <w:p>
      <w:pPr>
        <w:jc w:val="both"/>
        <w:ind w:right="500" w:firstLine="749"/>
        <w:spacing w:after="0" w:line="266"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 the CHMP or the competent authorities of the EU member states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Adaptive pathways</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EMA has an adaptive pathways program which allows for early and progressive patient access to a 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(“HTA”)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194"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adaptive pathways program does not change the standards for the evaluation of benefits and risks or the requirement to demonstrate a positive benefit-risk balance to obtain MA. In February 2017, setrusumab was accepted into the adaptive pathways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the EU, new product candidates authorized for marketing, or reference product candidates,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ten-years have elapsed from the initial MA of the reference product in the EU. The overall 10-year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188"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0" w:name="page31"/>
    <w:bookmarkEnd w:id="30"/>
    <w:p>
      <w:pPr>
        <w:ind w:right="160"/>
        <w:spacing w:after="0" w:line="261" w:lineRule="auto"/>
        <w:rPr>
          <w:sz w:val="20"/>
          <w:szCs w:val="20"/>
          <w:color w:val="auto"/>
        </w:rPr>
      </w:pPr>
      <w:r>
        <w:rPr>
          <w:rFonts w:ascii="Times New Roman" w:cs="Times New Roman" w:eastAsia="Times New Roman" w:hAnsi="Times New Roman"/>
          <w:sz w:val="18"/>
          <w:szCs w:val="18"/>
          <w:color w:val="auto"/>
        </w:rPr>
        <w:t>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U.S. A medicinal product can be designated as an orphan if its sponsor can establish that: (1) the product is intended for the diagnosis, prevention or treatment of a life threatening or chronically debilitating condition, (2) either (a) affecting not more than five in 10,000 persons in the EU when the application is made, or (b) that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Orphan designation must be requested before submitting an MAA. Orphan designation entitles a party to incentives such as reduction of fees or fee waivers, protocol assistance, and access to the centralized procedure. Upon grant of a MA for an orphan medicinal product, applicants are entitled to a ten-year period of market exclusivity for the approved indication. During this market exclusivity period, the competent authorities cannot accept another application for a MA, or grant a MA, or accept an application to extend a MA for a similar medicinal product for the same indication. The period of market exclusivity is extended by two years for orphan medicinal products that have also complied with an agreed PIP. No extension to any supplementary protection certificate can be granted on the basis of pediatric studies for orphan indications. Orphan designation does not convey any advantage in, or shorten the duration of, the regulatory review and approval process. This period of orphan market exclusivity may, however, be reduced to six years if, at the end of the fifth year, it is established that the product no longer meets the criteria for which it received orphan destination, i.e. the prevalence of the condition has increased above the threshold or it is judged that the product is sufficiently profitable not to justify maintenance of market exclusivity. Additionally, MA may be granted for another similar product for the same indication at any time if (i) the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22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the EU MAA for new medicinal product candidates have to include the results of studies conducted in the pediatric population, in compliance with a PIP, agreed with the EMA’s Pediatric Committee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of the EU and study results are included in the product information, even when negative, the product is eligible for a six-month supplementary protection certificate extension (if any is in effect at the time of approval) or, in the case of orphan medicinal products, a two-year extension of orphan market exclusivity.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Similar to the U.S., both MA holders and manufacturers of medicinal products are subject to comprehensive regulatory oversight by the EMA, the EC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All new MAA must include a risk management plan (“RMP”) describing the risk management system that the company will put in place and documenting measures to prevent or minimize the risks associated with the product. The RMP must be updated any time new information on the medicinal product becomes available which has a significant impact on the content of the RMP.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83"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in the United Kingdom (“U.K”).</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Since the end of the Brexit transition period on January 1, 2021 and the implementation of the Windsor Framework on January 1, 2025, the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not been directly subject to EU laws with respect to medicinal products.</w:t>
      </w:r>
    </w:p>
    <w:p>
      <w:pPr>
        <w:spacing w:after="0" w:line="20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Since January 1, 2021, the MHRA, has been the U.K.’s standalone medicines and medical devices regulator. As a result of the Northern Ireland protocol, different rules applied in Northern Ireland with respect to medicinal products than in England, Wales, and Scotland, together, Great Britain (“GB”); broadly, Northern Ireland continued to follow the EU regulatory regime.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opted-out. Under the terms of the Windsor Framework, these MAs became valid for the whole of the U.K. from January 1, 2025. In order to use the centralized procedure to obtain a MA that will be valid throughout the EEA, companies must be established in the EEA. Therefore, since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An international recognition framework has been in place from January 1, 2024, whereby the MHRA will have regard to decisions on the approval of MAs made by the EMA and certain other regulators when determining an application for a new U.K. MA. There is no pre-MA orphan designation. Instead, the MHRA will review applications for orphan designation in parallel to the corresponding MAA. The criteria are essentially the same, but have been tailored for the market, i.e., the prevalence of the condition in the U.K., rather than the EU, must not be more than five in 10,000. Should an orphan designation be granted, the period of market exclusivity will be set from the date of first approval of the product in the U.K.</w:t>
      </w:r>
    </w:p>
    <w:p>
      <w:pPr>
        <w:spacing w:after="0" w:line="18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existing EU legislation (as implemented into U.K. law, through secondary legislation). On April 28, 2025, the U.K. adopted an amendment to the U.K. clinical trials regulations intended to support a more streamlined and flexible regulation of clinical trials, removing unnecessary administrative burdens on trial sponsors, whilst protecting the interests of trial participants. It also intends to bring the U.K. regulatory framework for clinical trials, which is still based on the EU Clinical Trials Directive, into closer alignment with the CTR. The amendment will become applicable on April 28, 2026 following a one-year transition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and biologic product candidates,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17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90"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Additionally,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 or to self-pay patients.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federal false claims laws, including the civil FCA,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FCA may be brought by the Attorney General or as a qui tam action by a private individual in the name of the government.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 candidates for unapproved, or off-label, uses. The government may also assert that a claim including items or services resulting from a violation of the U.S. federal Anti-Kickback Statute constitutes a false or fraudulent claim for purposes of the federal civil FCA. Many states also have similar fraud and abuse statutes or regulations that apply to items and services reimbursed under Medicaid and other state programs, or, in several states, apply regardless of the payor.</w:t>
      </w:r>
    </w:p>
    <w:p>
      <w:pPr>
        <w:spacing w:after="0" w:line="19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addition, there has been a trend of increased federal and state regulation of payments made to physicians and certain other healthcare providers. The Physician Payments Sunshine Act requires applicable manufacturers to report certain payments and “transfers of value” provided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as well as ownership and investment interests held by physicians and their immediate family members.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3" w:name="page34"/>
    <w:bookmarkEnd w:id="33"/>
    <w:p>
      <w:pPr>
        <w:ind w:firstLine="749"/>
        <w:spacing w:after="0" w:line="26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176"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Laws in the U.S. and Europe</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we are subject to European laws relating to our and our suppliers’, partners’ and subcontractors’ collection, control, processing and other use of personal data (i.e., any data relating to an identifiable living individual, whether that individual can be identified directly or indirectly). We and our suppliers, partners and subcontractors process personal data including in relation to our employees, employees of customers, clinical trial participants, healthcare professionals and employees of suppliers including health and medical information. The data privacy regime in the EU includes the General Data Protection Regulation (“GDPR”), the e-Privacy Directive and the national laws and regulations implementing or supplementing each of them. In the U.K., we are subject to the U.K. Data Protection Act 2018, the GDPR as implemented into U.K. law (the “U.K. GDPR”), along with U.K. regulations implementing the e-Privacy Directive. The U.K.’s data protection regime, while currently closely aligned with the EU’s, may diverge over time. Additionally, in the EU and U.K., there are strict regulations on electronic marketing communications and the use of cookies and related technologies, with which we are required to adhere.</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GDPR and U.K. GDPR impose comprehensive data privacy compliance obligations in relation to our collection and use of personal data, including a principal of accountability and the obligation to demonstrate compliance through policies, procedures, training and audit. In addition, some of the personal data we process in respect of clinical trial participants is considered special category or sensitive personal data under the GDPR and U.K. GDPR, and subject to additional compliance obligations. We may be subject to diverging requirements under EU member state laws and U.K. law, such as whether consent can be used as the legal basis for processing of clinical trial data and the roles, responsibilities and liabilities as between clinical trial sites and sponsors.</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relation to cross-border transfers, case law from the Court of Justice of the European Union (“CJEU”) states that reliance on the standard contractual clauses - a standard form of contract approved by the EU as an adequate personal data transfer mechanism - alone may not necessarily be sufficient in all circumstances and that transfers must be assessed on a case-by-case basis. In relation to data transfers from the EEA to the United States, the EU-US Data Privacy Framework (“DPF”) was approved by the EC in July 2023 as an effective EU GDPR data transfer mechanism to U.S. entities self-certified under the DPF. The U.K. Extension to the DPF followed in October 2023, as an effective U.K. GDPR data transfer mechanism to U.S. entities self-certified under the U.K. Extension to the DPF.</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There are costs and administrative burdens associated with compliance with the GDPR and U.K. GDPR and the resultant changes in the EU and EEA member states’ national laws. Any failure to comply with global privacy laws carries with it the risk of significant penalties and sanctions, Penalties for certain breaches of the GDPR or U.K. GDPR are up to the greater of 20 million euros / 17.5 million pounds sterling or 4% of global annual turnover. In addition to fines, a breach of the GDPR or U.K. GDPR may result in regulatory investigations, reputational damage, orders to cease/ change our data processing activities, enforcement notices, assessment notices (for a compulsory audit) and/ or civil claims (including class actions).</w:t>
      </w:r>
    </w:p>
    <w:p>
      <w:pPr>
        <w:spacing w:after="0" w:line="183"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In the U.S. and markets in other countries, patients who are prescribed treatments for their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right="60"/>
        <w:spacing w:after="0" w:line="258" w:lineRule="auto"/>
        <w:rPr>
          <w:sz w:val="20"/>
          <w:szCs w:val="20"/>
          <w:color w:val="auto"/>
        </w:rPr>
      </w:pPr>
      <w:r>
        <w:rPr>
          <w:rFonts w:ascii="Times New Roman" w:cs="Times New Roman" w:eastAsia="Times New Roman" w:hAnsi="Times New Roman"/>
          <w:sz w:val="18"/>
          <w:szCs w:val="18"/>
          <w:color w:val="auto"/>
        </w:rPr>
        <w:t>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any product candidates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the U.S.,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 candidates on an approved list, also known as a formulary, which might not include all of the FDA-approved product candidates for a particular indication. A decision by a third-party payor not to cover our product candidates could reduce physician utilization of our product candidates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 candidates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 candidates to each payor separately and will be a time-consuming process.</w:t>
      </w:r>
    </w:p>
    <w:p>
      <w:pPr>
        <w:spacing w:after="0" w:line="190"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the EU, governments set the price of product candidates through their HTA, and reimbursement rules and control of national health care systems that fund a large part of the cost of those product candidates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 candidates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might compare the new product to an existing standard of care, including other treatments aimed at the same disease, if they exist. HTA,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The downward pressure on health care costs in general, particularly prescription product candidates, has become very intense. As a result, increasingly high barriers are being erected to the entry of new product candidates. In addition, in some countries, legally permissible cross-border imports from low-priced markets within the EU single market exert a commercial pressure on pricing within a country.</w:t>
      </w:r>
    </w:p>
    <w:p>
      <w:pPr>
        <w:spacing w:after="0" w:line="192"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pharmaceutical or biological product candidates have been a focus in this effort. Third-party payors are increasingly challenging the prices charged for medical product candidates and services, examining the medical necessity and reviewing the cost-effectiveness of pharmaceutical or biological product candidates, medical devices and medical services, in addition to questioning safety and efficacy. If these third-party payors do not consider our product candidates to be cost effective compared to other available therapies, they may not cover our product candidates after approval, if any, or, if they do, the level of payment may not be sufficient to allow us to sell our product candidates at a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 candidates. For example, the ACA, among other things, increased the minimum Medicaid rebates owed by most manufacturers under the Medicaid Drug Rebate Program; introduced a new methodology by which rebates owed by manufacturers under the Medicaid Drug Rebate Program are calculated for product candidates that are inhaled, infused, instilled, implanted or injected; extended the Medicaid Drug Rebate Program to utilization of prescriptions of individuals enrolled in Medicaid-managed care plans; subjected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line="256" w:lineRule="auto"/>
        <w:rPr>
          <w:sz w:val="20"/>
          <w:szCs w:val="20"/>
          <w:color w:val="auto"/>
        </w:rPr>
      </w:pPr>
      <w:r>
        <w:rPr>
          <w:rFonts w:ascii="Times New Roman" w:cs="Times New Roman" w:eastAsia="Times New Roman" w:hAnsi="Times New Roman"/>
          <w:sz w:val="18"/>
          <w:szCs w:val="18"/>
          <w:color w:val="auto"/>
        </w:rPr>
        <w:t>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87"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In March 2021, the American Rescue Plan Act of 2021 was signed into law, which eliminated the statutory Medicaid drug rebate cap, beginning January 1, 2024. The rebate was previously capped at 100% of a drug’s average manufacturer price.</w:t>
      </w:r>
    </w:p>
    <w:p>
      <w:pPr>
        <w:spacing w:after="0" w:line="176"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 candidates,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 candidates.</w:t>
      </w:r>
    </w:p>
    <w:p>
      <w:pPr>
        <w:spacing w:after="0" w:line="180"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redesigns the Medicare Part D benefit (beginning in 2024),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HHS has issued and will continue to issue guidance implementing the IRA. 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the pharmaceutical industry cannot yet be fully determined, it is likely to be significant.</w:t>
      </w:r>
    </w:p>
    <w:p>
      <w:pPr>
        <w:spacing w:after="0" w:line="19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the sales of any product candidate that we receive marketing authorization for and commercialize.</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any product candidate that we receive marketing authorization for and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9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Individual states in the U.S. have also become increasingly active in implementing state laws and regulations addressing pharmaceutical product pricing, including price or patient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Some measures are designed to encourage importation from other countries.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ind w:firstLine="749"/>
        <w:spacing w:after="0" w:line="254"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w:t>
      </w:r>
    </w:p>
    <w:p>
      <w:pPr>
        <w:spacing w:after="0" w:line="18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HTAs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December 13, 2021, EU Regulation No 2021/2282 on HTA amending Directive 2011/24/EU, was adopted. The Regulation entered into force in January 2022 and has been applicable since January 2025, with a phased implementation based on the type of products, i.e. oncology and ATMPs as of 2025, orphan medicinal products as of 2028 and 2030 for all other medicinal products. This Regulation intends to boost cooperation among EU member states in assessing health technologies, including new medicinal products, and provide the basis for cooperation at the EU level for joint clinical assessments in these areas, using methodologies adapted to the specificities of the type of product in question.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4"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federal or foreign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Mereo had 39 employees. As of December 31, 2025, 34 employees are employed in the U.K. and 5 employees are employed in the U.S.</w:t>
      </w:r>
    </w:p>
    <w:p>
      <w:pPr>
        <w:spacing w:after="0" w:line="162"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All of our employees are engaged in either general and administrative or research and development functions. None of our employees are covered by a collective bargaining agreement. We consider our relationship with our employees to be good.</w:t>
      </w:r>
    </w:p>
    <w:p>
      <w:pPr>
        <w:spacing w:after="0" w:line="16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potential employees. The principal purposes of our share based payment plans are to attract, retain and motivate selected employees and directors through the granting of equity-based compensation awards.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has significant risks. You should carefully consider the following risk factors as well as all other information contained in this report, including our consolidated financial statements and the related notes, before making an investment decision regarding our securities. The risks and uncertainties described below are those material risk factors currently known and specific to us that we believe are relevant to our business, results of operations and financial condition. Additional risks and uncertainties not currently known to us or that we now deem immaterial may also impair our business, results of operations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never generated any revenue from product sales.</w:t>
      </w:r>
    </w:p>
    <w:p>
      <w:pPr>
        <w:spacing w:after="0" w:line="229"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We are a multi-asset, clinical-stage biopharmaceutical company with a limited operating history, and have incurred significant operating losses since our formation. For the year-ended December 31, 2025 we had a net loss of $41.9 million, and we had a net loss of $43.3 million for the year ended December 31, 2024. As of December 31, 2025, we had an accumulated deficit of $501.0 million ($462.9 million as of December 31, 2024). Our losses have resulted principally from expenses incurred from the research and development of our product candidates and from general and administrative costs that we have incurred while building and operating our business infrastructure. We expect to continue to incur significant operating losses for the foreseeable future as we invest in our research and development efforts, and seek to obtain regulatory approval and potentially commercialize our product candidates. We anticipate that our expenses will increase substantially as we:</w:t>
      </w:r>
    </w:p>
    <w:p>
      <w:pPr>
        <w:spacing w:after="0" w:line="189" w:lineRule="exact"/>
        <w:rPr>
          <w:sz w:val="20"/>
          <w:szCs w:val="20"/>
          <w:color w:val="auto"/>
        </w:rPr>
      </w:pPr>
    </w:p>
    <w:p>
      <w:pPr>
        <w:ind w:left="1140" w:right="300" w:hanging="383"/>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analyze the data from the Phase 3 Orbit and Cosmic studies for setrusumab (especially in pediatric patients) to determine the next steps, including any planned regulatory interactions, which, if positive, may lead to potential commercialization of setrusumab, if approved, in the EU and the U.K.;</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secure a partnership and prepare for a potential Phase 3 clinical trial of alvelestat for the treatment of severe AATD-LD ;</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commercial infrastructure to commercialize or co-commercialize selected product candidates, if approved;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development of our product candidates in any additional potential indications;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CMOs to develop manufacturing processes and scale-up for Phase 3 studies and potential commercialization;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maintain, or obtain freedom to operate for our technologies and product candidates;</w:t>
      </w:r>
    </w:p>
    <w:p>
      <w:pPr>
        <w:spacing w:after="0" w:line="225" w:lineRule="exact"/>
        <w:rPr>
          <w:rFonts w:ascii="Times New Roman" w:cs="Times New Roman" w:eastAsia="Times New Roman" w:hAnsi="Times New Roman"/>
          <w:sz w:val="18"/>
          <w:szCs w:val="18"/>
          <w:color w:val="auto"/>
        </w:rPr>
      </w:pPr>
    </w:p>
    <w:p>
      <w:pPr>
        <w:jc w:val="both"/>
        <w:ind w:left="1140" w:right="440" w:hanging="383"/>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legal and management personnel, including personnel to support the development of our product candidates and potential future commercialization or co-commercialization efforts and support our operations as a U.S. public company listed on Nasdaq;</w:t>
      </w:r>
    </w:p>
    <w:p>
      <w:pPr>
        <w:spacing w:after="0" w:line="175"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and potentially hire additional employees in the U.K., U.S. and in Europe, territories where we anticipate direct commercialization or commercialization with a partner;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acquire additional novel product candidates to treat rare diseases in the future.</w:t>
      </w:r>
    </w:p>
    <w:p>
      <w:pPr>
        <w:spacing w:after="0" w:line="225"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the acquisition and clinical development of our product candidates. We have not completed the clinical development of any product through approval and have never generated any revenue from product sales.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product candidates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if approved, or entering into strategic relationships for our current and future product candidates. We are only in the preliminary stages of many of these activities. We may never succeed in these activities and, even if we do, we may never generate revenue that is significant enough to achieve profitability.</w:t>
      </w:r>
    </w:p>
    <w:p>
      <w:pPr>
        <w:spacing w:after="0" w:line="18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18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Furthermore, adoption by the medical community of our product candidates, if approved, may be limited if third-party payors offer inadequate reimbursement coverage. Cost control initiatives may decrease coverage and payment levels for our product candidates, which in turn would negatively affect the price that we will be able to charge for such product candidates. We are unable to predict the coverage that will be provided by private or government payors for any product we have in development. Any denial of private or government payor coverage, inadequate reimbursement for our product candidates, or delay in receipt of reimbursement payments could harm our business and, even if we do generate product royalties or product sales, we may never achieve or sustain profitability. Our failure to sustain profitability would depress the market price of our ADSs and could impair our ability to raise capital, acquire new product candidates, expand our business, or continue our operations. A decline in the market price of our ADSs also could cause you to lose all or a part of your investment.</w:t>
      </w:r>
    </w:p>
    <w:p>
      <w:pPr>
        <w:spacing w:after="0" w:line="188" w:lineRule="exact"/>
        <w:rPr>
          <w:sz w:val="20"/>
          <w:szCs w:val="20"/>
          <w:color w:val="auto"/>
        </w:rPr>
      </w:pPr>
    </w:p>
    <w:p>
      <w:pPr>
        <w:ind w:right="5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15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While we have raised approximately $259 million since 2020 through private placements of ordinary shares and convertible loan notes in 2020, a public offering of ADSs in February 2021, an “at-the-market” offering of ADSs in 2023, and an underwritten registered direct offering of ADSs in 2024, we expect our expenses to increase substantially in connection with our ongoing activities, particularly as we continue to advance our rare disease portfolio. In addition, if we obtain marketing approval for product candidates where we retain commercial rights, we expect to incur significant commercialization expenses related to product sales, marketing, distribution and manufacturing. Furthermore, we expect to continue to incur additional costs associated with operating as a publicly traded company in the U.S. and maintaining a listing on the Nasdaq Capital Market.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9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be sufficient to enable us to fund our operating expenses and capital expenditure requirements into mid-2027 at which point we will require additional capital. Our failure to obtain sufficient funds on acceptable terms when needed could have a material adverse effect on our business, results of operations and financial condition.</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have based our liquidity and capital resources estimates on assumptions that may prove to be wrong. As a result, we could use our capital resources sooner than we currently expect, or our operating plan may change as a result of many factors unknown to us. These factors, among others, may necessitate that we seek additional capital sooner than currently planned.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1140" w:right="60" w:hanging="383"/>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our activities related to our ongoing collaboration with Ultragenyx for setrusumab for the treatment of children and adults with OI, including the costs related to any regulatory interactions, and preparation for the potential commercialization of setrusumab, if approved, in Europe and the U.K, as well as costs for potential future clinical trials for alvelestat in AATD;</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clinical or commercial supplies of our product candidates;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1140" w:right="18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including post-marketing studies that could be required by regulatory authorities;</w:t>
      </w:r>
    </w:p>
    <w:p>
      <w:pPr>
        <w:spacing w:after="0" w:line="161" w:lineRule="exact"/>
        <w:rPr>
          <w:rFonts w:ascii="Times New Roman" w:cs="Times New Roman" w:eastAsia="Times New Roman" w:hAnsi="Times New Roman"/>
          <w:sz w:val="18"/>
          <w:szCs w:val="18"/>
          <w:color w:val="auto"/>
        </w:rPr>
      </w:pPr>
    </w:p>
    <w:p>
      <w:pPr>
        <w:ind w:left="1140" w:right="58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potential future commercialization activities, including manufacturing, marketing, sales, life cycle management and distribution, for any of our product candidates that we commercialize directly;</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revenue, if any, received from commercial sales of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 third party’s intellectual property rights;</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competitors and market developments;</w:t>
      </w:r>
    </w:p>
    <w:p>
      <w:pPr>
        <w:spacing w:after="0" w:line="225" w:lineRule="exact"/>
        <w:rPr>
          <w:rFonts w:ascii="Times New Roman" w:cs="Times New Roman" w:eastAsia="Times New Roman" w:hAnsi="Times New Roman"/>
          <w:sz w:val="18"/>
          <w:szCs w:val="18"/>
          <w:color w:val="auto"/>
        </w:rPr>
      </w:pPr>
    </w:p>
    <w:p>
      <w:pPr>
        <w:ind w:left="1140" w:right="102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collaborators and partners under the existing agreements on setrusumab, vantictumab, leflutrozole and navicixizumab;</w:t>
      </w:r>
    </w:p>
    <w:p>
      <w:pPr>
        <w:spacing w:after="0" w:line="161" w:lineRule="exact"/>
        <w:rPr>
          <w:rFonts w:ascii="Times New Roman" w:cs="Times New Roman" w:eastAsia="Times New Roman" w:hAnsi="Times New Roman"/>
          <w:sz w:val="18"/>
          <w:szCs w:val="18"/>
          <w:color w:val="auto"/>
        </w:rPr>
      </w:pPr>
    </w:p>
    <w:p>
      <w:pPr>
        <w:ind w:left="1140" w:right="38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and deferred payments under the Amended AstraZeneca Agreements;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or other assessments and our ability to claim R&amp;D tax credits or other reliefs.</w:t>
      </w:r>
    </w:p>
    <w:p>
      <w:pPr>
        <w:spacing w:after="0" w:line="22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Fundraising and business development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w:t>
      </w:r>
    </w:p>
    <w:p>
      <w:pPr>
        <w:spacing w:after="0" w:line="180"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Since our formation, we have devoted substantially all of our resources to acquiring our product candidates and developing setrusumab, alvelestat, etigilimab, acumapimod and leflutrozole; building our intellectual property portfolio; developing our supply chain; planning our business; raising capital; and providing general and administrative support for these operations. Additionally, prior to our acquisition of vantictumab, etigilimab and navicixizumab in the Merger, Mereo BioPharma 5 (formerly OncoMed) had invested significant resources to developing these product candidates. We have not yet demonstrated our ability to successfully complete any Phase 3 or other pivotal clinical trials, obtain regulatory approval, directly contract with third parties to manufacture commercial-scale product candidates,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from, and becoming a partner of choice for, pharmaceutical and biotechnology companies, nor have we demonstrated our ability to obtain approvals for or to commercialize or co-commercialize these product candidates. Consequently, any predictions you make about our future success or viability may not be as accurate as they could be if we had a longer operating history.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and acquire additional product candidates.</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Part of our strategy involves identifying and acquiring novel product candidates that have received significant investment from large pharmaceutical and biotechnology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0" w:name="page41"/>
    <w:bookmarkEnd w:id="40"/>
    <w:p>
      <w:pPr>
        <w:ind w:left="1140" w:right="34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acquire that have generated positive clinical data for our target indication or in diseases other than our target indications may not prove to be effective in treating our target indications;</w:t>
      </w:r>
    </w:p>
    <w:p>
      <w:pPr>
        <w:spacing w:after="0" w:line="161"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with further studies, be shown to have harmful side effects or other characteristics that indicate that they are unlikely to be product candidates that will receive marketing approval and achieve market acceptance;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a potential product may be too complex and difficult to navigate successfully or economically;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competitive bids for potential product candidates which we do not seek to or are unable to match.</w:t>
      </w:r>
    </w:p>
    <w:p>
      <w:pPr>
        <w:spacing w:after="0" w:line="225"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choose to focus our efforts and resources on a potential product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7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or adversely affect the rights of, our security holders, restrict our operations; or require us to relinquish rights to our technologies or product candidates.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may seek to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transactions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to decline.</w:t>
      </w:r>
    </w:p>
    <w:p>
      <w:pPr>
        <w:spacing w:after="0" w:line="19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setrusumab and alvelestat. We cannot give any assurance that any of these product candidates will receive regulatory approval, which is necessary before they can be commercialized. If we are unable to commercialize setrusumab and alvelestat, whether on our own or through agreements with third parties, or experience significant delays in doing so, our ability to generate revenue and our financial condition will be adversely affected.</w:t>
      </w:r>
    </w:p>
    <w:p>
      <w:pPr>
        <w:spacing w:after="0" w:line="180"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We do not currently generate any revenue from sales of any product candidates, and we may never be able to develop or commercialize a marketable product. We have invested substantially all of our efforts and financial resources in the acquisition and development of setrusumab and alvelestat, among other product candidates in our portfolio. Our ability to generate royalty and product revenues, which we do not expect will occur for at least the next several years, if ever, will depend heavily on the successful development and potential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by us or our partners, and significant marketing efforts before we generate any revenue from product sales or royalties.</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are not permitted to market or promote any product candidates in the U.S., EU, U.K., or other countries before we receive regulatory approval from the FDA, the EMA, or comparable U.K. or foreign regulatory authorities, and we may never receive such regulatory approval for our current product candidates. We have not submitted a BLA or an NDA to the FDA, a MAA or a conditional MA to the EMA, an MAA to the MHRA or comparable applications to other regulatory authorities. The success of our current product candidates will depend on many factors, including the following:</w:t>
      </w:r>
    </w:p>
    <w:p>
      <w:pPr>
        <w:spacing w:after="0" w:line="180" w:lineRule="exact"/>
        <w:rPr>
          <w:sz w:val="20"/>
          <w:szCs w:val="20"/>
          <w:color w:val="auto"/>
        </w:rPr>
      </w:pPr>
    </w:p>
    <w:p>
      <w:pPr>
        <w:ind w:left="1140" w:right="420" w:hanging="383"/>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with favorable results, including toxicology and other studies designed to be compliant with GLP;</w:t>
      </w:r>
    </w:p>
    <w:p>
      <w:pPr>
        <w:spacing w:after="0" w:line="161" w:lineRule="exact"/>
        <w:rPr>
          <w:rFonts w:ascii="Times New Roman" w:cs="Times New Roman" w:eastAsia="Times New Roman" w:hAnsi="Times New Roman"/>
          <w:sz w:val="18"/>
          <w:szCs w:val="18"/>
          <w:color w:val="auto"/>
        </w:rPr>
      </w:pPr>
    </w:p>
    <w:p>
      <w:pPr>
        <w:ind w:left="1140" w:right="520" w:hanging="383"/>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to proceed with clinical trials under Investigational New Drug applications (“INDs”), by the FDA, or of similar regulatory submissions by comparable foreign regulatory authorities for the conduct of clinical trials of our product candidates;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ind w:left="1140" w:right="26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and completion of clinical studies in accordance with Good Clinical Practice (“GCP”) requirements and other applicable rules and regulations;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observed in clinical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CROs and clinical sites for the clinical development of our product candidates;</w:t>
      </w:r>
    </w:p>
    <w:p>
      <w:pPr>
        <w:spacing w:after="0" w:line="225"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the safety, purity, and potency, or efficacy of our product candidates to the satisfaction of the FDA and other applicable regulatory authorities;</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including approvals of NDAs or BLAs from the FDA, or MAAs from the EMA or MHRA and maintaining any such approvals;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our third-party manufacturers for, or establishing, clinical or commercial manufacturing capabilities;</w:t>
      </w:r>
    </w:p>
    <w:p>
      <w:pPr>
        <w:spacing w:after="0" w:line="225"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 candidates, if and when approved, whether alone or in collaboration with others;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establishing and maintaining patent and trade secret protection or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for our product candidates following regulatory approval, if any;</w:t>
      </w:r>
    </w:p>
    <w:p>
      <w:pPr>
        <w:spacing w:after="0" w:line="225" w:lineRule="exact"/>
        <w:rPr>
          <w:rFonts w:ascii="Times New Roman" w:cs="Times New Roman" w:eastAsia="Times New Roman" w:hAnsi="Times New Roman"/>
          <w:sz w:val="18"/>
          <w:szCs w:val="18"/>
          <w:color w:val="auto"/>
        </w:rPr>
      </w:pPr>
    </w:p>
    <w:p>
      <w:pPr>
        <w:ind w:left="1140" w:right="70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our product candidates, if approved; and</w:t>
      </w:r>
    </w:p>
    <w:p>
      <w:pPr>
        <w:spacing w:after="0" w:line="161" w:lineRule="exact"/>
        <w:rPr>
          <w:rFonts w:ascii="Times New Roman" w:cs="Times New Roman" w:eastAsia="Times New Roman" w:hAnsi="Times New Roman"/>
          <w:sz w:val="18"/>
          <w:szCs w:val="18"/>
          <w:color w:val="auto"/>
        </w:rPr>
      </w:pPr>
    </w:p>
    <w:p>
      <w:pPr>
        <w:ind w:left="1140" w:right="120" w:hanging="383"/>
        <w:spacing w:after="0" w:line="26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acceptance of our current product candidates by patients, the medical community, and third-party payors; our ability to compete with other therapies to treat OI, AATD, ADO2 or certain oncology indications; continued acceptable safety profiles following approval of our current product candidates; and our ability to qualify for, maintain, enforce, and defend our intellectual property rights and claims.</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If we do not successfully manage one or more of these factors in a timely manner or at all, we could experience significant delays or may not be able to successfully commercialize our current product candidates.</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 candidates, if approved.</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plan to seek regulatory approval to commercialize, or co-commercialize, our current rare disease product candidates in the U.S., U.K. and the EU, and potentially in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licensing agreements for vantictumab, leflutrozole and navicixizumab, and the completion of a strategic partnership for setrusumab, and if we out-license or sell our non-core product candidates or out-license any of our core rare disease product candidates for any territories, we could be exposed to future liabilities.</w:t>
      </w:r>
    </w:p>
    <w:p>
      <w:pPr>
        <w:spacing w:after="0" w:line="17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January 2021, we completed a strategic partnership for setrusumab and announced the out-licenses of vantictumab, navicixizumab and leflutrozole in August 2025, January 2020 and December 2023, respectively. We plan to partner or sell or out-license our non-core product candidates, acumapimod for the treatment of AECOPD and etigilimab for the treatment of advanced solid tumors, recognizing the need for a larger sales infrastructure and greater resources to take these product candidates to market.</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may be exposed to future liabilities and/or obligations with respect to any such out-licensing or sale arrangements or partnerships. We may be required to set aside provisions for warranty claims or contingent liabilities in respect of such sales or out-licensing arrangements. We may be required to pay damages (including, but not limited to, litigation costs) to a purchaser or licensee to the extent that any representations or warranties that we had given to that purchaser or licensee prove to be inaccurate or to the extent that we have breached any of our covenants or obligations contained in the disposal documentation. In certain circumstances, it is possible that any incorrect representations and warranties could give rise to a right by the purchaser or licensee to unwind the contract in addition to receiving damages. Furthermore, we may become involved in disputes or litigation in connection with such product candidates. Certain obligations and liabilities associated with our prior management of the development of any disposed product candidate can also continue to exist notwithstanding any sale, such as liabilities arising from the infringement of intellectual property rights of others.</w:t>
      </w:r>
    </w:p>
    <w:p>
      <w:pPr>
        <w:spacing w:after="0" w:line="192"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As a result of the above, the total amount of costs and expenses that may be incurred with respect to liabilities associated with an out-license or sale may exceed our expectations, and we may experience other unanticipated adverse effects, all of which could adversely affect our business, financial condition, results of operations, and prospects.</w:t>
      </w:r>
    </w:p>
    <w:p>
      <w:pPr>
        <w:spacing w:after="0" w:line="17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unstable market, economic, political, regulatory and other risks in a number of international operations and business disruptions could seriously harm our financial condition and increase costs.</w:t>
      </w:r>
    </w:p>
    <w:p>
      <w:pPr>
        <w:spacing w:after="0" w:line="159" w:lineRule="exact"/>
        <w:rPr>
          <w:sz w:val="20"/>
          <w:szCs w:val="20"/>
          <w:color w:val="auto"/>
        </w:rPr>
      </w:pPr>
    </w:p>
    <w:p>
      <w:pPr>
        <w:ind w:right="100" w:firstLine="749"/>
        <w:spacing w:after="0" w:line="277" w:lineRule="auto"/>
        <w:rPr>
          <w:sz w:val="20"/>
          <w:szCs w:val="20"/>
          <w:color w:val="auto"/>
        </w:rPr>
      </w:pPr>
      <w:r>
        <w:rPr>
          <w:rFonts w:ascii="Times New Roman" w:cs="Times New Roman" w:eastAsia="Times New Roman" w:hAnsi="Times New Roman"/>
          <w:sz w:val="17"/>
          <w:szCs w:val="17"/>
          <w:color w:val="auto"/>
        </w:rPr>
        <w:t>The global credit and financial markets have experienced extreme volatility and disruptions (including as a result of the COVID-19 pandemic and actual or perceived changes in interest rates and economic inflation), which has included severely diminished liquidity and credit availability, declines in consumer confidence, declines in economic growth, high inflation, uncertainty about economic stability and swings in unemployment rates. The financial markets and the global economy may also be adversely affected by the current or anticipated impact of supply chain disruptions, labor shortages, fluctuations in currency exchange rates, changes in interest rates, trade barriers, tariffs, military conflict, acts of terrorism or other geopolitical events.</w:t>
      </w:r>
    </w:p>
    <w:p>
      <w:pPr>
        <w:spacing w:after="0" w:line="16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business is subject to many of these risks as we conduct business internationally. We source research and development, manufacturing, consulting, and other services from companies based throughout the U.S., the EU, the U.K., Switzerland and India and we conduct our clinical trials in the U.S., Canada, certain European countries, and other countries. Accordingly, our future results could be harmed by a variety of factors, any or all of which could disrupt our supply chain, adversely affect the cost of raw materials and other services, adversely affect our ability to conduct ongoing and future clinical trials of our product candidates, and adversely affect our ability to commercialize our products (subject to regulatory approval).</w:t>
      </w:r>
    </w:p>
    <w:p>
      <w:pPr>
        <w:spacing w:after="0" w:line="183"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non-U.K. economies and markets;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deteriorations in equity and credit markets making future equity or debt financing more difficult, more costly and more dilutive.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non-U.K. countries;</w:t>
      </w:r>
    </w:p>
    <w:p>
      <w:pPr>
        <w:spacing w:after="0" w:line="225"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for our intellectual property in such jurisdictions;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non-U.K. laws and regulations;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non-U.K. regulations and customs, tariffs, and trade barriers;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non-U.K. currency exchange rates of the pound sterling and currency controls;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3" w:name="page44"/>
    <w:bookmarkEnd w:id="43"/>
    <w:p>
      <w:pPr>
        <w:ind w:left="1140" w:right="6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 including the implications of the U.K.’s withdrawal from the EU;</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U.K. or non-U.K. governments;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non-U.K. markets;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outside of the U.K.;</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U.K.;</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225"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resulting from one or more of our current service providers, manufacturers and other partners not surviving an economic downturn,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225"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health epidemics and other widespread outbreaks of contagious disease, or natural disasters, including earthquakes, typhoons, hurricanes, floods and fires;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health epidemics.</w:t>
      </w:r>
    </w:p>
    <w:p>
      <w:pPr>
        <w:spacing w:after="0" w:line="221" w:lineRule="exact"/>
        <w:rPr>
          <w:sz w:val="20"/>
          <w:szCs w:val="20"/>
          <w:color w:val="auto"/>
        </w:rPr>
      </w:pPr>
    </w:p>
    <w:p>
      <w:pPr>
        <w:ind w:right="1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political and trade conditions could adversely affect our business, financial condition or results of operations and may exacerbate the effects of the risks described herein.</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Current global economic conditions are highly volatile due to a number of reasons, including geopolitical instability, such as the military conflicts between Russia and Ukraine, the various military conflicts in the Middle East, recent inflation that increased our operating expenses and disruptions in the capital and credit markets that may reduce our ability to raise additional capital when needed on acceptable terms, if at all. Emerging international trade relations, new legislation and tariffs may also adversely impact our operations and/or financial condition by limiting or preventing the activities of third parties that we engage, increasing import costs or increasing the cost of our operations. New or increased tariffs, export controls or other trade barriers could result in higher prices for the materials we use and the investigational products we are developing and could materially impact our supply chain and manufacturing costs. Furthermore, the recent inflationary environment related to increased aggregate demand and supply chain constraints has increased our operating expenses and may continue to affect our operating expenses. Economic conditions may also strain our suppliers, possibly resulting in supply disruptions that impact our ongoing clinical trials and other operations. A significant worsening of global economic conditions could materially increase these risks we face. Any new or prolonged downturn of global economic conditions could harm our business operations, and we cannot anticipate all of the ways in which the current economic climate and financial market conditions could adversely impact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ability to compete depends on retaining our key personnel and recruiting additional qualified personnel.</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including all of our senior management team, and scientific and technical personnel, many of whom have been instrumental for us and have substantial experience with rare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18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We aim to expand our development, regulatory, and sales and marketing capabilities, and as a result, we may encounter difficulties in managing our planned growth, which could disrupt our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To manage our planned future growth, we must continue to implement and improve our managerial, operational and financial systems, expand our facilities or acquire new facilities, and continue to retain, recruit and train additional qualified personnel. Due to our limited financial resources and the limited experience of our management team in managing a company with such planned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tax rates, unavailability of certain tax credits or reliefs, or exposure to additional tax liabilities or assessments could adversely affect our results of operations and financial condition.</w:t>
      </w:r>
    </w:p>
    <w:p>
      <w:pPr>
        <w:spacing w:after="0" w:line="15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As a U.K. resident trading entity, we are subject to U.K. corporate taxation. Due to the nature of our business, we have generated operating losses since formation. As of December 31, 2025 and 2024, we had cumulative carry-forward tax losses of $64.1 million and $36.6 million, respectively. The availability to carry forward and offset these tax loss carry-forwards against future operating profits is subject to certain restrictions.</w:t>
      </w:r>
    </w:p>
    <w:p>
      <w:pPr>
        <w:spacing w:after="0" w:line="176"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As a company that carries out extensive research and development (“R&amp;D”) activities, we historically benefited from the U.K. small and medium sized enterprises (“SME”) research and development relief (“SME R&amp;D Relief”), which provided relief against U.K. corporation tax and enabled us to surrender some of our trading losses that arose from our R&amp;D activities for a cash credit (the “R&amp;D tax credit”). Pursuant to changes made by the Finance Act 2023, a cash rebate of up to 27% of eligible R&amp;D expenditure is available for R&amp;D intensive companies where at least 40% of their total expenditure is on qualifying R&amp;D, or up to 18.6% of eligible R&amp;D expenditure for other companies. For expenditure incurred on or after April 1, 2023, certain subcontracted qualifying research expenditures are eligible for a cash rebate of up to 17.53% for R&amp;D intensive companies or 12.09% for other companies. The difference in cash rebate for qualifying subcontracted expenditure versus other qualifying expenditure is due to a statutory restriction of 65% being applied to unconnected qualifying subcontracted expenditure, thus restricting the benefit available.</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Pursuant to changes made by the Finance Act 2024, for accounting periods starting on or after April 1, 2024, the new merged scheme (“the Merged Scheme”) came into effect for all companies, other than loss making R&amp;D intensive SMEs. Under the Merged Scheme, a headline credit rate of 20% on eligible R&amp;D expenditure is available, and the credit is taxable at the applicable corporation tax rate. The amount of R&amp;D tax credit that a business can receive in any one year is capped at £20,000 plus three times the Company’s total Pay As You Earn (“PAYE”) and National Insurance Contributions (“NIC”) liability. Subcontracted expenditure in most cases is expected to be a qualifying cost (unless it relates to non-qualifying costs subcontracted overseas). For loss making R&amp;D intensive SMEs, the enhanced R&amp;D intensive support (“ERIS”) regime will be available (for companies where at least 30% of their total expenditure including any connected companies is on qualifying R&amp;D). We did not qualify as an R&amp;D intensive company for 2025, nor do we expect to in the future, and therefore we expect to claim under the Merged Scheme from 2025 onward. For the accounting period ended December 31, 2025 (the first year in which the Company will claim under the Merged Scheme), we expect to benefit from the taxable credit for qualifying R&amp;D expenditure, which may either be offset against corporation tax liabilities, or paid net of tax as a cash credit where there is no liability in the future. Based on the Company's prior year R&amp;D tax credit claims, we do not believe the new Merged Scheme could have a detrimental impact on our R&amp;D tax credit for the year ended December 31, 2025, which we anticipate receiving in cash in 2026. If tax authorities challenge our determinations and/or audit prior periods, there could be adverse tax consequences to us that could adversely affect the results of our operations and financial condition.</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the event we generate revenues in the future, we may also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these regimes, or we are unable to use net operating loss and tax credit carry forwards and certain built-in losses to reduce future tax payments, our business, results of operations, and financial condition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U.K.’s withdrawal from the EU, commonly referred to as Brexit, could negatively impact our business.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Brexit continues to create uncertainty concerning the future relationship between the U.K. and the EU, following the U.K.’s withdrawal from the EU in January 2020. Our principal office is located in the U.K. and together with our partners we conduct clinical trials in the EU. Since a significant portion of the regulatory framework in the U.K. is derived from EU laws, Brexit materially impacts the regulatory regime with respect to the development, manufacture, importation, approval and commercialization of our product candidates in the U.K. or the EU.</w:t>
      </w:r>
    </w:p>
    <w:p>
      <w:pPr>
        <w:spacing w:after="0" w:line="180"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EU laws that have been transposed into U.K. law through secondary legislation remain applicable in the U.K. While the EU-U.K. Trade and Cooperation Agreement (“TCA”) includes the mutual recognition of Good Manufacturing Practice (“GMP”)</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20"/>
        <w:spacing w:after="0" w:line="258" w:lineRule="auto"/>
        <w:rPr>
          <w:sz w:val="20"/>
          <w:szCs w:val="20"/>
          <w:color w:val="auto"/>
        </w:rPr>
      </w:pPr>
      <w:r>
        <w:rPr>
          <w:rFonts w:ascii="Times New Roman" w:cs="Times New Roman" w:eastAsia="Times New Roman" w:hAnsi="Times New Roman"/>
          <w:sz w:val="18"/>
          <w:szCs w:val="18"/>
          <w:color w:val="auto"/>
        </w:rPr>
        <w:t>inspections of manufacturing facilities for medicinal products and GMP documents issued, it does not contain wholesale mutual recognition of U.K. and EU pharmaceutical regulations and product standards. There may be divergent local requirements in the U.K. from the EU in the future, which may impact clinical and development activities that occur in the U.K. in the future. Similarly, clinical trial submissions in the U.K. will not be able to be bundled with those of EU countries within the EMA Clinical Trial Information System (“CTIS”), adding further complexity, cost and potential risk to future clinical and development activity in the U.K.</w:t>
      </w:r>
    </w:p>
    <w:p>
      <w:pPr>
        <w:spacing w:after="0" w:line="183"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Since the regulatory framework in the U.K. covering quality, safety and efficacy of pharmaceutical products, clinical trials, marketing authorization (“MA”), commercial sales and distribution of pharmaceutical products is derived from EU directives and regulations, Brexit could materially impact the future regulatory regime with respect to the potential commercialization of our products in the U.K. 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 Any delay in commercializing our products in the U.K. and/or the EU could restrict our ability to generate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Manufacturing and Regulatory Approval</w:t>
      </w:r>
    </w:p>
    <w:p>
      <w:pPr>
        <w:spacing w:after="0" w:line="225" w:lineRule="exact"/>
        <w:rPr>
          <w:sz w:val="20"/>
          <w:szCs w:val="20"/>
          <w:color w:val="auto"/>
        </w:rPr>
      </w:pPr>
    </w:p>
    <w:p>
      <w:pPr>
        <w:jc w:val="both"/>
        <w:ind w:right="2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Prior to our acquisition of setrusumab, alvelestat, vantictumab, etigilimab, acumapimod, leflutrozole and navicixizumab, we were not involved in the development of these product candidates and, as a result, we are dependent on Novartis, AstraZeneca and Mereo BioPharma 5 (formerly OncoMed) having accurately reported the results and correctly collected and interpreted the data from all clinical trials conducted prior to our acquisition.</w:t>
      </w:r>
    </w:p>
    <w:p>
      <w:pPr>
        <w:spacing w:after="0" w:line="15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were not involved in the development of our current product candidates prior to our acquisition of such product candidates from Novartis, AstraZeneca and Mereo BioPharma 5. For all of our current product candidates, we have had no involvement with or control over their manufacturing or pre-clinical and clinical development prior to our acquisition of them. We are dependent on Novartis, AstraZeneca and Mereo BioPharma 5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AstraZeneca or Mereo BioPharma 5 has not done this, the clinical development, regulatory approval, or commercialization of our product candidates may be adversely affected.</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and preclinical development involves a lengthy and expensive process with an uncertain outcome. Any difficulties or delays in the commencement or completion, or the termination or suspension, of our or our partners current or planned clinical trials could result in increased costs to us, delay or limit our ability to generate revenue or adversely affect our commercial prospects.</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Before obtaining approval from regulatory authorities for the commercialization of any of our product candidates, we must conduct extensive clinical trials to demonstrate the safety and efficacy of the product candidate, or with respect to product candidates regulated as biologics, safety, purity and potency, in humans. Before we can initiate clinical trials for any product candidates, we must submit the results of preclinical studies to the FDA or comparable foreign regulatory authorities (including the EMA and MHRA) along with other information, including information about product candidate chemistry, manufacturing and controls and our proposed clinical trial protocol, as part of an IND or similar regulatory submission. The FDA or comparable foreign regulatory authorities (including the EMA and MHRA)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6" w:name="page47"/>
    <w:bookmarkEnd w:id="46"/>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or results from trials earlier in the clinical development process. Moreover, preclinical and clinical data are often susceptible to varying interpretations and analyses. A number of companies in the pharmaceutical and biotechnology industries have suffered significant setbacks in clinical development even after achieving promising results in earlier studies. For example, the results of the top-line data from the setrusumab Phase 3 Orbit and Cosmic studies. See “Item 1. Business—Core Rare Disease Product Candidates—Setrusumab (BPS-804/UX143) for the Treatment of Osteogenesis Imperfecta—Top-line Data from Setrusumab Phase 3 Orbit and Cosmic Studies.”</w:t>
      </w:r>
    </w:p>
    <w:p>
      <w:pPr>
        <w:spacing w:after="0" w:line="188"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We do not know whether our planned clinical trials will begin on time or be completed on schedule, if at all. The commencement, data readouts and completion of clinical trials can be delayed for a number of reasons, including delays related to:</w:t>
      </w:r>
    </w:p>
    <w:p>
      <w:pPr>
        <w:spacing w:after="0" w:line="162" w:lineRule="exact"/>
        <w:rPr>
          <w:sz w:val="20"/>
          <w:szCs w:val="20"/>
          <w:color w:val="auto"/>
        </w:rPr>
      </w:pPr>
    </w:p>
    <w:p>
      <w:pPr>
        <w:ind w:left="1140" w:right="32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toxicology, or other in vivo or in vitro data to support the initiation or continuation of clinical trials;</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allowance or approval from regulatory authorities to commence a trial or reaching a consensus with regulatory authorities on trial design;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MHRA or comparable foreign regulatory authorities disagreeing as to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or positive opinion from one or more institutional review boards (“IRBs”), or ethics committees at clinical trial sites;</w:t>
      </w:r>
    </w:p>
    <w:p>
      <w:pPr>
        <w:spacing w:after="0" w:line="225"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refusing to approve, suspending or terminating the trial at an investigational site, precluding enrollment of additional subjects, or withdrawing their approval of the trial;</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amendments to the clinical trial protocol;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trial protocol or dropping out of a trial;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to perform in accordance with GCP requirements or applicable regulatory rules and guidelines in other countries;</w:t>
      </w:r>
    </w:p>
    <w:p>
      <w:pPr>
        <w:spacing w:after="0" w:line="225"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our product candidates, or obtaining sufficient quantities of combination therapies for use in clinical trials;</w:t>
      </w:r>
    </w:p>
    <w:p>
      <w:pPr>
        <w:spacing w:after="0" w:line="16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post-treatment follow-up, including subjects failing to remain in our trials;</w:t>
      </w:r>
    </w:p>
    <w:p>
      <w:pPr>
        <w:spacing w:after="0" w:line="161" w:lineRule="exact"/>
        <w:rPr>
          <w:rFonts w:ascii="Times New Roman" w:cs="Times New Roman" w:eastAsia="Times New Roman" w:hAnsi="Times New Roman"/>
          <w:sz w:val="18"/>
          <w:szCs w:val="18"/>
          <w:color w:val="auto"/>
        </w:rPr>
      </w:pPr>
    </w:p>
    <w:p>
      <w:pPr>
        <w:ind w:left="1140" w:right="70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choosing an alternative product for the indications for which we are developing our product candidates, or participating in competing clinical trials;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a clinical trial, or costs being greater than we anticipate;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serious unexpected drug-related adverse effects;</w:t>
      </w:r>
    </w:p>
    <w:p>
      <w:pPr>
        <w:spacing w:after="0" w:line="225"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 that could be considered similar to our product candidates;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pacing w:after="0" w:line="225" w:lineRule="exact"/>
        <w:rPr>
          <w:rFonts w:ascii="Times New Roman" w:cs="Times New Roman" w:eastAsia="Times New Roman" w:hAnsi="Times New Roman"/>
          <w:sz w:val="18"/>
          <w:szCs w:val="18"/>
          <w:color w:val="auto"/>
        </w:rPr>
      </w:pPr>
    </w:p>
    <w:p>
      <w:pPr>
        <w:ind w:left="1140" w:right="20" w:hanging="383"/>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CMO delays or failure by our CMOs or us to make any necessary changes to such manufacturing process, or failure of our CMOs to produce clinical trial materials in accordance with current Good Manufacturing Practice (“cGMP”) or similar foreign requirements, regulations or other applicable requirements; and</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 in a timely manner.</w:t>
      </w:r>
    </w:p>
    <w:p>
      <w:pPr>
        <w:spacing w:after="0" w:line="22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EMA, MHRA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w:t>
      </w:r>
    </w:p>
    <w:p>
      <w:pPr>
        <w:spacing w:after="0" w:line="194"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94"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spacing w:after="0" w:line="16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Furthermore, on April 28, 2025, the U.K. adopted an amendment to the Medicines for Human Use (Clinical Trials) Regulations 2004 intended to support a more streamlined and flexible regulation of clinical trials, removing unnecessary administrative burdens on trial sponsors, whilst protecting the interests of trial participants. It also intends to bring the U.K. regulatory framework for clinical trials, which is still based on the EU Clinical Trials Directive, into closer alignment with the CTR. The amendment will become applicable on April 28, 2026 following a one-year transition period. Further, conducting clinical trials in foreign countries, as we may do for our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and prospects.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and our partners'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180"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other foreign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92" w:lineRule="exact"/>
        <w:rPr>
          <w:sz w:val="20"/>
          <w:szCs w:val="20"/>
          <w:color w:val="auto"/>
        </w:rPr>
      </w:pPr>
    </w:p>
    <w:p>
      <w:pPr>
        <w:ind w:right="120" w:firstLine="749"/>
        <w:spacing w:after="0" w:line="274" w:lineRule="auto"/>
        <w:rPr>
          <w:sz w:val="20"/>
          <w:szCs w:val="20"/>
          <w:color w:val="auto"/>
        </w:rPr>
      </w:pPr>
      <w:r>
        <w:rPr>
          <w:rFonts w:ascii="Times New Roman" w:cs="Times New Roman" w:eastAsia="Times New Roman" w:hAnsi="Times New Roman"/>
          <w:sz w:val="17"/>
          <w:szCs w:val="17"/>
          <w:color w:val="auto"/>
        </w:rPr>
        <w:t>Results of our ongoing and future clinical trials, or results from clinical trials for other similar product candidates, could reveal a high and unacceptable severity and prevalence of adverse side effects. In such an event, development efforts of that product candidate altogether. We, our partners, the FDA, other comparable foreign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Drug-related side effects could also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76" w:lineRule="exact"/>
        <w:rPr>
          <w:sz w:val="20"/>
          <w:szCs w:val="20"/>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modify approvals of any such product and require us to take it off the market;</w:t>
      </w:r>
    </w:p>
    <w:p>
      <w:pPr>
        <w:spacing w:after="0" w:line="225"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161" w:lineRule="exact"/>
        <w:rPr>
          <w:rFonts w:ascii="Times New Roman" w:cs="Times New Roman" w:eastAsia="Times New Roman" w:hAnsi="Times New Roman"/>
          <w:sz w:val="18"/>
          <w:szCs w:val="18"/>
          <w:color w:val="auto"/>
        </w:rPr>
      </w:pPr>
    </w:p>
    <w:p>
      <w:pPr>
        <w:jc w:val="both"/>
        <w:ind w:left="1140" w:right="740" w:hanging="383"/>
        <w:spacing w:after="0" w:line="312"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139"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conduct additional clinical trials or change the labeling of a product;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225"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private or government payors may not offer, or may offer inadequate, reimbursement coverage for our product candidates, or reimbursement payments may be delayed or impossible to recover;</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tests of setrusumab have shown that it may cause an opalescence appearance to the liquid antibody formulation.</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product candidate for treating OI, setrusumab, is of the IgG2 type subclass monoclonal antibody. The IgG2 subclass is known for having a tendency to reversibly self-associate and this can cause an opalescence appearance to the liquid antibody formulation that can be mediated by protein concentration, pH and temperature. The presence of an opalescence solution does not have an impact on product potency and effectiveness and does not generally correlate with the formation of aggregates or particles. We have conducted several large-scale manufacturing runs of drug substance and drug product at third-party CMOs without observing any opalescence and we have further conducted formulation studies in order to minimize any risk of significant opalescence or of aggregate formation. We have also conducted product stability studies and excipient optimization, resulting in a change in the methodology for product reconstitution; however, there can be no assurances that this opalescence will not occur in future manufacturing runs.</w:t>
      </w:r>
    </w:p>
    <w:p>
      <w:pPr>
        <w:spacing w:after="0" w:line="18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17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We will compete with other companies in enrolling the same limited population of patients, which may further challenge our ability to timely enroll patients in our clinical trials as there are a significant number of studies ongoing in oncology in the U.S. and Europe. Due to the small number of patients for any rare disease or tumor type, it may be difficult for us to enroll a sufficient number of patients in our clinical trials for our product candidates with indications in rare diseases or enrollment for these product candidates may take significantly longer than we anticipate. There are an estimated 50,000 and 60,000 persons in North America and Europe, respectively, with the genotypes that we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right="1020"/>
        <w:spacing w:after="0" w:line="282" w:lineRule="auto"/>
        <w:rPr>
          <w:sz w:val="20"/>
          <w:szCs w:val="20"/>
          <w:color w:val="auto"/>
        </w:rPr>
      </w:pPr>
      <w:r>
        <w:rPr>
          <w:rFonts w:ascii="Times New Roman" w:cs="Times New Roman" w:eastAsia="Times New Roman" w:hAnsi="Times New Roman"/>
          <w:sz w:val="18"/>
          <w:szCs w:val="18"/>
          <w:color w:val="auto"/>
        </w:rPr>
        <w:t>could enroll in our clinical trials for AATD-LD, the target indication for alvelestat. However, due to underdiagnosis, there are estimated to be approximately 10,000 patients diagnosed in North America. Patient enrollment depends on many factors, including:</w:t>
      </w:r>
    </w:p>
    <w:p>
      <w:pPr>
        <w:spacing w:after="0" w:line="162" w:lineRule="exact"/>
        <w:rPr>
          <w:sz w:val="20"/>
          <w:szCs w:val="20"/>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targeted patient population;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or condition under investigation;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therapies for the disease or condition under investigation;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25" w:lineRule="exact"/>
        <w:rPr>
          <w:rFonts w:ascii="Times New Roman" w:cs="Times New Roman" w:eastAsia="Times New Roman" w:hAnsi="Times New Roman"/>
          <w:sz w:val="18"/>
          <w:szCs w:val="18"/>
          <w:color w:val="auto"/>
        </w:rPr>
      </w:pPr>
    </w:p>
    <w:p>
      <w:pPr>
        <w:ind w:left="1140" w:right="460" w:hanging="383"/>
        <w:spacing w:after="0" w:line="266"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such trials before completion.</w:t>
      </w:r>
    </w:p>
    <w:p>
      <w:pPr>
        <w:spacing w:after="0" w:line="225" w:lineRule="exact"/>
        <w:rPr>
          <w:sz w:val="20"/>
          <w:szCs w:val="20"/>
          <w:color w:val="auto"/>
        </w:rPr>
      </w:pPr>
    </w:p>
    <w:p>
      <w:pPr>
        <w:jc w:val="both"/>
        <w:ind w:right="140" w:firstLine="749"/>
        <w:spacing w:after="0" w:line="257" w:lineRule="auto"/>
        <w:rPr>
          <w:sz w:val="20"/>
          <w:szCs w:val="20"/>
          <w:color w:val="auto"/>
        </w:rPr>
      </w:pPr>
      <w:r>
        <w:rPr>
          <w:rFonts w:ascii="Times New Roman" w:cs="Times New Roman" w:eastAsia="Times New Roman" w:hAnsi="Times New Roman"/>
          <w:sz w:val="18"/>
          <w:szCs w:val="18"/>
          <w:color w:val="auto"/>
        </w:rPr>
        <w:t>These factors and others outside our control may make it difficult for us to enroll enough patients to complete our clinical trials in a timely and cost-effective manner.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development, manufacturing, marketing, and use of pharmaceutical product candidates. Currently, we have no product candidates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189" w:lineRule="exact"/>
        <w:rPr>
          <w:sz w:val="20"/>
          <w:szCs w:val="20"/>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related litigation;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 product recalls or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co-commercialize or promote our product candidates.</w:t>
      </w:r>
    </w:p>
    <w:p>
      <w:pPr>
        <w:spacing w:after="0" w:line="225" w:lineRule="exact"/>
        <w:rPr>
          <w:sz w:val="20"/>
          <w:szCs w:val="20"/>
          <w:color w:val="auto"/>
        </w:rPr>
      </w:pPr>
    </w:p>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Although we maintain product liability insurance for our product candidates, it is possible that our liabilities could exceed our insurance coverage. We intend to expand our coverage to include the sale of commercial product candidates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7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such as the EMA and MHRA, are lengthy, time consuming and inherently unpredictable, and if we are ultimately unable to obtain regulatory approval for our product candidates, our business will be harmed substantially.</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are subject to extensive regulation by the FDA in the U.S. and by comparable foreign regulatory authorities in foreign markets, such as the EMA and MHRA. In the U.S., we are not permitted to market our product candidates in the U.S. until we receive regulatory approval of a BLA or NDA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and comparable foreign regulatory authorities, such as the EMA and MHRA,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drugs in development, only a small percentage successfully complete the FDA, EMA, MHRA or comparable foreign regulatory approval processes and are commercialized.</w:t>
      </w:r>
    </w:p>
    <w:p>
      <w:pPr>
        <w:spacing w:after="0" w:line="19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U.S. or abroad, we must demonstrate with substantial evidence from adequate and well-controlled clinical trials, and to the satisfaction of the FDA or comparable foreign regulatory authorities, including the EMA and MHRA, that such product candidates are safe and effective for their intended uses, and in the case of biological products, that such product candidates are safe, pure and potent. Results from nonclinical studies and clinical trials can be interpreted in different ways. Even if we believe available nonclinical or clinical data support the safety purity, potency, or efficacy, of our product candidates, such data may not be sufficient to obtain approval from the FDA and comparable foreign regulatory authorities, including the EMA and MHRA. The FDA, EMA, MHRA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FDA, EMA, MHRA or comparable foreign regulatory authorities can delay, limit or deny approval of a product candidate for many reasons,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w:t>
      </w:r>
    </w:p>
    <w:p>
      <w:pPr>
        <w:spacing w:after="0" w:line="207" w:lineRule="exact"/>
        <w:rPr>
          <w:sz w:val="20"/>
          <w:szCs w:val="20"/>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execution of our clinical trials;</w:t>
      </w:r>
    </w:p>
    <w:p>
      <w:pPr>
        <w:spacing w:after="0" w:line="225"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EMA, MHRA or comparable foreign regulatory agencies for approval;</w:t>
      </w:r>
    </w:p>
    <w:p>
      <w:pPr>
        <w:spacing w:after="0" w:line="161" w:lineRule="exact"/>
        <w:rPr>
          <w:rFonts w:ascii="Times New Roman" w:cs="Times New Roman" w:eastAsia="Times New Roman" w:hAnsi="Times New Roman"/>
          <w:sz w:val="18"/>
          <w:szCs w:val="18"/>
          <w:color w:val="auto"/>
        </w:rPr>
      </w:pPr>
    </w:p>
    <w:p>
      <w:pPr>
        <w:ind w:left="1140" w:right="44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left="1140" w:right="40" w:hanging="383"/>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161"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that are conducted at clinical facilities or in countries where the standard of care is potentially different from that of their own country;</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225" w:lineRule="exact"/>
        <w:rPr>
          <w:rFonts w:ascii="Times New Roman" w:cs="Times New Roman" w:eastAsia="Times New Roman" w:hAnsi="Times New Roman"/>
          <w:sz w:val="18"/>
          <w:szCs w:val="18"/>
          <w:color w:val="auto"/>
        </w:rPr>
      </w:pPr>
    </w:p>
    <w:p>
      <w:pPr>
        <w:ind w:left="1140" w:right="20" w:hanging="383"/>
        <w:spacing w:after="0" w:line="266"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NDA, MAA or other submission or to obtain regulatory approval in the U.S. or elsewhere, and such authorities may impose requirements for additional preclinical studies or clinical trials;</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us regarding the formulation, labeling and/or the product specifications of our product candidates;</w:t>
      </w:r>
    </w:p>
    <w:p>
      <w:pPr>
        <w:spacing w:after="0" w:line="225"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those sought by us, and/or may include significant restrictions on distribution and use;</w:t>
      </w:r>
    </w:p>
    <w:p>
      <w:pPr>
        <w:spacing w:after="0" w:line="161"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the third-party manufacturers with which we contract for clinical and commercial supplies; or</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With respect to foreign markets, approval procedures vary among countries and, in addition to the foregoing risks, may involve additional product testing, administrative review periods and agreements with pricing authorities.</w:t>
      </w:r>
    </w:p>
    <w:p>
      <w:pPr>
        <w:spacing w:after="0" w:line="16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of a BLA, NDA, MAA or comparable marketing application for our product candidates, the FDA, EMA, MHRA or a comparable regulatory authority may grant approval contingent on the performance of costly additional clinical trials and/or the implementation of a REMS, which may be required because the FDA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 In addition, the FDA, EMA, MHRA and comparable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EC in November 2020. On April 26, 2023, the EC published a proposal for a new Directive and Regulation to revise the existing pharmaceutical legislation. The European Parliament and the Council of the European Union adopted their respective positions on April 10, 2024 and June 4, 2025. On 11 December 2025, EU Institutions reached a political agreement on the proposals and the agreed text was endorsed by the COREPER I of the Council of the European Union on 6 March 2026, and is expected to be endorsed by the European Parliament’s Public Health Committee (SANT) in late March 2026. The final votes and adoption by the Council’s Ministers of Health (EPSCO) and European Parliament Plenary is expected by September 2026. It is anticipated that the new legislation will be fully applicable in 2028, following a two-year transition period in which EU member states are expected to update their national laws to align with the new rules. Key measures in the new legislation are expected to include a new exclusivity framework, enhanced incentives for orphan drugs and antibiotics, an expanded Bolar exemption, and a shortened regulatory assessment timeframe. These measures could potentially reduce the duration of regulatory data protection and revise the eligibility for expedited pathways, among other things. The revisions may have a significant impact on the pharmaceutical industry and our business in the long term.</w:t>
      </w:r>
    </w:p>
    <w:p>
      <w:pPr>
        <w:spacing w:after="0" w:line="1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or comparable foreign regulatory authorities, such as the EMA and MHRA,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may in the future seek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line="258" w:lineRule="auto"/>
        <w:rPr>
          <w:sz w:val="20"/>
          <w:szCs w:val="20"/>
          <w:color w:val="auto"/>
        </w:rPr>
      </w:pPr>
      <w:r>
        <w:rPr>
          <w:rFonts w:ascii="Times New Roman" w:cs="Times New Roman" w:eastAsia="Times New Roman" w:hAnsi="Times New Roman"/>
          <w:sz w:val="18"/>
          <w:szCs w:val="18"/>
          <w:color w:val="auto"/>
        </w:rPr>
        <w:t>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83"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clinical benefit. If such post-approval studies fail to confirm the drug’s clinical benefit or are not completed in a timely manner, the FDA may withdraw its approval of the drug on an expedited basis. In addition, the Food and Drug Omnibus Reform Act of 2022, among other things, provided FDA additional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spacing w:after="0" w:line="18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or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such as the EMA and MHRA,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8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funding shortages, staffing limitations or other factors could hinder their ability to hire and retain key leadership and other personnel, delay or prevent new products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ability of the FDA to operate, including to review and approve new products, provide feedback on clinical trials and development programs, meet with sponsors and otherwise review regulatory submissions can be affected by a variety of factors, including government budget and funding levels, ability to hire and retain key personnel and accept the payment of user fees and statutory, regulatory, and policy changes, including as a result of shifting policy among other factors. Average review times at the FDA and other government agencies may fluctuate as a result. In addition, government funding of other government agencies on which our operations may rely is subject to the political process, which is inherently fluid and unpredictable.</w:t>
      </w:r>
    </w:p>
    <w:p>
      <w:pPr>
        <w:spacing w:after="0" w:line="18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and biologics to be reviewed and/or approved by necessary government agencies or to otherwise respond to regulatory submissions, which would adversely affect our business. In recent years, the U.S. government has shut down multiple times and certain regulatory agencies, such as the FDA, have had to furlough critical FDA and other government employees and stop critical activities. In addition, the current U.S. Presidential administration has issued certain policies and Executive Orders aimed at reducing the workforce and operating costs of certain U.S. federal agencies, including the FDA, and it remains unclear the extent to which these actions may affect the FDA’s ability to conduct its regulatory review and oversight activities. If a prolonged government shutdown occurs, or if staffing shortages, funding limitations or similar factors prevent the FDA and other government agencies from conducting their regular activities, it could significantly impact the ability of the FDA or such other governmental agencies to timely review and process our regulatory submissions, which could have a material adverse effect on our business.</w:t>
      </w:r>
    </w:p>
    <w:p>
      <w:pPr>
        <w:spacing w:after="0" w:line="18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If the FDA or a comparable foreign regulatory authority, such as the EMA and MHRA, approves any of our product candidates, the manufacturing processes, labeling, packaging, distribution, adverse event reporting, storage, advertising, promotion, and recordkeeping for such product will be subject to extensive and ongoing regulatory requirements. These requirements include submissions of safety and other post-marketing information and reports, facility registration, and drug listing, as well as continued compliance with cGMP or similar foreign requirements for manufacturing, good distribution practice, requirements for product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distribution, and GCP requirements for any clinical trials that we conduct post-approval, all of which may result in significant expense and limit our ability to commercialize, or co-commercialize, a product. We and our contract manufacturers will also be subject to user fees and periodic inspection by the FDA, and other comparable foreign regulatory authorities to monitor compliance with these requirements and the terms of any product approval we may obtain.</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any regulatory approvals that we receive for a product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186"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requirements, including those of the EMA and MHRA, may subject our company to administrative or judicially imposed sanctions, including:</w:t>
      </w:r>
    </w:p>
    <w:p>
      <w:pPr>
        <w:spacing w:after="0" w:line="189" w:lineRule="exact"/>
        <w:rPr>
          <w:sz w:val="20"/>
          <w:szCs w:val="20"/>
          <w:color w:val="auto"/>
        </w:rPr>
      </w:pPr>
    </w:p>
    <w:p>
      <w:pPr>
        <w:ind w:left="1140" w:right="50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warning letters, untitled letters or holds on clinical trials;</w:t>
      </w:r>
    </w:p>
    <w:p>
      <w:pPr>
        <w:spacing w:after="0" w:line="225"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EMA, MHRA or comparable foreign regulatory authority to approve pending applications or supplements to approved applications submitted by us or suspension or revocation of approvals;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6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policies of the FDA, EMA, MHRA and other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the EU, or the U.K. or other jurisdictions.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of any of our product candidates in a major pharmaceutical market such as the U.S. or the EU, we may not be able to obtain approval or commercialize that product in other markets, which would limit our ability to realize our full market potential.</w:t>
      </w:r>
    </w:p>
    <w:p>
      <w:pPr>
        <w:spacing w:after="0" w:line="159" w:lineRule="exact"/>
        <w:rPr>
          <w:sz w:val="20"/>
          <w:szCs w:val="20"/>
          <w:color w:val="auto"/>
        </w:rPr>
      </w:pPr>
    </w:p>
    <w:p>
      <w:pPr>
        <w:jc w:val="both"/>
        <w:ind w:right="640" w:firstLine="749"/>
        <w:spacing w:after="0" w:line="257" w:lineRule="auto"/>
        <w:rPr>
          <w:sz w:val="20"/>
          <w:szCs w:val="20"/>
          <w:color w:val="auto"/>
        </w:rPr>
      </w:pPr>
      <w:r>
        <w:rPr>
          <w:rFonts w:ascii="Times New Roman" w:cs="Times New Roman" w:eastAsia="Times New Roman" w:hAnsi="Times New Roman"/>
          <w:sz w:val="18"/>
          <w:szCs w:val="18"/>
          <w:color w:val="auto"/>
        </w:rPr>
        <w:t>In order to market any product candidates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may be subject to unanticipated delays. In addition, our failure to obtain regulatory approval in any country may delay or have negative effects on the process for regulatory approval in other countries. We currently do not have any product candidates approved for sale in the U.S., the EU, the U.K. or any other markets, and our management team does not have experience in obtaining regulatory approval in markets outside of the U.S., the EU and the U.K.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CMOs, consultants, vendors, and any other third parties or partners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175"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Misconduct by our employees and independent contractors, including principal investigators, CROs, CMOs, consultants, vendors, and any other third parties or partners we may engage in connection with the development and commercialization of our product candidates,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We are also subject to the data privacy regime in the EU and U.K., which imposes obligations and restrictions on the collection and use of personal data relating to individuals located in the EU and U.K., respectively. If we do not comply with our obligations under these privacy regimes, we could be exposed to significant fines and may be the subject of litigation and/or adverse publicity, which could have a material adverse effect on our reputation and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Laws and Other Legal Compliance Matters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the U.S., EU, the U.K.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187" w:lineRule="exact"/>
        <w:rPr>
          <w:sz w:val="20"/>
          <w:szCs w:val="20"/>
          <w:color w:val="auto"/>
        </w:rPr>
      </w:pPr>
    </w:p>
    <w:p>
      <w:pPr>
        <w:ind w:left="1140" w:right="320" w:hanging="383"/>
        <w:spacing w:after="0" w:line="26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17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of branded and generic drugs, respectively;</w:t>
      </w:r>
    </w:p>
    <w:p>
      <w:pPr>
        <w:spacing w:after="0" w:line="161"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methodology by which rebates owed by manufacturers under the Medicaid Drug Rebate Program are calculated for drugs and biologics, including our product candidates, that are inhaled, infused, instilled, implanted, or injected;</w:t>
      </w:r>
    </w:p>
    <w:p>
      <w:pPr>
        <w:spacing w:after="0" w:line="161"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spacing w:after="0" w:line="161" w:lineRule="exact"/>
        <w:rPr>
          <w:rFonts w:ascii="Times New Roman" w:cs="Times New Roman" w:eastAsia="Times New Roman" w:hAnsi="Times New Roman"/>
          <w:sz w:val="18"/>
          <w:szCs w:val="18"/>
          <w:color w:val="auto"/>
        </w:rPr>
      </w:pPr>
    </w:p>
    <w:p>
      <w:pPr>
        <w:ind w:left="1140" w:right="360" w:hanging="383"/>
        <w:spacing w:after="0" w:line="26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ind w:left="1140" w:right="200" w:hanging="383"/>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161"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the CMS, to test innovative payment and service delivery models to lower Medicare and Medicaid spending, potentially including prescription drug spending;</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program;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 on biologic product candidates.</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In addition, other legislative changes have been proposed and adopted since the ACA was enacted. For example, on March 11, 2021, President Biden signed the American Rescue Plan Act of 2021 into law, which eliminated the statutory Medicaid drug rebate cap, beginning January 1, 2024. The rebate was previously capped at 100% of a drug’s average manufacturer price.</w:t>
      </w:r>
    </w:p>
    <w:p>
      <w:pPr>
        <w:spacing w:after="0" w:line="183"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Moreover, heightened governmental scrutiny is likely to continue over the manner in which manufacturers set prices for their marketed products, which has resulted in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redesigns the Medicare Part D benefit (beginning in 2024), and replaces the Part D coverage gap discount program with a new discounting program (which began in 2025). The IRA permits the Secretary of the Department of Health and Human Services, or HHS, to implement many of these provisions through guidance, as opposed to regulation, for the initial years. HHS has issued and will continue to issue guidance implementing the IRA. 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the pharmaceutical industry cannot yet be fully determined, it is likely to be significant. We expect that additional U.S. federal healthcare reform measures will be adopted in the future, any of which could limit the amounts that the U.S. federal government will pay for healthcare product candidates and services, which could result in reduced demand for our product candidates or additional pricing pressures.</w:t>
      </w:r>
    </w:p>
    <w:p>
      <w:pPr>
        <w:spacing w:after="0" w:line="19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the sales of any product candidate that we receive marketing authorization for and commercialize.</w:t>
      </w:r>
    </w:p>
    <w:p>
      <w:pPr>
        <w:spacing w:after="0" w:line="176"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current U.S. administration is pursuing a two-fold strategy to reduce drug costs in the U.S. While it is unclear whether and how the proposed policies will be implemented, these policies are likely to have a negative impact on the pharmaceutical industry and on our ability to receive adequate revenues for any product candidate that we receive marketing authorization for and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U.S.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 Individual states in the U.S.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right="320"/>
        <w:spacing w:after="0" w:line="282" w:lineRule="auto"/>
        <w:rPr>
          <w:sz w:val="20"/>
          <w:szCs w:val="20"/>
          <w:color w:val="auto"/>
        </w:rPr>
      </w:pPr>
      <w:r>
        <w:rPr>
          <w:rFonts w:ascii="Times New Roman" w:cs="Times New Roman" w:eastAsia="Times New Roman" w:hAnsi="Times New Roman"/>
          <w:sz w:val="18"/>
          <w:szCs w:val="18"/>
          <w:color w:val="auto"/>
        </w:rPr>
        <w:t>pharmaceutical product candidates and which suppliers will be included in their prescription drug and other healthcare programs. This could reduce the ultimate demand for our product candidates or put pressure on our product pricing.</w:t>
      </w:r>
    </w:p>
    <w:p>
      <w:pPr>
        <w:spacing w:after="0" w:line="162"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In addition, in May 2025, the Trump administration issued an executive order entitled “Delivering Most-Favored-Nation Prescription Drug Pricing to American Patients”, which, among other things, directs the U.S. Department of Health and Human Services and other agencies to communicate most-favored-nation price, or MFN, targets to pharmaceutical manufacturers to bring prices for U.S. patients in line with comparably developed nations and to facilitate direct-to-consumer purchasing programs. It is currently unclear whether and to what extent these measures will be implemented and what impact any such implementation would have on our business. Further, there can be no assurance that the current administration or future administrations will not pursue different or additional measures that could impact drug pricing in the U.S., Europe or other markets in which we or our partners may commercialize one or more of our product candidates.</w:t>
      </w:r>
    </w:p>
    <w:p>
      <w:pPr>
        <w:spacing w:after="0" w:line="18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In the EU and U.K., similar political, economic and regulatory developments may affect our ability to profitably commercialize, or co-commercialize, our product candidates, if approved. In addition to continuing pressure on prices and cost containment measures, legislative developments at the EU member state level or in the U.K.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 candidates in that context. In general, however, the healthcare budgetary constraints in most EU member states have resulted in restrictions on the pricing and reimbursement of medicines by relevant health service providers. Coupled with ever- increasing EU and national regulatory burdens on those wishing to develop and market product candidates, this could prevent or delay marketing approval of our product candidates, restrict or regulate post-approval activities and affect our ability to commercialize, or co-commercialize, our product candidates, if approved.</w:t>
      </w:r>
    </w:p>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December 13, 2021, EU Regulation No 2021/2282 on HTA amending Directive 2011/24/EU, was adopted. The Regulation entered into force in January 2022 and has been applicable since January 2025, with preparatory and implementation-related steps to take place in the interim. Once applicable, it will have a phased implementation depending on the concerned products: oncology and advanced therapy medicinal products (“ATMPs”) as of 2025, orphan medicinal products as of 2028 and 2030 for all other medicinal products. This Regulation intends to boost cooperation among EU member states in assessing health technologies, including new medicinal products, and provide the basis for cooperation at the EU level for joint clinical assessments in these areas, using methodologies adapted to the specificities of the type of product in question.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In markets outside of the U.S., the EU and the U.K., reimbursement and healthcare payment systems vary significantly by country, and many countries have instituted price ceilings on specific product candidates and therapies.</w:t>
      </w:r>
    </w:p>
    <w:p>
      <w:pPr>
        <w:spacing w:after="0" w:line="16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U.S., the EU, the U.K.,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additional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ind w:left="1140" w:right="180" w:hanging="383"/>
        <w:spacing w:after="0" w:line="254"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191" w:lineRule="exact"/>
        <w:rPr>
          <w:rFonts w:ascii="Times New Roman" w:cs="Times New Roman" w:eastAsia="Times New Roman" w:hAnsi="Times New Roman"/>
          <w:sz w:val="18"/>
          <w:szCs w:val="18"/>
          <w:color w:val="auto"/>
        </w:rPr>
      </w:pPr>
    </w:p>
    <w:p>
      <w:pPr>
        <w:ind w:left="1140" w:right="20" w:hanging="383"/>
        <w:spacing w:after="0" w:line="253"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194" w:lineRule="exact"/>
        <w:rPr>
          <w:rFonts w:ascii="Times New Roman" w:cs="Times New Roman" w:eastAsia="Times New Roman" w:hAnsi="Times New Roman"/>
          <w:sz w:val="18"/>
          <w:szCs w:val="18"/>
          <w:color w:val="auto"/>
        </w:rPr>
      </w:pPr>
    </w:p>
    <w:p>
      <w:pPr>
        <w:ind w:left="1140" w:right="300" w:hanging="383"/>
        <w:spacing w:after="0" w:line="255"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8" w:lineRule="exact"/>
        <w:rPr>
          <w:rFonts w:ascii="Times New Roman" w:cs="Times New Roman" w:eastAsia="Times New Roman" w:hAnsi="Times New Roman"/>
          <w:sz w:val="18"/>
          <w:szCs w:val="18"/>
          <w:color w:val="auto"/>
        </w:rPr>
      </w:pPr>
    </w:p>
    <w:p>
      <w:pPr>
        <w:ind w:left="1140" w:right="40" w:hanging="383"/>
        <w:spacing w:after="0" w:line="255"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as well as ownership and investment interests held by the physicians described above and their immediate family members;</w:t>
      </w:r>
    </w:p>
    <w:p>
      <w:pPr>
        <w:spacing w:after="0" w:line="188" w:lineRule="exact"/>
        <w:rPr>
          <w:rFonts w:ascii="Times New Roman" w:cs="Times New Roman" w:eastAsia="Times New Roman" w:hAnsi="Times New Roman"/>
          <w:sz w:val="18"/>
          <w:szCs w:val="18"/>
          <w:color w:val="auto"/>
        </w:rPr>
      </w:pPr>
    </w:p>
    <w:p>
      <w:pPr>
        <w:ind w:left="1140" w:right="140" w:hanging="383"/>
        <w:spacing w:after="0" w:line="255"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188" w:lineRule="exact"/>
        <w:rPr>
          <w:rFonts w:ascii="Times New Roman" w:cs="Times New Roman" w:eastAsia="Times New Roman" w:hAnsi="Times New Roman"/>
          <w:sz w:val="18"/>
          <w:szCs w:val="18"/>
          <w:color w:val="auto"/>
        </w:rPr>
      </w:pPr>
    </w:p>
    <w:p>
      <w:pPr>
        <w:ind w:left="1140" w:right="200" w:hanging="383"/>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healthcare laws and regulations in the EU, the U.K. and other jurisdictions, including reporting requirements detailing interactions with and payments to healthcare providers.</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government funded healthcare programs (including Medicare, Medicaid and other federal healthcare programs in the U.S.),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related to privacy, data protection and data security. Our actual or perceived failure to comply with such obligations could harm our business.</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94"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we are subject to laws and regulations relating to data privacy and security in the EU, and the U.K. including the GDPR and U.K. GDPR. New global privacy rules are being enacted and existing ones are being updated and strengthened. We are likely to be required to expend capital and other resources to ensure ongoing compliance with these laws and regulations. The GDPR and U.K. GDPR implement stringent operational requirements for controllers and processors of personal data, including comprehensive data privacy compliance obligations in relation to our collection, processing, sharing, disclosure, transfer and other use of personal data, including a principal of accountability and the obligation to demonstrate compliance through policies, procedures, training and audit. Failure by us, or our partners or service providers, to comply with the GDPR or U.K. GDPR could result in regulatory investigations, enforcement notices and/or fines of up to the higher of €20 million or £17.5 million or up to 4% of our total worldwide annual turnover. In addition to the foregoing, any breach of privacy laws or data security laws could have a material adverse effect on our business, reputation and financial condition. We may also face civil claims seeking compensation for both material and immaterial harms arising from a GDPR or U.K. GDPR violation. In relation to cross border transfers of personal data, we expect the existing legal complexity and uncertainty regarding international personal data transfers to continue, and international transfers to the United States, China,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make operational changes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spacing w:after="0" w:line="19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recent years, U.S. and European lawmakers and regulators have also expressed concern over the use of third-party cookies, web beacons and similar technology. In particular, recent European court and regulator decisions are driving increased attention to cookies and tracking technologies. If the trend of increasing enforcement by European regulators of the strict approach to opt-in consent for all but essential use cases, as seen in recent guidance and decisions continues, this could lead to substantial costs, require significant systems changes, divert the attention of our technology personnel, adversely affect our margins, and subject us to additional liabilities. In light of the complex and evolving nature of EU, EU member state and U.K. privacy laws on cookies and tracking technologies, there can be no assurances that we will be successful in our efforts to comply with such laws; violations of such laws could result in regulatory investigations, fines, orders to cease/ change our use of such technologies, as well as civil claims including class actions, and reputational damage.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Further, in the U.S., numerous state and federal laws, regulations, standards and other legal obligations, including consumer protection laws and regulations, which govern the collection, dissemination, use, access to, confidentiality, security and processing of personal information, including health-related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Certain states have also adopted data privacy and security laws and regulations that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90"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2024, the National Security Division of the U.S. Department of Justice issued a new rule—referred to as the “Data Security Program” (“DSP”) —to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Based on our assessment of the DSP, we do not believe we engage in covered data transactions at this time, though we may discover that we do or we may begin doing so in the future.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spacing w:after="0" w:line="19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17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(the “Bribery Act”); the U.S. Foreign Corrupt Practices Act (the “FCPA”); and other anti-corruption laws that apply in countries where we do business and may do business in the future. The Bribery Act, the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the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19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the U.K., the Economic Crime and Corporate Transparency Act 2023 introduced a new “failure to prevent fraud” offence for large organizations (with a defence of “reasonable procedures”) and broadened the basis on which companies can be held criminally liable for the acts of “senior managers” in relation to specified economic crimes. These developments heighten expectations regarding our fraud risk assessment, third party oversight, controls over financial reporting and clinical/procurement processes, and whistleblowing arrangements. Non compliance could result in criminal liability, fines, remediation obligations and significant reputational harm.</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any international operations, such as applicable export controls, embargoes, economic, financial and trade sanctions laws and regulations, including those administered and enforced by the U.K., the U.S. and the EU (and its member states), (collectively, the “Trade Controls”). These Trade Controls prohibit or restrict dealings relating to certain countries, regions, governments or persons.</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Compliance with Trade Controls, which are subject to frequent changes, may delay or hinder our business operations (particularly in respect of cross-border business), and, in some cases, prevent certain of our business operations altogether. It is difficult for us to predict how Trade Controls will change in the future and the impact they may have on our business. For example, as stated above, a result of Russia’s invasion of Ukraine, Trade Controls relating to Russia have been significantly expanded.</w:t>
      </w:r>
    </w:p>
    <w:p>
      <w:pPr>
        <w:spacing w:after="0" w:line="180"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Controls. If we are not in compliance with the Bribery Act, the FCPA, and other anti-corruption laws or Trade Controls, we may be subject to criminal and civil penalties, disgorgement, and other sanctions and remedial measures and legal expenses. Any investigation of any potential violations of the Bribery Act, the FCPA, other anti-corruption laws, or Trade Controls by U.K., U.S., or other authorities, even if it is ultimately determined that we did not violate such laws, could be costly and time-consuming, require significant personnel resources, and harm our reputation.</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collaborators or other person who performs services on our behalf and, as a result, we could be subject to fines, penalties, or prosecution.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cyberattacks or deficiencies in our cybersecurity.</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and our collaborators, CROs, service providers, and other contractors and consultants rely on information technology (“IT”) systems and networks to process, transmit and store electronic information, including but not limited to intellectual property, confidential information, proprietary business information, preclinical and clinical trial data and personal information, and health-related information, in connection with our business activities (collectively, “Confidential Information"). Our IT systems and those of current and future third parties on which we rely may fail and are vulnerable to breakdown, breach, interruption or damage from cyber incidents, employee error or malfeasance, misconfigurations, “bugs” or other vulnerabilities, theft or misuse, sophisticated nation-state and nation-state-supported actors, unauthorized access, natural disasters, terrorism, war, telecommunication and electrical failures or other compromises. As use of digital technologies has increased, cyber incidents, including third parties gaining access to employee accounts using stolen or inferred credentials, computer malware (e.g. ransomware), viruses, spamming, social engineering or phishing attacks, denial-of-service attacks or other means, and deliberate attacks and attempts to gain unauthorized access to computer systems and networks, have increased in frequency, intensity, and sophistication. These threats pose a risk to the security of our and our collaborators’, CROs’, service providers’, and other contractors’ and consultants’ systems and networks, and the confidentiality, availability and integrity of our Confidential Information. There can be no assurance that we will be successful in preventing cyberattacks or successfully mitigating their effects. There can also be no assurance that our or our collaborators’, CROs’, service providers’, and other contractors’ and consultants’ cybersecurity risk management program and processes, including policies, controls or procedures, will be fully implemented, complied with or effective in protecting our systems, networks and Confidential Information.</w:t>
      </w:r>
    </w:p>
    <w:p>
      <w:pPr>
        <w:spacing w:after="0" w:line="19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varying parts of our workforce are currently working remotely on a part or full time basis. This could increase our cyber security risk, create data accessibility concerns, and make us more susceptible to communication disruptions.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We may also experience security incidents that may remain undetected for an extended period.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Similarly, there can be no assurance that our collaborators, CROs, service providers, and other contractors and consultants will be successful in protecting our clinical and other data that is stored on their systems. Any loss of clinical trial data from our completed or ongoing clinical trials for any of our product candidates could result in delays in our development and regulatory approval efforts and significantly increase our costs to recover or reproduce the data. We and certain of our service providers are from time to time subject to cyberattacks 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right="20"/>
        <w:spacing w:after="0" w:line="255" w:lineRule="auto"/>
        <w:rPr>
          <w:sz w:val="20"/>
          <w:szCs w:val="20"/>
          <w:color w:val="auto"/>
        </w:rPr>
      </w:pPr>
      <w:r>
        <w:rPr>
          <w:rFonts w:ascii="Times New Roman" w:cs="Times New Roman" w:eastAsia="Times New Roman" w:hAnsi="Times New Roman"/>
          <w:sz w:val="18"/>
          <w:szCs w:val="18"/>
          <w:color w:val="auto"/>
        </w:rPr>
        <w:t>security incidents. We have experienced and expect to continue to experience attempted cyberattacks on our IT networks, such as through phishing scams and ransomware. Although we do not believe that we have experienced any significant system failure, accident or cybersecurity incidents to date, we cannot guarantee that we will not experience such incidents in the future.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adversely affect our business, results of operations, and financial condition.</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Any cyberattack that leads to unauthorized access, use, or disclosure of Confidential Information, data breach or destruction or loss of Confidential Information could result in a violation of applicable U.S. and international privacy, data protection and other laws and regulations, require us to notify affected individuals or supervisory authorities, subject us to litigation and governmental investigations, proceedings and regulatory actions by federal, state and local regulatory entities in the U.S. and by international regulatory entities, cause our exposure to material civil and/or criminal liability and cause us to breach our contractual obligations, which could result in significant legal and financial exposure and reputational damages. As cyber threats continue to evolve, we may be required to incur significant additional expenses in order to implement further data protection measures or to remediate any information security vulnerability. Further, our general liability insurance and corporate risk program may not cover all potential claims to which we are exposed and may not be adequate to indemnify us for all liability. There can be no assurance that the limitations of liability in our contracts would be enforceable or adequate or would otherwise protect us from liabilities or damages as a result of the events referenced above. We also cannot be certain that our existing insurance coverage will continue to be available on acceptable terms or in amounts sufficient to cover the potentially significant losses that may result from a security incident or breach or that the insurer will not deny coverage wholly or in part, of any future claim. Accordingly, if our cybersecurity measures, and those of our service providers, fail to protect against unauthorized access, attacks and the mishandling of data by our employees and third-party service providers, then our business, financial condition, results of operations and prospects could be adversely affected.</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increasing use of artificial intelligence (“AI”)-based software (including machine learning) in our industry introduces additional risks that could impact our business. AI algorithms may be flawed, rely on insufficient or biased data, or involve unclear intellectual property rights, potentially exposing us to competitive harm, legal liability, or reputational damage. In addition, AI technology is rapidly evolving, making it difficult to anticipate all legal, operational, or technological risks.</w:t>
      </w:r>
    </w:p>
    <w:p>
      <w:pPr>
        <w:spacing w:after="0" w:line="180"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AI-related vulnerabilities, along with cybersecurity threats and IT system failures, may also impact our partners, contractors, and consultants. If disruptions or security breaches result in data loss, intellectual property theft, or operational delays, it could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 which may result in others acquiring, developing, or commercializing competing product candidates before or more successfully than we or our partners do.</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biopharmaceutical and pharmaceutical industries are highly competitive and subject to significant and rapid technological change. Our success is highly dependent on our ability to acquire, develop, and obtain marketing approval for new product candidates on a cost-effective basis and to market them successfully. If setrusumab, alvelestat, vantictumab, etigilimab or acumapimod is approved, we will face intense competition from a variety of businesses, including large, fully integrated pharmaceutical and biopharmaceutical companies in the U.S., Europe, and other jurisdictions. These organizations may have significantly greater resources than we have and conduct similar research; seek patent protection; and establish collaborative arrangements for research, development, manufacturing, and marketing of product candidates that may compete with our product candidates.</w:t>
      </w: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expect to face competition for each of our current product candidates, including specifically:</w:t>
      </w:r>
    </w:p>
    <w:p>
      <w:pPr>
        <w:spacing w:after="0" w:line="225" w:lineRule="exact"/>
        <w:rPr>
          <w:sz w:val="20"/>
          <w:szCs w:val="20"/>
          <w:color w:val="auto"/>
        </w:rPr>
      </w:pPr>
    </w:p>
    <w:p>
      <w:pPr>
        <w:ind w:left="1140" w:right="100" w:hanging="383"/>
        <w:spacing w:after="0" w:line="256"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setrusumab’s current closest potential competitors in development for the treatment of OI to be Amgen and UCB’s anti-sclerostin antibody, romosozumab (Evenity), which was approved for osteoporosis in the U.S. in April 2019 and in December 2019 in Europe. In addition, Jiangsu Hengrui has commenced Phase 1 development of an anti-sclerostin antibody for osteoporosis in China, and Transcenta Holding has licensed the Chinese rights to the anti-sclerostin antibody blosozumab from Lilly and plans to develop it for osteoporosis. Amgen has also terminated a Phase 3 study and an open label extension study of denosumab (Prolia) an anti-resorptive agent in pediatric patients with OI.</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3" w:name="page64"/>
    <w:bookmarkEnd w:id="63"/>
    <w:p>
      <w:pPr>
        <w:ind w:left="1140" w:right="80"/>
        <w:spacing w:after="0" w:line="266" w:lineRule="auto"/>
        <w:rPr>
          <w:sz w:val="20"/>
          <w:szCs w:val="20"/>
          <w:color w:val="auto"/>
        </w:rPr>
      </w:pPr>
      <w:r>
        <w:rPr>
          <w:rFonts w:ascii="Times New Roman" w:cs="Times New Roman" w:eastAsia="Times New Roman" w:hAnsi="Times New Roman"/>
          <w:sz w:val="18"/>
          <w:szCs w:val="18"/>
          <w:color w:val="auto"/>
        </w:rPr>
        <w:t>BOOST Pharma has conducted a Phase 1/2 trial of its foetal-derived mesenchymal stem cell therapy in pre-natal &amp; post-natal patients with severe OI and is now planning a Phase 3 trial. Furthermore, Angitia Bio has completed a Phase 1 trial of its Sclerostin &amp; Dickkopf-1 bispecific antibody and is now planning a Phase 2 Clinical Trial in Adults with OI.</w:t>
      </w:r>
    </w:p>
    <w:p>
      <w:pPr>
        <w:spacing w:after="0" w:line="176" w:lineRule="exact"/>
        <w:rPr>
          <w:sz w:val="20"/>
          <w:szCs w:val="20"/>
          <w:color w:val="auto"/>
        </w:rPr>
      </w:pPr>
    </w:p>
    <w:p>
      <w:pPr>
        <w:ind w:left="1140" w:hanging="383"/>
        <w:spacing w:after="0" w:line="253"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alvelestat’s current closest potential competitors for the treatment of severe AATD to be alpha-1- proteinase inhibitors that are administered intravenously in AAT augmentation therapy. Currently, there are four inhibitors on the market in the U.S. and the EU: Prolastin-C from Grifols, Aralast from Shire, Zemaira from CSL, and Glassia from Kamada. Kamada also has a recombinant alpha-1 antitrypsin in early development. Sanofi has completed a Phase 2 potentially registrational trial of SAR-447537, a recombinant human alpha-1 antitrypsin Fc fusion protein (rhAAT-Fc), for replacement therapy and are now seeking regulatory guidance. Wave has initiated a Phase 1/2 study of RNA base-editing oligonucleotide (WVE-0006) to restore wild-type protein in lung and liver disease, a program that has been partnered with GSK. Beam commenced a Phase 1/2 study of BEAM-302, a genome editing therapy to correct mutant Z-AAT. Krystal commenced a Phase 1 study of KB-408, an inhaled gene therapy. Korro were in preliminary stages of clinical development of an RNA Base editing oligonucleotide therapy and now are expected to nominate a new development candidate in 2026. We expect Yoltech Therapeutics, Cornell University, AIRNA, Prime Medicine, CRISPR Therapeutics, and Tessera Therapeutics (a program that is partnered with Regeneron) each to begin early-stage clinical trials in AATD over the next 12-18 months.</w:t>
      </w:r>
    </w:p>
    <w:p>
      <w:pPr>
        <w:spacing w:after="0" w:line="191"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therapies with regulatory approval for ADO2. We consider vantictumab closest competitor to be the pre-clinical CLCN7-targeting siRNA developed by SiSaf Ltd.</w:t>
      </w:r>
    </w:p>
    <w:p>
      <w:pPr>
        <w:spacing w:after="0" w:line="161" w:lineRule="exact"/>
        <w:rPr>
          <w:rFonts w:ascii="Times New Roman" w:cs="Times New Roman" w:eastAsia="Times New Roman" w:hAnsi="Times New Roman"/>
          <w:sz w:val="18"/>
          <w:szCs w:val="18"/>
          <w:color w:val="auto"/>
        </w:rPr>
      </w:pPr>
    </w:p>
    <w:p>
      <w:pPr>
        <w:ind w:left="1140" w:right="120" w:hanging="383"/>
        <w:spacing w:after="0" w:line="256"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therapies with regulatory approval for BOS following SCT or lung transplant. We consider alvelestat’s closest potential competitors to be the Janus Kinase (JAK2) inhibitor, Incyte Corporation’s ruxolitinib, in Phase 1/Phase 2 studies in SCT-associated BOS; Boehringer Ingelheim’s tyrosine protein kinase inhibitor, nintendanib, in Phase 3 studies for both post-lung transplantation BOS and SCT-associated BOS. OrphAI Therapeutics inhaled formulation of sirolimus (LAM-001) in Phase 1 for BOS in lung transplant; and liposomal inhaled cyclosporin-A (Zambon) in two Phase 3 global pivotal trials in BOS. In addition, Renovion has a nebulized immunomodulatory agent, ARINA-1, in a Phase 3 study in the prevention of BOS progression in patients with bilateral lung transplant.</w:t>
      </w:r>
    </w:p>
    <w:p>
      <w:pPr>
        <w:spacing w:after="0" w:line="187" w:lineRule="exact"/>
        <w:rPr>
          <w:rFonts w:ascii="Times New Roman" w:cs="Times New Roman" w:eastAsia="Times New Roman" w:hAnsi="Times New Roman"/>
          <w:sz w:val="18"/>
          <w:szCs w:val="18"/>
          <w:color w:val="auto"/>
        </w:rPr>
      </w:pPr>
    </w:p>
    <w:p>
      <w:pPr>
        <w:ind w:left="1140" w:right="40" w:hanging="383"/>
        <w:spacing w:after="0" w:line="256"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etigilimab’s current closest potential competitors to include other clinical-stage anti-TIGIT agents being developed by companies including Roche, Merck, iTeos and GSK, BeOne Medicines, Arcus/Gilead and Compugen amongst others. In addition, there are other combinations of existing cancer therapies available commercially for example, Yervoy and Opdivo and Opdivo or Keytruda in combination with chemotherapy agents. There are a number of bispecific antibodies with an anti-TIGIT arm in development including a Phase 3 program in NSCLC being developed by AstraZeneca. There are also a number of other agents in development to other immuno-oncology targets that could compete with an anti-TIGIT approach, for example anti-LAG3.</w:t>
      </w:r>
    </w:p>
    <w:p>
      <w:pPr>
        <w:spacing w:after="0" w:line="187" w:lineRule="exact"/>
        <w:rPr>
          <w:rFonts w:ascii="Times New Roman" w:cs="Times New Roman" w:eastAsia="Times New Roman" w:hAnsi="Times New Roman"/>
          <w:sz w:val="18"/>
          <w:szCs w:val="18"/>
          <w:color w:val="auto"/>
        </w:rPr>
      </w:pPr>
    </w:p>
    <w:p>
      <w:pPr>
        <w:ind w:left="1140" w:right="40" w:hanging="383"/>
        <w:spacing w:after="0" w:line="254"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acumapimod, although we are not aware of any approved therapies for the treatment of AECOPD, there are a wide range of established therapies available for the treatment of COPD as well as a number of product candidates in development. We consider acumapimod’s current closest potential competitor for the treatment of AECOPD to be Merck &amp; Co’s nebulized and inhaled ensifentrine (Ohtuvayre), a PDE3 / PDE4 dual inhibitor that recently received regulatory approval as a bronchodilator and anti-inflammatory agent for COPD, Asthma and Cystic Fibrosis patients. Pulmatrix has PUR1800, a narrow-spectrum kinase inhibitor (NSKI) that completed a Phase 1b trial in COPD. Pulmatrix recently merged with Cullgen. In addition to Pulmatrix, there are several compounds, which directly or indirectly target the p38 MAP Kinase pathway in clinical development by Poolbeg, Fulcrum, GEn1E Lifesciences, CervoMEd, Kinarus, Neurokine, and Inovio, among others, for therapeutic indications outside the COPD setting. In addition, ReAlta Life Sciences commenced a Phase 2 clinical trial evaluating its complement 1 sub-component inhibitor for the treatment of AECOPD.</w:t>
      </w:r>
    </w:p>
    <w:p>
      <w:pPr>
        <w:spacing w:after="0" w:line="18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also anticipate that new companies will enter these markets in the future. If we, or our partners, successfully develop and commercialize any of setrusumab, alvelestat, vantictumab, etigilimab, or acumapimod,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w:t>
      </w:r>
    </w:p>
    <w:p>
      <w:pPr>
        <w:spacing w:after="0" w:line="180" w:lineRule="exact"/>
        <w:rPr>
          <w:sz w:val="20"/>
          <w:szCs w:val="20"/>
          <w:color w:val="auto"/>
        </w:rPr>
      </w:pPr>
    </w:p>
    <w:p>
      <w:pPr>
        <w:ind w:left="1140" w:right="20" w:hanging="383"/>
        <w:spacing w:after="0" w:line="266"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ind w:left="1140" w:right="280" w:hanging="38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product candidates that are safer, more effective, less expensive, more convenient, or easier to administer, or have fewer or less severe effects, or in certain cases could be curative for the condition;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quicker regulatory approval;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proprietary positions covering our product candidates and technologies;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more effective approaches to sales and marketing; or</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advantageous strategic alliances.</w:t>
      </w:r>
    </w:p>
    <w:p>
      <w:pPr>
        <w:spacing w:after="0" w:line="22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 candidates that are more effective, have fewer or less severe side effects, are more convenient or are less expensive than our product candidates. Our competitors may also obtain FDA, or other regulatory approval for their product candidates more rapidly than we may obtain approval for our own product candidates, which could result in our competitors establishing a strong market position before we are able to enter the market. In addition, existing products approved for other indications could be used off-label and may compete with our products. For example, the only treatments available to OI patients are drugs such as bisphosphonates, which are not approved for this indication but are commonly used off-label in children.</w:t>
      </w:r>
    </w:p>
    <w:p>
      <w:pPr>
        <w:spacing w:after="0" w:line="1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collaborator Ultragenyx has obtained orphan drug designation for setrusumab for the treatment of OI in the U.S. and we have obtained orphan designation for setrusumab for the treatment of OI in the EU. We have also obtained orphan drug designation for alvelestat for the treatment of AATD in the U.S. and in the EU. We may be unable to obtain or maintain the benefits associated with orphan drug designation, including the potential for orphan drug exclusivity, for setrusumab, alvelestat or any other product for which we obtain orphan drug designation.</w:t>
      </w:r>
    </w:p>
    <w:p>
      <w:pPr>
        <w:spacing w:after="0" w:line="180"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may designate biologics or drugs designed to address relatively small patient populations as “orphan drugs.”</w:t>
      </w:r>
    </w:p>
    <w:p>
      <w:pPr>
        <w:spacing w:after="0" w:line="16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Under the Orphan Drug Act of 1983, the FDA may designate a product as an orphan drug if it is intended to treat a rare disease or condition, defined as one occurring in a patient population of fewer than 200,000 in the U.S., or a patient population greater than 200,000 in the U.S. where there is no reasonable expectation that the cost of developing the drug will be recovered from sales in the U.S. In the EU, the EC grants orphan designation after receiving the opinion of the EMA’s Committee for Orphan Medicinal Products. In the EU, orphan designation is intended to promote the development of medicinal products that (1) are intended for the diagnosis, prevention or treatment of a life-threatening or chronically debilitating condition; (2) either (a) such condition affects no more than five in 10,000 persons in the EU, or (b) the product, without the benefits derived from orphan status, would not generate sufficient return in the EU to justify investment; and (3) there exists no satisfactory method of diagnosis, prevention, or treatment has been authorized (or the product would be a significant benefit to those affected). The application for orphan designation must be submitted before the application for marketing authorization.</w:t>
      </w:r>
    </w:p>
    <w:p>
      <w:pPr>
        <w:spacing w:after="0" w:line="18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the EU,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However, during such period, marketing authorizations may be granted to a similar medicinal product with the same orphan indication if: (i) the applicant can establish that the second medicinal product, although similar to the orphan medicinal product already authorized is safer, more effective or otherwise clinically superior to the orphan medicinal product already authorized; (ii) the marketing authorization holder for the orphan medicinal product grants its consent; or (iii) if the marketing authorization holder of the orphan medicinal product is unable to supply sufficient quantities of product. The European exclusivity period can be reduced to six years, if, at the end of the fifth year a medicine no longer meets the criteria for orphan designation (i.e. the prevalence of the condition has increased above the orphan designation threshold or it is judged that the product is sufficiently profitable so as not to justify maintenance of market exclusivity).</w:t>
      </w:r>
    </w:p>
    <w:p>
      <w:pPr>
        <w:spacing w:after="0" w:line="19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Post-Brexit, the U.K. has retained the EU Regulation which governs the designation of medicinal products as orphan drugs and which establishes incentives thereto (Regulation (EC) No. 141/2000) as part of U.K. law by virtue of the EU (Withdrawal) Act 2018, however any future changes to the legal requirements could lead to greater regulatory complexity and increased costs to our business.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There is no pre-MA orphan designation in the U.K. Instead, the MHRA will review applications for orphan designation in parallel to the corresponding MAA.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approved use or indication within such rare disease or condition for a period of seven years, except in limited circumstances, such as a showing of clinical superiority over the product with orphan exclusivity in the relevant approved use or indication or where the manufacturer is unable to assure the availability of sufficient quantities of the orphan drug to meet the needs relating to the approved indication or use of patients with the rare disease or condition. In the EU, orphan designation entitles a party to financial incentives such as reduction of fees or fee waivers, protocol assistance, and access to the centralized MA procedure. Upon grant of MA, orphan medical products are entitled to a ten year period of market exclusivity. This period can be extended by two years if studies in children are performed in accordance with a PIP. This period may be reduced to six years if, at the end of the fifth year the orphan designation criteria are no longer met, including where it is shown that the drug is sufficiently profitable not to justify maintenance of market exclusivity. Additionally, a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8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Our collaborator Ultragenyx has obtained orphan drug designation from the FDA, and we have obtained orphan drug designation from the EC for setrusumab, in each case for the treatment of OI. Additionally, we have obtained orphan drug designation for alvelestat for the treatment of AATD from the FDA and from the EC. Even with orphan drug designation, we may not be the first to obtain marketing approval for any particular orphan indication due to the uncertainties associated with developing pharmaceutical product candidates, which could prevent us from marketing our product candidates if another company is able to obtain orphan drug exclusivity before we do. In addition, exclusive marketing rights in the U.S. may be unavailable if we seek approval for disease or condition broader than the orphan-designated disease or condition or may be lost in the U.S., if the FDA later determines that the request for designation was materially defective or if we are unable to assure sufficient quantities of the drug to meet the needs relating to the approved use or indication of patients with the rare disease or condition following approval. Further, even if we obtain orphan drug exclusivity, that exclusivity may not effectively protect our product candidates from competition because different drugs can be approved for the same indications within the same rare disease or condition. In addition, the FDA and foreign regulatory authorities can subsequently approve product candidates with the same active ingredients for the same condition if the FDA or the foreign regulatory authority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alvelestat, we may never receive such designations.</w:t>
      </w:r>
    </w:p>
    <w:p>
      <w:pPr>
        <w:spacing w:after="0" w:line="1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a rare pediatric disease designation for setrusumab, there is no guarantee that FDA approval will result in issuance of a priority review voucher.</w:t>
      </w:r>
    </w:p>
    <w:p>
      <w:pPr>
        <w:spacing w:after="0" w:line="15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92"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We have obtained a rare pediatric disease designation for setrusumab for osteogenesis imperfecta, however, there is no guarantee that we will be able to obtain a priority review voucher, even if setrusumab is approved by the FDA. For example, the FDA may determine that an a BLA or NDA, even if ultimately approved, does not meet the eligibility criteria for a priority review voucher, including for the following reasons:</w:t>
      </w:r>
    </w:p>
    <w:p>
      <w:pPr>
        <w:spacing w:after="0" w:line="176" w:lineRule="exact"/>
        <w:rPr>
          <w:sz w:val="20"/>
          <w:szCs w:val="20"/>
          <w:color w:val="auto"/>
        </w:rPr>
      </w:pPr>
    </w:p>
    <w:p>
      <w:pPr>
        <w:ind w:left="5540" w:right="5140" w:hanging="4783"/>
        <w:spacing w:after="0" w:line="342" w:lineRule="auto"/>
        <w:tabs>
          <w:tab w:leader="none" w:pos="113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no longer meets the definition of a rare pediatric disease;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ind w:left="1140" w:right="18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contains an active ingredient (including any ester or salt of the active ingredient) that has been previously approved in another marketing application;</w:t>
      </w:r>
    </w:p>
    <w:p>
      <w:pPr>
        <w:spacing w:after="0" w:line="161"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does not rely on clinical data derived from studies examining a pediatric population and dosages of the drug intended for that population; or</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approved for a different adult indication than the rare pediatric disease for which the product is designated.</w:t>
      </w:r>
    </w:p>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Moreover, Congress included a sunset provision in the statute authorizing the rare pediatric disease priority review voucher program. Under the current statutory sunset provisions, FDA may only award a voucher for an approved rare pediatric disease product application if the sponsor has rare pediatric disease designation for the product candidate, and that designation was granted by September 30, 2029, provided the relevant eligibility criteria are met.</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from the FDA, even if granted for any of our product candidates, may not lead to a faster development or regulatory review or approval process, and does not increase the likelihood that our product candidates will receive marketing approval.</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FDA has granted Fast Track designation for the investigation of alvelestat for the treatment of alpha-1-antitrypsin deficiency-associated lung disease. We intend to seek such designation for some or all of our other product candidates. The Fast Track program is intended to expedite or facilitate the process for reviewing new product candidates that meet certain criteria. Specifically, new drugs and biologic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or NDA is submitted, the application may be eligible for priority review. An NDA or BLA submitted for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application.</w:t>
      </w:r>
    </w:p>
    <w:p>
      <w:pPr>
        <w:spacing w:after="0" w:line="192" w:lineRule="exact"/>
        <w:rPr>
          <w:sz w:val="20"/>
          <w:szCs w:val="20"/>
          <w:color w:val="auto"/>
        </w:rPr>
      </w:pPr>
    </w:p>
    <w:p>
      <w:pPr>
        <w:ind w:right="160" w:firstLine="749"/>
        <w:spacing w:after="0" w:line="274" w:lineRule="auto"/>
        <w:rPr>
          <w:sz w:val="20"/>
          <w:szCs w:val="20"/>
          <w:color w:val="auto"/>
        </w:rPr>
      </w:pPr>
      <w:r>
        <w:rPr>
          <w:rFonts w:ascii="Times New Roman" w:cs="Times New Roman" w:eastAsia="Times New Roman" w:hAnsi="Times New Roman"/>
          <w:sz w:val="17"/>
          <w:szCs w:val="17"/>
          <w:color w:val="auto"/>
        </w:rPr>
        <w:t>The FDA has broad discretion whether or not to grant this designation. Even if we believe a particular product candidate is eligible for this designation, there is no certainty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alvelestat or any other product candidate that may be granted Fast Track designation will receive regulatory approval in the U.S. Many product candidates that have received Fast Track Designation have ultimately failed to obtain approval.</w:t>
      </w:r>
    </w:p>
    <w:p>
      <w:pPr>
        <w:spacing w:after="0" w:line="1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or our partners may seek and fail to obtain Breakthrough Therapy designation by the FDA for alvelestat or etigilimab or any future product candidates or access to the PRIME scheme by the EMA for alvelestat, etigilimab or any future product candidates. Even if we obtain such designation or access, the designation or access may not lead to faster development or regulatory review or approval, and it does not increase the likelihood that our product candidates will receive marketing approval.</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2012, the FDA established a Breakthrough Therapy designation which is intended to expedite the development and review of product candidates that treat serious or life-threatening diseases where preliminary clinical evidence indicates that the product may demonstrate substantial improvement over existing therapies on one or more clinically-significant endpoints, such as substantial treatment effects observed early in clinical development. The designation of a product as a Breakthrough Therapy provides potential benefits that include but are not limited to more frequent meetings with the FDA to discuss the development plan for the product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if the relevant criteria are met.</w:t>
      </w:r>
    </w:p>
    <w:p>
      <w:pPr>
        <w:spacing w:after="0" w:line="19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October 2024, Ultragenyx received Breakthrough Therapy designation from the FDA for setrusumab to reduce the risk of fracture associated with OI Type I, III or IV in patients two years of age and older. We may seek Breakthrough Therapy designation for other product candidates. 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60"/>
        <w:spacing w:after="0" w:line="255" w:lineRule="auto"/>
        <w:rPr>
          <w:sz w:val="20"/>
          <w:szCs w:val="20"/>
          <w:color w:val="auto"/>
        </w:rPr>
      </w:pPr>
      <w:r>
        <w:rPr>
          <w:rFonts w:ascii="Times New Roman" w:cs="Times New Roman" w:eastAsia="Times New Roman" w:hAnsi="Times New Roman"/>
          <w:sz w:val="18"/>
          <w:szCs w:val="18"/>
          <w:color w:val="auto"/>
        </w:rPr>
        <w:t>Breakthrough Therapy designation will meet the FDA’s expectations. In any event, the receipt of a Breakthrough Therapy designation for a product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 Similarly, access to the PRIME scheme is at the discretion of the EMA, and we cannot be sure that alvelestat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18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November 2017, setrusumab was admitted to the PRIME scheme of the EMA. We may seek EMA PRIME designation or other designations, schemes or tools for other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MAA, early dialogue and scientific advice at key development milestones, and the potential to qualify products for accelerated review earlier in the application process.</w:t>
      </w:r>
    </w:p>
    <w:p>
      <w:pPr>
        <w:spacing w:after="0" w:line="19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w:t>
      </w:r>
    </w:p>
    <w:p>
      <w:pPr>
        <w:spacing w:after="0" w:line="183" w:lineRule="exact"/>
        <w:rPr>
          <w:sz w:val="20"/>
          <w:szCs w:val="20"/>
          <w:color w:val="auto"/>
        </w:rPr>
      </w:pPr>
    </w:p>
    <w:p>
      <w:pPr>
        <w:ind w:right="240" w:firstLine="749"/>
        <w:spacing w:after="0" w:line="312" w:lineRule="auto"/>
        <w:rPr>
          <w:sz w:val="20"/>
          <w:szCs w:val="20"/>
          <w:color w:val="auto"/>
        </w:rPr>
      </w:pPr>
      <w:r>
        <w:rPr>
          <w:rFonts w:ascii="Times New Roman" w:cs="Times New Roman" w:eastAsia="Times New Roman" w:hAnsi="Times New Roman"/>
          <w:sz w:val="17"/>
          <w:szCs w:val="17"/>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14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competent regulatory authorities in the EU have broad discretion whether to grant such an accelerated assessment, conditional MA or MA under exceptional circumstances, and, even if such assessment or authorization is granted, we may not experience a faster development process, review or authorization compared to conventional procedures. Moreover, the removal or threat of removal of such MAs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w:t>
      </w:r>
    </w:p>
    <w:p>
      <w:pPr>
        <w:spacing w:after="0" w:line="17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w:t>
      </w:r>
    </w:p>
    <w:p>
      <w:pPr>
        <w:spacing w:after="0" w:line="17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have no marketing, sales, or distribution capabilities and we currently have no experience with marketing, selling or distributing pharmaceutical product candidates. We have entered into global licensing transactions with Ultragenyx for setrusumab and āshibio for vantictumab for further development and commercialization, under which we have retained commercial rights in Europe and the U.K. We have entered into global out-licensing agreements for the development and commercialization of leflutrozole with ReproNovo, and navicixizumab with Feng Biosciences. We currently intend to commercialize setrusumab for children and adults with OI in the EU and U.K, subject to regulatory approval. We may seek to partner or commercialize our other product candidates based on the outcome of clinical trials, cost of the registrational trials and other strategic considerations.</w:t>
      </w:r>
    </w:p>
    <w:p>
      <w:pPr>
        <w:spacing w:after="0" w:line="18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currently intend to enter into out-licensing or sales arrangements with pharmaceutical, biopharmaceutical or other partners for the continued development and commercialization of our non-core disease product candidates acumapimod and etigilimab and we may take the same approach for our other product candidates.</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a result of the entering into any such planned partnerships or arrangements, our revenue from product sales may be lower than if we directly marketed or sold these product candidates on our own. In addition, any revenue we receive will depend upon the terms of such partnership or arrangement, which may not be as favorable to us as possible, and the efforts of the other party, which may not be adequate or successful and are likely to be beyond our control. We may not be successful in identifying a suitable partner or partners, and we may not be able to reach agreement with them at all. If we are unable to enter into these partnerships or arrangements on acceptable terms or at all, we may not be able to successfully commercialize these product candidates.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arrangements with third parties, our future product revenue will suffer, and we may incur significant losses.</w:t>
      </w:r>
    </w:p>
    <w:p>
      <w:pPr>
        <w:spacing w:after="0" w:line="172"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17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 candidates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Third-party payors may also elect to restrict coverage to a subset of patients that could potentially be treated with our products, if approved. We cannot be sure that coverage and reimbursement in the U.S., the EU, or elsewhere will be available for our product candidates or any product that we may develop, and any reimbursement that may become available may be decreased or eliminated in the future.</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 candidates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 candidates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 candidates. In the U.S., third-party payors, including private and governmental payors, such as the Medicare and Medicaid programs, play an important role in determining the extent to which new drugs and biologics will be covered. The Medicare and Medicaid programs increasingly are used as models in the U.S. for how private payors and other governmental payors develop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187" w:lineRule="exact"/>
        <w:rPr>
          <w:sz w:val="20"/>
          <w:szCs w:val="20"/>
          <w:color w:val="auto"/>
        </w:rPr>
      </w:pPr>
    </w:p>
    <w:p>
      <w:pPr>
        <w:ind w:right="40" w:firstLine="749"/>
        <w:spacing w:after="0" w:line="277" w:lineRule="auto"/>
        <w:rPr>
          <w:sz w:val="20"/>
          <w:szCs w:val="20"/>
          <w:color w:val="auto"/>
        </w:rPr>
      </w:pPr>
      <w:r>
        <w:rPr>
          <w:rFonts w:ascii="Times New Roman" w:cs="Times New Roman" w:eastAsia="Times New Roman" w:hAnsi="Times New Roman"/>
          <w:sz w:val="17"/>
          <w:szCs w:val="17"/>
          <w:color w:val="auto"/>
        </w:rPr>
        <w:t>No uniform policy for coverage and reimbursement for product candidates exists among third-party payors in the U.S. Therefore, coverage and reimbursement for product candidates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6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operations are also subject to extensive governmental price controls and other market regulations in the U.K. and other countries outside of the U.S., and we believe the increasing emphasis on cost-containment initiatives in European and other countries will put pressure on the pricing and usage of our product candidates. In many countries, the prices of medical product candidates are subject to varying price control mechanisms as part of national health systems.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Additional foreign price</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9" w:name="page70"/>
    <w:bookmarkEnd w:id="69"/>
    <w:p>
      <w:pPr>
        <w:ind w:right="140"/>
        <w:spacing w:after="0" w:line="266" w:lineRule="auto"/>
        <w:rPr>
          <w:sz w:val="20"/>
          <w:szCs w:val="20"/>
          <w:color w:val="auto"/>
        </w:rPr>
      </w:pPr>
      <w:r>
        <w:rPr>
          <w:rFonts w:ascii="Times New Roman" w:cs="Times New Roman" w:eastAsia="Times New Roman" w:hAnsi="Times New Roman"/>
          <w:sz w:val="18"/>
          <w:szCs w:val="18"/>
          <w:color w:val="auto"/>
        </w:rPr>
        <w:t>controls or other changes in pricing regulation could restrict the amount that we are able to charge for our product candidates. Accordingly, in markets outside the U.S., the reimbursement for our product candidates may be reduced compared with the U.S. and may be insufficient to generate commercially reasonable revenue and profits.</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 candidates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 candidates.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and future product candidates may not gain market acceptance, in which case our ability to generate revenues from product sales will be compromised.</w:t>
      </w:r>
    </w:p>
    <w:p>
      <w:pPr>
        <w:spacing w:after="0" w:line="15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Even if the FDA,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180" w:lineRule="exact"/>
        <w:rPr>
          <w:sz w:val="20"/>
          <w:szCs w:val="20"/>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clinical profile of competing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acceptable evidence of safety and efficacy;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225"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coverage, reimbursement, and adequate payment from health maintenance organizations and other insurers, both public and private;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advantages over alternative treatment methods.</w:t>
      </w:r>
    </w:p>
    <w:p>
      <w:pPr>
        <w:spacing w:after="0" w:line="225" w:lineRule="exact"/>
        <w:rPr>
          <w:sz w:val="20"/>
          <w:szCs w:val="20"/>
          <w:color w:val="auto"/>
        </w:rPr>
      </w:pPr>
    </w:p>
    <w:p>
      <w:pPr>
        <w:ind w:right="700" w:firstLine="749"/>
        <w:spacing w:after="0" w:line="282" w:lineRule="auto"/>
        <w:rPr>
          <w:sz w:val="20"/>
          <w:szCs w:val="20"/>
          <w:color w:val="auto"/>
        </w:rPr>
      </w:pPr>
      <w:r>
        <w:rPr>
          <w:rFonts w:ascii="Times New Roman" w:cs="Times New Roman" w:eastAsia="Times New Roman" w:hAnsi="Times New Roman"/>
          <w:sz w:val="18"/>
          <w:szCs w:val="18"/>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 candidates in the U.S. may face competition sooner than anticipated.</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the U.S., the BPCIA created an abbreviated approval pathway for biological product candidates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0" w:name="page71"/>
    <w:bookmarkEnd w:id="70"/>
    <w:p>
      <w:pPr>
        <w:jc w:val="both"/>
        <w:ind w:right="20" w:firstLine="749"/>
        <w:spacing w:after="0" w:line="257" w:lineRule="auto"/>
        <w:rPr>
          <w:sz w:val="20"/>
          <w:szCs w:val="20"/>
          <w:color w:val="auto"/>
        </w:rPr>
      </w:pPr>
      <w:r>
        <w:rPr>
          <w:rFonts w:ascii="Times New Roman" w:cs="Times New Roman" w:eastAsia="Times New Roman" w:hAnsi="Times New Roman"/>
          <w:sz w:val="18"/>
          <w:szCs w:val="18"/>
          <w:color w:val="auto"/>
        </w:rPr>
        <w:t>We believe that if any product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 candidates for competing product candidates, potentially creating the opportunity for generic competition sooner than anticipated.</w:t>
      </w:r>
    </w:p>
    <w:p>
      <w:pPr>
        <w:spacing w:after="0" w:line="1" w:lineRule="exact"/>
        <w:rPr>
          <w:sz w:val="20"/>
          <w:szCs w:val="20"/>
          <w:color w:val="auto"/>
        </w:rPr>
      </w:pPr>
    </w:p>
    <w:p>
      <w:pPr>
        <w:jc w:val="both"/>
        <w:ind w:right="680"/>
        <w:spacing w:after="0" w:line="255" w:lineRule="auto"/>
        <w:rPr>
          <w:sz w:val="20"/>
          <w:szCs w:val="20"/>
          <w:color w:val="auto"/>
        </w:rPr>
      </w:pPr>
      <w:r>
        <w:rPr>
          <w:rFonts w:ascii="Times New Roman" w:cs="Times New Roman" w:eastAsia="Times New Roman" w:hAnsi="Times New Roman"/>
          <w:sz w:val="18"/>
          <w:szCs w:val="18"/>
          <w:color w:val="auto"/>
        </w:rPr>
        <w:t>Moreover, the extent to which a biosimilar, once approved, will be substituted for a reference product in a way that is similar to traditional generic substitution for non-biological product candidates is not yet clear, and will depend on a number of marketplace and regulatory factors that are still developing.</w:t>
      </w:r>
    </w:p>
    <w:p>
      <w:pPr>
        <w:spacing w:after="0" w:line="18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the EU, MAAs for product candidates that are biosimilar to an already authorized biological product, the so-called reference product, can rely on the safety and efficacy data contained in the dossier of the reference product. To qualify as a biosimilar product the MA applicant must demonstrate, through comprehensive comparability studies with the reference product, that its product is: (i) 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our partners to develop and commercialize our licensed or partnered product candidates. If our partners do not secure adequate funding or satisfy their obligations under our agreements with them, or if they terminate our licenses, partnerships or collaborations with them, we may not be able to develop or commercialize our licensed or partnered product candidates as planned.</w:t>
      </w:r>
    </w:p>
    <w:p>
      <w:pPr>
        <w:spacing w:after="0" w:line="39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have announced four out-licensing collaborations; two for our rare disease product candidates, setrusumab and vantictumab, and two for our non-rare disease product candidates, leflutrozole and navicixizumab . On December 17, 2020, we announced a license and collaboration agreement with Ultragenyx, for setrusumab, a monoclonal antibody in clinical development for OI. Under the terms of the collaboration, Ultragenyx will lead future global development of setrusumab in both pediatric and adult patients. We granted Ultragenyx an exclusive license to develop and commercialize setrusumab in the U.S. and rest of the world, excluding Europe and the U.K. where we retain commercial rights. Under the terms of the agreement, Ultragenyx made an upfront payment of $50 million to us and a further $9.0 million payment upon achievement of a clinical milestone. Ultragenyx will pay up to $245 million in additional development, regulatory and commercial milestones and tiered double digit percentage royalties to us on net sales outside of Europe and the U.K. and we will pay a fixed double digit percentage royalty to Ultragenyx on net sales in Europe and the U.K. If Ultragenyx receives and resells an FDA PRV in connection with a new drug application approval, we are entitled to receive a portion of the proceeds from the sale of the PRV or a cash payment from Ultragenyx, in the event they choose to retain the PRV.</w:t>
      </w:r>
    </w:p>
    <w:p>
      <w:pPr>
        <w:spacing w:after="0" w:line="194"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In August 2025, we announced a license agreement with āshibio for the development and commercialization of vantictumab, an anti-FZD monoclonal antibody, which is being investigated for treatment in ADO2. Under the terms of the license agreement, āshibio will fund and lead global clinical development of vantictumab and we retain rights to commercialize vantictumab in Europe in the U.K., with āshibio having exclusive rights in the U.S. and rest of world. We received an upfront payment of $0.3 million and will be eligible to receive up to €13 million of additional development and regulatory milestones outside of Europe and the U.K. as well as tiered mid-single digit royalties on annual net sales of vantictumab outside of Europe and the U.K from āshibio. Mereo is obligated to pay āshibio up to $190 million in future milestone payments, contingent upon the achievement of certain regulatory and commercial milestones, as well as tiered mid-single and low-double digit royalties on annual net sales of vantictumab in Europe and the U.K.</w:t>
      </w:r>
    </w:p>
    <w:p>
      <w:pPr>
        <w:spacing w:after="0" w:line="19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December 2023, we entered into an exclusive global license agreement with ReproNovo for the development and commercialization of leflutrozole, a non-steroidal aromatase inhibitor. Under the terms of the license agreement, ReproNovo, a reproductive medicine company, is responsible for all future development and commercialization of leflutrozole. Mereo received an upfront payment of $1.0 million and a milestone payment of $0.5 million and will be eligible to receive up to $63.8 million additional development, regulatory and commercial milestones as well as tiered mid-single digit royalties on global annual net sales of leflutrozole.</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January 2020, we announced a global out-licensing agreement with Feng Biosciences for development and commercialization of navicixizumab. Under the terms of the agreement Feng Biosciences will pay up to $300 million in future clinical, regulatory and commercial milestones and tired royalties ranging from the mid-single digit to sub-teen percentages on global annual net sales of navicixizumab, as well as a negotiated percentage of sublicensing revenues from any sublicensees. We will only be eligible to receive a negotiated percentage of sublicensing revenues in the event Feng Biosciences elects only to sublicense and not commercialize navicixizumab, or a negotiated percentage of the total consideration paid by a purchaser in the event of change of control of Feng Biosciences.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Our future plans may include entering into additional out-licensing or collaboration agreements on some or all of these programs or our other development programs.</w:t>
      </w:r>
    </w:p>
    <w:p>
      <w:pPr>
        <w:spacing w:after="0" w:line="162"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We also have existing acquisition agreements with Novartis which we entered into in 2015 in respect of our purchase of setrusumab, leflutrozole and acumapimod, and an existing in-licensing agreement with AstraZeneca which we entered into in 2017, as amended in 2024, in respect of our exclusive license of alvelestat.</w:t>
      </w:r>
    </w:p>
    <w:p>
      <w:pPr>
        <w:spacing w:after="0" w:line="176"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Our partners might not fulfill all of their obligations under these agreements, and, in certain circumstances, including our licensing agreement with AstraZeneca, they or we may terminate our partnerships with them. In either event, we may be unable to assume the development and commercialization responsibilities covered by these agreements or enter into alternative arrangements with a third-party to develop and commercialize product candidates. If a partner elected to promote alternative products and product candidates such as its own products and product candidates in preference to those licensed from us, is unable to secure adequate funding to develop our product candidates, does not devote an adequate amount of time and resources to our product candidates or is otherwise unsuccessful in its efforts with respect to our product candidates, the development and commercialization of product candidates covered by the agreements could be delayed or terminated and our business and financial condition could be materially and adversely affected. Accordingly, our ability to receive any revenue from the product candidates covered by these agreements is dependent on the efforts of our partners.</w:t>
      </w:r>
    </w:p>
    <w:p>
      <w:pPr>
        <w:spacing w:after="0" w:line="18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If a partner terminates its agreements with us, for whatever reason, or breaches its agreements with us, otherwise fails to complete its obligations in a timely manner or alleges that we have breached our contractual obligations under these agreements, the chances of successfully developing or commercializing product candidates under these collaborations could be materially and adversely affected.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ADSs.</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17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upon independent clinical investigators and CROs to conduct our clinical trials and to monitor and manage data for our planned and ongoing clinical programs. We rely on these parties for the execution of our clinical trials and control only certain aspects of these parties’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GCP requirements, which are regulations and guidelines enforced by the FDA, the competent authorities of the EU member states, and comparable foreign regulatory authorities for all of our product candidates in clinical development. Regulatory authorities enforce these GCP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GCP requirements. Our failure to comply with these regulations may require us to repeat clinical trials, which would delay the regulatory approval process.</w:t>
      </w:r>
    </w:p>
    <w:p>
      <w:pPr>
        <w:spacing w:after="0" w:line="18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175"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We have limited personnel with experience in manufacturing and CMC development requirements and we do not own facilities for manufacturing and testing of our product candidates. Instead, we rely on and expect to continue to rely on CMOs for the supply, testing and release of cGMP, or similar foreign requirements, grade clinical trial materials, performance of process and product development activities to facilitate supply of commercial quantities of our product candidates, if approved. Reliance on CMOs may expose us to more risk than if we were to manufacture our product candidates ourselves. Novartis previously provided clinical supplies for setrusumab, acumapimod, and leflutrozole and certain transitional services. We have transitioned the clinical supply manufacture for these product candidates to CMOs while demonstrating the manufactured product is equivalent to the Novartis form. We have also contracted with CMOs for the clinical supply of alvelestat.</w:t>
      </w:r>
    </w:p>
    <w:p>
      <w:pPr>
        <w:spacing w:after="0" w:line="18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facilities used to manufacture and test our product candidates must be approved by the FDA, and comparable foreign authorities pursuant to inspections. While we provide oversight of manufacturing activities, we do not and will not control the execution of our manufacturing activities by, and are or will be essentially dependent on, our CMOs for compliance with cGMP or similar foreign requirements for the manufacture of our product candidates. We aim to minimize this risk by entering into quality agreements, by auditing of the CMOs and by ongoing review of all activities linked to product manufacture. Due to this dependence on CMOs, we are potentially subject to the risk that our product candidates may have manufacturing defects that we have limited ability to prevent. If a CMO cannot successfully manufacture material that conforms to our specifications and the regulatory requirements it may delay ongoing clinical studies as we will not be able to secure or maintain regulatory approval for the use of our investigational medicinal product candidates in clinical trials, or for commercial distribution of our product candidates, if approved. In addition, while we have limited direct control over the ability of our CMOs to maintain adequate quality control, quality assurance and qualified personnel, we aim to maintain control through the use of quality agreements and manufacturing supply agreements. If the FDA or the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recall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Novartis has a contractual right to approve or reject any additional CMO we wish to engage for the manufacture of setrusumab, other than those CMOs that we and Novartis have already agreed upon. Following the license of setrusumab to Ultragenyx, CMO capacity in relation to the manufacture of clinical trial and commercial supplies is a key focus and most likely means additional CMO capacity will be a future priority to secure sufficient supplies. If we or our partners were unable to find an acceptable CMO within a reasonable timeframe, our clinical trials could be delayed, or our commercial activities could be negatively impacted.</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rely on and will continue to rely on CMOs to purchase from third-party suppliers the raw materials meeting for our specifications that are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w:t>
      </w:r>
    </w:p>
    <w:p>
      <w:pPr>
        <w:spacing w:after="0" w:line="188"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We rely on our CMOs to conduct all product and process development activities necessary to support regulatory submissions. These activities are critical to the meeting the regulatory expectations and if these studies are not considered adequate by FDA,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ind w:right="260"/>
        <w:spacing w:after="0" w:line="266" w:lineRule="auto"/>
        <w:rPr>
          <w:sz w:val="20"/>
          <w:szCs w:val="20"/>
          <w:color w:val="auto"/>
        </w:rPr>
      </w:pPr>
      <w:r>
        <w:rPr>
          <w:rFonts w:ascii="Times New Roman" w:cs="Times New Roman" w:eastAsia="Times New Roman" w:hAnsi="Times New Roman"/>
          <w:sz w:val="18"/>
          <w:szCs w:val="18"/>
          <w:color w:val="auto"/>
        </w:rPr>
        <w:t>EMA or comparable foreign regulatory authority then significant delays could be encountered as a result. This risk is mitigated by following all relevant guidance’s and using staff knowledge and previous experience to guide the product and process development programs but is still a potential risk of regulatory non-compliance.</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159"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Our development program for our product candidates, particularly those entering late-stage development, will require substantial additional funds. We currently intend to enter into out-licensing or sales arrangements with pharmaceutical, biopharmaceutical or other partners for the continued development of alvelestat and our product candidates, etigilimab and acumapimod, that remain available for partnering.</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types of development arrangements referred to above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183"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If we are unable to enter into an appropriate arrangement for the development of our selected product candidates, we may have to reduce, delay, or terminate the development of such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159"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 candidates, and methods of using our product candidates for the treatment of the indications we are developing or plan to develop, or on in-licensing such rights. Our patent portfolio comprises patents and patent applications which cover navicixizumab, vantictumab and etigilimab product candidates (solely owned by Mereo BioPharma 5 (formerly OncoMed)), patents and patent applications which cover our setrusumab, acumapimod, and leflutrozole product candidates acquired from Novartis and patents and patent applications which cover our alvelestat product candidate exclusively licensed (with the option to purchase) from AstraZeneca. The assignments of those patents and patent applications which we acquired from Novartis have been registered with the relevant authorities in key territories. The patent and patent applications for setrusumab and leflutrozole are subject to a license agreement with Ultragenyx from January 2021 and a license agreement with ReproNovo from December 2023, respectively. The patents and patent applications for vantictumab and navicixizumab are subject to license agreements with āshibio from July 2025 and Feng Biosciences from January 2020, respectively.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other intellectual property rights could adversely affect our ability to develop and market our product candidates, resulting in harm to our business.</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for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 issued from such patent applications, and then only to the extent the issued claims cover the technology.</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and some remain so until issued, we cannot be certain that we or our licensors were the first to file any patent application related to our product candidates. Furthermore, in the U.S., if third parties have filed such patent applications on or before March 15, 2013, the date on which the U.S. changed from a first to invent to a first to file patent system,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such third parties’ product candidates.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enjoy only limited geographical protection with respect to certain patents and may not be able to protect our intellectual property rights throughout the world.</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Filing and prosecuting patent applications and maintaining and defending patents covering our product candidates in all countries throughout the world would be prohibitively expensive. Competitors may use our and our licensors’ technologies in jurisdictions where we have not obtained patent protection to develop their competitor’s own product candidates and, further, may export otherwise infringing product candidates to territories where we and our licensors have patent protection, but enforcement rights are not as strong as that in the U.S. or Europe. These product candidates may compete with our product candidates, and our and our licensors’ patents or other intellectual property rights may not be effective or sufficient to prevent them from competing.</w:t>
      </w:r>
    </w:p>
    <w:p>
      <w:pPr>
        <w:spacing w:after="0" w:line="18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or technology.</w:t>
      </w:r>
    </w:p>
    <w:p>
      <w:pPr>
        <w:spacing w:after="0" w:line="183"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U.S., U.K.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spacing w:after="0" w:line="254" w:lineRule="auto"/>
        <w:rPr>
          <w:sz w:val="20"/>
          <w:szCs w:val="20"/>
          <w:color w:val="auto"/>
        </w:rPr>
      </w:pPr>
      <w:r>
        <w:rPr>
          <w:rFonts w:ascii="Times New Roman" w:cs="Times New Roman" w:eastAsia="Times New Roman" w:hAnsi="Times New Roman"/>
          <w:sz w:val="18"/>
          <w:szCs w:val="18"/>
          <w:color w:val="auto"/>
        </w:rPr>
        <w:t>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9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patents and other proprietary rights may not adequately protect our technologies and product candidates and may not necessarily address all potential threats to our competitive advantage.</w:t>
      </w:r>
    </w:p>
    <w:p>
      <w:pPr>
        <w:spacing w:after="0" w:line="15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62" w:lineRule="exact"/>
        <w:rPr>
          <w:sz w:val="20"/>
          <w:szCs w:val="20"/>
          <w:color w:val="auto"/>
        </w:rPr>
      </w:pPr>
    </w:p>
    <w:p>
      <w:pPr>
        <w:ind w:left="1140" w:right="26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may impair our ability to develop or commercialize our product candidates;</w:t>
      </w:r>
    </w:p>
    <w:p>
      <w:pPr>
        <w:spacing w:after="0" w:line="225"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may be extended beyond the expected patent term and thus may impair our ability to develop or commercialize our product candidates;</w:t>
      </w:r>
    </w:p>
    <w:p>
      <w:pPr>
        <w:spacing w:after="0" w:line="161" w:lineRule="exact"/>
        <w:rPr>
          <w:rFonts w:ascii="Times New Roman" w:cs="Times New Roman" w:eastAsia="Times New Roman" w:hAnsi="Times New Roman"/>
          <w:sz w:val="18"/>
          <w:szCs w:val="18"/>
          <w:color w:val="auto"/>
        </w:rPr>
      </w:pPr>
    </w:p>
    <w:p>
      <w:pPr>
        <w:ind w:left="1140" w:right="56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collaborators might not have been the first to conceive or reduce to practice the inventions covered by the issued patents or pending patent applications that we own or have exclusively licensed;</w:t>
      </w:r>
    </w:p>
    <w:p>
      <w:pPr>
        <w:spacing w:after="0" w:line="161"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that we own or have exclusively licensed may not lead to issued patents;</w:t>
      </w:r>
    </w:p>
    <w:p>
      <w:pPr>
        <w:spacing w:after="0" w:line="225" w:lineRule="exact"/>
        <w:rPr>
          <w:rFonts w:ascii="Times New Roman" w:cs="Times New Roman" w:eastAsia="Times New Roman" w:hAnsi="Times New Roman"/>
          <w:sz w:val="18"/>
          <w:szCs w:val="18"/>
          <w:color w:val="auto"/>
        </w:rPr>
      </w:pPr>
    </w:p>
    <w:p>
      <w:pPr>
        <w:ind w:left="1140" w:right="44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coverage for all aspects of our product candidates in all countries, such as for uses of our product candidates in the indications under our development or to be developed;</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 candidates for sale in our major commercial markets;</w:t>
      </w:r>
    </w:p>
    <w:p>
      <w:pPr>
        <w:spacing w:after="0" w:line="161"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performing manufacturing or testing for us using our product candidates or technologies could use the intellectual property of others without obtaining a proper license;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licensors’ inventions or technologies may be found to be not patentable;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technologies that are patentable.</w:t>
      </w:r>
    </w:p>
    <w:p>
      <w:pPr>
        <w:spacing w:after="0" w:line="2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have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190"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 party patents are valid, enforceable and infringed, and the holders of any such patents may be able to block our ability to commercialize the applicable product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previously included a patent granted by the European Patent Office (“EPO”), containing claims that appeared to cover the use of etigilimab in the treatment of cancer. This patent has been revoked in its entirety, although a divisional application is pending in the same family. Regarding our anti-sclerostin antibody product candidate, setrusumab, we are aware of litigation involving patents owned by a third-party, OssiFi-Mab LLC (OMab), relating to methods of using sclerostin antagonists in combination with antiresorptive drugs to increase bone growth, bone formation, and/or bone density. Specifically, in the U.S., OMab has asserted certain patents expiring in 2027 or 2028 against Amgen based on Amgen’s commercialization of an anti-sclerostin antibody, Evenity®, for the treatment of osteoporosis in postmenopausal women at high risk for fracture; Amgen denies infringement and asserts the OMab patents are invalid. In Europe, OMab was granted two patents with related subject matter and a third patent application with related subject matter is pending; the first and second patents have been finally revoked following opposition and appeal.</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Any of our patents may be challenged, narrowed, circumvented, or invalidated by third parties. The issuance of a patent is not conclusive as to its inventorship, scope, validity, or enforceability, and our patents may be challenged in the courts or patent offices in the U.S. and abroad. We may be subject to a third party pre-issuance submission of prior art to the USPTO or become involved in opposition, derivation, revocation, reexamination, post-grant and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As an example of the foregoing risks, the validity of our European Patent no. 4106757 has been challenged by an opponent at the EPO. The opposition was rejected by the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right="300"/>
        <w:spacing w:after="0" w:line="282" w:lineRule="auto"/>
        <w:rPr>
          <w:sz w:val="20"/>
          <w:szCs w:val="20"/>
          <w:color w:val="auto"/>
        </w:rPr>
      </w:pPr>
      <w:r>
        <w:rPr>
          <w:rFonts w:ascii="Times New Roman" w:cs="Times New Roman" w:eastAsia="Times New Roman" w:hAnsi="Times New Roman"/>
          <w:sz w:val="18"/>
          <w:szCs w:val="18"/>
          <w:color w:val="auto"/>
        </w:rPr>
        <w:t>Opposition Division in a decision dated November 20, 2025. Appeal proceedings are ongoing, during which the patent may be maintained, narrowed or invalidated.</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There is a risk that one or more third parties may choose to engage in litigation with us to enforce or to otherwise assert their patent rights against us. Even if we believe such claims are without merit, a court of competent jurisdiction could hold that one or more of these patents is valid, enforceable, and infringed, in which case the owners of any such patents may be able to block our ability to commercialize a product candidate unless we obtain a license under the applicable patents, or until such patents expire. However, such a license may not be available on commercially reasonable terms or at all. Such proceedings also may result in substantial cost and require significant time from us, even if the eventual outcome is favorable to us.</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Further, if a patent infringement suit is brought against us or our third-party service providers, our development, manufacturing or sales activities relating to the product or product that is the subject of the suit may be delayed or terminated. As a result of patent infringement claims, or in order to avoid potential infringement claims, we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194"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 candidates, the defendant could counterclaim that our patent is invalid or unenforceable. In patent litigation in the U.S.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competing product candidates. In addition, if the breadth or strength of protection provided by our patents is threatened, it could dissuade companies from collaborating with us to license, develop, or commercialize our current or future product candidates.</w:t>
      </w:r>
    </w:p>
    <w:p>
      <w:pPr>
        <w:spacing w:after="0" w:line="195"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Furthermore, our patents and other intellectual property rights also will not protect our technology if competitors and other third parties design around our protected technology without infringing our patents or other intellectual property rights. For example, a third party may develop a competitive product that provides benefits similar to our product candidates but that uses a technology that falls outside the scope of our patent protection. Our competitors may also seek approval to market generic versions of any approved products and in connection with seeking such approval may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194"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ind w:right="20"/>
        <w:spacing w:after="0" w:line="256" w:lineRule="auto"/>
        <w:rPr>
          <w:sz w:val="20"/>
          <w:szCs w:val="20"/>
          <w:color w:val="auto"/>
        </w:rPr>
      </w:pPr>
      <w:r>
        <w:rPr>
          <w:rFonts w:ascii="Times New Roman" w:cs="Times New Roman" w:eastAsia="Times New Roman" w:hAnsi="Times New Roman"/>
          <w:sz w:val="18"/>
          <w:szCs w:val="18"/>
          <w:color w:val="auto"/>
        </w:rPr>
        <w:t>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 interim proceedings or developments. If securities analysts or investors view these announcements in a negative light, the price of our ADSs could be adversely affected.</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 party patent which might adversely affect our ability to develop, manufacture and market our product candidates.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U.S., Europe and elsewhere that is relevant to or necessary for the commercialization of our product candidates in any jurisdiction. For example, in the U.S., patent applications filed before November 29, 2000 and, upon request, certain patent applications filed after that date that will not be filed outside the U.S., remain confidential until those patent applications issue as patents. Patent applications in the U.S.,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 candidates.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U.S, Europe, or elsewhere that we consider relevant also may be incorrect. Any of the foregoing circumstances, failures, or errors may negatively impact our ability to develop and market our product candidates.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party to agreements with licensors, including Novartis, AstraZeneca, and Ultragenyx under which we in-license certain intellectual property and were assigned, in the case of Novartis, or granted an option to acquire, in the case of AstraZeneca, certain patents and patent applications related to our business. In addition, we are party to agreements with Ultragenyx, āshibio, ReproNovo and Feng Biosciences pursuant to which we have out-licensed certain intellectual property.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maintaining necessary rights to our product candidates or obtaining patent or other intellectual property rights important to our business through acquisitions and in-licenses.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currently own and have in-licensed rights to intellectual property, including patents, patent applications and know-how, relating to our product candidates, and our success will likely depend on 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9" w:name="page80"/>
    <w:bookmarkEnd w:id="79"/>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pacing w:after="0" w:line="183"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We may be subject to claims challenging the inventorship of our patents and patent applications or ownership of our intellectual property. In particular, we may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 An important change introduced by the AIA is that, as of March 16, 2013, the U.S.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8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180"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non-U.S. legislation for extending the term of patents covering our product candidates, our ability to compete effectively could be impaired.</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patent term extension under the Drug Price Competition and Patent Term Restoration Act of 1984, referred to as the “Hatch-Waxman Amendments.” The Hatch-Waxman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 candidates sooner. As a result, our revenue from applicable product candidates could be reduced, possibly materially.</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adversely affected.</w:t>
      </w:r>
    </w:p>
    <w:p>
      <w:pPr>
        <w:spacing w:after="0" w:line="15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maintain and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know-how, our business and competitive position would be harmed.</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180" w:lineRule="exact"/>
        <w:rPr>
          <w:sz w:val="20"/>
          <w:szCs w:val="20"/>
          <w:color w:val="auto"/>
        </w:rPr>
      </w:pPr>
    </w:p>
    <w:p>
      <w:pPr>
        <w:jc w:val="both"/>
        <w:ind w:right="520" w:firstLine="749"/>
        <w:spacing w:after="0" w:line="257" w:lineRule="auto"/>
        <w:rPr>
          <w:sz w:val="20"/>
          <w:szCs w:val="20"/>
          <w:color w:val="auto"/>
        </w:rPr>
      </w:pPr>
      <w:r>
        <w:rPr>
          <w:rFonts w:ascii="Times New Roman" w:cs="Times New Roman" w:eastAsia="Times New Roman" w:hAnsi="Times New Roman"/>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therefore cannot guarantee that our trade secrets and other proprietary and confidential information will not be disclosed or that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right="260"/>
        <w:spacing w:after="0" w:line="258" w:lineRule="auto"/>
        <w:rPr>
          <w:sz w:val="20"/>
          <w:szCs w:val="20"/>
          <w:color w:val="auto"/>
        </w:rPr>
      </w:pPr>
      <w:r>
        <w:rPr>
          <w:rFonts w:ascii="Times New Roman" w:cs="Times New Roman" w:eastAsia="Times New Roman" w:hAnsi="Times New Roman"/>
          <w:sz w:val="18"/>
          <w:szCs w:val="18"/>
          <w:color w:val="auto"/>
        </w:rPr>
        <w:t>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83" w:lineRule="exact"/>
        <w:rPr>
          <w:sz w:val="20"/>
          <w:szCs w:val="20"/>
          <w:color w:val="auto"/>
        </w:rPr>
      </w:pPr>
    </w:p>
    <w:p>
      <w:pPr>
        <w:ind w:right="40" w:firstLine="749"/>
        <w:spacing w:after="0" w:line="289" w:lineRule="auto"/>
        <w:rPr>
          <w:sz w:val="20"/>
          <w:szCs w:val="20"/>
          <w:color w:val="auto"/>
        </w:rPr>
      </w:pPr>
      <w:r>
        <w:rPr>
          <w:rFonts w:ascii="Times New Roman" w:cs="Times New Roman" w:eastAsia="Times New Roman" w:hAnsi="Times New Roman"/>
          <w:sz w:val="17"/>
          <w:szCs w:val="17"/>
          <w:color w:val="auto"/>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54"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third-party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17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 candidates.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and proprietary information may be lost, in the event of information technology system failures, cyberattacks or deficiencies in our cybersecurity.</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 or consultants may be vulnerable to attack and damage from computer viruses and malware (e.g., ransomware), cybersecurity threats, unauthorized access, natural disasters, terrorism, war and telecommunications and electrical failures or breached due to employee error, malfeasance, or other disruptions.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90"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 security incidents. Although, to our knowledge, we have not experienced any significant system failure, accident or security breach to date, any such event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loss of clinical trial data from completed, ongoing, or planned trials could result in delays in our regulatory approval efforts and significantly increase our costs to recover or reproduce the data. We could also incur liability and the further development and commercialization of our product candidates could be delayed. In addition, we also rely on third parties to manufacture our product candidates, so similar events relating to their computer systems could also have a material adverse effect on our business. Further, our insurance coverage may not be sufficient to cover the financial, legal, business or reputational losses that may result from an interruption or breach of our systems.</w:t>
      </w:r>
    </w:p>
    <w:p>
      <w:pPr>
        <w:spacing w:after="0" w:line="18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due to continued hybrid working environment, varying parts of our workforce may work remotely on a part or full-time basis. This could increase our cyber security risk, create data accessibility concerns, and make us more susceptible to communication disruptions. Any of the foregoing could have a material adverse effect on our business, financial condition, results of operations or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may be volatile, and you could lose all or part of your investment.</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trading price of our ADSs has been volatile and may continue to be highly volatile and could be subject to wide fluctuations in response to various factors, some of which are beyond our control.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report, factors that have affected and may in the future affect the market price of our ADSs include:</w:t>
      </w:r>
    </w:p>
    <w:p>
      <w:pPr>
        <w:spacing w:after="0" w:line="183" w:lineRule="exact"/>
        <w:rPr>
          <w:sz w:val="20"/>
          <w:szCs w:val="20"/>
          <w:color w:val="auto"/>
        </w:rPr>
      </w:pPr>
    </w:p>
    <w:p>
      <w:pPr>
        <w:ind w:left="1140" w:right="28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from, or delays in, testing or clinical trials conducted by us, our collaborators, or our competitors, such as the top-line results from the Phase 3 Orbit and Cosmic studies announced in December 29, 2025;</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and analyses by regulators of data from pre-clinical studies or clinical trials;</w:t>
      </w:r>
    </w:p>
    <w:p>
      <w:pPr>
        <w:spacing w:after="0" w:line="225"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ADSs listing on the Nasdaq;</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product introductions by us or competitors;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such as the COVID-19 pandemic, and government efforts to slow their spread;</w:t>
      </w:r>
    </w:p>
    <w:p>
      <w:pPr>
        <w:spacing w:after="0" w:line="225"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public health, financial or geopolitical events that affect us or the financial markets generally, such as the duration and severity of the impact of the COVID-19 pandemic, the conflicts between Ukraine and the Russian Federation, and Israel and Hamas and unexpected rises in inflation and interest rates;</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w:t>
      </w:r>
    </w:p>
    <w:p>
      <w:pPr>
        <w:spacing w:after="0" w:line="225"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 and variances in our periodic results of operations from securities analysts’ estimates;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the biopharmaceutical and pharmaceutical industries or in the economy as a whole;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senior management personnel;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by us, our senior management and board members, holders of ADSs or our other security holders in the future;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shareholders;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the investment community; or</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many of which are beyond our control.</w:t>
      </w:r>
    </w:p>
    <w:p>
      <w:pPr>
        <w:spacing w:after="0" w:line="225"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the past in the U.S., when the market price of a security has been volatile, holders of that security have often instituted securities class action litigation against the issuer of such securities. If any of the holders of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 For further information, see “Item 3. Legal Proceedings.”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satisfy Nasdaq’s requirements for continued listing. If we cannot satisfy these requirements, Nasdaq could delist our ADSs, which could have an adverse impact on the liquidity and market price of our ADSs.</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February 17, 2026 we received a letter from the Listings Qualifications Department of Nasdaq notifying us that our ADSs failed to maintain a minimum bid price of $1.00 over the previous 30 consecutive business days as required by the Listing Rules of Nasdaq. We have a period of 180 calendar days, or until August 17, 2026, to regain compliance with Nasdaq’s minimum bid price requirement by maintaining a closing bid price of $1.00 per ADS for a minimum of ten consecutive business days. If at any time during this period the bid price of our ADSs closes at $1.00 per ADS or more for a minimum of ten consecutive business days (unless the Nasdaq staff exercises its discretion to extend this ten business day period pursuant to Nasdaq Listing Rule 5810(c)(3)(H)), Nasdaq will provide us with written confirmation of compliance.</w:t>
      </w:r>
    </w:p>
    <w:p>
      <w:pPr>
        <w:spacing w:after="0" w:line="18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have not yet regained compliance with the Nasdaq’s minimum bid price rule, and our failure to do so could result in the delisting of our ADSs from Nasdaq. There can be no assurance that we will be able to comply in the future with Nasdaq’s minimum bid price requirement. If we continue to be in non-compliance with the minimum bid price rule and the applicable six-month grace period ends, Nasdaq may commence delisting procedures against us during which we may request a hearing before a hearing panel which could result in additional time of up to six months to regain compliance. If our ADSs were ultimately delisted by Nasdaq, trading of the ADSs could be limited to “over-the-counter” trades and the market liquidity and market price of our ADSs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ADSs and the withdrawal of the underlying ordinary shares.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pacing w:after="0" w:line="18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U.K. Companies Act 2006, or the Companies Act, and by our articles of association. These rights differ in certain respects from the rights of shareholders in typical U.S. corporations.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principal differences include the following:</w:t>
      </w:r>
    </w:p>
    <w:p>
      <w:pPr>
        <w:spacing w:after="0" w:line="225" w:lineRule="exact"/>
        <w:rPr>
          <w:sz w:val="20"/>
          <w:szCs w:val="20"/>
          <w:color w:val="auto"/>
        </w:rPr>
      </w:pPr>
    </w:p>
    <w:p>
      <w:pPr>
        <w:ind w:left="1140" w:right="140" w:hanging="383"/>
        <w:spacing w:after="0" w:line="266"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holders of ordinary shares generally have preemptive rights (in proportion to their existing holdings) in relation to ordinary shares or rights to subscribe for, or to convert securities into, ordinary shares proposed to be allotted for cash, unless an exception applies or a special resolution to the contrary has been passed by shareholders in a</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left="1140" w:right="440"/>
        <w:spacing w:after="0" w:line="282" w:lineRule="auto"/>
        <w:rPr>
          <w:sz w:val="20"/>
          <w:szCs w:val="20"/>
          <w:color w:val="auto"/>
        </w:rPr>
      </w:pPr>
      <w:r>
        <w:rPr>
          <w:rFonts w:ascii="Times New Roman" w:cs="Times New Roman" w:eastAsia="Times New Roman" w:hAnsi="Times New Roman"/>
          <w:sz w:val="18"/>
          <w:szCs w:val="18"/>
          <w:color w:val="auto"/>
        </w:rPr>
        <w:t>general meeting or the articles of association provide otherwise. Under U.S. law, shareholders generally do not have preemptive rights unless specifically granted in the certificate of incorporation or otherwise;</w:t>
      </w:r>
    </w:p>
    <w:p>
      <w:pPr>
        <w:spacing w:after="0" w:line="162" w:lineRule="exact"/>
        <w:rPr>
          <w:sz w:val="20"/>
          <w:szCs w:val="20"/>
          <w:color w:val="auto"/>
        </w:rPr>
      </w:pPr>
    </w:p>
    <w:p>
      <w:pPr>
        <w:ind w:left="1140" w:right="40" w:hanging="383"/>
        <w:spacing w:after="0" w:line="25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the approval of shareholders representing 75% of the ordinary shares voting (in person or by proxy)), including changes to our name, permitting us to issue new ordinary shares for cash without the shareholders’ preemptive rights applying and amendments to the articles of association. Under U.S. law, generally only majority shareholder approval is required to amend the certificate of incorporation or to approve other significant matters;</w:t>
      </w:r>
    </w:p>
    <w:p>
      <w:pPr>
        <w:spacing w:after="0" w:line="183" w:lineRule="exact"/>
        <w:rPr>
          <w:rFonts w:ascii="Times New Roman" w:cs="Times New Roman" w:eastAsia="Times New Roman" w:hAnsi="Times New Roman"/>
          <w:sz w:val="18"/>
          <w:szCs w:val="18"/>
          <w:color w:val="auto"/>
        </w:rPr>
      </w:pPr>
    </w:p>
    <w:p>
      <w:pPr>
        <w:ind w:left="1140" w:right="40" w:hanging="383"/>
        <w:spacing w:after="0" w:line="254"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a takeover may be structured as takeover offers or as schemes of arrangement. Under English law, a bidder seeking to acquire a company by means of a takeover offer who has acquired or unconditionally contracted to acquire not less than 90% of the shares (not held by the bidder) to which the offer relates may complete a “squeeze out” on the same terms as the takeover offer to obtain 100% control of that company. Accordingly, acceptances in respect of 90% of our outstanding ordinary shares/ADSs will likely be a condition in any takeover offer to acquire us (albeit a condition that the bidder will typically reserve the right to waive down to anything above 50%),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not less than 75% of the ordinary shares voting at the meeting;</w:t>
      </w:r>
    </w:p>
    <w:p>
      <w:pPr>
        <w:spacing w:after="0" w:line="191" w:lineRule="exact"/>
        <w:rPr>
          <w:rFonts w:ascii="Times New Roman" w:cs="Times New Roman" w:eastAsia="Times New Roman" w:hAnsi="Times New Roman"/>
          <w:sz w:val="18"/>
          <w:szCs w:val="18"/>
          <w:color w:val="auto"/>
        </w:rPr>
      </w:pPr>
    </w:p>
    <w:p>
      <w:pPr>
        <w:ind w:left="1140" w:hanging="383"/>
        <w:spacing w:after="0" w:line="25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if a person defaults in providing the required information our directors may certain directions, including that the relevant shareholder will not be entitled to vote at general meetings, that dividends in respect of the default shares will be retained and that no transfers of the default shares may be registered. Comparable provisions generally do not exist under U.S. law; and</w:t>
      </w:r>
    </w:p>
    <w:p>
      <w:pPr>
        <w:spacing w:after="0" w:line="183" w:lineRule="exact"/>
        <w:rPr>
          <w:rFonts w:ascii="Times New Roman" w:cs="Times New Roman" w:eastAsia="Times New Roman" w:hAnsi="Times New Roman"/>
          <w:sz w:val="18"/>
          <w:szCs w:val="18"/>
          <w:color w:val="auto"/>
        </w:rPr>
      </w:pPr>
    </w:p>
    <w:p>
      <w:pPr>
        <w:ind w:left="1140" w:right="20" w:hanging="383"/>
        <w:spacing w:after="0" w:line="254"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representative. In addition, in accordance with the applicable Nasdaq rules, under the articles of association for a shareholders’ meeting to be quorate at least 33 1/3 percent of the company’s issued and outstanding ordinary shares must be present at such meeting, whether represented in person (including, in the case of a corporate member, by a duly authorized representative) or by a duly appointed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research or unfavorable research about our business, the price and trading volume of ADSs could decline.</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business. If one or more of the analysts who covers us downgrades our ADSs or publishes incorrect or unfavorable research about our business, the price of our ADSs would likely decline. If one or more of these analysts ceases coverage of us or fails to publish reports on us regularly, or downgrades our ADSs, demand for ADSs could decrease, which could cause the price of ADSs and/or ordinary shares and/or trading volume to decline.</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ind w:firstLine="749"/>
        <w:spacing w:after="0" w:line="258" w:lineRule="auto"/>
        <w:rPr>
          <w:sz w:val="20"/>
          <w:szCs w:val="20"/>
          <w:color w:val="auto"/>
        </w:rPr>
      </w:pPr>
      <w:r>
        <w:rPr>
          <w:rFonts w:ascii="Times New Roman" w:cs="Times New Roman" w:eastAsia="Times New Roman" w:hAnsi="Times New Roman"/>
          <w:sz w:val="18"/>
          <w:szCs w:val="18"/>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18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distributions on ordinary shares represented by ADSs or any value for them if it is unlawful or impractical to make them available to holders of ADSs.</w:t>
      </w:r>
    </w:p>
    <w:p>
      <w:pPr>
        <w:spacing w:after="0" w:line="159" w:lineRule="exact"/>
        <w:rPr>
          <w:sz w:val="20"/>
          <w:szCs w:val="20"/>
          <w:color w:val="auto"/>
        </w:rPr>
      </w:pPr>
    </w:p>
    <w:p>
      <w:pPr>
        <w:ind w:right="80" w:firstLine="749"/>
        <w:spacing w:after="0" w:line="274" w:lineRule="auto"/>
        <w:rPr>
          <w:sz w:val="20"/>
          <w:szCs w:val="20"/>
          <w:color w:val="auto"/>
        </w:rPr>
      </w:pPr>
      <w:r>
        <w:rPr>
          <w:rFonts w:ascii="Times New Roman" w:cs="Times New Roman" w:eastAsia="Times New Roman" w:hAnsi="Times New Roman"/>
          <w:sz w:val="17"/>
          <w:szCs w:val="17"/>
          <w:color w:val="auto"/>
        </w:rPr>
        <w:t>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 in the deposit agreement, it may be unlawful or impractical to make a distribution available to holders of ADSs. We have no obligation to take any other action to permit the distribution of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ADSs.</w:t>
      </w:r>
    </w:p>
    <w:p>
      <w:pPr>
        <w:spacing w:after="0" w:line="16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ADSs may not have the same voting rights as holders of ordinary shares and may not receive voting materials in time to be able to exercise their right to vote.</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for you to bring any action or enforce any judgment obtained in the U.S. against us or members of our Board, which may limit the remedies otherwise available to us.</w:t>
      </w:r>
    </w:p>
    <w:p>
      <w:pPr>
        <w:spacing w:after="0" w:line="15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are incorporated as a public limited company in England and Wales, and the majority of our assets are located outside the U.S. In addition, several members of our board of directors (our “Board”) are nationals and residents of countries, including the U.K., outside of the U.S. Most or all of the assets of these individuals are located outside the U.S. As a result, it may be difficult or impossible for you to bring an action against us or against these individuals in the U.S. if you believe your rights have been infringed under the securities laws or otherwise. In addition, a U.K. court may prevent you from enforcing a judgment of a U.S. court against us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ind w:right="540"/>
        <w:spacing w:after="0" w:line="282" w:lineRule="auto"/>
        <w:rPr>
          <w:sz w:val="20"/>
          <w:szCs w:val="20"/>
          <w:color w:val="auto"/>
        </w:rPr>
      </w:pPr>
      <w:r>
        <w:rPr>
          <w:rFonts w:ascii="Times New Roman" w:cs="Times New Roman" w:eastAsia="Times New Roman" w:hAnsi="Times New Roman"/>
          <w:sz w:val="18"/>
          <w:szCs w:val="18"/>
          <w:color w:val="auto"/>
        </w:rPr>
        <w:t>or these individuals based on the securities laws of the U.S. or any state thereof. A U.K. court may not allow you to bring an action against us or our directors based on the securities laws of the U.S. or any state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in countries other than the U.K. will suffer dilution if they are unable to participate in future preemptive equity offerings.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U.K. may be restricted by applicable law or practice in the U.K. and overseas jurisdictions. In particular, the exercise of preemptive rights by U.S.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could have a material adverse effect on our business and stock price.</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(“Section 404”), we are required to furnish a report by our senior management on our internal control over financial reporting. However, while we remain a non-accelerated filer, we will not be required to include an attestation report on internal control over financial reporting issued by our independent registered public accounting firm. To comply with Section 404, we have to continuously document and evaluate our internal control over financial reporting, which is both costly and challenging. In this regard, we dedicate internal resources, engage outside consultants as needed from time to time, and prepare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As discussed in Item 9A. Controls and Procedures, we have not identified any material weaknesses, however if we do identify one or more material weaknesses in future, it could result in an adverse reaction in the financial markets due to a loss of confidence in the reliability of our financial statements.</w:t>
      </w:r>
    </w:p>
    <w:p>
      <w:pPr>
        <w:spacing w:after="0" w:line="19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(“PFIC”) for any taxable year, which could result in material adverse U.S. federal income tax consequences if you are a U.S. investor.</w:t>
      </w:r>
    </w:p>
    <w:p>
      <w:pPr>
        <w:spacing w:after="0" w:line="15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7" w:name="page88"/>
    <w:bookmarkEnd w:id="87"/>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Although we believe we have been treated as a PFIC in the past, based on our gross income, the average value of our assets, including goodwill, and the nature of the current state of our business, we do not believe we were a PFIC for the year ended December 31, 2025. There can be no assurance regarding our PFIC status for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In addition, we may, directly or indirectly, hold equity interests in other entities, including certain of our subsidiaries that are PFICs. Accordingly, U.S. investors should invest in our ADSs only if they are willing to bear the U.S. federal income tax consequences associated with investments in PFICs.</w:t>
      </w:r>
    </w:p>
    <w:p>
      <w:pPr>
        <w:spacing w:after="0" w:line="190"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If we were a PFIC for any taxable year during which a U.S. investor owns ADSs, certain adverse U.S. federal income tax consequences could apply to such U.S. investor. We will provide the information necessary for a U.S. investor to make a qualified electing fund election with respect to us. U.S. investors should consult their tax advisers regarding our PFIC status for any taxable year and the potential application of the PFIC rules to an investment in our ADSs (including the potential implications of our prior PFIC status).</w:t>
      </w:r>
    </w:p>
    <w:p>
      <w:pPr>
        <w:spacing w:after="0" w:line="176"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Commencing January 1, 2024, we were required to comply with the domestic reporting regime under the Exchange Act and will continue to incur significant legal, accounting and other expenses, and our management must devote substantial time to public company compliance initiatives and corporate governance matters.</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From January 1, 2024, we no longer qualified as a “foreign private issuer” under the rules and regulations of the SEC. While we were a foreign private issuer, we were exempt from compliance with certain laws and regulations of the SEC, including the proxy rules, the short-swing profits recapture rules and certain governance requirements, such as independent director oversight of the nomination of directors and executive compensation. In addition, we were not required to file annual, quarterly and current reports and financial statements with the SEC as frequently or as promptly as U.S. companies registered under the Exchange Act and were not required to present our financial statements in accordance with U.S. GAAP. Commencing January 1, 2024, we were no longer entitled to “foreign private issuer” exemptions and began reporting as a domestic U.S. filer, including filing annual reports on Form 10-K, quarterly reports on Form 10-Q, current reports on Form 8-K and proxy statements under Section 14 of the Exchange Act. In addition, beginning January 1, 2024, our “insiders” are subject to the reporting and short-swing profit recovery provisions contained in Section 16 of the Exchange Act and the requirements of Regulation FD promulgated by the SEC under the Exchange Act. Moreover, beginning January 1, 2024, we were no longer permitted to follow our home country rules in lieu of the corporate governance obligations imposed by Nasdaq, and are required to comply with the governance practices required of U.S. domestic issuers.</w:t>
      </w:r>
    </w:p>
    <w:p>
      <w:pPr>
        <w:spacing w:after="0" w:line="192"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regulatory and compliance costs associated with the reporting and governance requirements applicable to U.S. domestic issuers may be significantly higher than the costs we previously incurred as a foreign private issuer. As a result, we expect that our legal and financial compliance costs will continue to increase and some compliance activities may be highly time consuming and costly. In addition, we need to further develop our reporting and compliance infrastructure and may face challenges in complying with the new requirements applicable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62"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the U.K. Cyber Essentials and the National Institute of Standards and Technology Cybersecurity Framework (NIST CSF). This does not imply that we meet any particular technical standards, specifications, or requirements, only that we use these frameworks as a guide to help us identify, assess, and manage cybersecurity risks relevant to our business.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8" w:name="page89"/>
    <w:bookmarkEnd w:id="88"/>
    <w:p>
      <w:pPr>
        <w:ind w:right="640" w:firstLine="74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1020" w:right="20" w:hanging="503"/>
        <w:spacing w:after="0" w:line="261"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Reporting: We have implemented a cross-functional approach to assessing, identifying and managing material cybersecurity threats and incidents to our critical systems, information and our enterprise information technology environment. Our program includes controls and procedures to identify, classify and escalate certain cybersecurity incidents to provide management visibility and obtain direction from management as to the public disclosure and reporting of material incidents in a timely manner.</w:t>
      </w:r>
    </w:p>
    <w:p>
      <w:pPr>
        <w:spacing w:after="0" w:line="71"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Safeguards: We implement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67" w:lineRule="exact"/>
        <w:rPr>
          <w:rFonts w:ascii="Times New Roman" w:cs="Times New Roman" w:eastAsia="Times New Roman" w:hAnsi="Times New Roman"/>
          <w:sz w:val="18"/>
          <w:szCs w:val="18"/>
          <w:color w:val="auto"/>
        </w:rPr>
      </w:pPr>
    </w:p>
    <w:p>
      <w:pPr>
        <w:ind w:left="1020" w:right="140" w:hanging="503"/>
        <w:spacing w:after="0" w:line="258"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Risk Management: We use external service providers, where appropriate, to assess, test or otherwise assist with aspects of our security controls. We maintain a risk-based approach to identifying and overseeing material cybersecurity threats presented by third parties, including vendors, service providers, and other external users of our systems, as well as the systems of third parties that could adversely impact our business in the event of a material cybersecurity incident affecting those third party systems, including any service providers, suppliers, and vendors that have access to our critical systems and information.</w:t>
      </w:r>
    </w:p>
    <w:p>
      <w:pPr>
        <w:spacing w:after="0" w:line="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and Training: We provide annual cybersecurity awareness training and on-going phishing simulation testing for our employees, incident response personnel and senior management in order to communicate evolving information security policies, standards, processes and practices and to provide them with the tools to make them aware of processes on addressing cybersecurity threats.</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and Recovery Planning: We maintain incident response, business continuity, and disaster recovery plans designed to address our response to a cybersecurity incident.</w:t>
      </w:r>
    </w:p>
    <w:p>
      <w:pPr>
        <w:spacing w:after="0" w:line="162"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We have not identified any specific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“Item 1A. Risk Factor—Risks Related to Healthcare Laws and Other Legal Compliance Matters—Our business and operations may suffer in the event of information technology system failures, cyberattacks or deficiencies in our cybersecurity."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29" w:lineRule="exact"/>
        <w:rPr>
          <w:sz w:val="20"/>
          <w:szCs w:val="20"/>
          <w:color w:val="auto"/>
        </w:rPr>
      </w:pPr>
    </w:p>
    <w:p>
      <w:pPr>
        <w:jc w:val="both"/>
        <w:ind w:right="460" w:firstLine="749"/>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and risk committee oversight of cybersecurity and other information technology risks. The audit and risk committee oversees management’s implementation of our cybersecurity risk management program.</w:t>
      </w:r>
    </w:p>
    <w:p>
      <w:pPr>
        <w:spacing w:after="0" w:line="17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Material cybersecurity risks are identified by members of our team. Our Head of IT is primarily responsible for managing our cybersecurity risk assessment processes, including those described in “Cybersecurity Risk Management and Strategy” above, our security controls and our response to cybersecurity incidents, with assistance from third party service providers.</w:t>
      </w:r>
    </w:p>
    <w:p>
      <w:pPr>
        <w:spacing w:after="0" w:line="176"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audit and risk committee receives periodic reports and briefings from management on our cybersecurity risks. In addition, management updates the audit and risk committee, as necessary, regarding any material cybersecurity incidents, as well as any incidents with lesser impact potential. The audit and risk committee reports to the full Board regarding its activities, including those related to cybersecurity.</w:t>
      </w:r>
    </w:p>
    <w:p>
      <w:pPr>
        <w:spacing w:after="0" w:line="176"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IT personnel; threat intelligence and other information obtained from governmental, public or private sources, including third party service providers engaged by us; and alerts and reports produced by security tools deployed in the information technology environment.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Mereo’s principal office is located at 4th Floor, One Cavendish Place, London W1G 0QF, United Kingdom, where Mereo leases approximately 7,400 square feet of office space. Mereo leases this office space under leases that terminate on June 24,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ind w:right="100" w:firstLine="749"/>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in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the consolidated financial statements included elsewhere in this Annual Report on Form 10-K under the caption “Putative Securities Class Action”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97" w:right="479" w:bottom="1440" w:gutter="0" w:footer="0" w:header="0"/>
        </w:sectPr>
      </w:pPr>
    </w:p>
    <w:bookmarkStart w:id="90" w:name="page91"/>
    <w:bookmarkEnd w:id="9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Market Information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ordinary shares, par value £0.003 per share, are not publicly traded. Our American Depositary Shares, or ADSs, each represent five ordinary shares of Mereo BioPharma Group plc and began trading on The Nasdaq Global Select Market on April 24, 2019 under the symbol “MREO.” Prior to that date, there was no public trading market for our ADSs or our ordinary shares. On May 3, 2023, we transferred the listing of our ADSs to the Nasdaq Capital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Ordinary Shares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2025, assuming that all of our ordinary shares represented by ADSs are held by residents of the U.S., including ADSs held by the entities set forth in Item 12. Security Ownership of Certain Beneficial Owners and Management and Related Stockholder Matters, and excluding certain other holders that we know to be non-residents of the U.S., we estimate that approximately 93% of our outstanding ordinary shares (including ordinary shares underlying ADSs) were held in the U.S. The number of record holders in the U.S. is not representative of the number of beneficial holders nor is it representative of where such beneficial holders are resident since many of these shares were held by brokers or other nominees.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Distribution Policy</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Mereo has never paid or declared any cash dividends on its ordinary shares, and does not anticipate paying any cash dividends on its ordinary shares in the foreseeable future. Mereo intends to retain all available funds and any future earnings to fund the development and 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less its accumulated realized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Share Repurchases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was no share repurchase activity in the Company’s fourth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to those statements included elsewhere in this Annual Report on Form 10-K. In addition to our historical consolidated financial information, the following discussion contains forward-looking statements that reflect our plans, estimates, beliefs and expectations.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Part I, Item 1A. “Risk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of innovative therapeutics for rare diseases. We have developed a portfolio of late-stage clinical product candidates. Our late-stage rare disease product candidates are setrusumab for the treatment of osteogenesis imperfecta (OI) and alvelestat for the treatment of severe alpha-1 antitrypsin deficiency-associated lung disease (AATD-LD). Setrusumab has received orphan designation for OI from the EC and the FDA, PRIME designation from the EMA and has Breakthrough Therapy designation and rare pediatric disease designation from the FDA. Alvelestat has received orphan designation for AATD from the EC and the FDA, and Fast Track designation for the treatment of AATD-LD from the FDA. We also have an early-stage rare disease program, vantictumab, for the treatment of a second bone disease, autosomal dominant osteopetrosis Type 2 (ADO2). The global development of vantictumab is being funded and led by our partner, āshibio, and we retain the European commercial rights.</w:t>
      </w:r>
    </w:p>
    <w:p>
      <w:pPr>
        <w:spacing w:after="0" w:line="20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On December 29, 2025, we announced the results from the Phase 3 Orbit and Cosmic studies evaluating setrusumab in pediatric and young adult patients with OI. For further information see “Item 1. Business—Core Rare Disease Product Candidates—Setrusumab (BPS-804/UX143) for the Treatment of Osteogenesis Imperfecta—Top-line Data from Setrusumab Phase 3 Orbit and Cosmic Studies.”</w:t>
      </w:r>
    </w:p>
    <w:p>
      <w:pPr>
        <w:spacing w:after="0" w:line="17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this strategy by acquiring all of our clinical-stage product candidates of which three were in rare diseases. We have successfully completed large, randomized Phase 2 clinical trials for four of our product candidates and the Phase 1b portion of a Phase 1b/2 for a fifth product candidate, and we and our partner Ultragenyx recently announced the results from two Phase 3 studies for our lead program setrusumab in OI.</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Cost of revenue</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 Where the Company has performed significant development activities for its product candidates, income from agreements with third parties are considered to be proceeds derived from the Company’s ordinary activities and therefore represent revenue.</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Revenue has included income from licensing and collaboration agreements. Consideration received up front is recognized at the point in time in which the right to use a license or intellectual property is transferred. Income from development, regulatory, commercial or similar milestones is recognized when considered probable that a significant reversal of cumulative revenue recognized will not occur when the uncertainty associated with the milestone is subsequently resolved.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do not currently have any approved product candidates. Accordingly, we have not generated any commercial sales revenue during the period. In the future, we expect to be able to generate commercial sales revenue if we are able to obtain regulatory approval and commercialize one or more of our product candidates.</w:t>
      </w:r>
    </w:p>
    <w:p>
      <w:pPr>
        <w:spacing w:after="0" w:line="176"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Payments to third parties arising as a direct consequence of the revenue recognized are recorded within cost of revenue in the Company’s consolidated statements of operations and comprehensive loss. For the year ended December 31, 2025, cost of revenue included amounts that we were obligated to pay to Novartis under the 2015 asset purchase agreements. In 2015, when we purchased acumapimod, leflutrozole and setrusumab from Novartis, we agreed to pay Novartis if certain events occurred in relation to these compounds. The events that warrant a payment to Novartis are sales related or when a change in control occurs. When it is probable that either of these events will occur, revenue is recognized, and the corresponding payment obligation to Novartis is recognized within cost of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(“R&amp;D expenses”)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R&amp;D expenses include:</w:t>
      </w:r>
    </w:p>
    <w:p>
      <w:pPr>
        <w:spacing w:after="0" w:line="225" w:lineRule="exact"/>
        <w:rPr>
          <w:sz w:val="20"/>
          <w:szCs w:val="20"/>
          <w:color w:val="auto"/>
        </w:rPr>
      </w:pPr>
    </w:p>
    <w:p>
      <w:pPr>
        <w:ind w:left="1140" w:right="740" w:hanging="383"/>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such as salaries, share-based compensation, and other benefits, for Mereo’s research and development personnel;</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production of drug substance and drug product and development of Mereo’s manufacturing processes by CMOs;</w:t>
      </w:r>
    </w:p>
    <w:p>
      <w:pPr>
        <w:spacing w:after="0" w:line="225" w:lineRule="exact"/>
        <w:rPr>
          <w:rFonts w:ascii="Times New Roman" w:cs="Times New Roman" w:eastAsia="Times New Roman" w:hAnsi="Times New Roman"/>
          <w:sz w:val="18"/>
          <w:szCs w:val="18"/>
          <w:color w:val="auto"/>
        </w:rPr>
      </w:pPr>
    </w:p>
    <w:p>
      <w:pPr>
        <w:ind w:left="1140" w:right="520" w:hanging="383"/>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other costs paid to CROs, consultants, and other suppliers to conduct Mereo’s clinical trials and pre-clinical and non-clinical studies;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facilities, materials, and equipment related to drug production and Mereo’s clinical trials and pre-clinical and non-clinical studies.</w:t>
      </w:r>
    </w:p>
    <w:p>
      <w:pPr>
        <w:spacing w:after="0" w:line="225"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Intellectual property costs incurred on each drug candidate and costs associated with pre-commercial activities to support pricing and reimbursement by health technology assessment (“HTA”) authorities and payor decision-makers in Europe are excluded from R&amp;D expenses and are recognized within general and administrative expenses. Our direct R&amp;D expenses are allocated on a product-candidate-by-product-candidate basis. We allocate employee-related expenses for our R&amp;D personnel and other related expenses to specific product candidate development programs.</w:t>
      </w:r>
    </w:p>
    <w:p>
      <w:pPr>
        <w:spacing w:after="0" w:line="18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As we advance the clinical development of our product candidates, we expect that our R&amp;D expense will continue to include costs of inputting into development, regulatory and manufacturing plans with our partner, Ultragenyx, for setrusumab; and activities associated with preparation of alvelestat for the Phase 3 study, including CMC, regulatory and other activities required to initiate the study.</w:t>
      </w:r>
    </w:p>
    <w:p>
      <w:pPr>
        <w:spacing w:after="0" w:line="187"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176"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Our future expenditure on developing our product candidates is therefore highly uncertain. This is due to numerous risks and uncertainties associated with developing our product candidates, including the uncertainty of:</w:t>
      </w:r>
    </w:p>
    <w:p>
      <w:pPr>
        <w:spacing w:after="0" w:line="162" w:lineRule="exact"/>
        <w:rPr>
          <w:sz w:val="20"/>
          <w:szCs w:val="20"/>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R&amp;D activities;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 and our pre-clinical and non-clinical studies;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regulatory approvals, if any;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our third-party manufacturers to obtain manufacturing supply;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its intellectual property portfolio;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of commercial sales of any of our product candidates, if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strategic relationships for clinical development and/or commercialization of our non-core product candidates and performance of our strategic partners under these arrangements;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if any, of one or more of our non-core disease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any of our product candidates, if approved, by patients, the medical community and payors at our desired pricing levels;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therapies;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any of our product candidates following approval.</w:t>
      </w:r>
    </w:p>
    <w:p>
      <w:pPr>
        <w:spacing w:after="0" w:line="22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principally consist of salaries and related benefits, including share-based compensation, for personnel in our executive, finance and other administrative functions as well as certain pre-commercial activities, including those to support pricing and reimbursement by HTA authorities and payor decision-makers in Europe, particularly in relation to setrusumab. Other general and administrative costs include facility-related costs, professional services fees for auditing, tax and general legal services, intellectual property costs, costs related to our requirements of being a public company listed on Nasdaq, and costs incurred relating to the issue of equity to the extent not capitalized.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Other income consists of income that is derived from a third party which is not a customer and does not fall under the scope of ASC Topic 606, Revenue from Contracts with Customers (“ASC 606”).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income comprises interest received on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Interest expense principally comprises interest on convertible loan notes prior to their conversion in February 2025, deferred consideration and bank charges. For further information on the terms of our convertible loan notes see “—Liquidity and Capital Resources—Indebtedness.”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fair value of financial instruments/warrants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changes in financial instruments principally comprises warrant liabilities, which are recognized in the statement of comprehensive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 gain/(loss)</w:t>
      </w:r>
    </w:p>
    <w:p>
      <w:pPr>
        <w:spacing w:after="0" w:line="229"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presented in U.S. dollars. We initially record transactions in foreign currencies at the rate prevailing on the date the transaction first qualifies for recognition. Foreign currency transaction gain/(loss) consists of the difference arising on settlement or translation of transactions denominated in currencies other than the functional currency of the transacting foreign entity, which are primarily between U.S. dollars and British pound sterling.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research and development tax credits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4" w:name="page95"/>
    <w:bookmarkEnd w:id="94"/>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As a U.K. resident trading entity, we are subject to U.K. corporate taxation. Due to the nature of our business, we have generated operating losses since formation. As of December 31, 2025 and 2024, we had cumulative carry-forward U.K. tax losses of $64.1 million and $36.6 million, respectively. Subject to any relevant restrictions, we expect these to be available to carry forward and offset against future operating profits. The benefit from R&amp;D tax credits represents R&amp;D tax credits recoverable in the U.K. and recognized under the following schemes: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w:t>
      </w:r>
    </w:p>
    <w:p>
      <w:pPr>
        <w:spacing w:after="0" w:line="227"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Pursuant to changes made by the Finance Act 2024, for accounting periods starting on or after April 1, 2024, the Merged Scheme came into effect for all companies, other than loss making R&amp;D intensive SMEs.</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Under the Merged Scheme, a headline credit rate of 20% on eligible R&amp;D expenditure is available, and the credit is taxable at the applicable corporation tax rate. The amount of R&amp;D tax credit that a business can receive in any one year is capped at £20,000 plus three times the Company’s total PAYE and NIC liability. Subcontracted expenditure in most cases is expected to be a qualifying cost (unless it relates to non-qualifying costs subcontracted overseas).</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U.K. R&amp;D tax credit may either be offset against corporation tax liabilities, or paid net of tax as a cash credit where there is no liability in the future. As a result, the Company has recorded the entire benefit from the U.K. R&amp;D tax credit as a benefit which is included in net loss before income tax and therefore it is not reflected as part of the income tax provision. If, in the future, any U.K. R&amp;D tax credits generated are needed to offset a corporate income tax liability in the U.K., the relevant portion would be recorded as a benefit within the income tax provision and any refundable portion not dependent on taxable income would continue to be recorded within the benefit from research and development tax credit in the consolidated statements of operations and comprehensive loss.</w:t>
      </w:r>
    </w:p>
    <w:p>
      <w:pPr>
        <w:spacing w:after="0" w:line="18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For loss making R&amp;D intensive SMEs, the ERIS regime will be available (for companies where at least 30% of their total expenditure including any connected companies is on qualifying R&amp;D). We did not qualify as an R&amp;D intensive company for 2025, nor do we expect to in the future, and therefore we expect to claim under the Merged Scheme from 2025 onward.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22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historically benefited from the U.K. SME R&amp;D Relief, which provided relief against U.K. corporation tax and enabled us to surrender some of our trading losses that arose from our R&amp;D activities for a cash credit. Pursuant to changes made by the Finance Act 2023, for expenditure incurred on or after April 1, 2023, a cash credit of up to 27% for R&amp;D intensive companies where at least 40% of their total expenditure is on qualifying R&amp;D, or for non-R&amp;D intensive companies, a cash credit of up to 18.6% of eligible R&amp;D expenditure is available. From April 1, 2023, certain subcontracted qualifying research expenditures were eligible for a cash credit of up to 17.53% for R&amp;D intensive companies or 12.09% for other companies. The difference in cash credit for qualifying subcontracted expenditure vs. other qualifying expenditure is due to a statutory restriction of 65% being applied to unconnected qualifying subcontracted expenditure, thus restricting the benefit available.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"patent box" regime</w:t>
      </w:r>
    </w:p>
    <w:p>
      <w:pPr>
        <w:spacing w:after="0" w:line="22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 the event we generate revenues in the future, we may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these regimes, or we are unable to use net operating loss and tax credit carryforwards and certain built-in losses to reduce future tax payments, our business, results of operations, and financial condition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operate in the U.K. and in the U.S. and are subject to corporate taxation in those countries. We have generated losses since inception and have therefore not paid U.K. corporation tax, except in 2021.</w:t>
      </w:r>
    </w:p>
    <w:p>
      <w:pPr>
        <w:spacing w:after="0" w:line="162"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The U.K. corporation tax rate applied for 2025 was 25% (2024: 25%). U.K. deferred tax assets and liabilities have been measured at a rate of 25%. </w:t>
      </w:r>
      <w:r>
        <w:rPr>
          <w:rFonts w:ascii="Times New Roman" w:cs="Times New Roman" w:eastAsia="Times New Roman" w:hAnsi="Times New Roman"/>
          <w:sz w:val="18"/>
          <w:szCs w:val="18"/>
          <w:color w:val="363435"/>
        </w:rPr>
        <w:t>T</w:t>
      </w:r>
      <w:r>
        <w:rPr>
          <w:rFonts w:ascii="Times New Roman" w:cs="Times New Roman" w:eastAsia="Times New Roman" w:hAnsi="Times New Roman"/>
          <w:sz w:val="18"/>
          <w:szCs w:val="18"/>
          <w:color w:val="auto"/>
        </w:rPr>
        <w:t>he U.S federal income tax rate is 21%.</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U.K. net tax losses carried forward of $64.1 million, that can be carried forward indefinitely, subject to certain restrictions in usage. The Company had U.S. federal tax losses to be carried forward of approximately $67.0 million of which $20.5 million can be carried forward indefinitely and $46.5 million which will begin to expire in 2026.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p>
      <w:pPr>
        <w:ind w:right="240"/>
        <w:spacing w:after="0" w:line="312" w:lineRule="auto"/>
        <w:rPr>
          <w:sz w:val="20"/>
          <w:szCs w:val="20"/>
          <w:color w:val="auto"/>
        </w:rPr>
      </w:pPr>
      <w:r>
        <w:rPr>
          <w:rFonts w:ascii="Times New Roman" w:cs="Times New Roman" w:eastAsia="Times New Roman" w:hAnsi="Times New Roman"/>
          <w:sz w:val="17"/>
          <w:szCs w:val="17"/>
          <w:color w:val="auto"/>
        </w:rPr>
        <w:t>Company also had $13.7 million of U.S. federal R&amp;D tax credits that begin to expire in 2027 and U.S. state tax losses to be carried forward of less than $0.1 million which begin to expire in 2027. The Company also had less than $0.1 million of state R&amp;D tax credits that do not have an expiration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Mereo’s results of operations for the years ended December 31, 2025 and 2024.</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11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(26,434)</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(47,364)</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3,041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(43,253)</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(43,253)</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 Foreign currency translation</w:t>
            </w:r>
          </w:p>
        </w:tc>
        <w:tc>
          <w:tcPr>
            <w:tcW w:w="18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8,026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vMerge w:val="restart"/>
            <w:shd w:val="clear" w:color="auto" w:fill="CFF0FC"/>
          </w:tcPr>
          <w:p>
            <w:pPr>
              <w:spacing w:after="0"/>
              <w:rPr>
                <w:sz w:val="17"/>
                <w:szCs w:val="17"/>
                <w:color w:val="auto"/>
              </w:rPr>
            </w:pPr>
          </w:p>
        </w:tc>
        <w:tc>
          <w:tcPr>
            <w:tcW w:w="116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9,390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net of tax</w:t>
            </w: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(44,617)</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-864870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-864870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-582295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-582295</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-170815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2025 and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Revenue of $0.5 million was recognized in the year ended December 31, 2025, which comprised a one-time milestone payment of $0.5 million resulting from the achievement of a clinical milestone on leflutrozole received from ReproNovo pursuant to the ReproNovo licensing Agreement. No revenue was recognized in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Cost of revenue of $0.1 million was recognized in the year ended December 31, 2025, which comprised amounts paid pursuant to the 2015 asset purchase agreement with Novartis for leflutrozole, under which the Company pays a percentage of proceeds resulting from milestone revenue received, subject to certain deductions and other amounts. No cost of revenue was recognized in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 expenses</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our R&amp;D expenses by product development program for the years ended December 31, 2025 and 2024.</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0"/>
                <w:szCs w:val="20"/>
                <w:color w:val="auto"/>
              </w:rPr>
            </w:pPr>
          </w:p>
        </w:tc>
        <w:tc>
          <w:tcPr>
            <w:tcW w:w="14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Setrusumab (BPS-804/UX143)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11,518</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5,784</w:t>
            </w:r>
          </w:p>
        </w:tc>
        <w:tc>
          <w:tcPr>
            <w:tcW w:w="1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5,734</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Alvelestat (MPH-966)</w:t>
            </w:r>
          </w:p>
        </w:tc>
        <w:tc>
          <w:tcPr>
            <w:tcW w:w="2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5,174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12,918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Etigilimab (MPH-313)</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1,768</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R&amp;D expenses</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17,766</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20,930</w:t>
            </w:r>
          </w:p>
        </w:tc>
        <w:tc>
          <w:tcPr>
            <w:tcW w:w="1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939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939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Total R&amp;D expenses decreased by $3.2 million, from $20.9 million in the year ended December 31, 2024 to $17.8 million in the year ended December 31, 2025.</w:t>
      </w:r>
    </w:p>
    <w:p>
      <w:pPr>
        <w:spacing w:after="0" w:line="162"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The decrease was primarily due to reductions in R&amp;D expenses for alvelestat and etigilimab of $7.7 million and $1.0 million, respectively, partially offset by an increase of $5.7 million in R&amp;D expenses for setrusumab.</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reductions in program expenses for alvelestat was primarily due to the completion of the activities undertaken in preparation for the potential Phase 3 study, including drug formulation and manufacturing, in the year ended December 31, 2024.</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increase in program expenses for setrusumab was primarily driven by amounts due under the manufacturing and supply agreement with our partner, Ultragenyx, as well as ongoing activities we undertake related to real-world evidence programs and medical affairs activities in Europe. These are in addition to costs we incur in relation to our collaboration with Ultragenyx, who fund the global development of the program, including input into development, regulatory and manufacturing plans.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$3.4 million, from $26.4 million in the year ended December 31, 2024 to $23.0 million in the year ended December 31, 2025. The decrease was due to a lower accrual for annual cash bonuses of $1.2 million, along with a reduction in professional fees.</w:t>
      </w:r>
    </w:p>
    <w:p>
      <w:pPr>
        <w:spacing w:after="0" w:line="176"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also includes $3.8 million in the year ended December 31, 2025 of pre-commercial activities to lay the foundation for the potential commercial launch of setrusumab in Europe, if approved, including those to support pricing and reimbursement by HTA authorities and payor decision-makers in Europe.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Other income of $0.3 million for the year ended December 31, 2025 comprised amounts received from āshibio in connection with the out-licensing of vantictumab, which was acquired in connection with the merger between the Company and Mereo BioPharma 5, Inc (formerly OncoMed).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Interest income decreased by $0.9 million, from $3.0 million in the year ended December 31, 2024 to $2.2 million in the year ended December 31, 2025, principally due to a combination of lower interest rates earned and lower average cash and cash equivalents balances in the year ended December 31, 2025 compared to the year ended December 31, 2024. These lower balances were the result of the utilization of the net proceeds of $46.2 million received from the underwritten registered direct offering in June 2024.</w:t>
      </w:r>
    </w:p>
    <w:p>
      <w:pPr>
        <w:spacing w:after="0" w:line="180"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Interest expense decreased by $1.1 million, from $1.4 million in the year ended December 31, 2024 to $0.3 million in the year ended December 31, 2025. The decrease was principally due to the conversion of convertible loan notes in February 2025, following which the Company had no significant remaining interest-bearing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fair value of warrants</w:t>
      </w:r>
    </w:p>
    <w:p>
      <w:pPr>
        <w:spacing w:after="0" w:line="227"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The total change in fair value of warrants in the year ended December 31, 2025 was an unrealized gain of $0.8 million, compared to an unrealized loss of $0.4 million in the year ended December 31, 2024. The unrealized gain in the year ended December 31, 2025 was primarily due to the impact of decreases in the price of the Company’s ADSs on the value of the warrant liabilities, while the unrealized loss in the year ended December 31, 2024 was primarily due to increases in the price of the Company's ADSs.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gain/(loss), net</w:t>
      </w:r>
    </w:p>
    <w:p>
      <w:pPr>
        <w:spacing w:after="0" w:line="227"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net foreign exchange loss for the year ended December 31, 2025 was $6.3 million, compared to a gain of $1.2 million in the year ended December 31, 2024. This change primarily reflects the impact of a weakening in the value of U.S. dollars when translating U.S. dollar balances into our functional currency of pound sterling in the year ended December 31, 2025, compared to a strengthening of U.S. dollars in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research and development tax credit</w:t>
      </w:r>
    </w:p>
    <w:p>
      <w:pPr>
        <w:spacing w:after="0" w:line="22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benefit from research and development tax credit increased by $0.2 million, from $1.6 million in the year ended December 31, 2024 to $1.9 million in the year ended December 31, 2025. This increase reflects a higher level of qualifying expenditure in the year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comprehensive loss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 adjustments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foreign currency translation adjustment for the year ended December 31, 2025 was a gain of $8.0 million, compared to a loss of $1.4 million in the year ended December 31, 2024. This change primarily reflects the impact of a weakening in the value of U.S. dollars when translating pound sterling functional currency balances into our presentational currency of U.S. dollars in the year ended December 31, 2025, compared to a strengthening of U.S. dollars in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Under the current business plan and cash flow forecasts, and in consideration of our ongoing research and development efforts and our general corporate funding requirements, we anticipate that our current on-hand cash resources will extend into mid-2027.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financings or other sources.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do not currently have any approved product candidates and as a result, have not generated any revenue from product sales. As a result, to date, we have financed our operations primarily through the issuances of our equity securities, convertible debt and warrants. These offerings have raised approximately $259 million, including through the $50.0 million underwritten registered direct offering in June 2024 and the $12.0 million “at-the-market” offering pursuant to our Open Market Sale Agreement with Jefferies LLC in July 2023 (all amounts are gross proceeds before fees and discounts).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also received payments under various license and collaboration agreements, including payments of:</w:t>
      </w:r>
    </w:p>
    <w:p>
      <w:pPr>
        <w:spacing w:after="0" w:line="225" w:lineRule="exact"/>
        <w:rPr>
          <w:sz w:val="20"/>
          <w:szCs w:val="20"/>
          <w:color w:val="auto"/>
        </w:rPr>
      </w:pPr>
    </w:p>
    <w:p>
      <w:pPr>
        <w:ind w:left="760" w:right="26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under the license and collaboration agreement with Ultragenyx for setrusumab in 2021 and a further milestone payment of $9.0 million in 2023;</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under the license and collaboration agreement with Feng Biosciences (formerly OncXerna) for navicixizumab in 2020 and a further milestone payment of $2.0 million in 2022; and</w:t>
      </w:r>
    </w:p>
    <w:p>
      <w:pPr>
        <w:spacing w:after="0" w:line="161"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under the global license agreement with ReproNovo for leflutrozole in December 2023 and a further milestone payment of $0.5 million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right="200" w:firstLine="749"/>
        <w:spacing w:after="0" w:line="289" w:lineRule="auto"/>
        <w:rPr>
          <w:sz w:val="20"/>
          <w:szCs w:val="20"/>
          <w:color w:val="auto"/>
        </w:rPr>
      </w:pPr>
      <w:r>
        <w:rPr>
          <w:rFonts w:ascii="Times New Roman" w:cs="Times New Roman" w:eastAsia="Times New Roman" w:hAnsi="Times New Roman"/>
          <w:sz w:val="17"/>
          <w:szCs w:val="17"/>
          <w:color w:val="auto"/>
        </w:rPr>
        <w:t>As further described under “Item 1. Business—Material Agreements—Novartis Agreements” and “Item 1. Business—Material Agreements— Licensing Agreement with AstraZeneca,” under various agreements with Novartis and AstraZeneca, Mereo has agreed to make milestone payments and pay royalties. The amount, timing, and likelihood of such payments are not known and will remain uncertain for the foreseeable future.</w:t>
      </w:r>
    </w:p>
    <w:p>
      <w:pPr>
        <w:spacing w:after="0" w:line="15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addition, Mereo enters into contracts in the ordinary course of business with CROs, CMOs, and other vendors, including with Ultragenyx for the manufacture of setrusumab as described in “Item 1. Business—Material Agreements—Agreements with Ultragenyx for Setrusumab,”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$0.0 million and $0.5 million as of December 31, 2025 and 2024, respectively.</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table below summarizes our cash flows (used in)/provided by operating, investing and financing activities for the years ended December 31, 2025 and 2024.</w:t>
      </w:r>
    </w:p>
    <w:p>
      <w:pPr>
        <w:sectPr>
          <w:pgSz w:w="11900" w:h="16838" w:orient="portrait"/>
          <w:cols w:equalWidth="0" w:num="1">
            <w:col w:w="11220"/>
          </w:cols>
          <w:pgMar w:left="320" w:top="11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(Decrease)/increase in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(30,971)</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(32,834)</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46,147</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1,854</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0"/>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(28,810)</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12,381</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580" w:space="720"/>
            <w:col w:w="3920"/>
          </w:cols>
          <w:pgMar w:left="320" w:top="1197" w:right="359" w:bottom="1440" w:gutter="0" w:footer="0" w:header="0"/>
          <w:type w:val="continuous"/>
        </w:sectPr>
      </w:pPr>
    </w:p>
    <w:p>
      <w:pPr>
        <w:spacing w:after="0" w:line="27"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$31.0 million, a decrease of $1.9 million from $32.8 million in the year ended December 31, 2024. This decrease is principally due to:</w:t>
      </w:r>
    </w:p>
    <w:p>
      <w:pPr>
        <w:spacing w:after="0" w:line="54" w:lineRule="exact"/>
        <w:rPr>
          <w:sz w:val="20"/>
          <w:szCs w:val="20"/>
          <w:color w:val="auto"/>
        </w:rPr>
      </w:pPr>
    </w:p>
    <w:p>
      <w:pPr>
        <w:ind w:left="1020" w:right="56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$3.3 million in the year ended December 31, 2025 reflecting R&amp;D tax credits received in respect of both the 2023 and 2024 financial years; and</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$0.5 million one-time milestone payment resulting from the achievement of a clinical milestone on leflutrozole, net of $0.1 million paid to Novartis pursuant to the 2015 asset purchase agreement for leflutrozole in the year ended December 31, 2025.</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decreases were offset by:</w:t>
      </w:r>
    </w:p>
    <w:p>
      <w:pPr>
        <w:spacing w:after="0" w:line="117" w:lineRule="exact"/>
        <w:rPr>
          <w:sz w:val="20"/>
          <w:szCs w:val="20"/>
          <w:color w:val="auto"/>
        </w:rPr>
      </w:pPr>
    </w:p>
    <w:p>
      <w:pPr>
        <w:ind w:left="1020" w:right="60" w:hanging="503"/>
        <w:spacing w:after="0" w:line="312" w:lineRule="auto"/>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receipt of $2.0 million in the year ended December 31, 2024 from a claim on our Directors and Officers insurance policy to reimburse us for certain legal and professional costs incurred in prior years with no similar amounts recognized in the year ended December 31, 2025; and</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cash operating payments of approximately $0.1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less than $0.1 million, a decrease of $0.7 million from $0.7 million in the year ended December 31, 2024. The decrease is principally due to lower payments to acquire intangible assets and proceeds from out-licensing of vantictumab in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was $0.3 million, a decrease of $45.8 million from $46.1 million in the year ended December 31, 2024. The decrease primarily represents the net proceeds of $46.2 million from the underwritten registered direct offering in the year ended December 31, 2024 with no similar financing activities in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2025, we had an accumulated deficit of $501.0 million. We expect to continue to report significant operating losses for the foreseeable future as we continue our research and development efforts and seek to obtain regulatory approval of our product candidates and any future product candidates we develop. See also “Item 1A. Risk Factors—Risks Related to Our Business and Industry—We will need additional funding to complete the development of our current product candidates; to license, acquire, and develop future product candidates; and to commercialize our product candidates, if approved."</w:t>
      </w:r>
    </w:p>
    <w:p>
      <w:pPr>
        <w:spacing w:after="0" w:line="183"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expect to continue to incur expenses in connection with our ongoing development activities related to our product candidates, our outsourced manufacturing activities and other associated costs including the management of our intellectual property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portfolio. We also expect to continue to incur costs associated with operating as a U.S. public company listed on Nasdaq and as a domestic registrant.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costs will increase further if we:</w:t>
      </w:r>
    </w:p>
    <w:p>
      <w:pPr>
        <w:spacing w:after="0" w:line="225" w:lineRule="exact"/>
        <w:rPr>
          <w:sz w:val="20"/>
          <w:szCs w:val="20"/>
          <w:color w:val="auto"/>
        </w:rPr>
      </w:pPr>
    </w:p>
    <w:p>
      <w:pPr>
        <w:ind w:left="1140" w:hanging="383"/>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develop additional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completes clinical trials;</w:t>
      </w:r>
    </w:p>
    <w:p>
      <w:pPr>
        <w:spacing w:after="0" w:line="225"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intellectual property portfolio;</w:t>
      </w:r>
    </w:p>
    <w:p>
      <w:pPr>
        <w:spacing w:after="0" w:line="225"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further clinical, scientific, operational, financial, legal and management information systems, and personnel, including personnel to support our development and to support our operations as a U.S. public company listed on Nasdaq; or</w:t>
      </w:r>
    </w:p>
    <w:p>
      <w:pPr>
        <w:spacing w:after="0" w:line="161"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currently committed clinical trials, operating expenses and capital expenditure requirements into mid-2027.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187" w:lineRule="exact"/>
        <w:rPr>
          <w:sz w:val="20"/>
          <w:szCs w:val="20"/>
          <w:color w:val="auto"/>
        </w:rPr>
      </w:pPr>
    </w:p>
    <w:p>
      <w:pPr>
        <w:jc w:val="both"/>
        <w:ind w:left="1140" w:hanging="383"/>
        <w:spacing w:after="0" w:line="266"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our activities related to our ongoing collaboration with Ultragenyx for setrusumab for the treatment of children and adults with OI, including the costs for our preparation for the potential commercialization of setrusumab, if approved, in Europe and the U.K; and costs for potential future clinical trials for alvelestat in AATD;</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clinical or commercial supplies of our product candidates;</w:t>
      </w:r>
    </w:p>
    <w:p>
      <w:pPr>
        <w:spacing w:after="0" w:line="225"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including post-marketing studies that could be required by regulatory authorities;</w:t>
      </w:r>
    </w:p>
    <w:p>
      <w:pPr>
        <w:spacing w:after="0" w:line="161"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potential future commercialization activities, including manufacturing, marketing, sales, life cycle management and distribution, for our product candidates that we commercialize directly;</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revenue, if any, received from commercial sales of our product candidates;</w:t>
      </w:r>
    </w:p>
    <w:p>
      <w:pPr>
        <w:spacing w:after="0" w:line="225"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competitors and market developments;</w:t>
      </w:r>
    </w:p>
    <w:p>
      <w:pPr>
        <w:spacing w:after="0" w:line="225" w:lineRule="exact"/>
        <w:rPr>
          <w:rFonts w:ascii="Times New Roman" w:cs="Times New Roman" w:eastAsia="Times New Roman" w:hAnsi="Times New Roman"/>
          <w:sz w:val="18"/>
          <w:szCs w:val="18"/>
          <w:color w:val="auto"/>
        </w:rPr>
      </w:pPr>
    </w:p>
    <w:p>
      <w:pPr>
        <w:ind w:left="1140" w:right="106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collaborators and partners under the existing agreements on setrusumab, vantictumab, leflutrozole and navicixizumab;</w:t>
      </w:r>
    </w:p>
    <w:p>
      <w:pPr>
        <w:spacing w:after="0" w:line="161"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ind w:left="1140" w:hanging="383"/>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and deferred payments under the Amended AstraZeneca Agreements;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or other assessments and our ability to claim R&amp;D tax credits or other reliefs.</w:t>
      </w:r>
    </w:p>
    <w:p>
      <w:pPr>
        <w:spacing w:after="0" w:line="225"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Related to Former Credit Facility</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2025, the former lenders have warrants outstanding to purchase a total of 1,243,908 ordinary shares at an exercise price of £2.95 per share, exercisable until August 2027, and a total of 1,243,908 ordinary shares at an exercise price of $0.4144 per share, exercisable until the period August 2027 to October 2028.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Loan Note and Warrants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On February 10, 2020, we entered into a $4.9 million (£3.8 million) convertible loan note instrument relating to the issue of 3,841,479 Novartis Loan Note. The Novartis Loan Note was convertible at any time at a fixed price of £0.265 per ordinary share until February 10, 2023. In addition, on February 10, 2020, in connection with the Novartis Loan Note, we entered into a warrant instrument with Novartis to issue 1,449,614 ordinary shares at an exercise price of £0.265 per ordinary share (the "2020 Novartis Warrants"). These warrants were exercisable until February 10, 2025.</w:t>
      </w:r>
    </w:p>
    <w:p>
      <w:pPr>
        <w:spacing w:after="0" w:line="180"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On February 10, 2023, we amended the Novartis Loan Note, extending the maturity date to February 10, 2025 and increasing the interest rate to 9%, with all other terms remaining unchanged. Pursuant to the amendment, interest accrued to the amendment date was paid in cash, and additional warrants to purchase 2,000,000 ordinary shares at an exercise price of £0.150 per ordinary share were issued and are exercisable until February 10, 2028.</w:t>
      </w:r>
    </w:p>
    <w:p>
      <w:pPr>
        <w:spacing w:after="0" w:line="176"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On February 7, 2025, the Company received a conversion notice and issued and allotted 17,105,450 ordinary shares (equivalent to 3,421,090 ADSs) on the non-cash conversion of the outstanding principal and accrued interest of the Novartis Loan Note.</w:t>
      </w:r>
    </w:p>
    <w:p>
      <w:pPr>
        <w:spacing w:after="0" w:line="162"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On February 7, 2025, Novartis exercised the 2020 Novartis Warrants and the Company subsequently issued and allotted 1,449,610 ordinary shares (equivalent to 289,922 ADSs) upon receipt of $0.5 million in satisfaction of the subscription price of £0.265 per ordinary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On an ongoing basis, we evaluate our accounting estimates based on historical experience and on various other assumptions that we believe are reasonable under the circumstances. The actual impact on our financial performance could differ from these estimates under different assumptions or conditions.</w:t>
      </w:r>
    </w:p>
    <w:p>
      <w:pPr>
        <w:spacing w:after="0" w:line="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1" w:name="page102"/>
    <w:bookmarkEnd w:id="101"/>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An accounting estimate is considered critical if both (i) the nature of the estimates or assumptions is material due to the levels of subjectivity and judgment involved, and (ii) the impact within a reasonable range of outcomes of the estimates and assumptions is material to our consolidated financial statements. We believe that there are no estimates and assumptions made in our consolidated financial statements that rise to this level. For further information on all of our significant accounting policies, see Note 2 — Summary of Significant Accounting Policies in the accompanying notes to the consolidated financial statements included in Part II, Item 8, “Financial Statements and Supplementary Data” of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We are exposed to a variety of financial risks. Our overall risk management program seeks to minimize potential adverse effects of these financial risks on our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of December 31, 2025, we held cash and cash equivalents of $41.0 million. Our exposure to interest rate sensitivity is impacted by changes in the underlying U.S. and U.K. bank interest rates. We manage interest rate risk by monitoring short and medium-term interest rates and placing cash on deposit or in money market fund for periods that optimize the amount of interest earned while maintaining access to sufficient funds to meet day-to-day cash requirements.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value of our cash and cash equivalents, and therefore we do not expect our operating results or cash flows to be significantly affected by changes in market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currently maintain the consolidated financial statements of the Company in pounds sterling, which is the functional currency of the Company, but for financial reporting purposes our consolidated financial statements have been presented in U.S dollars, the reporting currency. Monetary assets and liabilities denominated in currencies other than the functional currency are translated into the functional currency at rates prevailing at the date of the transaction. Exchange gains or losses arising from foreign currency transactions are included in the consolidated statements of operations and comprehensive loss, as foreign currency transaction gain/(loss). The financial statements of our consolidated subsidiaries are translated from their functional currency into the reporting currency as follows: assets and liabilities are translated at the exchange rates at the balance sheet dates, expenses are translated at the average exchange rates for the relevant period and shareholders' equity is translated based on historical exchange rates. Translation adjustments are not included in determining net loss but are included as a foreign exchange adjustment to the comprehensive loss, a component of the shareholders’ equity. For the year ended December 31, 2025, $8.0 million of unrealized gain on foreign currency translation was included in other comprehensive loss compared to an unrealized loss of $1.4 million for the year ended December 31, 2024.</w:t>
      </w:r>
    </w:p>
    <w:p>
      <w:pPr>
        <w:spacing w:after="0" w:line="194"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monitor our exposure to foreign exchange risk. We have not entered into foreign exchange contracts to hedge against foreign exchange fluctuations but maintain cash and cash equivalents in U.S. dollars to cover anticipated forward commitments, to provide a natural hedge against the impact of foreign exchange rate movements, but there can be no assurance that we will be fully protected against material foreign currency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Inflation may generally affect us by increasing our personnel costs, R&amp;D expenses and general operating expenses. While we have experienced increased operating expenses in recent periods, which we believe are due in part to the recent growth in inflation, we do not believe that inflation has had a material effect on our business, financial condition or results of operations during the year ended December 31, 2025; however, operating expenses may continue to increase in future periods due to inflation.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and regulations promulgated thereunder) as of December 31, 2025, or the Evaluation Date. Based on such evaluation, our principal executive officer and principal financial officer have concluded that, as of the Evaluation Date, our disclosure controls and procedures were effective in recording, processing, summarizing and reporting, on a timely basis, information required to be included in periodic filings under the Exchange Act and that such information is accumulated and communicated to management, including our principal executive officer and principal financial officer, or persons performing similar functions,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accounting principles generally accepted in the United States of America.</w:t>
      </w:r>
    </w:p>
    <w:p>
      <w:pPr>
        <w:spacing w:after="0" w:line="18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Based on this assessment, our management concluded that, as of December 31, 2025, our internal control over financial reporting was effective.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December 31, 2025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408 Regulation S-K Compliance</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no director or officer (as defined in Rule 16a-1(f) of the Exchange Act) of the Company adopted, modified or terminated a “Rule 10b5-1 trading arrangement” or “non-Rule 10b5-1 trading arrangement,” as each term is defined in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3" w:name="page104"/>
    <w:bookmarkEnd w:id="10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our 2026 Proxy Statement under “Board of Directors and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Governance” and “Executive Officers of the Company” to be filed with the SEC within 120 days of December 31, 2025 and is incorporated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2026 Proxy Statement under “Executive Compensation” to be filed with the SEC within 120 days of December 31, 2025 and is incorporated by reference into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our 2026 Proxy Statement under “Security Ownership of Certain</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Beneficial Owners and Management” to be filed with the SEC within 120 days of December 31, 2025 and is incorporated by reference into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2026 Proxy Statement under “Transactions with Related Persons” and “Corporate Governance—Composition of the Mereo Board” to be filed with the SEC within 120 days of December 31, 2025 and is incorporated by reference into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2026 Proxy Statement under “Fees for Independent Registered Public Accounting Firm—PwC” to be filed with the SEC within 120 days of December 31, 2025 and is incorporated by reference into this Annual Report on Form 10-K.</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9220" w:type="dxa"/>
            <w:vAlign w:val="bottom"/>
            <w:gridSpan w:val="8"/>
          </w:tcPr>
          <w:p>
            <w:pPr>
              <w:ind w:left="760"/>
              <w:spacing w:after="0" w:line="207" w:lineRule="exact"/>
              <w:rPr>
                <w:sz w:val="20"/>
                <w:szCs w:val="20"/>
                <w:color w:val="auto"/>
              </w:rPr>
            </w:pPr>
            <w:r>
              <w:rPr>
                <w:rFonts w:ascii="Times New Roman" w:cs="Times New Roman" w:eastAsia="Times New Roman" w:hAnsi="Times New Roman"/>
                <w:sz w:val="18"/>
                <w:szCs w:val="18"/>
                <w:color w:val="auto"/>
              </w:rPr>
              <w:t>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consolidated financial statements are as follows:</w:t>
            </w:r>
          </w:p>
        </w:tc>
        <w:tc>
          <w:tcPr>
            <w:tcW w:w="1760" w:type="dxa"/>
            <w:vAlign w:val="bottom"/>
          </w:tcPr>
          <w:p>
            <w:pPr>
              <w:spacing w:after="0"/>
              <w:rPr>
                <w:sz w:val="24"/>
                <w:szCs w:val="24"/>
                <w:color w:val="auto"/>
              </w:rPr>
            </w:pPr>
          </w:p>
        </w:tc>
      </w:tr>
      <w:tr>
        <w:trPr>
          <w:trHeight w:val="620"/>
        </w:trPr>
        <w:tc>
          <w:tcPr>
            <w:tcW w:w="9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4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160" w:type="dxa"/>
            <w:vAlign w:val="bottom"/>
            <w:gridSpan w:val="2"/>
          </w:tcPr>
          <w:p>
            <w:pPr>
              <w:spacing w:after="0"/>
              <w:rPr>
                <w:sz w:val="24"/>
                <w:szCs w:val="24"/>
                <w:color w:val="auto"/>
              </w:rPr>
            </w:pP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F-2</w:t>
            </w:r>
          </w:p>
        </w:tc>
      </w:tr>
      <w:tr>
        <w:trPr>
          <w:trHeight w:val="412"/>
        </w:trPr>
        <w:tc>
          <w:tcPr>
            <w:tcW w:w="2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24"/>
                <w:szCs w:val="24"/>
                <w:color w:val="auto"/>
              </w:rPr>
            </w:pPr>
          </w:p>
        </w:tc>
        <w:tc>
          <w:tcPr>
            <w:tcW w:w="7160" w:type="dxa"/>
            <w:vAlign w:val="bottom"/>
            <w:gridSpan w:val="6"/>
          </w:tcPr>
          <w:p>
            <w:pPr>
              <w:spacing w:after="0"/>
              <w:rPr>
                <w:sz w:val="24"/>
                <w:szCs w:val="24"/>
                <w:color w:val="auto"/>
              </w:rPr>
            </w:pP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F-4</w:t>
            </w:r>
          </w:p>
        </w:tc>
      </w:tr>
      <w:tr>
        <w:trPr>
          <w:trHeight w:val="412"/>
        </w:trPr>
        <w:tc>
          <w:tcPr>
            <w:tcW w:w="4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4700" w:type="dxa"/>
            <w:vAlign w:val="bottom"/>
          </w:tcPr>
          <w:p>
            <w:pPr>
              <w:spacing w:after="0"/>
              <w:rPr>
                <w:sz w:val="24"/>
                <w:szCs w:val="24"/>
                <w:color w:val="auto"/>
              </w:rPr>
            </w:pP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F-5</w:t>
            </w:r>
          </w:p>
        </w:tc>
      </w:tr>
      <w:tr>
        <w:trPr>
          <w:trHeight w:val="412"/>
        </w:trPr>
        <w:tc>
          <w:tcPr>
            <w:tcW w:w="9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278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9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F-7</w:t>
            </w:r>
          </w:p>
        </w:tc>
      </w:tr>
      <w:tr>
        <w:trPr>
          <w:trHeight w:val="412"/>
        </w:trPr>
        <w:tc>
          <w:tcPr>
            <w:tcW w:w="32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960" w:type="dxa"/>
            <w:vAlign w:val="bottom"/>
            <w:gridSpan w:val="3"/>
          </w:tcPr>
          <w:p>
            <w:pPr>
              <w:spacing w:after="0"/>
              <w:rPr>
                <w:sz w:val="24"/>
                <w:szCs w:val="24"/>
                <w:color w:val="auto"/>
              </w:rPr>
            </w:pP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2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not present in amounts sufficient to require submission of the schedule, or the required information is otherwise included.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 Index</w:t>
      </w:r>
    </w:p>
    <w:p>
      <w:pPr>
        <w:spacing w:after="0" w:line="18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are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20" w:type="dxa"/>
            <w:vAlign w:val="bottom"/>
          </w:tcPr>
          <w:p>
            <w:pPr>
              <w:spacing w:after="0"/>
              <w:rPr>
                <w:sz w:val="18"/>
                <w:szCs w:val="18"/>
                <w:color w:val="auto"/>
              </w:rPr>
            </w:pPr>
          </w:p>
        </w:tc>
        <w:tc>
          <w:tcPr>
            <w:tcW w:w="6220" w:type="dxa"/>
            <w:vAlign w:val="bottom"/>
            <w:gridSpan w:val="10"/>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8"/>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8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w:t>
            </w:r>
          </w:p>
        </w:tc>
        <w:tc>
          <w:tcPr>
            <w:tcW w:w="96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Agreement and Plan of Merger and Reorganization, dated December 5, 2018, by and among Mereo BioPharma Group plc, Mereo US</w:t>
              </w:r>
            </w:hyperlink>
          </w:p>
        </w:tc>
        <w:tc>
          <w:tcPr>
            <w:tcW w:w="380" w:type="dxa"/>
            <w:vAlign w:val="bottom"/>
            <w:gridSpan w:val="5"/>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9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Holdings Inc., Mereo MergerCo One Inc. and OncoMed Pharmaceuticals, Inc. (incorporated by reference to Exhibit 2.1 to Mereo’s Form</w:t>
              </w:r>
            </w:hyperlink>
          </w:p>
        </w:tc>
        <w:tc>
          <w:tcPr>
            <w:tcW w:w="1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F-4/A filed March 15, 2019 (File No. 333-229351)).</w:t>
              </w:r>
            </w:hyperlink>
          </w:p>
        </w:tc>
        <w:tc>
          <w:tcPr>
            <w:tcW w:w="6220" w:type="dxa"/>
            <w:vAlign w:val="bottom"/>
            <w:gridSpan w:val="10"/>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w:t>
            </w:r>
          </w:p>
        </w:tc>
        <w:tc>
          <w:tcPr>
            <w:tcW w:w="93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BCT197 Asset Purchase Agreement, dated July 28, 2015, by and between Mereo BioPharma 1 Limited and Novartis Pharma AG</w:t>
              </w:r>
            </w:hyperlink>
          </w:p>
        </w:tc>
        <w:tc>
          <w:tcPr>
            <w:tcW w:w="680" w:type="dxa"/>
            <w:vAlign w:val="bottom"/>
            <w:gridSpan w:val="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(incorporated by reference to Exhibit 10.20 to Mereo’s Form F-4 filed January 25, 2019 (File No. 333-229351)).</w:t>
              </w:r>
            </w:hyperlink>
          </w:p>
        </w:tc>
        <w:tc>
          <w:tcPr>
            <w:tcW w:w="1880" w:type="dxa"/>
            <w:vAlign w:val="bottom"/>
            <w:gridSpan w:val="9"/>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2.2.1</w:t>
            </w:r>
          </w:p>
        </w:tc>
        <w:tc>
          <w:tcPr>
            <w:tcW w:w="97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Addendum to the Asset Purchase Agreement, dated April 12, 2016, by and between Mereo BioPharma 1 Limited and Novartis Pharma</w:t>
              </w:r>
            </w:hyperlink>
          </w:p>
        </w:tc>
        <w:tc>
          <w:tcPr>
            <w:tcW w:w="28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AG (incorporated by reference to Exhibit 10.20.3 to Mereo’s Form F-4 filed January 25, 2019 (File No. 333-229351)).</w:t>
              </w:r>
            </w:hyperlink>
          </w:p>
        </w:tc>
        <w:tc>
          <w:tcPr>
            <w:tcW w:w="1440" w:type="dxa"/>
            <w:vAlign w:val="bottom"/>
            <w:gridSpan w:val="8"/>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2.2.2</w:t>
            </w:r>
          </w:p>
        </w:tc>
        <w:tc>
          <w:tcPr>
            <w:tcW w:w="98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Addendum to the Asset Purchase Agreement, dated October 4, 2017, by and between Mereo BioPharma 1 Limited and Novartis Pharma</w:t>
              </w:r>
            </w:hyperlink>
          </w:p>
        </w:tc>
        <w:tc>
          <w:tcPr>
            <w:tcW w:w="16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AG (incorporated by reference to Exhibit 10.20.2 to Mereo’s Form F-4 filed January 25, 2019 (File No. 333-229351)).</w:t>
              </w:r>
            </w:hyperlink>
          </w:p>
        </w:tc>
        <w:tc>
          <w:tcPr>
            <w:tcW w:w="1440" w:type="dxa"/>
            <w:vAlign w:val="bottom"/>
            <w:gridSpan w:val="8"/>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2.2.3</w:t>
            </w:r>
          </w:p>
        </w:tc>
        <w:tc>
          <w:tcPr>
            <w:tcW w:w="96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Agreement for BCT197, dated October 19, 2018, by and between Mereo BioPharma 1 Limited and Novartis Pharma AG</w:t>
              </w:r>
            </w:hyperlink>
          </w:p>
        </w:tc>
        <w:tc>
          <w:tcPr>
            <w:tcW w:w="360" w:type="dxa"/>
            <w:vAlign w:val="bottom"/>
            <w:gridSpan w:val="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11"/>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(incorporated into by reference to Exhibit 10.20.1 to Mereo’s Form F-4 filed January 25, 2019 (File No. 333-229351)).</w:t>
              </w:r>
            </w:hyperlink>
          </w:p>
        </w:tc>
      </w:tr>
      <w:tr>
        <w:trPr>
          <w:trHeight w:val="560"/>
        </w:trPr>
        <w:tc>
          <w:tcPr>
            <w:tcW w:w="1200" w:type="dxa"/>
            <w:vAlign w:val="bottom"/>
          </w:tcPr>
          <w:p>
            <w:pPr>
              <w:spacing w:after="0"/>
              <w:rPr>
                <w:sz w:val="24"/>
                <w:szCs w:val="24"/>
                <w:color w:val="auto"/>
              </w:rPr>
            </w:pPr>
          </w:p>
        </w:tc>
        <w:tc>
          <w:tcPr>
            <w:tcW w:w="8160" w:type="dxa"/>
            <w:vAlign w:val="bottom"/>
            <w:tcBorders>
              <w:top w:val="single" w:sz="8" w:color="0000EE"/>
            </w:tcBorders>
            <w:gridSpan w:val="2"/>
          </w:tcPr>
          <w:p>
            <w:pPr>
              <w:ind w:left="428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20" w:type="dxa"/>
            <w:vAlign w:val="bottom"/>
            <w:gridSpan w:val="29"/>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20"/>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120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2.3†</w:t>
            </w:r>
          </w:p>
        </w:tc>
        <w:tc>
          <w:tcPr>
            <w:tcW w:w="9360" w:type="dxa"/>
            <w:vAlign w:val="bottom"/>
            <w:tcBorders>
              <w:bottom w:val="single" w:sz="8" w:color="0000FF"/>
            </w:tcBorders>
            <w:gridSpan w:val="22"/>
          </w:tcPr>
          <w:p>
            <w:pPr>
              <w:spacing w:after="0" w:line="194"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BGS649 Asset Purchase Agreement, dated July 28, 2015, by and between Mereo BioPharma 2 Limited and Novartis Pharma AG</w:t>
              </w:r>
            </w:hyperlink>
          </w:p>
        </w:tc>
        <w:tc>
          <w:tcPr>
            <w:tcW w:w="680" w:type="dxa"/>
            <w:vAlign w:val="bottom"/>
            <w:gridSpan w:val="13"/>
          </w:tcPr>
          <w:p>
            <w:pPr>
              <w:spacing w:after="0"/>
              <w:rPr>
                <w:sz w:val="16"/>
                <w:szCs w:val="16"/>
                <w:color w:val="auto"/>
              </w:rPr>
            </w:pPr>
          </w:p>
        </w:tc>
      </w:tr>
      <w:tr>
        <w:trPr>
          <w:trHeight w:val="196"/>
        </w:trPr>
        <w:tc>
          <w:tcPr>
            <w:tcW w:w="1200" w:type="dxa"/>
            <w:vAlign w:val="bottom"/>
          </w:tcPr>
          <w:p>
            <w:pPr>
              <w:spacing w:after="0"/>
              <w:rPr>
                <w:sz w:val="17"/>
                <w:szCs w:val="17"/>
                <w:color w:val="auto"/>
              </w:rPr>
            </w:pPr>
          </w:p>
        </w:tc>
        <w:tc>
          <w:tcPr>
            <w:tcW w:w="8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(incorporated by reference to Exhibit 10.21 to Mereo’s Form F-4 filed January 25, 2019 (File No. 333-229351)).</w:t>
              </w:r>
            </w:hyperlink>
          </w:p>
        </w:tc>
        <w:tc>
          <w:tcPr>
            <w:tcW w:w="1880" w:type="dxa"/>
            <w:vAlign w:val="bottom"/>
            <w:gridSpan w:val="22"/>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2.3.1</w:t>
            </w:r>
          </w:p>
        </w:tc>
        <w:tc>
          <w:tcPr>
            <w:tcW w:w="99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Addendum to the Asset Purchase Agreement, dated August 17, 2017, by and between Mereo BioPharma 2 Limited and Novartis Pharma</w:t>
              </w:r>
            </w:hyperlink>
          </w:p>
        </w:tc>
        <w:tc>
          <w:tcPr>
            <w:tcW w:w="14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6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AG (incorporated by reference to Exhibit 10.21.2 to Mereo’s Form F-4 filed January 25, 2019 (File No. 333-229351)).</w:t>
              </w:r>
            </w:hyperlink>
          </w:p>
        </w:tc>
        <w:tc>
          <w:tcPr>
            <w:tcW w:w="1440" w:type="dxa"/>
            <w:vAlign w:val="bottom"/>
            <w:gridSpan w:val="18"/>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2.3.2</w:t>
            </w:r>
          </w:p>
        </w:tc>
        <w:tc>
          <w:tcPr>
            <w:tcW w:w="96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Amendment Agreement for BGS649, dated October 19, 2018, by and between Mereo BioPharma 2 Limited and Novartis Pharma AG</w:t>
              </w:r>
            </w:hyperlink>
          </w:p>
        </w:tc>
        <w:tc>
          <w:tcPr>
            <w:tcW w:w="360" w:type="dxa"/>
            <w:vAlign w:val="bottom"/>
            <w:gridSpan w:val="8"/>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(incorporated by reference to Exhibit 10.21.1 to Mereo’s Form F-4 filed January 25, 2019 (File No. 333-229351)).</w:t>
              </w:r>
            </w:hyperlink>
          </w:p>
        </w:tc>
        <w:tc>
          <w:tcPr>
            <w:tcW w:w="1760" w:type="dxa"/>
            <w:vAlign w:val="bottom"/>
            <w:gridSpan w:val="21"/>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w:t>
            </w:r>
          </w:p>
        </w:tc>
        <w:tc>
          <w:tcPr>
            <w:tcW w:w="93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BPS804 Asset Purchase Agreement, dated July 28, 2015, by and between Mereo BioPharma 3 Limited and Novartis Pharma AG</w:t>
              </w:r>
            </w:hyperlink>
          </w:p>
        </w:tc>
        <w:tc>
          <w:tcPr>
            <w:tcW w:w="700" w:type="dxa"/>
            <w:vAlign w:val="bottom"/>
            <w:gridSpan w:val="1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(incorporated by reference to Exhibit 10.22 to Mereo’s Form F-4 filed January 25, 2019 (File No. 333-229351)).</w:t>
              </w:r>
            </w:hyperlink>
          </w:p>
        </w:tc>
        <w:tc>
          <w:tcPr>
            <w:tcW w:w="1880" w:type="dxa"/>
            <w:vAlign w:val="bottom"/>
            <w:gridSpan w:val="22"/>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w:t>
            </w:r>
          </w:p>
        </w:tc>
        <w:tc>
          <w:tcPr>
            <w:tcW w:w="95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Addendum to the Asset Purchase Agreement, dated December 21, 2016, by and between Mereo BioPharma 3 Limited and Novartis</w:t>
              </w:r>
            </w:hyperlink>
          </w:p>
        </w:tc>
        <w:tc>
          <w:tcPr>
            <w:tcW w:w="500" w:type="dxa"/>
            <w:vAlign w:val="bottom"/>
            <w:gridSpan w:val="10"/>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Pharma AG (incorporated by reference to Exhibit 10.22.2 to Mereo’s Form F-4 filed January 25, 2019 (File No. 333-229351)).</w:t>
              </w:r>
            </w:hyperlink>
          </w:p>
        </w:tc>
        <w:tc>
          <w:tcPr>
            <w:tcW w:w="860" w:type="dxa"/>
            <w:vAlign w:val="bottom"/>
            <w:gridSpan w:val="17"/>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2.4.2†</w:t>
            </w:r>
          </w:p>
        </w:tc>
        <w:tc>
          <w:tcPr>
            <w:tcW w:w="99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Agreement, dated August 10, 2018, by and between Mereo BioPharma 3 Limited and Novartis Pharma AG (incorporated by</w:t>
              </w:r>
            </w:hyperlink>
          </w:p>
        </w:tc>
        <w:tc>
          <w:tcPr>
            <w:tcW w:w="10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70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reference to Exhibit 10.22.1 to Mereo’s Form F-4 filed January 25, 2019 (File No. 333-229351)).</w:t>
              </w:r>
            </w:hyperlink>
          </w:p>
        </w:tc>
        <w:tc>
          <w:tcPr>
            <w:tcW w:w="3000" w:type="dxa"/>
            <w:vAlign w:val="bottom"/>
            <w:gridSpan w:val="24"/>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99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Articles of Association of the Company (incorporated by reference to Exhibit 3.1 to Mereo’s Form 6-K, filed with the SEC on December</w:t>
              </w:r>
            </w:hyperlink>
          </w:p>
        </w:tc>
        <w:tc>
          <w:tcPr>
            <w:tcW w:w="12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3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18, 2022 (File No. 001-38452)).</w:t>
              </w:r>
            </w:hyperlink>
          </w:p>
        </w:tc>
        <w:tc>
          <w:tcPr>
            <w:tcW w:w="20" w:type="dxa"/>
            <w:vAlign w:val="bottom"/>
            <w:tcBorders>
              <w:bottom w:val="single" w:sz="8" w:color="0000EE"/>
            </w:tcBorders>
          </w:tcPr>
          <w:p>
            <w:pPr>
              <w:spacing w:after="0"/>
              <w:rPr>
                <w:sz w:val="17"/>
                <w:szCs w:val="17"/>
                <w:color w:val="auto"/>
              </w:rPr>
            </w:pPr>
          </w:p>
        </w:tc>
        <w:tc>
          <w:tcPr>
            <w:tcW w:w="7700" w:type="dxa"/>
            <w:vAlign w:val="bottom"/>
            <w:gridSpan w:val="31"/>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98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American Depositary Receipt of Mereo BioPharma Group plc (incorporated by reference to Exhibit 4.3 to Mereo’s Form F-4/A</w:t>
              </w:r>
            </w:hyperlink>
          </w:p>
        </w:tc>
        <w:tc>
          <w:tcPr>
            <w:tcW w:w="160" w:type="dxa"/>
            <w:vAlign w:val="bottom"/>
            <w:gridSpan w:val="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3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filed March 15, 2019 (File No. 333-229351)).</w:t>
              </w:r>
            </w:hyperlink>
          </w:p>
        </w:tc>
        <w:tc>
          <w:tcPr>
            <w:tcW w:w="6700" w:type="dxa"/>
            <w:vAlign w:val="bottom"/>
            <w:gridSpan w:val="30"/>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10040" w:type="dxa"/>
            <w:vAlign w:val="bottom"/>
            <w:gridSpan w:val="3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Description of Securities Registered under Section 12 of the Exchange Act (incorporated by reference to Exhibit 4.2 to Mereo’s Form 10-</w:t>
              </w:r>
            </w:hyperlink>
          </w:p>
        </w:tc>
      </w:tr>
      <w:tr>
        <w:trPr>
          <w:trHeight w:val="196"/>
        </w:trPr>
        <w:tc>
          <w:tcPr>
            <w:tcW w:w="1200" w:type="dxa"/>
            <w:vAlign w:val="bottom"/>
          </w:tcPr>
          <w:p>
            <w:pPr>
              <w:spacing w:after="0"/>
              <w:rPr>
                <w:sz w:val="17"/>
                <w:szCs w:val="17"/>
                <w:color w:val="auto"/>
              </w:rPr>
            </w:pPr>
          </w:p>
        </w:tc>
        <w:tc>
          <w:tcPr>
            <w:tcW w:w="3420" w:type="dxa"/>
            <w:vAlign w:val="bottom"/>
            <w:tcBorders>
              <w:top w:val="single" w:sz="8" w:color="0000FF"/>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K filed March 27, 2024 (File No. 001-38452)).</w:t>
              </w:r>
            </w:hyperlink>
          </w:p>
        </w:tc>
        <w:tc>
          <w:tcPr>
            <w:tcW w:w="6500" w:type="dxa"/>
            <w:vAlign w:val="bottom"/>
            <w:tcBorders>
              <w:top w:val="single" w:sz="8" w:color="0000FF"/>
            </w:tcBorders>
            <w:gridSpan w:val="27"/>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96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Sublicense Agreement, dated July 29, 2015, by and between Mereo BioPharma 3 Limited and Novartis Pharma AG (incorporated by</w:t>
              </w:r>
            </w:hyperlink>
          </w:p>
        </w:tc>
        <w:tc>
          <w:tcPr>
            <w:tcW w:w="420" w:type="dxa"/>
            <w:vAlign w:val="bottom"/>
            <w:gridSpan w:val="9"/>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69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10.23 to Mereo’s Form F-4 filed January 25, 2019 (File No. 333- 229351)).</w:t>
              </w:r>
            </w:hyperlink>
          </w:p>
        </w:tc>
        <w:tc>
          <w:tcPr>
            <w:tcW w:w="3080" w:type="dxa"/>
            <w:vAlign w:val="bottom"/>
            <w:gridSpan w:val="25"/>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 †</w:t>
            </w:r>
          </w:p>
        </w:tc>
        <w:tc>
          <w:tcPr>
            <w:tcW w:w="97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Exclusive License and Option Agreement, dated October 28, 2017, by and between Mereo BioPharma 4 Limited and AstraZeneca AB</w:t>
              </w:r>
            </w:hyperlink>
          </w:p>
        </w:tc>
        <w:tc>
          <w:tcPr>
            <w:tcW w:w="320" w:type="dxa"/>
            <w:vAlign w:val="bottom"/>
            <w:gridSpan w:val="7"/>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(incorporated by reference to Exhibit 10.24 to Mereo’s Form F-4 filed January 25, 2019 (File No. 333-229351)).</w:t>
              </w:r>
            </w:hyperlink>
          </w:p>
        </w:tc>
        <w:tc>
          <w:tcPr>
            <w:tcW w:w="1880" w:type="dxa"/>
            <w:vAlign w:val="bottom"/>
            <w:gridSpan w:val="22"/>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w:t>
            </w:r>
          </w:p>
        </w:tc>
        <w:tc>
          <w:tcPr>
            <w:tcW w:w="98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Deed of Indemnity for members of the board of directors of Mereo BioPharma Group plc (incorporated by reference to Exhibit</w:t>
              </w:r>
            </w:hyperlink>
          </w:p>
        </w:tc>
        <w:tc>
          <w:tcPr>
            <w:tcW w:w="220" w:type="dxa"/>
            <w:vAlign w:val="bottom"/>
            <w:gridSpan w:val="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5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r>
                <w:rPr>
                  <w:rFonts w:ascii="Times New Roman" w:cs="Times New Roman" w:eastAsia="Times New Roman" w:hAnsi="Times New Roman"/>
                  <w:sz w:val="18"/>
                  <w:szCs w:val="18"/>
                  <w:color w:val="0000FF"/>
                </w:rPr>
                <w:t xml:space="preserve"> to Mereo’s Form F-4 filed January 25, 2019 (File No. 333-229351)).</w:t>
              </w:r>
            </w:hyperlink>
          </w:p>
        </w:tc>
        <w:tc>
          <w:tcPr>
            <w:tcW w:w="4600" w:type="dxa"/>
            <w:vAlign w:val="bottom"/>
            <w:gridSpan w:val="27"/>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10.5</w:t>
            </w:r>
          </w:p>
        </w:tc>
        <w:tc>
          <w:tcPr>
            <w:tcW w:w="95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Mereo BioPharma Group plc 2019 Equity Incentive Plan, as amended on February 13, 2020 and January 15, 2021 (incorporated by</w:t>
              </w:r>
            </w:hyperlink>
          </w:p>
        </w:tc>
        <w:tc>
          <w:tcPr>
            <w:tcW w:w="540" w:type="dxa"/>
            <w:vAlign w:val="bottom"/>
            <w:gridSpan w:val="1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5"/>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reference to Exhibit 99.1 to Mereo’s Form S-8 filed January 15, 2021 (File No.</w:t>
              </w:r>
            </w:hyperlink>
          </w:p>
        </w:tc>
      </w:tr>
      <w:tr>
        <w:trPr>
          <w:trHeight w:val="196"/>
        </w:trPr>
        <w:tc>
          <w:tcPr>
            <w:tcW w:w="1200" w:type="dxa"/>
            <w:vAlign w:val="bottom"/>
          </w:tcPr>
          <w:p>
            <w:pPr>
              <w:spacing w:after="0"/>
              <w:rPr>
                <w:sz w:val="17"/>
                <w:szCs w:val="17"/>
                <w:color w:val="auto"/>
              </w:rPr>
            </w:pPr>
          </w:p>
        </w:tc>
        <w:tc>
          <w:tcPr>
            <w:tcW w:w="10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333-252147)).</w:t>
              </w:r>
            </w:hyperlink>
          </w:p>
        </w:tc>
        <w:tc>
          <w:tcPr>
            <w:tcW w:w="20" w:type="dxa"/>
            <w:vAlign w:val="bottom"/>
            <w:tcBorders>
              <w:top w:val="single" w:sz="8" w:color="0000FF"/>
              <w:bottom w:val="single" w:sz="8" w:color="0000EE"/>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9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10.7</w:t>
            </w:r>
          </w:p>
        </w:tc>
        <w:tc>
          <w:tcPr>
            <w:tcW w:w="10040" w:type="dxa"/>
            <w:vAlign w:val="bottom"/>
            <w:gridSpan w:val="3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Mereo BioPharma Group plc 2019 Non-Employee Equity Incentive Plan, as amended on February 13, 2020 and</w:t>
              </w:r>
            </w:hyperlink>
          </w:p>
        </w:tc>
      </w:tr>
      <w:tr>
        <w:trPr>
          <w:trHeight w:val="20"/>
        </w:trPr>
        <w:tc>
          <w:tcPr>
            <w:tcW w:w="1200" w:type="dxa"/>
            <w:vAlign w:val="bottom"/>
          </w:tcPr>
          <w:p>
            <w:pPr>
              <w:spacing w:after="0" w:line="20" w:lineRule="exact"/>
              <w:rPr>
                <w:sz w:val="1"/>
                <w:szCs w:val="1"/>
                <w:color w:val="auto"/>
              </w:rPr>
            </w:pPr>
          </w:p>
        </w:tc>
        <w:tc>
          <w:tcPr>
            <w:tcW w:w="5360" w:type="dxa"/>
            <w:vAlign w:val="bottom"/>
            <w:gridSpan w:val="7"/>
            <w:shd w:val="clear" w:color="auto" w:fill="0000FF"/>
          </w:tcPr>
          <w:p>
            <w:pPr>
              <w:spacing w:after="0" w:line="20" w:lineRule="exact"/>
              <w:rPr>
                <w:sz w:val="1"/>
                <w:szCs w:val="1"/>
                <w:color w:val="auto"/>
              </w:rPr>
            </w:pPr>
          </w:p>
        </w:tc>
        <w:tc>
          <w:tcPr>
            <w:tcW w:w="2740" w:type="dxa"/>
            <w:vAlign w:val="bottom"/>
            <w:tcBorders>
              <w:right w:val="single" w:sz="8" w:color="0000EE"/>
            </w:tcBorders>
            <w:gridSpan w:val="5"/>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93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January 15, 2021 (incorporated by reference to Exhibit 99.2 to Mereo’s Form S-8 filed January 15, 2021 (File No. 333-252147)).</w:t>
              </w:r>
            </w:hyperlink>
          </w:p>
        </w:tc>
        <w:tc>
          <w:tcPr>
            <w:tcW w:w="20" w:type="dxa"/>
            <w:vAlign w:val="bottom"/>
            <w:tcBorders>
              <w:bottom w:val="single" w:sz="8" w:color="0000EE"/>
            </w:tcBorders>
          </w:tcPr>
          <w:p>
            <w:pPr>
              <w:spacing w:after="0"/>
              <w:rPr>
                <w:sz w:val="17"/>
                <w:szCs w:val="17"/>
                <w:color w:val="auto"/>
              </w:rPr>
            </w:pPr>
          </w:p>
        </w:tc>
        <w:tc>
          <w:tcPr>
            <w:tcW w:w="720" w:type="dxa"/>
            <w:vAlign w:val="bottom"/>
            <w:gridSpan w:val="15"/>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10.11</w:t>
            </w:r>
          </w:p>
        </w:tc>
        <w:tc>
          <w:tcPr>
            <w:tcW w:w="98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Deed of Consent and Amendment to Warrant Instrument, dated March 29, 2021 between Mereo BioPharma Group plc. and the Alpha-1</w:t>
              </w:r>
            </w:hyperlink>
          </w:p>
        </w:tc>
        <w:tc>
          <w:tcPr>
            <w:tcW w:w="200" w:type="dxa"/>
            <w:vAlign w:val="bottom"/>
            <w:gridSpan w:val="5"/>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4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Project, Inc. (incorporated by reference to Exhibit 4.25 to Mereo’s 20-F filed March 31, 2021 (File No. 001-38452)).</w:t>
              </w:r>
            </w:hyperlink>
          </w:p>
        </w:tc>
        <w:tc>
          <w:tcPr>
            <w:tcW w:w="20" w:type="dxa"/>
            <w:vAlign w:val="bottom"/>
            <w:tcBorders>
              <w:bottom w:val="single" w:sz="8" w:color="0000EE"/>
            </w:tcBorders>
          </w:tcPr>
          <w:p>
            <w:pPr>
              <w:spacing w:after="0"/>
              <w:rPr>
                <w:sz w:val="17"/>
                <w:szCs w:val="17"/>
                <w:color w:val="auto"/>
              </w:rPr>
            </w:pPr>
          </w:p>
        </w:tc>
        <w:tc>
          <w:tcPr>
            <w:tcW w:w="1560" w:type="dxa"/>
            <w:vAlign w:val="bottom"/>
            <w:gridSpan w:val="19"/>
          </w:tcPr>
          <w:p>
            <w:pPr>
              <w:spacing w:after="0"/>
              <w:rPr>
                <w:sz w:val="17"/>
                <w:szCs w:val="17"/>
                <w:color w:val="auto"/>
              </w:rPr>
            </w:pPr>
          </w:p>
        </w:tc>
      </w:tr>
      <w:tr>
        <w:trPr>
          <w:trHeight w:val="412"/>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10.12</w:t>
            </w:r>
          </w:p>
        </w:tc>
        <w:tc>
          <w:tcPr>
            <w:tcW w:w="95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Employment Agreement, dated July 1, 2020 between Mereo BioPharma Group plc and John Lewicki (incorporated by reference to</w:t>
              </w:r>
            </w:hyperlink>
          </w:p>
        </w:tc>
        <w:tc>
          <w:tcPr>
            <w:tcW w:w="520" w:type="dxa"/>
            <w:vAlign w:val="bottom"/>
            <w:gridSpan w:val="11"/>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5"/>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Exhibit 4.27 to Mereo’s 20-F filed March 31, 2021 (File No. 001-38452)).</w:t>
              </w:r>
            </w:hyperlink>
          </w:p>
        </w:tc>
      </w:tr>
      <w:tr>
        <w:trPr>
          <w:trHeight w:val="560"/>
        </w:trPr>
        <w:tc>
          <w:tcPr>
            <w:tcW w:w="1200" w:type="dxa"/>
            <w:vAlign w:val="bottom"/>
          </w:tcPr>
          <w:p>
            <w:pPr>
              <w:spacing w:after="0"/>
              <w:rPr>
                <w:sz w:val="24"/>
                <w:szCs w:val="24"/>
                <w:color w:val="auto"/>
              </w:rPr>
            </w:pPr>
          </w:p>
        </w:tc>
        <w:tc>
          <w:tcPr>
            <w:tcW w:w="5360" w:type="dxa"/>
            <w:vAlign w:val="bottom"/>
            <w:tcBorders>
              <w:top w:val="single" w:sz="8" w:color="0000FF"/>
            </w:tcBorders>
            <w:gridSpan w:val="7"/>
          </w:tcPr>
          <w:p>
            <w:pPr>
              <w:ind w:left="428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920" w:type="dxa"/>
            <w:vAlign w:val="bottom"/>
            <w:gridSpan w:val="35"/>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20"/>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4"/>
        </w:trPr>
        <w:tc>
          <w:tcPr>
            <w:tcW w:w="12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10.14</w:t>
            </w:r>
          </w:p>
        </w:tc>
        <w:tc>
          <w:tcPr>
            <w:tcW w:w="9680" w:type="dxa"/>
            <w:vAlign w:val="bottom"/>
            <w:tcBorders>
              <w:bottom w:val="single" w:sz="8" w:color="0000FF"/>
            </w:tcBorders>
            <w:gridSpan w:val="29"/>
          </w:tcPr>
          <w:p>
            <w:pPr>
              <w:spacing w:after="0" w:line="194"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Convertible Loan Instrument, dated February 10, 2020 relating to Mereo BioPharma Group plc (incorporated by reference to</w:t>
              </w:r>
            </w:hyperlink>
          </w:p>
        </w:tc>
        <w:tc>
          <w:tcPr>
            <w:tcW w:w="320" w:type="dxa"/>
            <w:vAlign w:val="bottom"/>
            <w:gridSpan w:val="8"/>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53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Exhibit 4.28 to Mereo’s 20-F filed March 31, 2022 (File No. 001-38452)).</w:t>
              </w:r>
            </w:hyperlink>
          </w:p>
        </w:tc>
        <w:tc>
          <w:tcPr>
            <w:tcW w:w="4680" w:type="dxa"/>
            <w:vAlign w:val="bottom"/>
            <w:gridSpan w:val="30"/>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10.15</w:t>
            </w:r>
          </w:p>
        </w:tc>
        <w:tc>
          <w:tcPr>
            <w:tcW w:w="99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Form of Warrant Instrument, dated February 10, 2020 relating to Mereo BioPharma Group plc (incorporated by reference to Exhibit 4.29</w:t>
              </w:r>
            </w:hyperlink>
          </w:p>
        </w:tc>
        <w:tc>
          <w:tcPr>
            <w:tcW w:w="10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7"/>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to Mereo’s 20-F filed March 31, 2022 (File No. 001-38452)).</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10.16</w:t>
            </w:r>
          </w:p>
        </w:tc>
        <w:tc>
          <w:tcPr>
            <w:tcW w:w="96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Deed of Consent and Amendment to Note Instrument, dated November 24, 2020 between Mereo BioPharma Group plc. and Novartis</w:t>
              </w:r>
            </w:hyperlink>
          </w:p>
        </w:tc>
        <w:tc>
          <w:tcPr>
            <w:tcW w:w="380" w:type="dxa"/>
            <w:vAlign w:val="bottom"/>
            <w:gridSpan w:val="11"/>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84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Pharma AG (incorporated by reference to Exhibit 4.30 to Mereo’s 20-F filed March 31, 2022 (File No. 001-38452)).</w:t>
              </w:r>
            </w:hyperlink>
          </w:p>
        </w:tc>
        <w:tc>
          <w:tcPr>
            <w:tcW w:w="20" w:type="dxa"/>
            <w:vAlign w:val="bottom"/>
            <w:tcBorders>
              <w:bottom w:val="single" w:sz="8" w:color="0000EE"/>
            </w:tcBorders>
          </w:tcPr>
          <w:p>
            <w:pPr>
              <w:spacing w:after="0"/>
              <w:rPr>
                <w:sz w:val="17"/>
                <w:szCs w:val="17"/>
                <w:color w:val="auto"/>
              </w:rPr>
            </w:pPr>
          </w:p>
        </w:tc>
        <w:tc>
          <w:tcPr>
            <w:tcW w:w="1580" w:type="dxa"/>
            <w:vAlign w:val="bottom"/>
            <w:gridSpan w:val="17"/>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10.17</w:t>
            </w:r>
          </w:p>
        </w:tc>
        <w:tc>
          <w:tcPr>
            <w:tcW w:w="98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Deed of Consent and Amendment to Warrant Instrument, dated November 24, 2020 between Mereo BioPharma Group plc. and Novartis</w:t>
              </w:r>
            </w:hyperlink>
          </w:p>
        </w:tc>
        <w:tc>
          <w:tcPr>
            <w:tcW w:w="14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84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Pharma AG (incorporated by reference to Exhibit 4.31 to Mereo’s 20-F filed March 31, 2022 (File No. 001-38452)).</w:t>
              </w:r>
            </w:hyperlink>
          </w:p>
        </w:tc>
        <w:tc>
          <w:tcPr>
            <w:tcW w:w="20" w:type="dxa"/>
            <w:vAlign w:val="bottom"/>
            <w:tcBorders>
              <w:bottom w:val="single" w:sz="8" w:color="0000EE"/>
            </w:tcBorders>
          </w:tcPr>
          <w:p>
            <w:pPr>
              <w:spacing w:after="0"/>
              <w:rPr>
                <w:sz w:val="17"/>
                <w:szCs w:val="17"/>
                <w:color w:val="auto"/>
              </w:rPr>
            </w:pPr>
          </w:p>
        </w:tc>
        <w:tc>
          <w:tcPr>
            <w:tcW w:w="1580" w:type="dxa"/>
            <w:vAlign w:val="bottom"/>
            <w:gridSpan w:val="17"/>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10.18††</w:t>
            </w:r>
          </w:p>
        </w:tc>
        <w:tc>
          <w:tcPr>
            <w:tcW w:w="98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Collaboration and License Agreement, dated December 17, 2020, between Mereo BioPharma 3 Limited and Ultragenyx Pharmaceutical</w:t>
              </w:r>
            </w:hyperlink>
          </w:p>
        </w:tc>
        <w:tc>
          <w:tcPr>
            <w:tcW w:w="18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77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Inc. (incorporated by reference to Exhibit 4.32 to Mereo’s 20-F filed March 31, 2022 (File No. 001-38452)).</w:t>
              </w:r>
            </w:hyperlink>
          </w:p>
        </w:tc>
        <w:tc>
          <w:tcPr>
            <w:tcW w:w="20" w:type="dxa"/>
            <w:vAlign w:val="bottom"/>
            <w:tcBorders>
              <w:bottom w:val="single" w:sz="8" w:color="0000EE"/>
            </w:tcBorders>
          </w:tcPr>
          <w:p>
            <w:pPr>
              <w:spacing w:after="0"/>
              <w:rPr>
                <w:sz w:val="17"/>
                <w:szCs w:val="17"/>
                <w:color w:val="auto"/>
              </w:rPr>
            </w:pPr>
          </w:p>
        </w:tc>
        <w:tc>
          <w:tcPr>
            <w:tcW w:w="2200" w:type="dxa"/>
            <w:vAlign w:val="bottom"/>
            <w:gridSpan w:val="23"/>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10.19</w:t>
            </w:r>
          </w:p>
        </w:tc>
        <w:tc>
          <w:tcPr>
            <w:tcW w:w="94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Amended and restated Contract of Employment, dated September 3, 2021, between Mereo BioPharma Group plc and Denise Scots-</w:t>
              </w:r>
            </w:hyperlink>
          </w:p>
        </w:tc>
        <w:tc>
          <w:tcPr>
            <w:tcW w:w="540" w:type="dxa"/>
            <w:vAlign w:val="bottom"/>
            <w:gridSpan w:val="1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80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Knight (incorporated by reference to Exhibit 4.33 to Mereo’s 20-F filed March 31, 2022 (File No. 001-38452)).</w:t>
              </w:r>
            </w:hyperlink>
          </w:p>
        </w:tc>
        <w:tc>
          <w:tcPr>
            <w:tcW w:w="20" w:type="dxa"/>
            <w:vAlign w:val="bottom"/>
            <w:tcBorders>
              <w:bottom w:val="single" w:sz="8" w:color="0000EE"/>
            </w:tcBorders>
          </w:tcPr>
          <w:p>
            <w:pPr>
              <w:spacing w:after="0"/>
              <w:rPr>
                <w:sz w:val="17"/>
                <w:szCs w:val="17"/>
                <w:color w:val="auto"/>
              </w:rPr>
            </w:pPr>
          </w:p>
        </w:tc>
        <w:tc>
          <w:tcPr>
            <w:tcW w:w="1980" w:type="dxa"/>
            <w:vAlign w:val="bottom"/>
            <w:gridSpan w:val="21"/>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10.20</w:t>
            </w:r>
          </w:p>
        </w:tc>
        <w:tc>
          <w:tcPr>
            <w:tcW w:w="95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Amended and restated Contract of Employment, dated September 3, 2021, between Mereo BioPharma Group plc and Christine Fox</w:t>
              </w:r>
            </w:hyperlink>
          </w:p>
        </w:tc>
        <w:tc>
          <w:tcPr>
            <w:tcW w:w="500" w:type="dxa"/>
            <w:vAlign w:val="bottom"/>
            <w:gridSpan w:val="1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75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(incorporated by reference to Exhibit 4.34 to Mereo’s 20-F filed March 31, 2022 (File No. 001-38452)).</w:t>
              </w:r>
            </w:hyperlink>
          </w:p>
        </w:tc>
        <w:tc>
          <w:tcPr>
            <w:tcW w:w="20" w:type="dxa"/>
            <w:vAlign w:val="bottom"/>
            <w:tcBorders>
              <w:bottom w:val="single" w:sz="8" w:color="0000EE"/>
            </w:tcBorders>
          </w:tcPr>
          <w:p>
            <w:pPr>
              <w:spacing w:after="0"/>
              <w:rPr>
                <w:sz w:val="17"/>
                <w:szCs w:val="17"/>
                <w:color w:val="auto"/>
              </w:rPr>
            </w:pPr>
          </w:p>
        </w:tc>
        <w:tc>
          <w:tcPr>
            <w:tcW w:w="2480" w:type="dxa"/>
            <w:vAlign w:val="bottom"/>
            <w:gridSpan w:val="25"/>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10.21</w:t>
            </w:r>
          </w:p>
        </w:tc>
        <w:tc>
          <w:tcPr>
            <w:tcW w:w="96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Amended and restated Contract of Employment, dated September 3, 2021, between Mereo BioPharma Group plc and Charles Sermon</w:t>
              </w:r>
            </w:hyperlink>
          </w:p>
        </w:tc>
        <w:tc>
          <w:tcPr>
            <w:tcW w:w="340" w:type="dxa"/>
            <w:vAlign w:val="bottom"/>
            <w:gridSpan w:val="9"/>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74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(incorporated by reference to Exhibit 4.36 to Mereo’s 20-F filed March 31, 2022 (File No. 001-38452)).</w:t>
              </w:r>
            </w:hyperlink>
          </w:p>
        </w:tc>
        <w:tc>
          <w:tcPr>
            <w:tcW w:w="2540" w:type="dxa"/>
            <w:vAlign w:val="bottom"/>
            <w:gridSpan w:val="27"/>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10.22</w:t>
            </w:r>
          </w:p>
        </w:tc>
        <w:tc>
          <w:tcPr>
            <w:tcW w:w="99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Amended and restated Contract of Employment, dated September 16, 2021, between Mereo BioPharma Group plc and Alexandra (Wills)</w:t>
              </w:r>
            </w:hyperlink>
          </w:p>
        </w:tc>
        <w:tc>
          <w:tcPr>
            <w:tcW w:w="10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86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Hughes-Wilson (incorporated by reference to Exhibit 4.37 to Mereo’s 20-F filed March 31, 2022 (File No. 001-38452)).</w:t>
              </w:r>
            </w:hyperlink>
          </w:p>
        </w:tc>
        <w:tc>
          <w:tcPr>
            <w:tcW w:w="20" w:type="dxa"/>
            <w:vAlign w:val="bottom"/>
            <w:tcBorders>
              <w:bottom w:val="single" w:sz="8" w:color="0000EE"/>
            </w:tcBorders>
          </w:tcPr>
          <w:p>
            <w:pPr>
              <w:spacing w:after="0"/>
              <w:rPr>
                <w:sz w:val="17"/>
                <w:szCs w:val="17"/>
                <w:color w:val="auto"/>
              </w:rPr>
            </w:pPr>
          </w:p>
        </w:tc>
        <w:tc>
          <w:tcPr>
            <w:tcW w:w="1300" w:type="dxa"/>
            <w:vAlign w:val="bottom"/>
            <w:gridSpan w:val="15"/>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10.23</w:t>
            </w:r>
          </w:p>
        </w:tc>
        <w:tc>
          <w:tcPr>
            <w:tcW w:w="98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Change in Control and Severance Agreement for Executives employed by Mereo Biopharma 5, Inc. (incorporated by reference</w:t>
              </w:r>
            </w:hyperlink>
          </w:p>
        </w:tc>
        <w:tc>
          <w:tcPr>
            <w:tcW w:w="16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55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to Exhibit 4.40 to Mereo’s 20-F filed March 31, 2022 (File No. 001-38452)).</w:t>
              </w:r>
            </w:hyperlink>
          </w:p>
        </w:tc>
        <w:tc>
          <w:tcPr>
            <w:tcW w:w="4460" w:type="dxa"/>
            <w:vAlign w:val="bottom"/>
            <w:gridSpan w:val="29"/>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10.24</w:t>
            </w:r>
          </w:p>
        </w:tc>
        <w:tc>
          <w:tcPr>
            <w:tcW w:w="95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Letter of Appointment for members of the board of directors of Mereo BioPharma Group plc. (incorporated by reference to</w:t>
              </w:r>
            </w:hyperlink>
          </w:p>
        </w:tc>
        <w:tc>
          <w:tcPr>
            <w:tcW w:w="440" w:type="dxa"/>
            <w:vAlign w:val="bottom"/>
            <w:gridSpan w:val="1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7"/>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Exhibit 4.17 to Mereo’s Form F-4 filed March 28, 2023 (File No. 333-229351)).</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10.25</w:t>
            </w:r>
          </w:p>
        </w:tc>
        <w:tc>
          <w:tcPr>
            <w:tcW w:w="996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Deed of Consent and Amendment to Note Instrument, dated February 9, 2023 between Mereo BioPharma Group plc and Novartis Pharma</w:t>
              </w:r>
            </w:hyperlink>
          </w:p>
        </w:tc>
        <w:tc>
          <w:tcPr>
            <w:tcW w:w="4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82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AG (incorporated by reference to Exhibit 4.46 to Mereo’s Form 20-F filed March 28, 2023 (File No. 001-38452)).</w:t>
              </w:r>
            </w:hyperlink>
          </w:p>
        </w:tc>
        <w:tc>
          <w:tcPr>
            <w:tcW w:w="20" w:type="dxa"/>
            <w:vAlign w:val="bottom"/>
            <w:tcBorders>
              <w:bottom w:val="single" w:sz="8" w:color="0000EE"/>
            </w:tcBorders>
          </w:tcPr>
          <w:p>
            <w:pPr>
              <w:spacing w:after="0"/>
              <w:rPr>
                <w:sz w:val="17"/>
                <w:szCs w:val="17"/>
                <w:color w:val="auto"/>
              </w:rPr>
            </w:pPr>
          </w:p>
        </w:tc>
        <w:tc>
          <w:tcPr>
            <w:tcW w:w="1780" w:type="dxa"/>
            <w:vAlign w:val="bottom"/>
            <w:gridSpan w:val="19"/>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10.26</w:t>
            </w:r>
          </w:p>
        </w:tc>
        <w:tc>
          <w:tcPr>
            <w:tcW w:w="9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Form of Warrant Instrument, dated February 10, 2023, relating to Mereo BioPharma Group plc (incorporated by reference to Exhibit 4.47</w:t>
              </w:r>
            </w:hyperlink>
          </w:p>
        </w:tc>
        <w:tc>
          <w:tcPr>
            <w:tcW w:w="6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48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to Mereo’s Form 20-F filed March 28, 2023 (File No. 001-38452)).</w:t>
              </w:r>
            </w:hyperlink>
          </w:p>
        </w:tc>
        <w:tc>
          <w:tcPr>
            <w:tcW w:w="5140" w:type="dxa"/>
            <w:vAlign w:val="bottom"/>
            <w:gridSpan w:val="31"/>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10.27</w:t>
            </w:r>
          </w:p>
        </w:tc>
        <w:tc>
          <w:tcPr>
            <w:tcW w:w="98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Deferred Compensation Plan for Non-Employee Directors, as amended on December 13, 2023 (incorporated by reference to Exhibit 4.3</w:t>
              </w:r>
            </w:hyperlink>
          </w:p>
        </w:tc>
        <w:tc>
          <w:tcPr>
            <w:tcW w:w="18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44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to Mereo’s S-8 filed January 23, 2024 (File No. 333-276656)).</w:t>
              </w:r>
            </w:hyperlink>
          </w:p>
        </w:tc>
        <w:tc>
          <w:tcPr>
            <w:tcW w:w="20" w:type="dxa"/>
            <w:vAlign w:val="bottom"/>
            <w:tcBorders>
              <w:bottom w:val="single" w:sz="8" w:color="0000EE"/>
            </w:tcBorders>
          </w:tcPr>
          <w:p>
            <w:pPr>
              <w:spacing w:after="0"/>
              <w:rPr>
                <w:sz w:val="17"/>
                <w:szCs w:val="17"/>
                <w:color w:val="auto"/>
              </w:rPr>
            </w:pPr>
          </w:p>
        </w:tc>
        <w:tc>
          <w:tcPr>
            <w:tcW w:w="5500" w:type="dxa"/>
            <w:vAlign w:val="bottom"/>
            <w:gridSpan w:val="32"/>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10.28</w:t>
            </w:r>
          </w:p>
        </w:tc>
        <w:tc>
          <w:tcPr>
            <w:tcW w:w="996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Performance Based Restricted Stock Unit Award Agreement under the Plan (incorporated by reference to Exhibit 4.4 to Mereo’s</w:t>
              </w:r>
            </w:hyperlink>
          </w:p>
        </w:tc>
        <w:tc>
          <w:tcPr>
            <w:tcW w:w="4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4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Form S-8 filed January 24, 2023 (File No. 333-269388))</w:t>
              </w:r>
            </w:hyperlink>
          </w:p>
        </w:tc>
        <w:tc>
          <w:tcPr>
            <w:tcW w:w="5920" w:type="dxa"/>
            <w:vAlign w:val="bottom"/>
            <w:gridSpan w:val="35"/>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10.29</w:t>
            </w:r>
          </w:p>
        </w:tc>
        <w:tc>
          <w:tcPr>
            <w:tcW w:w="96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Form of Restricted Stock Unit Award Agreement under the Plans (incorporated by reference to Exhibit 4.5 to Mereo’s Form S-8 filed</w:t>
              </w:r>
            </w:hyperlink>
          </w:p>
        </w:tc>
        <w:tc>
          <w:tcPr>
            <w:tcW w:w="360" w:type="dxa"/>
            <w:vAlign w:val="bottom"/>
            <w:gridSpan w:val="10"/>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January 24, 2023 (File No. 333-269388))</w:t>
              </w:r>
            </w:hyperlink>
          </w:p>
        </w:tc>
        <w:tc>
          <w:tcPr>
            <w:tcW w:w="7020" w:type="dxa"/>
            <w:vAlign w:val="bottom"/>
            <w:gridSpan w:val="36"/>
          </w:tcPr>
          <w:p>
            <w:pPr>
              <w:spacing w:after="0"/>
              <w:rPr>
                <w:sz w:val="17"/>
                <w:szCs w:val="17"/>
                <w:color w:val="auto"/>
              </w:rPr>
            </w:pPr>
          </w:p>
        </w:tc>
      </w:tr>
      <w:tr>
        <w:trPr>
          <w:trHeight w:val="412"/>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10.31††</w:t>
            </w:r>
          </w:p>
        </w:tc>
        <w:tc>
          <w:tcPr>
            <w:tcW w:w="996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Deed of Amendment and Restatement to Amended and Restated Subscription Deed, dated November 8, 2024, between Mereo BioPharma</w:t>
              </w:r>
            </w:hyperlink>
          </w:p>
        </w:tc>
        <w:tc>
          <w:tcPr>
            <w:tcW w:w="4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37"/>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Group plc and AstraZeneca AB (incorporated by reference to 10.30 to Mereo’s Form 10-K filed March 26, 2025 (File No. 001-38452)).</w:t>
              </w:r>
            </w:hyperlink>
          </w:p>
        </w:tc>
      </w:tr>
      <w:tr>
        <w:trPr>
          <w:trHeight w:val="344"/>
        </w:trPr>
        <w:tc>
          <w:tcPr>
            <w:tcW w:w="1240" w:type="dxa"/>
            <w:vAlign w:val="bottom"/>
          </w:tcPr>
          <w:p>
            <w:pPr>
              <w:spacing w:after="0"/>
              <w:rPr>
                <w:sz w:val="24"/>
                <w:szCs w:val="24"/>
                <w:color w:val="auto"/>
              </w:rPr>
            </w:pPr>
          </w:p>
        </w:tc>
        <w:tc>
          <w:tcPr>
            <w:tcW w:w="4860" w:type="dxa"/>
            <w:vAlign w:val="bottom"/>
            <w:tcBorders>
              <w:top w:val="single" w:sz="8" w:color="0000FF"/>
            </w:tcBorders>
            <w:gridSpan w:val="6"/>
          </w:tcPr>
          <w:p>
            <w:pPr>
              <w:jc w:val="right"/>
              <w:ind w:right="340"/>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tbl>
      <w:tblPr>
        <w:tblLayout w:type="fixed"/>
        <w:tblInd w:w="6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840" w:type="dxa"/>
            <w:vAlign w:val="bottom"/>
            <w:gridSpan w:val="18"/>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Amended and restated Exclusive License and Option Agreement, dated November 8, 2024, between Mereo Biopharma</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Group plc and AstraZeneca AB (incorporated by reference to 10.30 to Mereo’s Form 10-K filed March 26, 2025 (File No. 001-38452)).</w:t>
              </w:r>
            </w:hyperlink>
          </w:p>
        </w:tc>
        <w:tc>
          <w:tcPr>
            <w:tcW w:w="40" w:type="dxa"/>
            <w:vAlign w:val="bottom"/>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7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First Amendment to Collaboration and License Agreement, dated May 20, 2025, between Mereo BioPharma 3 Limited and Ultragenyx</w:t>
            </w:r>
          </w:p>
        </w:tc>
        <w:tc>
          <w:tcPr>
            <w:tcW w:w="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Pharmaceutical Inc.</w:t>
            </w:r>
          </w:p>
        </w:tc>
        <w:tc>
          <w:tcPr>
            <w:tcW w:w="8400" w:type="dxa"/>
            <w:vAlign w:val="bottom"/>
            <w:gridSpan w:val="15"/>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840" w:type="dxa"/>
            <w:vAlign w:val="bottom"/>
            <w:gridSpan w:val="1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Insider Trading Policy (incorporated by reference to Exhibit 19.1 to Mereo’s Form 10-K filed March 27, 2024 (File</w:t>
              </w:r>
            </w:hyperlink>
          </w:p>
        </w:tc>
      </w:tr>
      <w:tr>
        <w:trPr>
          <w:trHeight w:val="196"/>
        </w:trPr>
        <w:tc>
          <w:tcPr>
            <w:tcW w:w="1140" w:type="dxa"/>
            <w:vAlign w:val="bottom"/>
          </w:tcPr>
          <w:p>
            <w:pPr>
              <w:spacing w:after="0"/>
              <w:rPr>
                <w:sz w:val="17"/>
                <w:szCs w:val="17"/>
                <w:color w:val="auto"/>
              </w:rPr>
            </w:pPr>
          </w:p>
        </w:tc>
        <w:tc>
          <w:tcPr>
            <w:tcW w:w="12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No. 001-38452)).</w:t>
              </w:r>
            </w:hyperlink>
          </w:p>
        </w:tc>
        <w:tc>
          <w:tcPr>
            <w:tcW w:w="20" w:type="dxa"/>
            <w:vAlign w:val="bottom"/>
            <w:tcBorders>
              <w:top w:val="single" w:sz="8" w:color="0000FF"/>
              <w:bottom w:val="single" w:sz="8" w:color="0000EE"/>
            </w:tcBorders>
          </w:tcPr>
          <w:p>
            <w:pPr>
              <w:spacing w:after="0"/>
              <w:rPr>
                <w:sz w:val="17"/>
                <w:szCs w:val="17"/>
                <w:color w:val="auto"/>
              </w:rPr>
            </w:pPr>
          </w:p>
        </w:tc>
        <w:tc>
          <w:tcPr>
            <w:tcW w:w="7040" w:type="dxa"/>
            <w:vAlign w:val="bottom"/>
            <w:tcBorders>
              <w:top w:val="single" w:sz="8" w:color="0000FF"/>
            </w:tcBorders>
            <w:gridSpan w:val="10"/>
          </w:tcPr>
          <w:p>
            <w:pPr>
              <w:spacing w:after="0"/>
              <w:rPr>
                <w:sz w:val="17"/>
                <w:szCs w:val="17"/>
                <w:color w:val="auto"/>
              </w:rPr>
            </w:pPr>
          </w:p>
        </w:tc>
        <w:tc>
          <w:tcPr>
            <w:tcW w:w="1520" w:type="dxa"/>
            <w:vAlign w:val="bottom"/>
            <w:gridSpan w:val="6"/>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List of Subsidiaries of Mereo BioPharma Group plc. (incorporated by reference to Exhibit 8.1 Mereo’s Form 20-F filed March 28, 2023</w:t>
              </w:r>
            </w:hyperlink>
          </w:p>
        </w:tc>
      </w:tr>
      <w:tr>
        <w:trPr>
          <w:trHeight w:val="196"/>
        </w:trPr>
        <w:tc>
          <w:tcPr>
            <w:tcW w:w="1140" w:type="dxa"/>
            <w:vAlign w:val="bottom"/>
          </w:tcPr>
          <w:p>
            <w:pPr>
              <w:spacing w:after="0"/>
              <w:rPr>
                <w:sz w:val="17"/>
                <w:szCs w:val="17"/>
                <w:color w:val="auto"/>
              </w:rPr>
            </w:pPr>
          </w:p>
        </w:tc>
        <w:tc>
          <w:tcPr>
            <w:tcW w:w="16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(File No. 001-38452))</w:t>
              </w:r>
            </w:hyperlink>
          </w:p>
        </w:tc>
        <w:tc>
          <w:tcPr>
            <w:tcW w:w="20" w:type="dxa"/>
            <w:vAlign w:val="bottom"/>
            <w:tcBorders>
              <w:bottom w:val="single" w:sz="8" w:color="0000EE"/>
            </w:tcBorders>
          </w:tcPr>
          <w:p>
            <w:pPr>
              <w:spacing w:after="0"/>
              <w:rPr>
                <w:sz w:val="17"/>
                <w:szCs w:val="17"/>
                <w:color w:val="auto"/>
              </w:rPr>
            </w:pPr>
          </w:p>
        </w:tc>
        <w:tc>
          <w:tcPr>
            <w:tcW w:w="8220" w:type="dxa"/>
            <w:vAlign w:val="bottom"/>
            <w:gridSpan w:val="13"/>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4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 of this report).</w:t>
            </w:r>
          </w:p>
        </w:tc>
        <w:tc>
          <w:tcPr>
            <w:tcW w:w="20" w:type="dxa"/>
            <w:vAlign w:val="bottom"/>
            <w:tcBorders>
              <w:top w:val="single" w:sz="8" w:color="0000FF"/>
              <w:bottom w:val="single" w:sz="8" w:color="0000EE"/>
            </w:tcBorders>
          </w:tcPr>
          <w:p>
            <w:pPr>
              <w:spacing w:after="0"/>
              <w:rPr>
                <w:sz w:val="24"/>
                <w:szCs w:val="24"/>
                <w:color w:val="auto"/>
              </w:rPr>
            </w:pPr>
          </w:p>
        </w:tc>
        <w:tc>
          <w:tcPr>
            <w:tcW w:w="2120" w:type="dxa"/>
            <w:vAlign w:val="bottom"/>
            <w:tcBorders>
              <w:top w:val="single" w:sz="8" w:color="0000FF"/>
            </w:tcBorders>
            <w:gridSpan w:val="2"/>
          </w:tcPr>
          <w:p>
            <w:pPr>
              <w:spacing w:after="0"/>
              <w:rPr>
                <w:sz w:val="24"/>
                <w:szCs w:val="24"/>
                <w:color w:val="auto"/>
              </w:rPr>
            </w:pPr>
          </w:p>
        </w:tc>
        <w:tc>
          <w:tcPr>
            <w:tcW w:w="3240" w:type="dxa"/>
            <w:vAlign w:val="bottom"/>
            <w:gridSpan w:val="7"/>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w:t>
            </w:r>
          </w:p>
        </w:tc>
        <w:tc>
          <w:tcPr>
            <w:tcW w:w="4520" w:type="dxa"/>
            <w:vAlign w:val="bottom"/>
            <w:gridSpan w:val="8"/>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w:t>
            </w:r>
          </w:p>
        </w:tc>
        <w:tc>
          <w:tcPr>
            <w:tcW w:w="4520" w:type="dxa"/>
            <w:vAlign w:val="bottom"/>
            <w:gridSpan w:val="8"/>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c>
          <w:tcPr>
            <w:tcW w:w="1080" w:type="dxa"/>
            <w:vAlign w:val="bottom"/>
            <w:gridSpan w:val="3"/>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868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Mereo BioPharma Group plc Compensation Recovery Policy (incorporated by reference to Exhibit 97.1 to Mereo’s</w:t>
              </w:r>
            </w:hyperlink>
          </w:p>
        </w:tc>
        <w:tc>
          <w:tcPr>
            <w:tcW w:w="116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0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Form 10-K filed March 27, 2024 (File No. 001-38452)).</w:t>
              </w:r>
            </w:hyperlink>
          </w:p>
        </w:tc>
        <w:tc>
          <w:tcPr>
            <w:tcW w:w="20" w:type="dxa"/>
            <w:vAlign w:val="bottom"/>
            <w:tcBorders>
              <w:top w:val="single" w:sz="8" w:color="0000FF"/>
              <w:bottom w:val="single" w:sz="8" w:color="0000EE"/>
            </w:tcBorders>
          </w:tcPr>
          <w:p>
            <w:pPr>
              <w:spacing w:after="0"/>
              <w:rPr>
                <w:sz w:val="17"/>
                <w:szCs w:val="17"/>
                <w:color w:val="auto"/>
              </w:rPr>
            </w:pPr>
          </w:p>
        </w:tc>
        <w:tc>
          <w:tcPr>
            <w:tcW w:w="4240" w:type="dxa"/>
            <w:vAlign w:val="bottom"/>
            <w:tcBorders>
              <w:top w:val="single" w:sz="8" w:color="0000FF"/>
            </w:tcBorders>
            <w:gridSpan w:val="5"/>
          </w:tcPr>
          <w:p>
            <w:pPr>
              <w:spacing w:after="0"/>
              <w:rPr>
                <w:sz w:val="17"/>
                <w:szCs w:val="17"/>
                <w:color w:val="auto"/>
              </w:rPr>
            </w:pPr>
          </w:p>
        </w:tc>
        <w:tc>
          <w:tcPr>
            <w:tcW w:w="1520" w:type="dxa"/>
            <w:vAlign w:val="bottom"/>
            <w:gridSpan w:val="6"/>
          </w:tcPr>
          <w:p>
            <w:pPr>
              <w:spacing w:after="0"/>
              <w:rPr>
                <w:sz w:val="17"/>
                <w:szCs w:val="17"/>
                <w:color w:val="auto"/>
              </w:rPr>
            </w:pPr>
          </w:p>
        </w:tc>
      </w:tr>
    </w:tbl>
    <w:p>
      <w:pPr>
        <w:spacing w:after="0" w:line="225" w:lineRule="exact"/>
        <w:rPr>
          <w:sz w:val="20"/>
          <w:szCs w:val="20"/>
          <w:color w:val="auto"/>
        </w:rPr>
      </w:pPr>
    </w:p>
    <w:p>
      <w:pPr>
        <w:ind w:left="1200" w:hanging="1131"/>
        <w:spacing w:after="0" w:line="258" w:lineRule="auto"/>
        <w:tabs>
          <w:tab w:leader="none" w:pos="1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this Annual Report on Form 10-K formatted in XBRL (Extensible Business Reporting Language) are furnished herewith: (i) the Report of Independent Registered Public Accounting Firm, (ii) the consolidated statements of financial position data, (iii) the consolidated statements of comprehensive loss data, (iv) the consolidated statements of changes in shareholders’ equity (capital deficiency), (v) the consolidated statements of cash flows, and (vi) the notes to consolidated financial statements, in each case tagged as blocks of text and in detail.</w:t>
      </w:r>
    </w:p>
    <w:p>
      <w:pPr>
        <w:spacing w:after="0" w:line="183" w:lineRule="exact"/>
        <w:rPr>
          <w:sz w:val="20"/>
          <w:szCs w:val="20"/>
          <w:color w:val="auto"/>
        </w:rPr>
      </w:pPr>
    </w:p>
    <w:p>
      <w:pPr>
        <w:ind w:right="7580" w:firstLine="69"/>
        <w:spacing w:after="0" w:line="448" w:lineRule="auto"/>
        <w:tabs>
          <w:tab w:leader="none" w:pos="119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9030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Portions of this exhibit are subject to a previously filed confidential treatment order pursuant to Rule 406 under the Securities Act.</w:t>
      </w:r>
    </w:p>
    <w:p>
      <w:pPr>
        <w:spacing w:after="0" w:line="9" w:lineRule="exact"/>
        <w:rPr>
          <w:sz w:val="20"/>
          <w:szCs w:val="20"/>
          <w:color w:val="auto"/>
        </w:rPr>
      </w:pPr>
    </w:p>
    <w:p>
      <w:pPr>
        <w:jc w:val="both"/>
        <w:ind w:right="220" w:firstLine="8"/>
        <w:spacing w:after="0" w:line="255" w:lineRule="auto"/>
        <w:tabs>
          <w:tab w:leader="none" w:pos="22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601(b)(10) or Item 601(a)(5) of Regulation S-K because they are not material and they are the type of information that the Registrant treats as private or confidential. The Company agrees to furnish supplementally to the Commission a copy of any omissions upon request.</w:t>
      </w:r>
    </w:p>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08" w:name="page109"/>
    <w:bookmarkEnd w:id="108"/>
    <w:p>
      <w:pPr>
        <w:spacing w:after="0" w:line="207" w:lineRule="exact"/>
        <w:rPr>
          <w:sz w:val="20"/>
          <w:szCs w:val="20"/>
          <w:color w:val="auto"/>
        </w:rPr>
      </w:pPr>
      <w:r>
        <w:rPr>
          <w:rFonts w:ascii="Times New Roman" w:cs="Times New Roman" w:eastAsia="Times New Roman" w:hAnsi="Times New Roman"/>
          <w:sz w:val="18"/>
          <w:szCs w:val="18"/>
          <w:b w:val="1"/>
          <w:bCs w:val="1"/>
          <w:color w:val="auto"/>
        </w:rPr>
        <w:t>Item 16. 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 Summary</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60"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hereunto duly authorized, on March 19, 2026.</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Denise Scots-Knight</w:t>
      </w:r>
    </w:p>
    <w:p>
      <w:pPr>
        <w:spacing w:after="0" w:line="23" w:lineRule="exact"/>
        <w:rPr>
          <w:sz w:val="20"/>
          <w:szCs w:val="20"/>
          <w:color w:val="auto"/>
        </w:rPr>
      </w:pPr>
    </w:p>
    <w:p>
      <w:pPr>
        <w:ind w:left="6520"/>
        <w:spacing w:after="0"/>
        <w:tabs>
          <w:tab w:leader="none" w:pos="71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Denise Scots-Knight and Christine Fox, and each of them, as his or her true and lawful attorney-in-fact and agent, with full power of substitution and resubstitution, for him or her and in his or her name, place and stead, in any and all capacities, to sign any and all amendments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20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March 19, 2026, in the capacities indicated.</w:t>
      </w:r>
    </w:p>
    <w:p>
      <w:pPr>
        <w:sectPr>
          <w:pgSz w:w="11900" w:h="16838" w:orient="portrait"/>
          <w:cols w:equalWidth="0" w:num="1">
            <w:col w:w="11240"/>
          </w:cols>
          <w:pgMar w:left="320" w:top="981" w:right="339" w:bottom="1440" w:gutter="0" w:footer="0" w:header="0"/>
        </w:sectPr>
      </w:pPr>
    </w:p>
    <w:p>
      <w:pPr>
        <w:spacing w:after="0" w:line="18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716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8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Denise Scots-Knight</w:t>
      </w:r>
    </w:p>
    <w:p>
      <w:pPr>
        <w:spacing w:after="0" w:line="9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Christine Fox</w:t>
      </w:r>
    </w:p>
    <w:p>
      <w:pPr>
        <w:spacing w:after="0" w:line="9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Michael Wyzga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Michael Wyzga</w:t>
      </w:r>
    </w:p>
    <w:p>
      <w:pPr>
        <w:spacing w:after="0" w:line="9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Jeremy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Jeremy Bender</w:t>
      </w:r>
    </w:p>
    <w:p>
      <w:pPr>
        <w:spacing w:after="0" w:line="9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Anders Ekblom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Anders Ekblom</w:t>
      </w:r>
    </w:p>
    <w:p>
      <w:pPr>
        <w:spacing w:after="0" w:line="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Pierre Jacquet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Pierre Jacquet</w:t>
      </w:r>
    </w:p>
    <w:p>
      <w:pPr>
        <w:spacing w:after="0" w:line="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Annalisa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Annalisa Jenkins</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 Deepika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716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Deepika Pakianathan</w:t>
      </w:r>
    </w:p>
    <w:p>
      <w:pPr>
        <w:spacing w:after="0" w:line="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Justin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Justin Roberts</w:t>
      </w:r>
    </w:p>
    <w:p>
      <w:pPr>
        <w:spacing w:after="0" w:line="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 Daniel Shames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Daniel Shames</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Marc Yoskowitz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Marc Yoskowitz</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97"/>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3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0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3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and Financial Officer</w:t>
            </w: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2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bl>
    <w:p>
      <w:pPr>
        <w:spacing w:after="0" w:line="393" w:lineRule="exact"/>
        <w:rPr>
          <w:sz w:val="20"/>
          <w:szCs w:val="20"/>
          <w:color w:val="auto"/>
        </w:rPr>
      </w:pPr>
    </w:p>
    <w:p>
      <w:pPr>
        <w:sectPr>
          <w:pgSz w:w="11900" w:h="16838" w:orient="portrait"/>
          <w:cols w:equalWidth="0" w:num="2">
            <w:col w:w="2620" w:space="720"/>
            <w:col w:w="7900"/>
          </w:cols>
          <w:pgMar w:left="320" w:top="981" w:right="339" w:bottom="1440" w:gutter="0" w:footer="0" w:header="0"/>
          <w:type w:val="continuous"/>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700" w:type="dxa"/>
            <w:vAlign w:val="bottom"/>
          </w:tcPr>
          <w:p>
            <w:pPr>
              <w:spacing w:after="0"/>
              <w:rPr>
                <w:sz w:val="20"/>
                <w:szCs w:val="20"/>
                <w:color w:val="auto"/>
              </w:rPr>
            </w:pPr>
          </w:p>
        </w:tc>
      </w:tr>
      <w:tr>
        <w:trPr>
          <w:trHeight w:val="459"/>
        </w:trPr>
        <w:tc>
          <w:tcPr>
            <w:tcW w:w="92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9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876)</w:t>
            </w: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F-2</w:t>
            </w:r>
          </w:p>
        </w:tc>
      </w:tr>
      <w:tr>
        <w:trPr>
          <w:trHeight w:val="412"/>
        </w:trPr>
        <w:tc>
          <w:tcPr>
            <w:tcW w:w="20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24"/>
                <w:szCs w:val="24"/>
                <w:color w:val="auto"/>
              </w:rPr>
            </w:pPr>
          </w:p>
        </w:tc>
        <w:tc>
          <w:tcPr>
            <w:tcW w:w="3300" w:type="dxa"/>
            <w:vAlign w:val="bottom"/>
            <w:tcBorders>
              <w:top w:val="single" w:sz="8" w:color="0000FF"/>
            </w:tcBorders>
            <w:gridSpan w:val="5"/>
          </w:tcPr>
          <w:p>
            <w:pPr>
              <w:spacing w:after="0"/>
              <w:rPr>
                <w:sz w:val="24"/>
                <w:szCs w:val="24"/>
                <w:color w:val="auto"/>
              </w:rPr>
            </w:pPr>
          </w:p>
        </w:tc>
        <w:tc>
          <w:tcPr>
            <w:tcW w:w="3920" w:type="dxa"/>
            <w:vAlign w:val="bottom"/>
          </w:tcPr>
          <w:p>
            <w:pPr>
              <w:spacing w:after="0"/>
              <w:rPr>
                <w:sz w:val="24"/>
                <w:szCs w:val="24"/>
                <w:color w:val="auto"/>
              </w:rPr>
            </w:pP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F-4</w:t>
            </w:r>
          </w:p>
        </w:tc>
      </w:tr>
      <w:tr>
        <w:trPr>
          <w:trHeight w:val="412"/>
        </w:trPr>
        <w:tc>
          <w:tcPr>
            <w:tcW w:w="4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4760" w:type="dxa"/>
            <w:vAlign w:val="bottom"/>
            <w:gridSpan w:val="2"/>
          </w:tcPr>
          <w:p>
            <w:pPr>
              <w:spacing w:after="0"/>
              <w:rPr>
                <w:sz w:val="24"/>
                <w:szCs w:val="24"/>
                <w:color w:val="auto"/>
              </w:rPr>
            </w:pP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F-5</w:t>
            </w:r>
          </w:p>
        </w:tc>
      </w:tr>
      <w:tr>
        <w:trPr>
          <w:trHeight w:val="412"/>
        </w:trPr>
        <w:tc>
          <w:tcPr>
            <w:tcW w:w="9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278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9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F-7</w:t>
            </w:r>
          </w:p>
        </w:tc>
      </w:tr>
      <w:tr>
        <w:trPr>
          <w:trHeight w:val="412"/>
        </w:trPr>
        <w:tc>
          <w:tcPr>
            <w:tcW w:w="32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020" w:type="dxa"/>
            <w:vAlign w:val="bottom"/>
            <w:gridSpan w:val="3"/>
          </w:tcPr>
          <w:p>
            <w:pPr>
              <w:spacing w:after="0"/>
              <w:rPr>
                <w:sz w:val="24"/>
                <w:szCs w:val="24"/>
                <w:color w:val="auto"/>
              </w:rPr>
            </w:pP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2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1" w:right="599" w:bottom="1440" w:gutter="0" w:footer="0" w:header="0"/>
        </w:sectPr>
      </w:pPr>
    </w:p>
    <w:bookmarkStart w:id="111" w:name="page112"/>
    <w:bookmarkEnd w:id="111"/>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Mereo BioPharma Group plc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Mereo BioPharma Group plc and its subsidiaries (the “Company”) as of December 31, 2025 and 2024, and the related consolidated statements of operations and comprehensive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will need additional funding to support its continuing operations and pursue its business strategy. Management’s evaluation of the events and conditions and management's plans to mitigate these matters are also described in Note 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described in Note 15 to the consolidated financial statements, the total charge for share-based compensation was $7.6 million for the year ended December 31, 2025. Employees (including executives) and non-executive directors of the Company receive remuneration in the form of share-based compensation, whereby employees and non-executive directors render services as consideration for equity instruments (equity settled transactions). The total amounts to be expensed are measured based on the grant-date fair value of the awards and recognized over the period during which the employee or non-executive director is required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2" w:name="page113"/>
    <w:bookmarkEnd w:id="112"/>
    <w:p>
      <w:pPr>
        <w:ind w:right="380"/>
        <w:spacing w:after="0" w:line="282" w:lineRule="auto"/>
        <w:rPr>
          <w:sz w:val="20"/>
          <w:szCs w:val="20"/>
          <w:color w:val="auto"/>
        </w:rPr>
      </w:pPr>
      <w:r>
        <w:rPr>
          <w:rFonts w:ascii="Times New Roman" w:cs="Times New Roman" w:eastAsia="Times New Roman" w:hAnsi="Times New Roman"/>
          <w:sz w:val="18"/>
          <w:szCs w:val="18"/>
          <w:color w:val="auto"/>
        </w:rPr>
        <w:t>perform services in exchange for the award. The fair value of option awards are estimated on the date of grant using the Black-Scholes option pricing model which includes assumptions made by management.</w:t>
      </w:r>
    </w:p>
    <w:p>
      <w:pPr>
        <w:spacing w:after="0" w:line="162" w:lineRule="exact"/>
        <w:rPr>
          <w:sz w:val="20"/>
          <w:szCs w:val="20"/>
          <w:color w:val="auto"/>
        </w:rPr>
      </w:pPr>
    </w:p>
    <w:p>
      <w:pPr>
        <w:jc w:val="both"/>
        <w:ind w:right="220" w:firstLine="749"/>
        <w:spacing w:after="0" w:line="312"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share-based compensation charge is a critical audit matter are the high degree of auditor effort in performing procedures and evaluating audit evidence related to the grant-date fair value of option awards.</w:t>
      </w:r>
    </w:p>
    <w:p>
      <w:pPr>
        <w:spacing w:after="0" w:line="14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(ii) evaluating the appropriateness of the model used by management, (iii) testing the completeness and accuracy of underlying data used in the fair value estimate, (iv) evaluating the reasonableness of the significant assumptions used by management in estimating the fair value, (v) performing a recalculation of the grant-date fair value estimate for a sample of option awards, and (vi) testing the expense recognized during the period for a sample of awards.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6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40,992</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69,802</w:t>
            </w:r>
          </w:p>
        </w:tc>
      </w:tr>
      <w:tr>
        <w:trPr>
          <w:trHeight w:val="216"/>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2,175</w:t>
            </w:r>
          </w:p>
        </w:tc>
      </w:tr>
      <w:tr>
        <w:trPr>
          <w:trHeight w:val="216"/>
        </w:trPr>
        <w:tc>
          <w:tcPr>
            <w:tcW w:w="66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30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2,786</w:t>
            </w: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45,020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74,763</w:t>
            </w: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0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45,917</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76,390</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1,333</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4,071</w:t>
            </w:r>
          </w:p>
        </w:tc>
      </w:tr>
      <w:tr>
        <w:trPr>
          <w:trHeight w:val="216"/>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30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5,535</w:t>
            </w:r>
          </w:p>
        </w:tc>
      </w:tr>
      <w:tr>
        <w:trPr>
          <w:trHeight w:val="216"/>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0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66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1,095</w:t>
            </w: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13,848</w:t>
            </w: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30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0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565</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15,421</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2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17)</w:t>
            </w: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432"/>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8"/>
        </w:trPr>
        <w:tc>
          <w:tcPr>
            <w:tcW w:w="66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Ordinary shares, par value £0.003 per share; 795,658,504 shares issued at December</w:t>
            </w:r>
          </w:p>
        </w:tc>
        <w:tc>
          <w:tcPr>
            <w:tcW w:w="3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34"/>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31, 2025 (December 31, 2024: 775,728,034)</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3,135</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3,059</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549,622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539,642</w:t>
            </w: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(501,018)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(462,883)</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(18,849)</w:t>
            </w:r>
          </w:p>
        </w:tc>
      </w:tr>
      <w:tr>
        <w:trPr>
          <w:trHeight w:val="209"/>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0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40,916</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60,969</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45,917</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76,390</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-3968115</wp:posOffset>
            </wp:positionV>
            <wp:extent cx="1460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-3411220</wp:posOffset>
            </wp:positionV>
            <wp:extent cx="1460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-2142490</wp:posOffset>
            </wp:positionV>
            <wp:extent cx="1460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-1584960</wp:posOffset>
            </wp:positionV>
            <wp:extent cx="1460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1460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3"/>
          </w:tcPr>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0"/>
        </w:trPr>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w:t>
            </w: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(26,434)</w:t>
            </w: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(40,107)</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(47,364)</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2,173</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3,041</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1,210</w:t>
            </w: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1,850</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1,649</w:t>
            </w: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(41,878)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(43,253)</w:t>
            </w: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(41,878)</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(43,253)</w:t>
            </w: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7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0"/>
        </w:trPr>
        <w:tc>
          <w:tcPr>
            <w:tcW w:w="6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2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797,119,632</w:t>
            </w:r>
          </w:p>
        </w:tc>
        <w:tc>
          <w:tcPr>
            <w:tcW w:w="20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739,624,264</w:t>
            </w: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6"/>
        </w:trPr>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(41,878)</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(43,253)</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 – Foreign currency translation adjustments, net of tax</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8,026</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(33,852)</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(44,617)</w:t>
            </w: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-1482725</wp:posOffset>
            </wp:positionV>
            <wp:extent cx="1289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-1199515</wp:posOffset>
            </wp:positionV>
            <wp:extent cx="1289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-753745</wp:posOffset>
            </wp:positionV>
            <wp:extent cx="1289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1289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1289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5" w:name="page116"/>
    <w:bookmarkEnd w:id="1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09"/>
        </w:trPr>
        <w:tc>
          <w:tcPr>
            <w:tcW w:w="6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18"/>
                <w:szCs w:val="18"/>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(41,878)</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(43,253)</w:t>
            </w: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7,598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7,390</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interest income</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Foreign currency transaction loss/(gain)</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6,344</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income</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consideration, milestone payment</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1,750</w:t>
            </w: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2,980</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16"/>
        </w:trPr>
        <w:tc>
          <w:tcPr>
            <w:tcW w:w="6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16"/>
        </w:trPr>
        <w:tc>
          <w:tcPr>
            <w:tcW w:w="65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3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(30,971)</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(32,834)</w:t>
            </w:r>
          </w:p>
        </w:tc>
      </w:tr>
      <w:tr>
        <w:trPr>
          <w:trHeight w:val="194"/>
        </w:trPr>
        <w:tc>
          <w:tcPr>
            <w:tcW w:w="6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out-licensing</w:t>
            </w:r>
          </w:p>
        </w:tc>
        <w:tc>
          <w:tcPr>
            <w:tcW w:w="1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47,000</w:t>
            </w: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 on issuance of ordinary shares</w:t>
            </w:r>
          </w:p>
        </w:tc>
        <w:tc>
          <w:tcPr>
            <w:tcW w:w="1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3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327</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46,147</w:t>
            </w:r>
          </w:p>
        </w:tc>
      </w:tr>
      <w:tr>
        <w:trPr>
          <w:trHeight w:val="194"/>
        </w:trPr>
        <w:tc>
          <w:tcPr>
            <w:tcW w:w="6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(Decrease)/increase in cash and cash equivalents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(30,664)</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12,614</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69,802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57,421</w:t>
            </w: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1,854</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December 31,</w:t>
            </w:r>
          </w:p>
        </w:tc>
        <w:tc>
          <w:tcPr>
            <w:tcW w:w="21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40,992</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69,802</w:t>
            </w: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-2951480</wp:posOffset>
            </wp:positionV>
            <wp:extent cx="111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-1288415</wp:posOffset>
            </wp:positionV>
            <wp:extent cx="111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-593725</wp:posOffset>
            </wp:positionV>
            <wp:extent cx="111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6" w:name="page117"/>
    <w:bookmarkEnd w:id="1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1580" w:type="dxa"/>
            <w:vAlign w:val="bottom"/>
            <w:gridSpan w:val="4"/>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tcPr>
          <w:p>
            <w:pPr>
              <w:spacing w:after="0"/>
              <w:rPr>
                <w:sz w:val="12"/>
                <w:szCs w:val="12"/>
                <w:color w:val="auto"/>
              </w:rPr>
            </w:pPr>
          </w:p>
        </w:tc>
        <w:tc>
          <w:tcPr>
            <w:tcW w:w="1460" w:type="dxa"/>
            <w:vAlign w:val="bottom"/>
            <w:gridSpan w:val="4"/>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00" w:type="dxa"/>
            <w:vAlign w:val="bottom"/>
          </w:tcPr>
          <w:p>
            <w:pPr>
              <w:spacing w:after="0"/>
              <w:rPr>
                <w:sz w:val="12"/>
                <w:szCs w:val="12"/>
                <w:color w:val="auto"/>
              </w:rPr>
            </w:pPr>
          </w:p>
        </w:tc>
        <w:tc>
          <w:tcPr>
            <w:tcW w:w="158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77"/>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77"/>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ind w:right="13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177"/>
              <w:spacing w:after="0" w:line="109" w:lineRule="exact"/>
              <w:rPr>
                <w:sz w:val="20"/>
                <w:szCs w:val="20"/>
                <w:color w:val="auto"/>
              </w:rPr>
            </w:pPr>
            <w:r>
              <w:rPr>
                <w:rFonts w:ascii="Times New Roman" w:cs="Times New Roman" w:eastAsia="Times New Roman" w:hAnsi="Times New Roman"/>
                <w:sz w:val="12"/>
                <w:szCs w:val="12"/>
                <w:b w:val="1"/>
                <w:bCs w:val="1"/>
                <w:color w:val="auto"/>
                <w:w w:val="96"/>
              </w:rPr>
              <w:t>Par</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197"/>
              <w:spacing w:after="0" w:line="109" w:lineRule="exact"/>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217"/>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center"/>
              <w:ind w:right="177"/>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940" w:type="dxa"/>
            <w:vAlign w:val="bottom"/>
            <w:gridSpan w:val="2"/>
          </w:tcPr>
          <w:p>
            <w:pPr>
              <w:jc w:val="right"/>
              <w:ind w:right="137"/>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jc w:val="center"/>
              <w:ind w:right="157"/>
              <w:spacing w:after="0" w:line="109"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55"/>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9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52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28"/>
        </w:trPr>
        <w:tc>
          <w:tcPr>
            <w:tcW w:w="3500" w:type="dxa"/>
            <w:vAlign w:val="bottom"/>
            <w:vMerge w:val="continue"/>
          </w:tcPr>
          <w:p>
            <w:pPr>
              <w:spacing w:after="0"/>
              <w:rPr>
                <w:sz w:val="11"/>
                <w:szCs w:val="11"/>
                <w:color w:val="auto"/>
              </w:rPr>
            </w:pPr>
          </w:p>
        </w:tc>
        <w:tc>
          <w:tcPr>
            <w:tcW w:w="9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701,217,089</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2,775</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923,400</w:t>
            </w: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(1,230)</w:t>
            </w: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486,107</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(17,485)</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(419,630)</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50,537</w:t>
            </w:r>
          </w:p>
        </w:tc>
        <w:tc>
          <w:tcPr>
            <w:tcW w:w="0" w:type="dxa"/>
            <w:vAlign w:val="bottom"/>
          </w:tcPr>
          <w:p>
            <w:pPr>
              <w:spacing w:after="0"/>
              <w:rPr>
                <w:sz w:val="1"/>
                <w:szCs w:val="1"/>
                <w:color w:val="auto"/>
              </w:rPr>
            </w:pPr>
          </w:p>
        </w:tc>
      </w:tr>
      <w:tr>
        <w:trPr>
          <w:trHeight w:val="129"/>
        </w:trPr>
        <w:tc>
          <w:tcPr>
            <w:tcW w:w="350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(43,253)</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(43,253)</w:t>
            </w:r>
          </w:p>
        </w:tc>
        <w:tc>
          <w:tcPr>
            <w:tcW w:w="0" w:type="dxa"/>
            <w:vAlign w:val="bottom"/>
          </w:tcPr>
          <w:p>
            <w:pPr>
              <w:spacing w:after="0"/>
              <w:rPr>
                <w:sz w:val="1"/>
                <w:szCs w:val="1"/>
                <w:color w:val="auto"/>
              </w:rPr>
            </w:pPr>
          </w:p>
        </w:tc>
      </w:tr>
      <w:tr>
        <w:trPr>
          <w:trHeight w:val="135"/>
        </w:trPr>
        <w:tc>
          <w:tcPr>
            <w:tcW w:w="35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(1,364)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(1,364)</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7,390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7,390</w:t>
            </w:r>
          </w:p>
        </w:tc>
        <w:tc>
          <w:tcPr>
            <w:tcW w:w="0" w:type="dxa"/>
            <w:vAlign w:val="bottom"/>
          </w:tcPr>
          <w:p>
            <w:pPr>
              <w:spacing w:after="0"/>
              <w:rPr>
                <w:sz w:val="1"/>
                <w:szCs w:val="1"/>
                <w:color w:val="auto"/>
              </w:rPr>
            </w:pPr>
          </w:p>
        </w:tc>
      </w:tr>
      <w:tr>
        <w:trPr>
          <w:trHeight w:val="135"/>
        </w:trPr>
        <w:tc>
          <w:tcPr>
            <w:tcW w:w="35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Exercise of share options</w:t>
            </w: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2,685,420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(210,485)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Delivery of shares on vesting of restricted stock units</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433,880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(712,915)</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(953)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17"/>
        </w:trPr>
        <w:tc>
          <w:tcPr>
            <w:tcW w:w="35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Delivery of shares on vesting of performance based restricted</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 units</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6,690,755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shares, net of discount</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64,700,890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246</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48,503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48,749</w:t>
            </w:r>
          </w:p>
        </w:tc>
        <w:tc>
          <w:tcPr>
            <w:tcW w:w="0" w:type="dxa"/>
            <w:vAlign w:val="bottom"/>
          </w:tcPr>
          <w:p>
            <w:pPr>
              <w:spacing w:after="0"/>
              <w:rPr>
                <w:sz w:val="1"/>
                <w:szCs w:val="1"/>
                <w:color w:val="auto"/>
              </w:rPr>
            </w:pPr>
          </w:p>
        </w:tc>
      </w:tr>
      <w:tr>
        <w:trPr>
          <w:trHeight w:val="135"/>
        </w:trPr>
        <w:tc>
          <w:tcPr>
            <w:tcW w:w="35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Transaction costs on issuance of shares</w:t>
            </w:r>
          </w:p>
        </w:tc>
        <w:tc>
          <w:tcPr>
            <w:tcW w:w="9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(1,039)</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(1,039)</w:t>
            </w:r>
          </w:p>
        </w:tc>
        <w:tc>
          <w:tcPr>
            <w:tcW w:w="0" w:type="dxa"/>
            <w:vAlign w:val="bottom"/>
          </w:tcPr>
          <w:p>
            <w:pPr>
              <w:spacing w:after="0"/>
              <w:rPr>
                <w:sz w:val="1"/>
                <w:szCs w:val="1"/>
                <w:color w:val="auto"/>
              </w:rPr>
            </w:pPr>
          </w:p>
        </w:tc>
      </w:tr>
      <w:tr>
        <w:trPr>
          <w:trHeight w:val="129"/>
        </w:trPr>
        <w:tc>
          <w:tcPr>
            <w:tcW w:w="350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9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775,728,034</w:t>
            </w: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3,059</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539,642</w:t>
            </w: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(18,849)</w:t>
            </w:r>
          </w:p>
        </w:tc>
        <w:tc>
          <w:tcPr>
            <w:tcW w:w="260" w:type="dxa"/>
            <w:vAlign w:val="bottom"/>
            <w:gridSpan w:val="2"/>
            <w:shd w:val="clear" w:color="auto" w:fill="CFF0FC"/>
          </w:tcPr>
          <w:p>
            <w:pPr>
              <w:jc w:val="right"/>
              <w:ind w:right="46"/>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(462,883)</w:t>
            </w:r>
          </w:p>
        </w:tc>
        <w:tc>
          <w:tcPr>
            <w:tcW w:w="1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60,969</w:t>
            </w:r>
          </w:p>
        </w:tc>
        <w:tc>
          <w:tcPr>
            <w:tcW w:w="0" w:type="dxa"/>
            <w:vAlign w:val="bottom"/>
          </w:tcPr>
          <w:p>
            <w:pPr>
              <w:spacing w:after="0"/>
              <w:rPr>
                <w:sz w:val="1"/>
                <w:szCs w:val="1"/>
                <w:color w:val="auto"/>
              </w:rPr>
            </w:pPr>
          </w:p>
        </w:tc>
      </w:tr>
      <w:tr>
        <w:trPr>
          <w:trHeight w:val="128"/>
        </w:trPr>
        <w:tc>
          <w:tcPr>
            <w:tcW w:w="3500" w:type="dxa"/>
            <w:vAlign w:val="bottom"/>
            <w:tcBorders>
              <w:top w:val="single" w:sz="8" w:color="CFF0FC"/>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(41,878)</w:t>
            </w:r>
          </w:p>
        </w:tc>
        <w:tc>
          <w:tcPr>
            <w:tcW w:w="10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(41,878)</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8,026</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8,026</w:t>
            </w:r>
          </w:p>
        </w:tc>
        <w:tc>
          <w:tcPr>
            <w:tcW w:w="0" w:type="dxa"/>
            <w:vAlign w:val="bottom"/>
          </w:tcPr>
          <w:p>
            <w:pPr>
              <w:spacing w:after="0"/>
              <w:rPr>
                <w:sz w:val="1"/>
                <w:szCs w:val="1"/>
                <w:color w:val="auto"/>
              </w:rPr>
            </w:pPr>
          </w:p>
        </w:tc>
      </w:tr>
      <w:tr>
        <w:trPr>
          <w:trHeight w:val="135"/>
        </w:trPr>
        <w:tc>
          <w:tcPr>
            <w:tcW w:w="35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7,598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7,598</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Exercise of share options</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174,100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35"/>
        </w:trPr>
        <w:tc>
          <w:tcPr>
            <w:tcW w:w="35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Delivery of shares on vesting of restricted stock units</w:t>
            </w: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1,201,310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Transaction costs on issuance of shares</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35"/>
        </w:trPr>
        <w:tc>
          <w:tcPr>
            <w:tcW w:w="35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Conversion of convertible loan notes</w:t>
            </w: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17,105,450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5,676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5,740</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Exercise of warrants</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1,449,610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487</w:t>
            </w:r>
          </w:p>
        </w:tc>
        <w:tc>
          <w:tcPr>
            <w:tcW w:w="0" w:type="dxa"/>
            <w:vAlign w:val="bottom"/>
          </w:tcPr>
          <w:p>
            <w:pPr>
              <w:spacing w:after="0"/>
              <w:rPr>
                <w:sz w:val="1"/>
                <w:szCs w:val="1"/>
                <w:color w:val="auto"/>
              </w:rPr>
            </w:pPr>
          </w:p>
        </w:tc>
      </w:tr>
      <w:tr>
        <w:trPr>
          <w:trHeight w:val="135"/>
        </w:trPr>
        <w:tc>
          <w:tcPr>
            <w:tcW w:w="35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Transfer between reserves</w:t>
            </w:r>
          </w:p>
        </w:tc>
        <w:tc>
          <w:tcPr>
            <w:tcW w:w="9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(3,743)</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3,743</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500" w:type="dxa"/>
            <w:vAlign w:val="bottom"/>
            <w:tcBorders>
              <w:bottom w:val="single" w:sz="8" w:color="CFF0FC"/>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94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b w:val="1"/>
                <w:bCs w:val="1"/>
                <w:color w:val="auto"/>
              </w:rPr>
              <w:t>795,658,504</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b w:val="1"/>
                <w:bCs w:val="1"/>
                <w:color w:val="auto"/>
              </w:rPr>
              <w:t>3,135</w:t>
            </w: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FF0FC"/>
          </w:tcPr>
          <w:p>
            <w:pPr>
              <w:jc w:val="right"/>
              <w:ind w:right="77"/>
              <w:spacing w:after="0" w:line="115" w:lineRule="exact"/>
              <w:rPr>
                <w:sz w:val="20"/>
                <w:szCs w:val="20"/>
                <w:color w:val="auto"/>
              </w:rPr>
            </w:pPr>
            <w:r>
              <w:rPr>
                <w:rFonts w:ascii="Times New Roman" w:cs="Times New Roman" w:eastAsia="Times New Roman" w:hAnsi="Times New Roman"/>
                <w:sz w:val="13"/>
                <w:szCs w:val="13"/>
                <w:b w:val="1"/>
                <w:bCs w:val="1"/>
                <w:color w:val="auto"/>
              </w:rPr>
              <w:t>549,622</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(10,823)</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(501,018)</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bottom w:val="single" w:sz="8" w:color="auto"/>
            </w:tcBorders>
            <w:shd w:val="clear" w:color="auto" w:fill="CFF0FC"/>
          </w:tcPr>
          <w:p>
            <w:pPr>
              <w:jc w:val="right"/>
              <w:ind w:right="77"/>
              <w:spacing w:after="0" w:line="115" w:lineRule="exact"/>
              <w:rPr>
                <w:sz w:val="20"/>
                <w:szCs w:val="20"/>
                <w:color w:val="auto"/>
              </w:rPr>
            </w:pPr>
            <w:r>
              <w:rPr>
                <w:rFonts w:ascii="Times New Roman" w:cs="Times New Roman" w:eastAsia="Times New Roman" w:hAnsi="Times New Roman"/>
                <w:sz w:val="13"/>
                <w:szCs w:val="13"/>
                <w:b w:val="1"/>
                <w:bCs w:val="1"/>
                <w:color w:val="auto"/>
              </w:rPr>
              <w:t>40,916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-899160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-899160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-899160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-899160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-899160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-899160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-899160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Mereo BioPharma Group plc (the “Company” or “Mereo”) is a United Kingdom (“U.K.”) based biopharmaceutical company focused on the development of innovative therapeutics for rare diseases. The Company has developed a portfolio of late-stage clinical product candidates, and its two late-stage rare disease product candidates are setrusumab for the treatment of osteogenesis imperfecta and alvelestat primarily for the treatment of severe alpha-1 antitrypsin deficiency-associated lung disease. The Company also has an early-stage rare disease program, vantictumab, for the treatment of autosomal dominant osteopetrosis Type 2.</w:t>
      </w:r>
    </w:p>
    <w:p>
      <w:pPr>
        <w:spacing w:after="0" w:line="18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is a public limited company incorporated and domiciled in the U.K., and registered in England, with shares publicly traded on the Nasdaq Capital Market via ADSs under the ticker symbol “MREO”. The Company’s registered office is located at 4th Floor, One Cavendish Place, London, W1G 0QF,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800" w:firstLine="74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U.S. GAAP and pursuant to the rules and regulations of the SEC for annual financial reporting.</w:t>
      </w:r>
    </w:p>
    <w:p>
      <w:pPr>
        <w:spacing w:after="0" w:line="162" w:lineRule="exact"/>
        <w:rPr>
          <w:sz w:val="20"/>
          <w:szCs w:val="20"/>
          <w:color w:val="auto"/>
        </w:rPr>
      </w:pPr>
    </w:p>
    <w:p>
      <w:pPr>
        <w:jc w:val="both"/>
        <w:ind w:right="520" w:firstLine="74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presented in U.S. dollars (“$”), which is the reporting currency of the Company. The functional currency of the Company is pound sterling (“£”). The functional currency of consolidated subsidiaries are mainly pound sterling and U.S. dollar. All amounts disclosed in the consolidated financial statements and notes have been rounded to the nearest thousand, unless otherwise stated.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prepared its financial statements on the basis that it will continue as a going concern. 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19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Company has historically been loss making, anticipates that it will continue to incur losses for the foreseeable future, and had an accumulated deficit of $501.0 million as of December 31, 2025. The Company has funded these losses through a combination of public equity financings, private equity and debt financings and various license and collaboration agreements, and it expects it will continue to do so until such time as it can generate significant revenue from product sales, or other commercial revenues, if ever, or through licensing and/or collaboration agreements for its rare disease or other product candidates. Although management continues to pursue these plans, there is no assurance that the Company will be successful in obtaining sufficient funding on terms acceptable to the Company to fund continuing operations, if at all.</w:t>
      </w:r>
    </w:p>
    <w:p>
      <w:pPr>
        <w:spacing w:after="0" w:line="18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$41.0 million. The Company expects that its cash and cash equivalents as of December 31, 2025 will be sufficient to fund its operations and capital expenditure requirements for at least twelve months from the date of filing of this Annual Report on Form 10-K. In the longer term, the Company will need additional funding to support its continuing operations and pursue its business strategy.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consolidated financial information comprises the financial statements of Mereo BioPharma Group plc and its wholly owned subsidiaries. All intercompany balances and transactions between the Company and its subsidiaries have been eliminated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There are no estimates and assumptions made in the consolidated financial statements that are considered to be critical. Estimates are periodically reviewed in light of changes in circumstances, facts and experience. Changes in estimates are recorded in the period in which they become known.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Segmental information</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 the Company’s operations and manage its business as a single operating segment, which is the business of developing rare disease therapies; however, the Company operates in two geographic regions: the U.K. and the U.S. The Company’s long-lived assets are primarily located in the U.K. As of both December 31, 2025 and 2024, no property and equipment was located in the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counterparties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Company is dependent on a number of third parties for the delivery of its programs and, where required, pays upfront deposits and fees in advance of the delivery of services. The Company considers all of its material counterparties to be creditworthy and the credit risk for each of its major counterparties to be low, but continues to assess credit risk as part of its management of these third-party relationships. Financial instruments that subject the Company to credit risk consist primarily of cash and cash equivalents. The Company places cash and cash equivalents with established financial institutions with strong credit ratings. The Company’s maximum exposure to credit risk for the components of the balance sheet of December 31, 2025 are the carrying amounts. The Company has no significant off-balance sheet risk or concentration of credit risk, such as foreign exchange contracts, options contracts, or other foreign hedging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Company’s ongoing major or central operations are the development of product candidates to key clinical milestones and either strategically partnering them or further developing such product candidates through potential regulatory approval and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w:t>
      </w:r>
    </w:p>
    <w:p>
      <w:pPr>
        <w:spacing w:after="0" w:line="19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terms of these arrangements typically include payment to the Company of one or more of the following: nonrefundable, upfront license fees; payments for research and development services; fees upon the exercise of options to obtain additional services or licenses; payments based upon the achievement of defined collaboration objectives; future regulatory and sales-based milestone payments; and royalties on net sales of future products.</w:t>
      </w:r>
    </w:p>
    <w:p>
      <w:pPr>
        <w:spacing w:after="0" w:line="176" w:lineRule="exact"/>
        <w:rPr>
          <w:sz w:val="20"/>
          <w:szCs w:val="20"/>
          <w:color w:val="auto"/>
        </w:rPr>
      </w:pPr>
    </w:p>
    <w:p>
      <w:pPr>
        <w:ind w:right="60" w:firstLine="749"/>
        <w:spacing w:after="0" w:line="289" w:lineRule="auto"/>
        <w:rPr>
          <w:sz w:val="20"/>
          <w:szCs w:val="20"/>
          <w:color w:val="auto"/>
        </w:rPr>
      </w:pPr>
      <w:r>
        <w:rPr>
          <w:rFonts w:ascii="Times New Roman" w:cs="Times New Roman" w:eastAsia="Times New Roman" w:hAnsi="Times New Roman"/>
          <w:sz w:val="17"/>
          <w:szCs w:val="17"/>
          <w:color w:val="auto"/>
        </w:rPr>
        <w:t>Where the Company has performed significant development activities for its product candidates, including the leflutrozole partnership described in Note 13, receipts from agreements with third parties are considered to be proceeds derived from customers of the Company’s ongoing major or central operations and therefore the Company recognizes revenue in accordance with ASC Topic 606, Revenue from Contracts with Customers (“ASC 606”).</w:t>
      </w:r>
    </w:p>
    <w:p>
      <w:pPr>
        <w:spacing w:after="0" w:line="158" w:lineRule="exact"/>
        <w:rPr>
          <w:sz w:val="20"/>
          <w:szCs w:val="20"/>
          <w:color w:val="auto"/>
        </w:rPr>
      </w:pPr>
    </w:p>
    <w:p>
      <w:pPr>
        <w:ind w:right="260" w:firstLine="794"/>
        <w:spacing w:after="0" w:line="282"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19" w:name="page120"/>
    <w:bookmarkEnd w:id="119"/>
    <w:p>
      <w:pPr>
        <w:ind w:firstLine="749"/>
        <w:spacing w:after="0" w:line="255"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it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entity will collect substantially all of the consideration it is entitled to in exchange for the goods or services it transfers to the customer.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8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Once a contract is determined to be within the scope of ASC 606, the Company assesses the goods or services promised within the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pacing w:after="0" w:line="180"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Performance obligations are promised goods or services in a contract to transfer a distinct good or service to the customer. The promised goods or services in the Company’s contracts with customers primarily consist of license rights to the Company’s intellectual property, research and development services and options to obtain additional licenses, such as a commercialization license for a potential product candidate.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collaboration partner to develop the intellectual property on their own and whether the required expertise is readily available. In addition, the Company considers whether the customer can benefit from a promise for its intended purpose without the receipt of the remaining promises, whether the value of the promise is dependent on the unsatisfied promises, whether there are other vendors that could provide the remaining promises, and whether it is separately identifiable from the remaining promises.</w:t>
      </w:r>
    </w:p>
    <w:p>
      <w:pPr>
        <w:spacing w:after="0" w:line="194" w:lineRule="exact"/>
        <w:rPr>
          <w:sz w:val="20"/>
          <w:szCs w:val="20"/>
          <w:color w:val="auto"/>
        </w:rPr>
      </w:pPr>
    </w:p>
    <w:p>
      <w:pPr>
        <w:jc w:val="both"/>
        <w:ind w:right="40" w:firstLine="749"/>
        <w:spacing w:after="0" w:line="257"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of consideration the Company expects to receive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utilizes either the most likely amount method or expected value method to estimate variable consideration to include in the transaction price based on which method better predicts the amount of consideration expected to be received.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The initial transaction price of a contract does not include amounts associated with customer option payments.</w:t>
      </w:r>
    </w:p>
    <w:p>
      <w:pPr>
        <w:spacing w:after="0" w:line="190"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After the transaction price is determined, it is allocated to the identified performance obligations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probabilities of technical and regulatory success and the estimated costs. Based on the current agreements in effect, there is limited judgment in determining the revenue and transaction price.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the Company would expect to receive for each performance obligation.</w:t>
      </w:r>
    </w:p>
    <w:p>
      <w:pPr>
        <w:spacing w:after="0" w:line="189" w:lineRule="exact"/>
        <w:rPr>
          <w:sz w:val="20"/>
          <w:szCs w:val="20"/>
          <w:color w:val="auto"/>
        </w:rPr>
      </w:pPr>
    </w:p>
    <w:p>
      <w:pPr>
        <w:jc w:val="both"/>
        <w:ind w:right="120" w:firstLine="749"/>
        <w:spacing w:after="0" w:line="289" w:lineRule="auto"/>
        <w:rPr>
          <w:sz w:val="20"/>
          <w:szCs w:val="20"/>
          <w:color w:val="auto"/>
        </w:rPr>
      </w:pPr>
      <w:r>
        <w:rPr>
          <w:rFonts w:ascii="Times New Roman" w:cs="Times New Roman" w:eastAsia="Times New Roman" w:hAnsi="Times New Roman"/>
          <w:sz w:val="17"/>
          <w:szCs w:val="17"/>
          <w:color w:val="auto"/>
        </w:rPr>
        <w:t>The Company then recognizes as revenue the amount of the transaction price that is allocated to the respective performance obligation when (or as) each performance obligation is satisfied at a point in time or over time, and if over time, the facts and circumstances of each respective contract will be used to determine the revenue recognition pattern. The Company currently does not have any revenue that is being recognized over a period of time.</w:t>
      </w:r>
    </w:p>
    <w:p>
      <w:pPr>
        <w:spacing w:after="0" w:line="158"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Payments to third parties arising as a direct consequence of the revenue recognized are also recorded within cost of revenue in the Company’s consolidated statements of operations and comprehensive loss.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Company has no approved product candidates and accordingly has not generated any revenue from commercial product sales. Revenue to date has been generated principally from licensing arrangements and collaboration agreements with a small number of the Company's customers.</w:t>
      </w:r>
    </w:p>
    <w:p>
      <w:pPr>
        <w:spacing w:after="0" w:line="16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revenues from non-refundable, upfront fees allocated to the license at such time as the license is transferred to the licensee and the licensee is able to use, and benefit from, the license.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milestone payments</w:t>
      </w:r>
    </w:p>
    <w:p>
      <w:pPr>
        <w:spacing w:after="0" w:line="227"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 Company's licensing arrangements and collaboration agreements may include development, regulatory and sales milestones. ASC 606 constrains the amount of variable consideration included in the transaction price in that either all, or a portion, of variable consideration should be included in the transaction price. The variable consideration should be included only to the extent that it is probable that a significant reversal in the amount of cumulative revenue recognized will not occur when the uncertainty associated with the variable consideration is subsequently resolved. The Company evaluates the probability of the milestones being reached and estimates the amount to be included in the transaction price using the most likely amount method. The Company evaluates factors such as the scientific, clinical, regulatory, commercial, and other risks that must be overcome to achieve the particular milestone in making this assessment. If it is probable that a significant revenue reversal would not occur, the associated milestone value is included in the transaction price. Milestone payments that are not within the Company's control, such as regulatory approvals, are not considered probable of being achieved until those approvals are received. At the end of each reporting period, the Company re-evaluates the probability of achievement of such milestones and any related constraints and, if necessary, adjusts the estimate of the overall transaction price. Any such adjustments are recorded on a cumulative catch-up basis, which would affect revenue and net loss in the period of adjustment.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R&amp;D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expenses</w:t>
      </w:r>
    </w:p>
    <w:p>
      <w:pPr>
        <w:spacing w:after="0" w:line="229" w:lineRule="exact"/>
        <w:rPr>
          <w:sz w:val="20"/>
          <w:szCs w:val="20"/>
          <w:color w:val="auto"/>
        </w:rPr>
      </w:pPr>
    </w:p>
    <w:p>
      <w:pPr>
        <w:jc w:val="both"/>
        <w:ind w:right="140" w:firstLine="749"/>
        <w:spacing w:after="0" w:line="255" w:lineRule="auto"/>
        <w:rPr>
          <w:sz w:val="20"/>
          <w:szCs w:val="20"/>
          <w:color w:val="auto"/>
        </w:rPr>
      </w:pPr>
      <w:r>
        <w:rPr>
          <w:rFonts w:ascii="Times New Roman" w:cs="Times New Roman" w:eastAsia="Times New Roman" w:hAnsi="Times New Roman"/>
          <w:sz w:val="18"/>
          <w:szCs w:val="18"/>
          <w:color w:val="auto"/>
        </w:rPr>
        <w:t>R&amp;D costs are expensed as incurred on an accruals basis in accordance with ASC Topic 730, Research and Development (“ASC 730”) because they have no alternative future uses. These expenses are comprised of the costs of the Company’s proprietary research and development efforts, including preclinical studies, clinical trials, manufacturing costs, employee salaries and benefits and share-based compensation expense, contract services including external R&amp;D expenses incurred under arrangements with third parties such as CROs, facilities costs, overhead costs and other related expenses.</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Intellectual property costs incurred on each drug candidate and costs associated with pre-commercial activities to support pricing and reimbursement by health technology assessment authorities and payor decision-makers in Europe are excluded from R&amp;D expenses and are recognized within general and administrative expenses. R&amp;D costs that are paid in advance of performance are recorded as a prepaid expense and expensed over the service period as the services are provided. Accruals and prepayments for R&amp;D expenses typically include fees and costs to be paid to CROs in relation to clinical trials and CMOs in relation to the manufacture of drug substance and drug product. These accruals and prepayments are calculated each period based on regular review and challenge by the relevant program manager of the detailed activity analysis provided directly by CROs and CMOs to determine their completeness and accuracy.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postretirement plan</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Group operates a defined contribution postretirement plan in the U.K. The Group’s contributions to the defined contribution postretirement plan are charged to profit or loss as they are incurred. Defined contribution plan expenses were $0.3 million and $0.3 million for the year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Income Taxes (“ASC 740”), using the asset and liability method, which requires the recognition of deferred tax assets and liabilities for the expected future tax consequences of events that have been recognized in the consolidated financial statements or in its tax returns. Deferred tax assets and liabilities are determined based on the difference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deferred tax assets will be recovered in the future to the extent management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21" w:name="page122"/>
    <w:bookmarkEnd w:id="121"/>
    <w:p>
      <w:pPr>
        <w:ind w:right="340"/>
        <w:spacing w:after="0" w:line="282" w:lineRule="auto"/>
        <w:rPr>
          <w:sz w:val="20"/>
          <w:szCs w:val="20"/>
          <w:color w:val="auto"/>
        </w:rPr>
      </w:pPr>
      <w:r>
        <w:rPr>
          <w:rFonts w:ascii="Times New Roman" w:cs="Times New Roman" w:eastAsia="Times New Roman" w:hAnsi="Times New Roman"/>
          <w:sz w:val="18"/>
          <w:szCs w:val="18"/>
          <w:color w:val="auto"/>
        </w:rPr>
        <w:t>strategies. All deferred tax liabilities and assets, as well as any related valuation allowance, are offset and presented as a single noncurrent amount for a particular tax-paying component of the Company and within a particular tax jurisdiction.</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by applying a two-step process to determine the amount of tax benefit to be recognized. First, the tax position is evaluated to determine the likelihood that it will be sustained upon external examination by the taxing authorities. If the tax position is deemed more-likely-than-not to be sustained, the tax position is then assessed as the amount of benefit to recognize in the consolidated financial statements. The amount of benefits that may be used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87"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within interest expense in the accompanying consolidated statements of operations and comprehensive loss. As of December 31, 2025 and 2024, no material accrued interest is included in the related tax liability line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R&amp;D tax credit</w:t>
      </w:r>
    </w:p>
    <w:p>
      <w:pPr>
        <w:spacing w:after="0" w:line="229"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Company is subject to corporate taxation in the U.K. Due to the nature of the business, the Company has generated operating losses since inception. The benefit from R&amp;D tax credits is recognized in the consolidated statements of operations and comprehensive loss, and represents R&amp;D tax credits recoverable in the U.K. and recognized under the following schemes: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w:t>
      </w:r>
    </w:p>
    <w:p>
      <w:pPr>
        <w:spacing w:after="0" w:line="2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changes made by the Finance Act 2024, for accounting periods starting on or after April 1, 2024, a new, merged regime (the "Merged Scheme") came into effect for all companies, other than loss making R&amp;D intensive small and medium sized enterprises ("SMEs").</w:t>
      </w:r>
    </w:p>
    <w:p>
      <w:pPr>
        <w:spacing w:after="0" w:line="162"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Under the Merged Scheme, a headline credit rate of 20% on eligible R&amp;D expenditure is available, and the credit is taxable at the applicable corporation tax rate. The amount of payable R&amp;D tax credit that a business can receive in any one year is capped at £20,000 plus three times the Company’s total Pay As You Earn and National Insurance Contributions liability. Subcontracted expenditure in most cases is expected to be a qualifying cost (unless it relates to non-qualifying costs subcontracted overseas).</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U.K. R&amp;D tax credit may either be offset against corporation tax liabilities, or paid net of tax as a cash credit where there is no liability in the future. As a result, the Company has recorded the entire benefit from the U.K. R&amp;D tax credit as a benefit which is included in net loss before income tax and therefore it is not reflected as part of the income tax provision. If, in the future, any U.K. R&amp;D tax credits generated are needed to offset a corporate income tax liability in the U.K., the relevant portion would be recorded as a benefit within the income tax provision and any refundable portion not dependent on taxable income would continue to be recorded within the benefit from research and development tax credit in the consolidated statements of operations and comprehensive loss.</w:t>
      </w:r>
    </w:p>
    <w:p>
      <w:pPr>
        <w:spacing w:after="0" w:line="18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For loss making R&amp;D intensive SMEs, the enhanced R&amp;D intensive support regime will be available (for companies where at least 30% of their total expenditure including any connected companies is on qualifying R&amp;D). The Company did not qualify as an R&amp;D intensive company for 2025, nor does it expect to in the future, and therefore expects to claim under the merged regime from 2025 onward.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22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historically benefited from the U.K. small and medium sized enterprises research and development relief, which provided relief against U.K. corporation tax and enabled it to surrender some of its trading losses that arise from its R&amp;D activities for a cash credit. Pursuant to changes made by the Finance Act 2023, for expenditure incurred on or after April 1, 2023, a cash credit of up to 27% for R&amp;D intensive companies where at least 40% of their total expenditure is on qualifying R&amp;D, or for non-R&amp;D intensive companies, a cash credit of up to 18.6% of eligible R&amp;D expenditure is available. From April 1, 2023, certain subcontracted qualifying research expenditures were eligible for a cash credit of up to 17.53% for R&amp;D intensive companies or 12.09% for other companies. The difference in cash credit for qualifying subcontracted expenditure vs. other qualifying expenditure is due to a statutory restriction of 65% being applied to unconnected qualifying subcontracted expenditure, thus restricting the benefit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i w:val="1"/>
          <w:iCs w:val="1"/>
          <w:color w:val="auto"/>
        </w:rPr>
        <w:t>U.K. "patent box" regime</w:t>
      </w:r>
    </w:p>
    <w:p>
      <w:pPr>
        <w:spacing w:after="0" w:line="22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the event the Company generates revenues in the future, it may also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the Company expects a long-term lower rate of corporation tax will apply. If, however, there are unexpected adverse changes to the U.K. R&amp;D tax credit regime or the “patent box” regime, or for any reason it is unable to qualify for these regimes, or it is unable to use net operating loss and tax credit carryforwards and certain built-in losses to reduce future tax payments, the Company's business, results of operations, and financial condition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maintains its consolidated financial statements in its functional currency, which is pound sterling. This is also the functional currency of the wholly-owned subsidiaries which are consolidated, with the exceptions of Mereo BioPharma 5 Inc, and Mereo BioPharma Europe B.V., for which the functional currency is U.S. dollars and Euro, respectively.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consolidated statements of operations and comprehensive loss.</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For financial reporting purposes, the consolidated financial statements of the Company have been presented in U.S. dollars, the reporting currency. The financial statements of consolidated entities are translated from their functional currency into U.S. dollars as follows: assets and liabilities are translated at the exchange rates at the balance sheet dates; revenue, operating expenses and other income/ (expense), net are translated at the average exchange rates for the periods presented; and shareholders’ equity is translated at the prevailing historical exchange rates. Translation adjustments are not included in determining net loss but are included as a foreign exchange adjustment to other comprehensive income/(loss), a component of shareholders’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accumulated impairment losses, if any. Such cost includes the cost of replacing part of the equipment if the recognition criteria are met. All other repair and maintenance costs are recognized in profit or loss as incurred.</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related assets. Useful lives of various property and equipment are as follows:</w:t>
      </w:r>
    </w:p>
    <w:p>
      <w:pPr>
        <w:sectPr>
          <w:pgSz w:w="11900" w:h="16838" w:orient="portrait"/>
          <w:cols w:equalWidth="0" w:num="1">
            <w:col w:w="11240"/>
          </w:cols>
          <w:pgMar w:left="320" w:top="1199" w:right="339" w:bottom="1440" w:gutter="0" w:footer="0" w:header="0"/>
        </w:sectPr>
      </w:pP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Leasehold improvements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shorter of lease term or ten years</w:t>
      </w:r>
    </w:p>
    <w:p>
      <w:pPr>
        <w:spacing w:after="0" w:line="200" w:lineRule="exact"/>
        <w:rPr>
          <w:sz w:val="20"/>
          <w:szCs w:val="20"/>
          <w:color w:val="auto"/>
        </w:rPr>
      </w:pPr>
    </w:p>
    <w:p>
      <w:pPr>
        <w:sectPr>
          <w:pgSz w:w="11900" w:h="16838" w:orient="portrait"/>
          <w:cols w:equalWidth="0" w:num="2">
            <w:col w:w="3180" w:space="720"/>
            <w:col w:w="7340"/>
          </w:cols>
          <w:pgMar w:left="320" w:top="1199" w:right="339" w:bottom="1440" w:gutter="0" w:footer="0" w:header="0"/>
          <w:type w:val="continuous"/>
        </w:sectPr>
      </w:pP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Office equipment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five years</w:t>
      </w:r>
    </w:p>
    <w:p>
      <w:pPr>
        <w:spacing w:after="0" w:line="200" w:lineRule="exact"/>
        <w:rPr>
          <w:sz w:val="20"/>
          <w:szCs w:val="20"/>
          <w:color w:val="auto"/>
        </w:rPr>
      </w:pPr>
    </w:p>
    <w:p>
      <w:pPr>
        <w:sectPr>
          <w:pgSz w:w="11900" w:h="16838" w:orient="portrait"/>
          <w:cols w:equalWidth="0" w:num="2">
            <w:col w:w="3180" w:space="720"/>
            <w:col w:w="7340"/>
          </w:cols>
          <w:pgMar w:left="320" w:top="1199" w:right="339" w:bottom="1440" w:gutter="0" w:footer="0" w:header="0"/>
          <w:type w:val="continuous"/>
        </w:sectPr>
      </w:pP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IT equipment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years</w:t>
      </w:r>
    </w:p>
    <w:p>
      <w:pPr>
        <w:spacing w:after="0" w:line="200" w:lineRule="exact"/>
        <w:rPr>
          <w:sz w:val="20"/>
          <w:szCs w:val="20"/>
          <w:color w:val="auto"/>
        </w:rPr>
      </w:pPr>
    </w:p>
    <w:p>
      <w:pPr>
        <w:sectPr>
          <w:pgSz w:w="11900" w:h="16838" w:orient="portrait"/>
          <w:cols w:equalWidth="0" w:num="2">
            <w:col w:w="3180" w:space="720"/>
            <w:col w:w="7340"/>
          </w:cols>
          <w:pgMar w:left="320" w:top="1199" w:right="339" w:bottom="1440" w:gutter="0" w:footer="0" w:header="0"/>
          <w:type w:val="continuous"/>
        </w:sectPr>
      </w:pPr>
    </w:p>
    <w:p>
      <w:pPr>
        <w:spacing w:after="0" w:line="7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Property and equipment is derecognized upon disposal or when no future economic benefits are expected from its use. Any gain or loss arising on derecognition of the asset (calculated as the difference between the net disposal proceeds and the carrying amount of the asset) is included in the consolidated statements of operations and comprehensive loss when the asset is derecognized.</w:t>
      </w:r>
    </w:p>
    <w:p>
      <w:pPr>
        <w:spacing w:after="0" w:line="176"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residual values, useful lives and methods of depreciation of property, plant and equipment are reviewed annually and adjusted prospectively, if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Leases are accounted for under ASC Topic 842, Leases (“ASC 842”). The Company only has operating leases. The Company assesses whether a contract is, or contains, a lease at inception of the contract and recognizes a right-of-use (“ROU”) asset and a corresponding liability with respect to all lease arrangements in which it is a lessee. ROU assets and liabilities are recognized at the commencement date based on the present value of the remaining lease payments. For this purpose, the Company considers only payments that are fixed and determinable at the time of lease commencement.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type w:val="continuous"/>
        </w:sectPr>
      </w:pPr>
    </w:p>
    <w:bookmarkStart w:id="123" w:name="page124"/>
    <w:bookmarkEnd w:id="123"/>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As the Company's leases do not provide an implicit rate, the Company determines the incremental borrowing rate in calculating the present value of lease payments. The ROU assets also include any lease payments made prior to commencement and are recorded net of any lease incentives received.</w:t>
      </w:r>
    </w:p>
    <w:p>
      <w:pPr>
        <w:spacing w:after="0" w:line="162" w:lineRule="exact"/>
        <w:rPr>
          <w:sz w:val="20"/>
          <w:szCs w:val="20"/>
          <w:color w:val="auto"/>
        </w:rPr>
      </w:pPr>
    </w:p>
    <w:p>
      <w:pPr>
        <w:ind w:right="120" w:firstLine="794"/>
        <w:spacing w:after="0" w:line="282" w:lineRule="auto"/>
        <w:rPr>
          <w:sz w:val="20"/>
          <w:szCs w:val="20"/>
          <w:color w:val="auto"/>
        </w:rPr>
      </w:pPr>
      <w:r>
        <w:rPr>
          <w:rFonts w:ascii="Times New Roman" w:cs="Times New Roman" w:eastAsia="Times New Roman" w:hAnsi="Times New Roman"/>
          <w:sz w:val="18"/>
          <w:szCs w:val="18"/>
          <w:color w:val="auto"/>
        </w:rPr>
        <w:t>The Company accounts for lease and non-lease components separately. Non-lease components include service and maintenance charges. There are no variable lease costs associated with the current leases.</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right-of-use assets and in current and non-current operating lease liabilities on the Company's consolidated balance sheets.</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Lease expense for lease payments is considered operating lease costs and is recognized on a straight-line basis over the lease term. The lease terms for the underlying assets is as follows:</w:t>
      </w:r>
    </w:p>
    <w:p>
      <w:pPr>
        <w:spacing w:after="0" w:line="162" w:lineRule="exact"/>
        <w:rPr>
          <w:sz w:val="20"/>
          <w:szCs w:val="20"/>
          <w:color w:val="auto"/>
        </w:rPr>
      </w:pPr>
    </w:p>
    <w:p>
      <w:pPr>
        <w:ind w:left="760"/>
        <w:spacing w:after="0"/>
        <w:tabs>
          <w:tab w:leader="none" w:pos="3880" w:val="left"/>
        </w:tabs>
        <w:rPr>
          <w:sz w:val="20"/>
          <w:szCs w:val="20"/>
          <w:color w:val="auto"/>
        </w:rPr>
      </w:pPr>
      <w:r>
        <w:rPr>
          <w:rFonts w:ascii="Times New Roman" w:cs="Times New Roman" w:eastAsia="Times New Roman" w:hAnsi="Times New Roman"/>
          <w:sz w:val="18"/>
          <w:szCs w:val="18"/>
          <w:color w:val="auto"/>
        </w:rPr>
        <w:t>• Right-of-use asset (building)</w:t>
      </w:r>
      <w:r>
        <w:rPr>
          <w:sz w:val="20"/>
          <w:szCs w:val="20"/>
          <w:color w:val="auto"/>
        </w:rPr>
        <w:tab/>
      </w:r>
      <w:r>
        <w:rPr>
          <w:rFonts w:ascii="Times New Roman" w:cs="Times New Roman" w:eastAsia="Times New Roman" w:hAnsi="Times New Roman"/>
          <w:sz w:val="17"/>
          <w:szCs w:val="17"/>
          <w:color w:val="auto"/>
        </w:rPr>
        <w:t>five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Identifiable intangible assets within the scope of ASC 730 that are purchased from others for a particular research and development project outside of a business combination, and that have no alternative future uses are expensed as incurred.</w:t>
      </w:r>
    </w:p>
    <w:p>
      <w:pPr>
        <w:spacing w:after="0" w:line="162" w:lineRule="exact"/>
        <w:rPr>
          <w:sz w:val="20"/>
          <w:szCs w:val="20"/>
          <w:color w:val="auto"/>
        </w:rPr>
      </w:pPr>
    </w:p>
    <w:p>
      <w:pPr>
        <w:ind w:right="240" w:firstLine="749"/>
        <w:spacing w:after="0" w:line="312" w:lineRule="auto"/>
        <w:rPr>
          <w:sz w:val="20"/>
          <w:szCs w:val="20"/>
          <w:color w:val="auto"/>
        </w:rPr>
      </w:pPr>
      <w:r>
        <w:rPr>
          <w:rFonts w:ascii="Times New Roman" w:cs="Times New Roman" w:eastAsia="Times New Roman" w:hAnsi="Times New Roman"/>
          <w:sz w:val="17"/>
          <w:szCs w:val="17"/>
          <w:color w:val="auto"/>
        </w:rPr>
        <w:t>Intangible assets that have an alternative future use, or which are outside the scope of ASC 730, are accounted for under ASC Topic 350, Intangibles – Goodwill and Other (“ASC 350”) and are initially recorded at cost, which is the fair value of the consideration paid on the acquisition date.</w:t>
      </w:r>
    </w:p>
    <w:p>
      <w:pPr>
        <w:spacing w:after="0" w:line="14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Consideration that is contingent on future events is included in the cost of the asset (irrespective of whether the asset is subsequently expensed under ASC 730) with a corresponding contingent consideration liability recorded if the contingency is both probable and estimable. However, where the liability is payable in a variable number of shares based on a fixed monetary amount known at the inception of an arrangement, it is initially recorded at fair value and presented as a liability under ASC Topic 480, Distinguishing Liabilities from Equity. The Company continues to reassess the fair value of such instruments each reporting period until the milestones are achieved, if ever, and the issuance of shares occurs.</w:t>
      </w:r>
    </w:p>
    <w:p>
      <w:pPr>
        <w:spacing w:after="0" w:line="18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Given the pervasive uncertainty involved in establishing the amounts, timing and likelihood of the future cash flows, including the Company’s ability to secure either a partnership or alternative forms of non-dilutive financing, the possible terms and rate of such a partnership or financing, the clinical and regulatory performance of the product candidate and the lack of comparable recent transactions, the Company has determined the fair value of the equity milestones to be paid in a variable number of shares pursuant to its Amended AstraZeneca License Agreement to be negligible and therefore assigned a nil value to the instrument as of December 31, 2025.</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Intangible assets that have been acquired in a business combination are initially recorded at fair value.</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Intangible assets are amortized over their estimated useful economic life from the date they are available for use and are recognized in general and administrative expenses. An intangible asset is derecognized on disposal, or when no future economic benefits are expected from use or disposal. Gains or losses arising from derecognition of an intangible asset, measured as the difference between the net disposal proceeds and the carrying amount of the asset, are recognized within Net loss when the asset is derecognized.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payable, accrued expenses, deferred consideration, warrant liabilities and the liability component of the convertible loan notes and other financing arrangements. Cash, cash equivalents (except for investments in money market funds), accounts payable and accrued expenses are initially recorded and subsequently measured at cost, which is considered to approximate their fair value due to the short-term nature of such financial instruments. The carrying value of investment warrant liabilities and convertible loan notes is explained in the sections below.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229"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Company reviews the terms of convertible loan notes and other hybrid financing arrangements to determine whether there are embedded derivative instruments, including conversion options that are required to be bifurcated and accounted for separately either as a derivative financial instrument or an equity instrument.</w:t>
      </w:r>
    </w:p>
    <w:p>
      <w:pPr>
        <w:spacing w:after="0" w:line="176"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are initially measured at fair value, and then re-valued at each reporting date, with changes in the fair value reported in the consolidated statements of operations and comprehensive loss as a component of net income.</w:t>
      </w:r>
    </w:p>
    <w:p>
      <w:pPr>
        <w:spacing w:after="0" w:line="16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discount from face value of the liability component remaining from allocating some or all of the proceeds of the hybrid instrument to the derivative, together with the stated rate of interest on the instrument, is amortized over the life of the instrument through periodic charges to consolidated statements of operations and comprehensive loss, using the effective interest method. Embedded derivatives that are bifurcated and recognized as liability instruments are presented in a separate line in the consolidated balance sheets.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Embedded derivative instruments that meet the criteria of equity instruments under ASC Topic 815-40, Contracts in Entity’s Own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Subtopic 815-40</w:t>
      </w:r>
      <w:r>
        <w:rPr>
          <w:rFonts w:ascii="Times New Roman" w:cs="Times New Roman" w:eastAsia="Times New Roman" w:hAnsi="Times New Roman"/>
          <w:sz w:val="18"/>
          <w:szCs w:val="18"/>
          <w:color w:val="auto"/>
        </w:rPr>
        <w:t>) are initially recognized within additional paid-in capital at an amount determined by allocating the proceeds between the debt and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based on their relative fair values.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 notes</w:t>
      </w:r>
    </w:p>
    <w:p>
      <w:pPr>
        <w:spacing w:after="0" w:line="2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Convertible loan notes are accounted for in accordance with ASC Topic 470-20, Debt with Conversion and Other Options as amended by ASU 2020-06, Debt with Conversion and Other Options (Subtopic 470-20) and Derivatives and Hedging—Contracts in Entity’s Own Equity (Subtopic 815-40) which the Company early adopted on January 1, 2021 on a fully retrospective basis.</w:t>
      </w:r>
    </w:p>
    <w:p>
      <w:pPr>
        <w:spacing w:after="0" w:line="176"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As described in Note 10, the Company issued the Novartis Loan Note in 2020, which included convertible loan notes and warrants. Pursuant to ASC Subtopic 470-20, the Company separately accounted for the liability component of the convertible loan notes, the embedded conversion option and the warrants. This Loan Note was fully converted in February 2025.</w:t>
      </w:r>
    </w:p>
    <w:p>
      <w:pPr>
        <w:spacing w:after="0" w:line="17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Both the conversion option and the warrants were separately accounted for as equity instruments upon issuance. The conversion option and warrants are accounted for as equity instruments as they met the requirements to be considered indexed to the Company's own shares under Subtopic 815-40.</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Consideration received for hybrid financial instruments containing convertible debt is initially allocated to the fair value of separately recognized derivative instruments that will be subsequently remeasured at fair value under ASC 815. The remaining consideration is allocated to the liability portion of the convertible loan notes and any other separately recognized equity instruments, such as the embedded conversion option, based on the relative fair value of each instrument.</w:t>
      </w:r>
    </w:p>
    <w:p>
      <w:pPr>
        <w:spacing w:after="0" w:line="180"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Where none of the embedded derivatives are required to be subsequently remeasured at fair value, the consideration is allocated to all elements based on the relative fair value of each instrument. As the conversion option in the Novartis Loan Note is classified as an equity instrument, it qualifies for the scope exception for contracts indexed to the Company's own equity and as such is allocated to additional paid-in capital and accounted for at the initial recognition amount.</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Upon any conversion of the convertible loan notes in accordance with the conversion privileges provided in the terms of the instrument, the carrying value is adjusted for any unamortized capitalized transaction costs, which are recognized within interest expense. The carrying value is reduced by the cash consideration received and any excess or deficit after recognizing the nominal value of the ordinary shares issued is recognized within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Company issued warrants to its previous lenders pursuant to the terms of its loan facility in August 2017 and October 2018. The warrants were classified as liabilities as they included provisions that could require cash settlement. The warrant instruments are recorded at fair value, with changes in the fair value recognized in the consolidated statements of operations and comprehensive loss as a component of net loss, where the terms of the warrant instruments allow for cashless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issued the following equity classified warrants: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25" w:name="page126"/>
    <w:bookmarkEnd w:id="125"/>
    <w:p>
      <w:pPr>
        <w:ind w:left="1140" w:hanging="383"/>
        <w:spacing w:after="0" w:line="270" w:lineRule="auto"/>
        <w:tabs>
          <w:tab w:leader="none" w:pos="114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Warrants over 2,000,000 ordinary shares with a subscription price of £0.15 per ordinary share in conjunction with amendments made to the Novartis Loan Note in 2023 (the "2023 Novartis Warrants"). These warrants are exercisable until February 10, 2028 and the value allocated to them was recognized in additional paid-in capital at issuance as described above. Another tranche of warrants over 1,449,610 ordinary shares to Novartis at an exercise price of £0.265 per ordinary share issued in 2020 have been exercised on February 7, 2025 (see Note 10).</w:t>
      </w:r>
    </w:p>
    <w:p>
      <w:pPr>
        <w:spacing w:after="0" w:line="187" w:lineRule="exact"/>
        <w:rPr>
          <w:rFonts w:ascii="Times New Roman" w:cs="Times New Roman" w:eastAsia="Times New Roman" w:hAnsi="Times New Roman"/>
          <w:sz w:val="19"/>
          <w:szCs w:val="19"/>
          <w:color w:val="auto"/>
        </w:rPr>
      </w:pPr>
    </w:p>
    <w:p>
      <w:pPr>
        <w:ind w:left="1140" w:right="100" w:hanging="383"/>
        <w:spacing w:after="0" w:line="250" w:lineRule="auto"/>
        <w:tabs>
          <w:tab w:leader="none" w:pos="11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 October 2018, the Company entered into a funding agreement with The Alpha-1 Project (“TAP”), which provided for total payments of $0.4 million, of which the final installment of $0.1 million was received in May 2023. In exchange for funding, the Company issued warrants over a total of 1,551,699 ordinary shares (the "TAP Warrants"), allowing TAP to subscribe for ordinary shares in the Company. Under the agreement, TAP is potentially entitled to receive a payment equivalent to the amounts received by Mereo (up to a maximum of $0.4 million) conditional on and within thirty days of the first regulatory approval for alvelestat. The agreement was accounted for as a compound instrument that includes both debt and equity components with the carrying value of each component established based on the relative fair value of each component. The amount allocated to the liability component is accreted back to the face value over the period to the earliest reasonable repayment date using the effective interest method. The amount allocated to the warrants was recognized in additional paid-in capital and is not subsequently remeasured. In February 2026, the Company received an exercise notice from TAP and subsequently issued and allotted 1,551,695 shares (equivalent to 310,339 ADSs) on the non-cash exercise of the warrants.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Topic 820, Fair Value Measurements and Disclosures (“ASC 820”) which defines fair value and establishes a fair value hierarchy that prioritizes the inputs to valuation techniques used to measure fair value.</w:t>
      </w:r>
    </w:p>
    <w:p>
      <w:pPr>
        <w:spacing w:after="0" w:line="162"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spacing w:after="0" w:line="162" w:lineRule="exact"/>
        <w:rPr>
          <w:sz w:val="20"/>
          <w:szCs w:val="20"/>
          <w:color w:val="auto"/>
        </w:rPr>
      </w:pPr>
    </w:p>
    <w:p>
      <w:pPr>
        <w:ind w:left="1140" w:hanging="383"/>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(unadjusted) market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techniques for which the lowest level input that is significant to the fair value measurement is directly or indirectly observable.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techniques for which the lowest level input that is significant to the fair value measurement is unobservable.</w:t>
      </w:r>
    </w:p>
    <w:p>
      <w:pPr>
        <w:spacing w:after="0" w:line="225"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For assets and liabilities that are recognized in the consolidated financial statements on a recurring basis, the Company determines whether transfers have occurred between levels in the hierarchy by reassessing categorization (based on the lowest level input that is significant to the fair value measurement as a whole) at the end of each reporting period. There were no transfers within the fair value hierarchy during the years ended December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Cash and cash equivalents in the consolidated balance sheets comprise cash at banks, short-term deposits with a maturity of three months or less from placement and investments in money market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Employees (including executives) and non-executive directors of the Company receive remuneration in the form of share-based compensation, whereby employees and non-executive directors render services as consideration for equity instruments (equity settled transactions). Incentives in the form of ADSs are provided to employees and non-executive directors under various plans.</w:t>
      </w:r>
    </w:p>
    <w:p>
      <w:pPr>
        <w:spacing w:after="0" w:line="176"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In accordance with ASC Topic 718, Stock Compensation (“ASC 718”), the total amounts to be expensed for these incentives are expensed through the consolidated statements of operations and comprehensive loss and are measured based on the grant-date fair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126" w:name="page127"/>
    <w:bookmarkEnd w:id="126"/>
    <w:p>
      <w:pPr>
        <w:ind w:right="20"/>
        <w:spacing w:after="0" w:line="282" w:lineRule="auto"/>
        <w:rPr>
          <w:sz w:val="20"/>
          <w:szCs w:val="20"/>
          <w:color w:val="auto"/>
        </w:rPr>
      </w:pPr>
      <w:r>
        <w:rPr>
          <w:rFonts w:ascii="Times New Roman" w:cs="Times New Roman" w:eastAsia="Times New Roman" w:hAnsi="Times New Roman"/>
          <w:sz w:val="18"/>
          <w:szCs w:val="18"/>
          <w:color w:val="auto"/>
        </w:rPr>
        <w:t>value of the awards and recognized over the period during which the employee or non-executive director is required to perform services in exchange for the award (generally the vesting period of the award).</w:t>
      </w:r>
    </w:p>
    <w:p>
      <w:pPr>
        <w:spacing w:after="0" w:line="16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accordance with ASC 718, the cancellation of share options is accounted for as an acceleration of the vesting period and therefore any amount unrecognized that would otherwise have been recorded in future accounting periods is recognized immediately. The Company has elected to recognize the effect of forfeitures on share-based compensation when they occur. Any differences in compensation recognized at the time of forfeiture are recorded as a cumulative adjustment in the period in which the forfeiture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Until it was terminated during the year ended December 31, 2024, an Employee Benefit Trust ("EBT") held ADSs as treasury shares to satisfy the exercise of options and the vesting of restricted stock units under the Company’s share-based incentive schemes. The EBT was a Jersey-based trust which was initially funded by a loan from the Company, which it utilized to purchase shares in sufficient quantity to fulfill the envisaged awards. In accordance with ASC Topic 505, Equity (“ASC 505”), these shares were deducted from ordinary shares on the consolidated balance sheet at their nominal value. Shares held by the EBT were included in the consolidated balance sheets as a reduction in additional paid-in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income/(loss)</w:t>
      </w:r>
    </w:p>
    <w:p>
      <w:pPr>
        <w:spacing w:after="0" w:line="229"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Comprehensive income/(loss) includes net income/(loss) as well as other changes in shareholders’ equity that result from transactions and economic events other than those with shareholders. The Company records unrealized gains and losses related to foreign currency translation as a component of other comprehensive income/(loss) in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Ordinary shares are classified in shareholders’ equity and represent issued share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paid-in capital</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Additional paid-in capital is classified in shareholders’ equity and includes the difference between the price paid per share and the nominal value. The equity element of share-based compensation is also recognized in additional paid-in capital as are derivative instruments that meet the requirements for equity classification.</w:t>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Incremental costs incurred and directly attributable to the offering of equity securities are deducted from the related proceeds of the offering. The net amount is recorded as additional paid-in capital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Income/(loss) per share</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Basic income/(loss) per share is computed by dividing the net income/(loss) attributable to ordinary shareholders by the weighted-average number of ordinary shares outstanding and contingently issuable shares that satisfied all necessary conditions for the reporting period without consideration for potentially dilutive securities. Net income/(loss) attributable to ordinary shareholders is computed as if all net income/(loss) for the period had been distributed. During periods in which the Company incurred a net loss, the Company allocates no net loss to participating securities because they do not have a contractual obligation to share in the net loss of the Company.</w:t>
      </w:r>
    </w:p>
    <w:p>
      <w:pPr>
        <w:spacing w:after="0" w:line="183"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Company computes diluted income/(loss) per ordinary share after giving consideration to all potentially dilutive ordinary share equivalents, including share options outstanding during the period, except where the effect of such non-participating securities would be antidilutive.</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Diluted income/(loss) per share is computed by dividing the net income/(loss) attributable to ordinary shareholders by the weighted average number of ordinary shares and dilutive ordinary share equivalents outstanding for the period, determined using the treasury stock and if-converted methods.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960" w:firstLine="749"/>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standard requires disaggregated information about a reporting entity’s effective tax rate reconciliation as well as information on income taxes paid.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key provisions under effective tax rate reconciliations are as follows:</w:t>
      </w:r>
    </w:p>
    <w:p>
      <w:pPr>
        <w:spacing w:after="0" w:line="117" w:lineRule="exact"/>
        <w:rPr>
          <w:sz w:val="20"/>
          <w:szCs w:val="20"/>
          <w:color w:val="auto"/>
        </w:rPr>
      </w:pPr>
    </w:p>
    <w:p>
      <w:pPr>
        <w:ind w:left="1020" w:right="140" w:hanging="503"/>
        <w:spacing w:after="0" w:line="26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ASU requires public business entities, on an annual basis, to provide a tabular rate reconciliation (using both percentages and reporting currency amounts) of the reported income tax expense (or benefit) from continuing operations, to the product of the income (or loss) from continuing operations before income taxes and the applicable statutory federal income tax rate of the country of domicile using specific categories, and;</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disclosure for any reconciling items within certain categories that are equal to or greater than a specified quantitative threshold. The quantitative threshold for the designated categories requiring further disaggregation is 5%.</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key provisions under income taxes paid are as follows:</w:t>
      </w:r>
    </w:p>
    <w:p>
      <w:pPr>
        <w:spacing w:after="0" w:line="117" w:lineRule="exact"/>
        <w:rPr>
          <w:sz w:val="20"/>
          <w:szCs w:val="20"/>
          <w:color w:val="auto"/>
        </w:rPr>
      </w:pPr>
    </w:p>
    <w:p>
      <w:pPr>
        <w:ind w:left="1020" w:right="18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ASU requires all reporting entities to disclose the year-to-date amount of income taxes paid (net of refunds received) disaggregated by federal, state, and foreign;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also requires additional disaggregated information on income taxes paid (net of refunds received) to an individual jurisdiction equal to or greater than 5% of total income taxes paid (net of refunds received). An entity may identify a country, state, or local territory as an individual jurisdiction.</w:t>
      </w:r>
    </w:p>
    <w:p>
      <w:pPr>
        <w:spacing w:after="0" w:line="176"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ASU 2023-09 is effective for fiscal periods beginning after December 15, 2024. The Company adopted this standard for the year ended December 31, 2025 on a retrospective basis by including within the consolidated financial statements the additional disclosures described above. The adoption of ASU 2023-09 did not have a material impact on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which requires more detailed disclosures about specified categories of expenses included in certain expense captions presented on the face of the consolidated statements of operations and comprehensive loss, including employee compensation, depreciation and amortization. ASU No. 2024-03 is effective in annual reporting periods beginning after December 15, 2026, and interim periods within annual reporting periods beginning after December 15, 2027. Early adoption is permitted. The amendments may be applied either prospectively to financial statement issued for reporting periods after the effective date of the ASU or retrospectively to all prior periods presented. The Company is currently evaluating the impact of the adopting of ASU No. 2024-03 on its consolidated financial statements.</w:t>
      </w:r>
    </w:p>
    <w:p>
      <w:pPr>
        <w:spacing w:after="0" w:line="189"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by the FASB or other standards-setting bodies that do not require adoption until a future date are not expected to have a material impact on the Company's consolidated financial statements upon adoption.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and classified under the appropriate level of the fair value hierarchy as described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260" w:type="dxa"/>
            <w:vAlign w:val="bottom"/>
            <w:tcBorders>
              <w:bottom w:val="single" w:sz="8" w:color="auto"/>
            </w:tcBorders>
          </w:tcPr>
          <w:p>
            <w:pPr>
              <w:spacing w:after="0"/>
              <w:rPr>
                <w:sz w:val="20"/>
                <w:szCs w:val="20"/>
                <w:color w:val="auto"/>
              </w:rPr>
            </w:pPr>
          </w:p>
        </w:tc>
      </w:tr>
      <w:tr>
        <w:trPr>
          <w:trHeight w:val="187"/>
        </w:trPr>
        <w:tc>
          <w:tcPr>
            <w:tcW w:w="5760" w:type="dxa"/>
            <w:vAlign w:val="bottom"/>
          </w:tcPr>
          <w:p>
            <w:pPr>
              <w:spacing w:after="0"/>
              <w:rPr>
                <w:sz w:val="16"/>
                <w:szCs w:val="16"/>
                <w:color w:val="auto"/>
              </w:rPr>
            </w:pPr>
          </w:p>
        </w:tc>
        <w:tc>
          <w:tcPr>
            <w:tcW w:w="1460" w:type="dxa"/>
            <w:vAlign w:val="bottom"/>
          </w:tcPr>
          <w:p>
            <w:pPr>
              <w:jc w:val="right"/>
              <w:ind w:right="5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380" w:type="dxa"/>
            <w:vAlign w:val="bottom"/>
          </w:tcPr>
          <w:p>
            <w:pPr>
              <w:jc w:val="right"/>
              <w:ind w:right="470"/>
              <w:spacing w:after="0" w:line="18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26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57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(investments in money market funds)</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22,749</w:t>
            </w:r>
          </w:p>
        </w:tc>
        <w:tc>
          <w:tcPr>
            <w:tcW w:w="1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22,749</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w:t>
            </w:r>
          </w:p>
        </w:tc>
        <w:tc>
          <w:tcPr>
            <w:tcW w:w="1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87"/>
        </w:trPr>
        <w:tc>
          <w:tcPr>
            <w:tcW w:w="5760" w:type="dxa"/>
            <w:vAlign w:val="bottom"/>
          </w:tcPr>
          <w:p>
            <w:pPr>
              <w:spacing w:after="0"/>
              <w:rPr>
                <w:sz w:val="16"/>
                <w:szCs w:val="16"/>
                <w:color w:val="auto"/>
              </w:rPr>
            </w:pPr>
          </w:p>
        </w:tc>
        <w:tc>
          <w:tcPr>
            <w:tcW w:w="880" w:type="dxa"/>
            <w:vAlign w:val="bottom"/>
          </w:tcPr>
          <w:p>
            <w:pPr>
              <w:jc w:val="center"/>
              <w:ind w:left="2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Pr>
          <w:p>
            <w:pPr>
              <w:ind w:left="86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tcPr>
          <w:p>
            <w:pPr>
              <w:ind w:left="7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560" w:type="dxa"/>
            <w:vAlign w:val="bottom"/>
          </w:tcPr>
          <w:p>
            <w:pPr>
              <w:spacing w:after="0"/>
              <w:rPr>
                <w:sz w:val="16"/>
                <w:szCs w:val="16"/>
                <w:color w:val="auto"/>
              </w:rPr>
            </w:pPr>
          </w:p>
        </w:tc>
        <w:tc>
          <w:tcPr>
            <w:tcW w:w="12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6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($'000)</w:t>
            </w:r>
          </w:p>
        </w:tc>
        <w:tc>
          <w:tcPr>
            <w:tcW w:w="560" w:type="dxa"/>
            <w:vAlign w:val="bottom"/>
          </w:tcPr>
          <w:p>
            <w:pPr>
              <w:spacing w:after="0"/>
              <w:rPr>
                <w:sz w:val="20"/>
                <w:szCs w:val="20"/>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821</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821</w:t>
            </w: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during the years ended December 31, 2025 and 2024.</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Fair values of the investments in money market funds are determined based on the net asset value per share of each fund stated in the fund manager's statement.</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warrant liabilities solely related to warrants outstanding to the former lenders of the Company as described in Note 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4"/>
                <w:szCs w:val="24"/>
                <w:color w:val="auto"/>
              </w:rPr>
            </w:pPr>
          </w:p>
        </w:tc>
        <w:tc>
          <w:tcPr>
            <w:tcW w:w="1300" w:type="dxa"/>
            <w:vAlign w:val="bottom"/>
            <w:gridSpan w:val="2"/>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486</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general and administrative expenses</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2,531</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220" w:type="dxa"/>
            <w:vAlign w:val="bottom"/>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4"/>
                <w:szCs w:val="24"/>
                <w:color w:val="auto"/>
              </w:rPr>
            </w:pPr>
          </w:p>
        </w:tc>
        <w:tc>
          <w:tcPr>
            <w:tcW w:w="130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764</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2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-2005330</wp:posOffset>
            </wp:positionV>
            <wp:extent cx="85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-1988185</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-453390</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857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was $0.2 million and $0.1 million for the year ended December 31, 2025 and 2024,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August 2015, the Company entered into a lease agreement under which it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reversionary lease to extend the term for the original fourth floor lease to be coterminous with the fifth floor, ending in June 2026.</w:t>
      </w:r>
    </w:p>
    <w:p>
      <w:pPr>
        <w:spacing w:after="0" w:line="180"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total lease expense included in the statements of operations and comprehensive loss was $0.7 million and $0.7 million for the year ended December 31, 2025 and 2024, respectively. There were no material variable lease costs.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3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09"/>
        </w:trPr>
        <w:tc>
          <w:tcPr>
            <w:tcW w:w="60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1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contractual lease term (years)</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bl>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maturities of the Company’s operating lease liabilities as of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 December</w:t>
            </w:r>
          </w:p>
        </w:tc>
      </w:tr>
      <w:tr>
        <w:trPr>
          <w:trHeight w:val="238"/>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940" w:type="dxa"/>
            <w:vAlign w:val="bottom"/>
            <w:gridSpan w:val="5"/>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Maturity analysis of the operating lease liabilities for the years ending December</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238"/>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15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5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1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5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5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560" w:type="dxa"/>
            <w:vAlign w:val="bottom"/>
          </w:tcPr>
          <w:p>
            <w:pPr>
              <w:spacing w:after="0"/>
              <w:rPr>
                <w:sz w:val="21"/>
                <w:szCs w:val="21"/>
                <w:color w:val="auto"/>
              </w:rPr>
            </w:pPr>
          </w:p>
        </w:tc>
      </w:tr>
      <w:tr>
        <w:trPr>
          <w:trHeight w:val="197"/>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Lease liability – current</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202</w:t>
            </w:r>
          </w:p>
        </w:tc>
        <w:tc>
          <w:tcPr>
            <w:tcW w:w="56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459"/>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Other current liabilities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58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Other current liabilities consists of the following:</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9"/>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16"/>
        </w:trPr>
        <w:tc>
          <w:tcPr>
            <w:tcW w:w="1140" w:type="dxa"/>
            <w:vAlign w:val="bottom"/>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Social security and other taxes</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11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consideration liability</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1140" w:type="dxa"/>
            <w:vAlign w:val="bottom"/>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issuance costs payable</w:t>
            </w:r>
          </w:p>
        </w:tc>
        <w:tc>
          <w:tcPr>
            <w:tcW w:w="1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11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1140" w:type="dxa"/>
            <w:vAlign w:val="bottom"/>
          </w:tcPr>
          <w:p>
            <w:pPr>
              <w:spacing w:after="0"/>
              <w:rPr>
                <w:sz w:val="19"/>
                <w:szCs w:val="19"/>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741</w:t>
            </w: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1,095</w:t>
            </w: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4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857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130" w:name="page131"/>
    <w:bookmarkEnd w:id="130"/>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948</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local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4,071</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-170815</wp:posOffset>
            </wp:positionV>
            <wp:extent cx="857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loan notes and related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Loan Note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February 10, 2020, the Company entered into a convertible equity financing with Novartis Pharma (AG) (“Novartis”), which it amended in February 2023 to extend the maturity date and increase the interest rate, under which Novartis purchased a £3.8 million ($5.0 million) convertible loan note (the “Novartis Loan Note”). Following the 2023 amendment, the Novartis Loan Note was convertible at the discretion of the holder, at a fixed price of £0.265 per ordinary share and bore interest at 9% per annum with a maturity date of February 10, 2025.</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On February 7, 2025, the Company received a conversion notice and subsequently issued and allotted 17,105,450 ordinary shares (equivalent to 3,421,090 ADSs) on the non-cash conversion of the outstanding principal and accrued interest of the Novartis Loan Note.</w:t>
      </w:r>
    </w:p>
    <w:p>
      <w:pPr>
        <w:spacing w:after="0" w:line="16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2024, the net carrying amount of the liability component of the convertible debt instrument was $5.5 million. On conversion, the Company derecognized the carrying value of the Novartis Loan Note of $5.7 million and recognized the issuance of the shares at their par value within ordinary share capital and the excess amount of the conversion price over the par value within additional paid-in capital. In addition, the amount that represented the value of the conversion features of the Novartis Loan Note presented in additional paid-in capital at inception of $3.4 million was transferred to accumulated deficit upon conversion.</w:t>
      </w:r>
    </w:p>
    <w:p>
      <w:pPr>
        <w:spacing w:after="0" w:line="183"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interest expense of $0.2 million and $1.2 million in relation to the Novartis Loan Note for the year ended December 31, 2025 and 2024, respectively. The effective interest rate applied to the liability portion of the Novartis Loan Note for the years ended December 31, 2025 and 2024 was 27.8%.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equity classified warrants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Novartis Loan Note, the Company also issued warrants over 1,449,610 ordinary shares to Novartis which were exercisable until February 2025 at an exercise price of £0.265 per ordinary share (the "2020 Novartis Warrants"). In connection with the amendments to the Novartis Loan Note, in February 2023 the Company issued warrants over a further 2,000,000 ordinary shares (the "2023 Novartis Warrants"). The 2023 Novartis Warrants are exercisable until February 2028 at an exercise price of £0.15 per ordinary share. Both tranches of warrants were recognized separately as equity instruments.</w:t>
      </w:r>
    </w:p>
    <w:p>
      <w:pPr>
        <w:spacing w:after="0" w:line="183"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On February 7, 2025, Novartis exercised the 2020 Novartis Warrants and the Company subsequently issued and allotted 1,449,610 ordinary shares (equivalent to 289,922 ADSs) upon receipt of $0.5 million in satisfaction of the subscription price of £0.265 per ordinary share. Additional paid-in capital of $0.3 million, representing the surplus of previously recognized amounts exceeding the par value of ordinary shares, was transferred to accumulated deficit.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8"/>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Warrant liability</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648"/>
        </w:trPr>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420" w:type="dxa"/>
            <w:vAlign w:val="bottom"/>
            <w:tcBorders>
              <w:bottom w:val="single" w:sz="8" w:color="auto"/>
            </w:tcBorders>
          </w:tcPr>
          <w:p>
            <w:pPr>
              <w:spacing w:after="0"/>
              <w:rPr>
                <w:sz w:val="24"/>
                <w:szCs w:val="24"/>
                <w:color w:val="auto"/>
              </w:rPr>
            </w:pPr>
          </w:p>
        </w:tc>
      </w:tr>
      <w:tr>
        <w:trPr>
          <w:trHeight w:val="187"/>
        </w:trPr>
        <w:tc>
          <w:tcPr>
            <w:tcW w:w="114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6"/>
                <w:szCs w:val="16"/>
                <w:color w:val="auto"/>
              </w:rPr>
            </w:pPr>
          </w:p>
        </w:tc>
        <w:tc>
          <w:tcPr>
            <w:tcW w:w="1060" w:type="dxa"/>
            <w:vAlign w:val="bottom"/>
            <w:gridSpan w:val="2"/>
          </w:tcPr>
          <w:p>
            <w:pPr>
              <w:jc w:val="right"/>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6"/>
                <w:szCs w:val="16"/>
                <w:color w:val="auto"/>
              </w:rPr>
            </w:pPr>
          </w:p>
        </w:tc>
      </w:tr>
      <w:tr>
        <w:trPr>
          <w:trHeight w:val="238"/>
        </w:trPr>
        <w:tc>
          <w:tcPr>
            <w:tcW w:w="114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($'000)</w:t>
            </w:r>
          </w:p>
        </w:tc>
        <w:tc>
          <w:tcPr>
            <w:tcW w:w="4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January 1</w:t>
            </w:r>
          </w:p>
        </w:tc>
        <w:tc>
          <w:tcPr>
            <w:tcW w:w="90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c>
          <w:tcPr>
            <w:tcW w:w="106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11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during the year</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1140" w:type="dxa"/>
            <w:vAlign w:val="bottom"/>
          </w:tcPr>
          <w:p>
            <w:pPr>
              <w:spacing w:after="0"/>
              <w:rPr>
                <w:sz w:val="18"/>
                <w:szCs w:val="18"/>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11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-170815</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2025, the former lenders of the Company have warrants outstanding to purchase a total of 1,243,908 ordinary shares at an exercise price of £2.95 per share, exercisable until August 2027 and a total of 1,243,908 ordinary shares at an exercise price of $0.4144 per share, exercisable until dates between August 2027 and October 2028. These warrants outstanding are equivalent to 0.3% and 0.3% of the issued ordinary share capital of the Company as of December 31, 2025 and 2024, respectively. There were no warrants classified as liabilities exercised during the years ended December 31, 2025 and 2024.</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each warrant is estimated using the Black-Scholes option pricing model using the following weighted average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10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10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2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10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10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16"/>
        </w:trPr>
        <w:tc>
          <w:tcPr>
            <w:tcW w:w="10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1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432"/>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Shareholders’ Equity</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2"/>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8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Par value</w:t>
            </w:r>
          </w:p>
        </w:tc>
      </w:tr>
      <w:tr>
        <w:trPr>
          <w:trHeight w:val="238"/>
        </w:trPr>
        <w:tc>
          <w:tcPr>
            <w:tcW w:w="5760" w:type="dxa"/>
            <w:vAlign w:val="bottom"/>
          </w:tcPr>
          <w:p>
            <w:pPr>
              <w:spacing w:after="0"/>
              <w:rPr>
                <w:sz w:val="20"/>
                <w:szCs w:val="20"/>
                <w:color w:val="auto"/>
              </w:rPr>
            </w:pPr>
          </w:p>
        </w:tc>
        <w:tc>
          <w:tcPr>
            <w:tcW w:w="1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5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701,217,089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2,775</w:t>
            </w:r>
          </w:p>
        </w:tc>
      </w:tr>
      <w:tr>
        <w:trPr>
          <w:trHeight w:val="196"/>
        </w:trPr>
        <w:tc>
          <w:tcPr>
            <w:tcW w:w="5760" w:type="dxa"/>
            <w:vAlign w:val="bottom"/>
            <w:tcBorders>
              <w:top w:val="single" w:sz="8" w:color="CFF0FC"/>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Exercise of share options</w:t>
            </w:r>
          </w:p>
        </w:tc>
        <w:tc>
          <w:tcPr>
            <w:tcW w:w="182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2,685,420</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16"/>
        </w:trPr>
        <w:tc>
          <w:tcPr>
            <w:tcW w:w="5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Vesting of RSUs</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433,880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Vesting of PSUs</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6,690,755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shares</w:t>
            </w:r>
          </w:p>
        </w:tc>
        <w:tc>
          <w:tcPr>
            <w:tcW w:w="1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64,700,890</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775,728,034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3,059</w:t>
            </w:r>
          </w:p>
        </w:tc>
      </w:tr>
      <w:tr>
        <w:trPr>
          <w:trHeight w:val="20"/>
        </w:trPr>
        <w:tc>
          <w:tcPr>
            <w:tcW w:w="57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576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Exercise of share options</w:t>
            </w:r>
          </w:p>
        </w:tc>
        <w:tc>
          <w:tcPr>
            <w:tcW w:w="182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174,100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Vesting of RSUs</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1,201,310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Conversion of convertible loan notes</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17,105,450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warrants</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1,449,610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795,658,504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3,135</w:t>
            </w: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-1464945</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-1448435</wp:posOffset>
            </wp:positionV>
            <wp:extent cx="857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857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857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In February 2025, the Company issued and allotted 17,105,450 ordinary shares (equivalent to 3,421,090 ADSs) on the non-cash conversion of the outstanding principal and accrued interest of the Novartis Loan Note.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February 2025, the Company issued and allotted 1,449,610 ordinary shares (equivalent to 289,922 ADSs) upon exercise of the 2020 Novartis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year ended December 31, 2025, 1,375,410 ordinary shares were issued due to the vesting of RSUs and exercise of share options.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13. Revenue and Cost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ReproNovo Partnership</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December 2023, the Company and ReproNovo SA. (“ReproNovo”) entered into a global licensing agreement for the development and commercialization of leflutrozole (the “ReproNovo Licensing Agreement”). Under the terms of the ReproNovo Licensing Agreement, ReproNovo received an exclusive worldwide license and will be responsible for all future research, development and commercialization of leflutrozole. Additionally, the Company received an upfront payment of $1.0 million and will be eligible to receive up to $64.3 million in total in development, regulatory and commercial milestones and tiered royalties ranging from the low-to-mid-single digits on global annual net sales of leflutrozole.</w:t>
      </w:r>
    </w:p>
    <w:p>
      <w:pPr>
        <w:spacing w:after="0" w:line="183"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A single performance obligation was identified in this agreement which is the promise to grant the license to develop and commercialize leflutrozole.</w:t>
      </w:r>
    </w:p>
    <w:p>
      <w:pPr>
        <w:spacing w:after="0" w:line="16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a milestone payment of $0.5 million as revenue under the terms of the ReproNovo Licensing Agreement during the year ended December 31, 2025 following confirmation by ReproNovo that the first participant had been included in a Phase 2 trial of leflutrozole. No revenue was recognized during the year ended December 31, 2024.</w:t>
      </w:r>
    </w:p>
    <w:p>
      <w:pPr>
        <w:spacing w:after="0" w:line="176"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As a consequence of the milestone payment received, and in accordance with the terms of the 2015 asset purchase agreement with Novartis, the Company recognized $0.1 million as cost of revenue during the year ended December 31, 2025. No cost of revenue was recognized during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The Company operates in the U.K. and in the U.S. and is subject to income taxes in those countries. The U.K corporation tax rate applied for the years ended December 31, 2025 and 2024 was 25%. U.K. deferred tax assets and liabilities have been measured at the enacted rate of 25%. </w:t>
      </w:r>
      <w:r>
        <w:rPr>
          <w:rFonts w:ascii="Times New Roman" w:cs="Times New Roman" w:eastAsia="Times New Roman" w:hAnsi="Times New Roman"/>
          <w:sz w:val="18"/>
          <w:szCs w:val="18"/>
          <w:color w:val="363435"/>
        </w:rPr>
        <w:t>T</w:t>
      </w:r>
      <w:r>
        <w:rPr>
          <w:rFonts w:ascii="Times New Roman" w:cs="Times New Roman" w:eastAsia="Times New Roman" w:hAnsi="Times New Roman"/>
          <w:sz w:val="18"/>
          <w:szCs w:val="18"/>
          <w:color w:val="auto"/>
        </w:rPr>
        <w:t>he U.S federal income tax rate for the year ended December 31, 2025 and 2024 was 21%. U.S. deferred tax assets and liabilities are calculated at the enacted rate of 21%.</w:t>
      </w:r>
    </w:p>
    <w:p>
      <w:pPr>
        <w:spacing w:after="0" w:line="176"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net loss before income tax are as follows: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3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3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38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39,885</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38,985</w:t>
            </w:r>
          </w:p>
        </w:tc>
      </w:tr>
      <w:tr>
        <w:trPr>
          <w:trHeight w:val="216"/>
        </w:trPr>
        <w:tc>
          <w:tcPr>
            <w:tcW w:w="3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r>
      <w:tr>
        <w:trPr>
          <w:trHeight w:val="230"/>
        </w:trPr>
        <w:tc>
          <w:tcPr>
            <w:tcW w:w="38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41,878</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43,253</w:t>
            </w:r>
          </w:p>
        </w:tc>
      </w:tr>
      <w:tr>
        <w:trPr>
          <w:trHeight w:val="20"/>
        </w:trPr>
        <w:tc>
          <w:tcPr>
            <w:tcW w:w="380" w:type="dxa"/>
            <w:vAlign w:val="bottom"/>
          </w:tcPr>
          <w:p>
            <w:pPr>
              <w:spacing w:after="0" w:line="20" w:lineRule="exact"/>
              <w:rPr>
                <w:sz w:val="1"/>
                <w:szCs w:val="1"/>
                <w:color w:val="auto"/>
              </w:rPr>
            </w:pPr>
          </w:p>
        </w:tc>
        <w:tc>
          <w:tcPr>
            <w:tcW w:w="50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93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939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Both current and deferred income tax benefits are $nil for the years ended December 31, 2025 and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33" w:name="page134"/>
    <w:bookmarkEnd w:id="133"/>
    <w:p>
      <w:pPr>
        <w:ind w:left="760"/>
        <w:spacing w:after="0"/>
        <w:rPr>
          <w:sz w:val="20"/>
          <w:szCs w:val="20"/>
          <w:color w:val="auto"/>
        </w:rPr>
      </w:pPr>
      <w:r>
        <w:rPr>
          <w:rFonts w:ascii="Times New Roman" w:cs="Times New Roman" w:eastAsia="Times New Roman" w:hAnsi="Times New Roman"/>
          <w:sz w:val="18"/>
          <w:szCs w:val="18"/>
          <w:color w:val="auto"/>
        </w:rPr>
        <w:t>A reconciliation of the U.K. statutory income tax rate to the effective tax rate is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1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($'000)</w:t>
            </w:r>
          </w:p>
        </w:tc>
        <w:tc>
          <w:tcPr>
            <w:tcW w:w="8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using U.K. statutory tax rate</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10,414</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3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10,863</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 statutory tax rate difference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(201)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U.K. – R&amp;D tax credits</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(1,814)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 R&amp;D tax credits</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84</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allowances – deferred tax</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3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(7,612)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 – permanent differences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Share-based payments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(1,110)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0" w:type="dxa"/>
            <w:vAlign w:val="bottom"/>
          </w:tcPr>
          <w:p>
            <w:pPr>
              <w:spacing w:after="0"/>
              <w:rPr>
                <w:sz w:val="18"/>
                <w:szCs w:val="18"/>
                <w:color w:val="auto"/>
              </w:rPr>
            </w:pPr>
          </w:p>
        </w:tc>
        <w:tc>
          <w:tcPr>
            <w:tcW w:w="4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 for loss</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comparative information in the reconciliation above have been reclassified to conform with current year presentation following the adoption of ASU 2023-09.</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Following the implementation of the Merged scheme effective for accounting period on or after April 1, 2024, the U.K. R&amp;D tax credits are taxable at the applicable corporation tax rate (see Note 2) and therefore no longer result in a reconciling item in the table above. The corporation tax arising on these U.K. R&amp;D tax credits (the "RDEC Step 2 restriction") has been recognized as a deferred tax asset in the table below.</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Components of the Company’s deferred tax assets and liabilities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losses carryforwards</w:t>
            </w:r>
          </w:p>
        </w:tc>
        <w:tc>
          <w:tcPr>
            <w:tcW w:w="2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131,134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117,604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Temporary differences trading</w:t>
            </w:r>
          </w:p>
        </w:tc>
        <w:tc>
          <w:tcPr>
            <w:tcW w:w="2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Temporary differences non-trading</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tax credits</w:t>
            </w:r>
          </w:p>
        </w:tc>
        <w:tc>
          <w:tcPr>
            <w:tcW w:w="2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78,336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79,031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Section 174 R&amp;E</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2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10,429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9,310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RDEC Step 2 restriction</w:t>
            </w:r>
          </w:p>
        </w:tc>
        <w:tc>
          <w:tcPr>
            <w:tcW w:w="2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226,763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215,021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(226,763)</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vMerge w:val="continue"/>
          </w:tcPr>
          <w:p>
            <w:pPr>
              <w:spacing w:after="0"/>
              <w:rPr>
                <w:sz w:val="21"/>
                <w:szCs w:val="21"/>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net</w:t>
            </w:r>
          </w:p>
        </w:tc>
        <w:tc>
          <w:tcPr>
            <w:tcW w:w="2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3420" w:type="dxa"/>
            <w:vAlign w:val="bottom"/>
            <w:tcBorders>
              <w:top w:val="single" w:sz="8" w:color="CFF0FC"/>
            </w:tcBorders>
          </w:tcPr>
          <w:p>
            <w:pPr>
              <w:spacing w:after="0"/>
              <w:rPr>
                <w:sz w:val="24"/>
                <w:szCs w:val="24"/>
                <w:color w:val="auto"/>
              </w:rPr>
            </w:pPr>
          </w:p>
        </w:tc>
        <w:tc>
          <w:tcPr>
            <w:tcW w:w="2680" w:type="dxa"/>
            <w:vAlign w:val="bottom"/>
            <w:tcBorders>
              <w:top w:val="single" w:sz="8" w:color="CFF0FC"/>
            </w:tcBorders>
          </w:tcPr>
          <w:p>
            <w:pPr>
              <w:ind w:left="900"/>
              <w:spacing w:after="0"/>
              <w:rPr>
                <w:sz w:val="20"/>
                <w:szCs w:val="20"/>
                <w:color w:val="auto"/>
              </w:rPr>
            </w:pPr>
            <w:r>
              <w:rPr>
                <w:rFonts w:ascii="Times New Roman" w:cs="Times New Roman" w:eastAsia="Times New Roman" w:hAnsi="Times New Roman"/>
                <w:sz w:val="18"/>
                <w:szCs w:val="18"/>
                <w:color w:val="auto"/>
              </w:rPr>
              <w:t>F-24</w:t>
            </w: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-1790700</wp:posOffset>
            </wp:positionV>
            <wp:extent cx="946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-1508125</wp:posOffset>
            </wp:positionV>
            <wp:extent cx="946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-934085</wp:posOffset>
            </wp:positionV>
            <wp:extent cx="946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-916940</wp:posOffset>
            </wp:positionV>
            <wp:extent cx="946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1">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4" w:name="page135"/>
    <w:bookmarkEnd w:id="134"/>
    <w:tbl>
      <w:tblPr>
        <w:tblLayout w:type="fixed"/>
        <w:tblInd w:w="76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Movements in deferred tax valuation allowance:</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3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3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38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Valuation allowance at January 1</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(215,021)</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(206,344)</w:t>
            </w:r>
          </w:p>
        </w:tc>
      </w:tr>
      <w:tr>
        <w:trPr>
          <w:trHeight w:val="216"/>
        </w:trPr>
        <w:tc>
          <w:tcPr>
            <w:tcW w:w="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Charges to income tax benefit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w:t>
            </w:r>
          </w:p>
        </w:tc>
      </w:tr>
      <w:tr>
        <w:trPr>
          <w:trHeight w:val="216"/>
        </w:trPr>
        <w:tc>
          <w:tcPr>
            <w:tcW w:w="380" w:type="dxa"/>
            <w:vAlign w:val="bottom"/>
          </w:tcPr>
          <w:p>
            <w:pPr>
              <w:spacing w:after="0"/>
              <w:rPr>
                <w:sz w:val="18"/>
                <w:szCs w:val="18"/>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Charges to other comprehensive income/(loss)</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10"/>
        </w:trPr>
        <w:tc>
          <w:tcPr>
            <w:tcW w:w="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Valuation allowance at December 31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(226,763)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(215,021)</w:t>
            </w:r>
          </w:p>
        </w:tc>
      </w:tr>
      <w:tr>
        <w:trPr>
          <w:trHeight w:val="20"/>
        </w:trPr>
        <w:tc>
          <w:tcPr>
            <w:tcW w:w="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-170815</wp:posOffset>
            </wp:positionV>
            <wp:extent cx="946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2">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Following review of the cumulative tax losses and projections of future taxable losses, it was determined that it is not more likely than not that they will be realized. Accordingly, valuation allowances have been provided over deferred tax assets.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2025, the Company had (i) U.K. net operating loss carryforwards of $64.1 million that can be carried forward indefinitely;</w:t>
      </w:r>
    </w:p>
    <w:p>
      <w:pPr>
        <w:spacing w:after="0" w:line="27" w:lineRule="exact"/>
        <w:rPr>
          <w:sz w:val="20"/>
          <w:szCs w:val="20"/>
          <w:color w:val="auto"/>
        </w:rPr>
      </w:pPr>
    </w:p>
    <w:p>
      <w:pPr>
        <w:ind w:right="200" w:firstLine="8"/>
        <w:spacing w:after="0" w:line="255" w:lineRule="auto"/>
        <w:tabs>
          <w:tab w:leader="none" w:pos="2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tax losses to be carried forward of $67.0 million, of which $20.5 million can be carried forward indefinitely and $46.5 million begin to expire in 2026; (iii) U.S. federal R&amp;D tax credits of $13.7 million that begin to expire in 2027 and less than $0.1 million of state R&amp;D tax credits that do not expire; and (iv) U.S. state tax losses to be carried forward of less than $0.1 million which begin to expire in 2027.</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2024 the Company had (i) U.K. net operating loss carryforwards of $36.6 million that can be carried forward indefinitely;</w:t>
      </w:r>
    </w:p>
    <w:p>
      <w:pPr>
        <w:spacing w:after="0" w:line="27" w:lineRule="exact"/>
        <w:rPr>
          <w:sz w:val="20"/>
          <w:szCs w:val="20"/>
          <w:color w:val="auto"/>
        </w:rPr>
      </w:pPr>
    </w:p>
    <w:p>
      <w:pPr>
        <w:ind w:firstLine="8"/>
        <w:spacing w:after="0" w:line="255" w:lineRule="auto"/>
        <w:tabs>
          <w:tab w:leader="none" w:pos="2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tax losses to be carried forward of $66.3 million, of which $19.5 million can be carried forward indefinitely and $46.8 million that began to expire in 2025; (iii) U.S. federal R&amp;D tax credits of $13.9 million that began to expire in 2025 and less than $0.1 million of state R&amp;D tax credits that do not expire; and (iv) U.S. state tax losses to be carried forward of less than $0.1 million which begin to expire in 2027.</w:t>
      </w:r>
    </w:p>
    <w:p>
      <w:pPr>
        <w:spacing w:after="0" w:line="18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files separate income tax returns in the U.K. and the U.S. All necessary income tax filings have been completed for all years up to and including December 31, 2024, and there are no ongoing tax examinations in any jurisdiction. There were no federal (national), state or local income tax expense (or benefit) and no federal (national), state or local income tax has been paid in any jurisdiction for the years ended December 31, 2025 and 2024.</w:t>
      </w:r>
    </w:p>
    <w:p>
      <w:pPr>
        <w:spacing w:after="0" w:line="176"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a cumulative uncertain tax position of $3.8 million. The uncertain tax position relates to U.S. R&amp;D tax credits. The total amount of unrecognized tax benefits, if recognized, would affect the effective tax rate. As of December 31, 2025, the Company had no accrued interest or penalties related to uncertain tax positions.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unrecognized income tax benefits: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5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3,749</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3,729</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3,753</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3,749</w:t>
            </w: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946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946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8"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For Mereo BioPharma 5, Inc., with respect to accumulated tax losses carried forward prior to its acquisition by the Company of $18.2 million, there is a change of control restriction which will limit the amount available in any one year to $0.3 million per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currently grants equity awards under the Mereo 2019 Equity Incentive Plan (the “2019 EIP”) and the 2019 Non-Employee Equity Incentive Plan (the “2019 NED EIP”). There are also still outstanding awards under two previous plans, the Mereo BioPharma Group Limited Share Option Plan and the Mereo Share Option Plan (together the "Previous Share Option Plans"), however no further grants are envisioned from these plans.</w:t>
      </w:r>
    </w:p>
    <w:p>
      <w:pPr>
        <w:spacing w:after="0" w:line="176" w:lineRule="exact"/>
        <w:rPr>
          <w:sz w:val="20"/>
          <w:szCs w:val="20"/>
          <w:color w:val="auto"/>
        </w:rPr>
      </w:pPr>
    </w:p>
    <w:p>
      <w:pPr>
        <w:ind w:right="240" w:firstLine="794"/>
        <w:spacing w:after="0" w:line="282" w:lineRule="auto"/>
        <w:rPr>
          <w:sz w:val="20"/>
          <w:szCs w:val="20"/>
          <w:color w:val="auto"/>
        </w:rPr>
      </w:pPr>
      <w:r>
        <w:rPr>
          <w:rFonts w:ascii="Times New Roman" w:cs="Times New Roman" w:eastAsia="Times New Roman" w:hAnsi="Times New Roman"/>
          <w:sz w:val="18"/>
          <w:szCs w:val="18"/>
          <w:color w:val="auto"/>
        </w:rPr>
        <w:t>The 2019 EIP and 2019 NED EIP were adopted on April 4, 2019, and subsequently amended on February 3, 2020 and January 15, 2021. The 2019 EIP and 2019 NED EIP authorize the grant of a variety of types of share awards over the Company’s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35" w:name="page136"/>
    <w:bookmarkEnd w:id="135"/>
    <w:p>
      <w:pPr>
        <w:spacing w:after="0" w:line="282" w:lineRule="auto"/>
        <w:rPr>
          <w:sz w:val="20"/>
          <w:szCs w:val="20"/>
          <w:color w:val="auto"/>
        </w:rPr>
      </w:pPr>
      <w:r>
        <w:rPr>
          <w:rFonts w:ascii="Times New Roman" w:cs="Times New Roman" w:eastAsia="Times New Roman" w:hAnsi="Times New Roman"/>
          <w:sz w:val="18"/>
          <w:szCs w:val="18"/>
          <w:color w:val="auto"/>
        </w:rPr>
        <w:t>ADSs to executives and employees, and non-executives, respectively. The total number of ADSs available for issue under the 2019 EIP and 2019 NED EIP was 14.2 million as of December 31, 2025.</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expense for share-based compensation arises solely in respect of awards made under these two active plans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0" w:type="dxa"/>
            <w:vAlign w:val="bottom"/>
          </w:tcPr>
          <w:p>
            <w:pPr>
              <w:spacing w:after="0"/>
              <w:rPr>
                <w:sz w:val="18"/>
                <w:szCs w:val="18"/>
                <w:color w:val="auto"/>
              </w:rPr>
            </w:pPr>
          </w:p>
        </w:tc>
      </w:tr>
      <w:tr>
        <w:trPr>
          <w:trHeight w:val="238"/>
        </w:trPr>
        <w:tc>
          <w:tcPr>
            <w:tcW w:w="36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36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6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EIP</w:t>
            </w:r>
          </w:p>
        </w:tc>
        <w:tc>
          <w:tcPr>
            <w:tcW w:w="2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6,100</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5,898</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2019 NED EIP</w:t>
            </w:r>
          </w:p>
        </w:tc>
        <w:tc>
          <w:tcPr>
            <w:tcW w:w="2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2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7,598</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25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-25400</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unrecognized compensation cost related to outstanding share awards was $4.3 million, which the Company expects to recognize over a weighted-average period of 1.6 years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Options exercised and RSUs vesting in the year ended December 31, 2025 were settled by the Company issuing new shares for the equivalent number of shares underlying the award. Options exercised between March 2024 and December 31, 2024 were net share settled such that the Company withheld shares with a value equivalent to the exercise price. In both cases, a portion of the shares issued were then sold on the employee's behalf for an amount sufficient to cover their obligation for the applicable income and other employment taxes, and the proceeds were remitted to the appropriate taxing authorities. RSUs vesting in the period were settled by the Company issuing new shares for the equivalent number of shares underlying the award and settling taxes in the same way.</w:t>
      </w:r>
    </w:p>
    <w:p>
      <w:pPr>
        <w:spacing w:after="0" w:line="187"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Prior to March 2024, the remaining shares held in the EBT were used to satisfy the exercise of Options and vesting of RSUs to employees. The EBT was terminated during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Value Options (“Options”)</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Options permit the recipient to purchase ADSs at an exercise price equal to the market price of the underlying ADSs on the date of grant. Options issued under the EIP have a contractual term of 10 years and vest over four years, with one-fourth of the award vesting on the first anniversary of the grant date and the remainder vesting in equal monthly installments over the three-year period thereafter. No performance conditions apply to such Options.</w:t>
      </w:r>
    </w:p>
    <w:p>
      <w:pPr>
        <w:spacing w:after="0" w:line="18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Option activity and related information under the 2019 EIP for the years ended December 31, 2025 and 2024 is as follows; all outstanding Options are expected to vest:</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20" w:type="dxa"/>
            <w:vAlign w:val="bottom"/>
          </w:tcPr>
          <w:p>
            <w:pPr>
              <w:spacing w:after="0"/>
              <w:rPr>
                <w:sz w:val="18"/>
                <w:szCs w:val="18"/>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820" w:type="dxa"/>
            <w:vAlign w:val="bottom"/>
          </w:tcPr>
          <w:p>
            <w:pPr>
              <w:spacing w:after="0"/>
              <w:rPr>
                <w:sz w:val="18"/>
                <w:szCs w:val="18"/>
                <w:color w:val="auto"/>
              </w:rPr>
            </w:pP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820" w:type="dxa"/>
            <w:vAlign w:val="bottom"/>
          </w:tcPr>
          <w:p>
            <w:pPr>
              <w:spacing w:after="0"/>
              <w:rPr>
                <w:sz w:val="20"/>
                <w:szCs w:val="20"/>
                <w:color w:val="auto"/>
              </w:rPr>
            </w:pP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10"/>
        </w:trPr>
        <w:tc>
          <w:tcPr>
            <w:tcW w:w="5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At December 31, 2024</w:t>
            </w: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11,271,023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15,758</w:t>
            </w:r>
          </w:p>
        </w:tc>
      </w:tr>
      <w:tr>
        <w:trPr>
          <w:trHeight w:val="21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2,398,730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(23,544)</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13,477,883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82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8,644,082</w:t>
            </w:r>
          </w:p>
        </w:tc>
        <w:tc>
          <w:tcPr>
            <w:tcW w:w="2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3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-307975</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-307975</wp:posOffset>
            </wp:positionV>
            <wp:extent cx="85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right="70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fair value per share of Options granted during the year ended December 31, 2025 and 2024 was $2.40 and $2.61,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6" w:name="page137"/>
    <w:bookmarkEnd w:id="136"/>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as of December 31, 2025 and 2024 was 7.0 years and 7.6 years, respectively. The weighted average contractual life for vested Options as of December 31, 2025 and 2024 was 6.3 years and 6.8 years, respectively.</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using the following weighted average assumptions:</w:t>
      </w:r>
    </w:p>
    <w:p>
      <w:pPr>
        <w:spacing w:after="0" w:line="18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4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c>
          <w:tcPr>
            <w:tcW w:w="1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90.82%</w:t>
            </w: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Expected volatility is calculated by reference to the historical volatility of the Company's ADSs for the year ended December 31, 2025 and an appropriate peer group of companies for the year ended December 31, 2024. The grant date fair value is recognized over the requisite service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Each RSU entitles the holder a conditional right to receive an ADS at no cost upon the completion of the applicable vesting period. RSUs granted under the EIP vest over three years with one-third of the awards vesting on the first anniversary of the grant date and the remainder vesting in four equal six-monthly installments thereafter. Upon vesting of the RSUs, the Company issues the requisite ADSs, a portion of which are sold to satisfy the resulting tax obligations, and the remaining ADSs are delivered to the holder. RSUs have a maximum contractual life of 3.0 years.</w:t>
      </w:r>
    </w:p>
    <w:p>
      <w:pPr>
        <w:spacing w:after="0" w:line="18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RSU activity and related information under the 2019 EIP for the years ended December 31, 2025 and 2024 is as follows; all outstanding RSUs are expected to vest:</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14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614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38"/>
        </w:trPr>
        <w:tc>
          <w:tcPr>
            <w:tcW w:w="6140" w:type="dxa"/>
            <w:vAlign w:val="bottom"/>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(ADSs)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Value ($)</w:t>
            </w: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441,247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327,302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(240,262)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61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(69,912)</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49"/>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458,375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857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857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weighted average remaining period of RSUs outstanding was 2.0 years and 2.2 years, respectively. The total fair value of RSUs vested and delivered during the year ended December 31, 2025 and 2024 was $0.6 million and $0.9 million, respectively.</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RSU is calculated by reference to the value of the shares awarded. The grant date fair value is recognized over the vesting period using the accelerated graded-vesting attribution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NED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NED EIP:</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ind w:right="600" w:firstLine="749"/>
        <w:spacing w:after="0" w:line="266" w:lineRule="auto"/>
        <w:rPr>
          <w:sz w:val="20"/>
          <w:szCs w:val="20"/>
          <w:color w:val="auto"/>
        </w:rPr>
      </w:pPr>
      <w:r>
        <w:rPr>
          <w:rFonts w:ascii="Times New Roman" w:cs="Times New Roman" w:eastAsia="Times New Roman" w:hAnsi="Times New Roman"/>
          <w:sz w:val="18"/>
          <w:szCs w:val="18"/>
          <w:color w:val="auto"/>
        </w:rPr>
        <w:t>Options permit the recipient to purchase ADSs at an exercise price equal to the market price of the underlying ADSs on the date of grant. Options issued under the 2019 NED EIP have a contractual term of 10 years and vest in equal monthly installments over one year. There are no performance conditions.</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Option activity and related information under the 2019 NED EIP for the years ended December 31, 2025 and 2024 is as follows; all outstanding Options are expected to vest:</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2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26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8"/>
        </w:trPr>
        <w:tc>
          <w:tcPr>
            <w:tcW w:w="5260" w:type="dxa"/>
            <w:vAlign w:val="bottom"/>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1,542,087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2,123</w:t>
            </w:r>
          </w:p>
        </w:tc>
      </w:tr>
      <w:tr>
        <w:trPr>
          <w:trHeight w:val="216"/>
        </w:trPr>
        <w:tc>
          <w:tcPr>
            <w:tcW w:w="526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440,000</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1,982,087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1,908,759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-173990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-156845</wp:posOffset>
            </wp:positionV>
            <wp:extent cx="774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-319405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fair value per share of Options granted during the year ended December 31, 2025 and 2024 was $2.51 and $2.83, respectively.</w:t>
      </w:r>
    </w:p>
    <w:p>
      <w:pPr>
        <w:spacing w:after="0" w:line="162"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as of December 31, 2025 and 2024 was 7.0 years and 7.5 years, respectively. The weighted average contractual life for vested Options as of December 31, 2025 and 2024 was 7.0 years and 7.4 years, respectively.</w:t>
      </w:r>
    </w:p>
    <w:p>
      <w:pPr>
        <w:spacing w:after="0" w:line="16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using the following weighted average assumptions:</w:t>
      </w:r>
    </w:p>
    <w:p>
      <w:pPr>
        <w:spacing w:after="0" w:line="37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9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20" w:type="dxa"/>
            <w:vAlign w:val="bottom"/>
          </w:tcPr>
          <w:p>
            <w:pPr>
              <w:spacing w:after="0"/>
              <w:rPr>
                <w:sz w:val="18"/>
                <w:szCs w:val="18"/>
                <w:color w:val="auto"/>
              </w:rPr>
            </w:pPr>
          </w:p>
        </w:tc>
      </w:tr>
      <w:tr>
        <w:trPr>
          <w:trHeight w:val="238"/>
        </w:trPr>
        <w:tc>
          <w:tcPr>
            <w:tcW w:w="60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20" w:type="dxa"/>
            <w:vAlign w:val="bottom"/>
            <w:tcBorders>
              <w:bottom w:val="single" w:sz="8" w:color="auto"/>
            </w:tcBorders>
          </w:tcPr>
          <w:p>
            <w:pPr>
              <w:spacing w:after="0"/>
              <w:rPr>
                <w:sz w:val="20"/>
                <w:szCs w:val="20"/>
                <w:color w:val="auto"/>
              </w:rPr>
            </w:pPr>
          </w:p>
        </w:tc>
      </w:tr>
      <w:tr>
        <w:trPr>
          <w:trHeight w:val="210"/>
        </w:trPr>
        <w:tc>
          <w:tcPr>
            <w:tcW w:w="6020" w:type="dxa"/>
            <w:vAlign w:val="bottom"/>
          </w:tcPr>
          <w:p>
            <w:pPr>
              <w:spacing w:after="0"/>
              <w:rPr>
                <w:sz w:val="18"/>
                <w:szCs w:val="18"/>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Expected volatility is calculated by reference to the historical volatility of the Company's ADSs for the year ended December 31, 2025 and an appropriate peer group of companies for the year ended December 31, 2024. The grant date fair value is recognized over the requisite service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Restricted Stock Units (“DRSUs”)</w:t>
      </w:r>
    </w:p>
    <w:p>
      <w:pPr>
        <w:spacing w:after="0" w:line="229" w:lineRule="exact"/>
        <w:rPr>
          <w:sz w:val="20"/>
          <w:szCs w:val="20"/>
          <w:color w:val="auto"/>
        </w:rPr>
      </w:pPr>
    </w:p>
    <w:p>
      <w:pPr>
        <w:ind w:right="40" w:firstLine="749"/>
        <w:spacing w:after="0" w:line="277" w:lineRule="auto"/>
        <w:rPr>
          <w:sz w:val="20"/>
          <w:szCs w:val="20"/>
          <w:color w:val="auto"/>
        </w:rPr>
      </w:pPr>
      <w:r>
        <w:rPr>
          <w:rFonts w:ascii="Times New Roman" w:cs="Times New Roman" w:eastAsia="Times New Roman" w:hAnsi="Times New Roman"/>
          <w:sz w:val="17"/>
          <w:szCs w:val="17"/>
          <w:color w:val="auto"/>
        </w:rPr>
        <w:t>Non-executive directors may voluntarily elect to convert their annual cash fees for services on the board of directors to DRSUs which were granted to NEDs who made such elections. The number of DRSUs granted is determined by dividing the amount of the annual cash compensation by the average closing trading price of the Company's ADSs over the most recent 30 trading days as of the date of grant. Each DRSU entitles the holder to receive an ADS at no cost upon the completion of the vesting period. DRSUs granted under the 2019 NED EIP vest in substantially equal monthly installments over the plan year. Delivery of ADSs underlying DRSUs will generally be 180 days following separation of service but have no specified contractual term.</w:t>
      </w:r>
    </w:p>
    <w:p>
      <w:pPr>
        <w:spacing w:after="0" w:line="16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DRSU activity and related information under the 2019 NED EIP for the years ended December 31, 2025 and 2024 is as follows; all outstanding DRSUs are expected to vest: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8" w:name="page139"/>
    <w:bookmarkEnd w:id="138"/>
    <w:tbl>
      <w:tblPr>
        <w:tblLayout w:type="fixed"/>
        <w:tblInd w:w="11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14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614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DRSUs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38"/>
        </w:trPr>
        <w:tc>
          <w:tcPr>
            <w:tcW w:w="6140" w:type="dxa"/>
            <w:vAlign w:val="bottom"/>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Value ($)</w:t>
            </w: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855,375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1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124,233</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r>
      <w:tr>
        <w:trPr>
          <w:trHeight w:val="249"/>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979,608</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197"/>
        </w:trPr>
        <w:tc>
          <w:tcPr>
            <w:tcW w:w="61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Vested</w:t>
            </w:r>
          </w:p>
        </w:tc>
        <w:tc>
          <w:tcPr>
            <w:tcW w:w="13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969,258</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1.64</w:t>
            </w: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Unvested</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10,350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-299720</wp:posOffset>
            </wp:positionV>
            <wp:extent cx="85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-282575</wp:posOffset>
            </wp:positionV>
            <wp:extent cx="857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-445135</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20,903 DRSUs unvested with a weighted average grant date fair value of $3.87 per DRSU. The total fair value of DRSUs vested during the year ended December 31, 2025 and 2024 was $0.3 million and $0.4 million, respectively.</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DRSU was calculated by reference to the value of the shares awarded. The grant date fair value is recognized over the vesting period using the accelerated graded-vesting attribution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 Share Option Plans</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Mereo previously granted Options to employees under the Previous Share Options Plans. No awards have been granted under either of these plans following the introduction of the 2019 EIP and the 2019 NED EIP and no further awards are envisioned.</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Options activity and related information under the Previous Share Options Plans for the year ended December 31, 2025 is as follows; all outstanding Options are vested:</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At December 31, 2024</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1,419,867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(1,312,259)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-170815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right="86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and vested at December 31, 2025 and 2024 was 1.1 years and 0.8 years,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Loss per share</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Basic loss per share is calculated by dividing the loss attributable to ordinary equity holders of the Company for the year by the weighted average number of ordinary shares outstanding during the year. Diluted loss per share is based on dividing the loss attributable for the year, adjusted for the effect of diluted ordinary shares, by ordinary share equivalents, which includes the weighted average number of ordinary shares outstanding and the effect of dilutive ordinary share equivalents.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gridSpan w:val="5"/>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5"/>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($'000, except</w:t>
            </w:r>
          </w:p>
        </w:tc>
        <w:tc>
          <w:tcPr>
            <w:tcW w:w="140" w:type="dxa"/>
            <w:vAlign w:val="bottom"/>
          </w:tcPr>
          <w:p>
            <w:pPr>
              <w:spacing w:after="0"/>
              <w:rPr>
                <w:sz w:val="16"/>
                <w:szCs w:val="16"/>
                <w:color w:val="auto"/>
              </w:rPr>
            </w:pPr>
          </w:p>
        </w:tc>
        <w:tc>
          <w:tcPr>
            <w:tcW w:w="1340" w:type="dxa"/>
            <w:vAlign w:val="bottom"/>
            <w:gridSpan w:val="2"/>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($'000, except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140" w:type="dxa"/>
            <w:vAlign w:val="bottom"/>
          </w:tcPr>
          <w:p>
            <w:pPr>
              <w:spacing w:after="0"/>
              <w:rPr>
                <w:sz w:val="18"/>
                <w:szCs w:val="18"/>
                <w:color w:val="auto"/>
              </w:rPr>
            </w:pPr>
          </w:p>
        </w:tc>
        <w:tc>
          <w:tcPr>
            <w:tcW w:w="246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(41,878)</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59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tcPr>
          <w:p>
            <w:pPr>
              <w:spacing w:after="0"/>
              <w:rPr>
                <w:sz w:val="15"/>
                <w:szCs w:val="15"/>
                <w:color w:val="auto"/>
              </w:rPr>
            </w:pPr>
          </w:p>
        </w:tc>
        <w:tc>
          <w:tcPr>
            <w:tcW w:w="59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 – basic</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797,119,632</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739,624,264</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98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598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F-29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-1353820</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-933450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-916305</wp:posOffset>
            </wp:positionV>
            <wp:extent cx="857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9" w:name="page140"/>
    <w:bookmarkEnd w:id="139"/>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securities in the table below have been excluded from the computation of diluted loss per share as the effect for the years ended December 31, 2025 and 2024 would be to reduce the loss per share. Therefore, the weighted average number of ordinary shares outstanding used to calculate both basic and diluted loss per share is the same.</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900" w:type="dxa"/>
            <w:vAlign w:val="bottom"/>
            <w:gridSpan w:val="3"/>
          </w:tcPr>
          <w:p>
            <w:pPr>
              <w:jc w:val="center"/>
              <w:ind w:left="734"/>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940" w:type="dxa"/>
            <w:vAlign w:val="bottom"/>
          </w:tcPr>
          <w:p>
            <w:pPr>
              <w:spacing w:after="0"/>
              <w:rPr>
                <w:sz w:val="18"/>
                <w:szCs w:val="18"/>
                <w:color w:val="auto"/>
              </w:rPr>
            </w:pPr>
          </w:p>
        </w:tc>
      </w:tr>
      <w:tr>
        <w:trPr>
          <w:trHeight w:val="238"/>
        </w:trPr>
        <w:tc>
          <w:tcPr>
            <w:tcW w:w="614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73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40" w:type="dxa"/>
            <w:vAlign w:val="bottom"/>
            <w:tcBorders>
              <w:bottom w:val="single" w:sz="8" w:color="auto"/>
            </w:tcBorders>
          </w:tcPr>
          <w:p>
            <w:pPr>
              <w:spacing w:after="0"/>
              <w:rPr>
                <w:sz w:val="20"/>
                <w:szCs w:val="20"/>
                <w:color w:val="auto"/>
              </w:rPr>
            </w:pPr>
          </w:p>
        </w:tc>
      </w:tr>
      <w:tr>
        <w:trPr>
          <w:trHeight w:val="209"/>
        </w:trPr>
        <w:tc>
          <w:tcPr>
            <w:tcW w:w="6140" w:type="dxa"/>
            <w:vAlign w:val="bottom"/>
          </w:tcPr>
          <w:p>
            <w:pPr>
              <w:spacing w:after="0"/>
              <w:rPr>
                <w:sz w:val="18"/>
                <w:szCs w:val="18"/>
                <w:color w:val="auto"/>
              </w:rPr>
            </w:pPr>
          </w:p>
        </w:tc>
        <w:tc>
          <w:tcPr>
            <w:tcW w:w="13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issuable for:</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80,181,515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77,647,995</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190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16,966,052</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2,487,816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2,487,816</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classified in equity</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3,551,699</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5,001,313</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right="40" w:firstLine="749"/>
        <w:spacing w:after="0" w:line="257"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However, the Company may record charges in the future as a result of these indemnification obligations. In accordance with the Articles of Association, the Company has indemnification obligations to its officers and directors for certain events or occurrences, subject to certain limits, while they are serving at the Company’s request in such capacity. There have been no claims to date, and the Company has director and officer insurance that may enable it to recover a portion of any amounts paid for future potential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Asset Purchase Agreements</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 has agreed to make future payments to Novartis comprising amounts equal to ascending specified percentages of tiered annual worldwide net sales (beginning at high single digits and reaching into double digits at higher sales) of products that include the assets acquired. The levels of ascending percentages of tiered annual worldwide net sales are stipulated under the respective Purchase Agreements.</w:t>
      </w:r>
    </w:p>
    <w:p>
      <w:pPr>
        <w:spacing w:after="0" w:line="17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Company further agreed that in the event it transfers, licenses, assigns or leases all or substantially all of its assets, it will pay Novartis a percentage of the proceeds of such transaction, subject to certain deductions.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AstraZeneca</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October 2017, the Company entered into an exclusive license and option agreement (“the AstraZeneca License Agreement”) and subscription deed (the “AstraZeneca Subscription Deed”), together (the "Original Agreements") with AstraZeneca AB ("AstraZeneca"). Each of these were amended on November 8, 2024, when the Company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Original Agreements, the Company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the Company made a payment of $3.0 million and issued 490,798 ordinary shares (equivalent to 98,159 ADSs) to AstraZeneca, for an aggregate upfront payment equal to $5.0 million. Upon execution of the Amended AstraZeneca License Agreement, the Company issued 2,044,390 ordinary shares and paid $0.5 million to AstraZeneca in respect of an agreed milestone.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0" w:name="page141"/>
    <w:bookmarkEnd w:id="140"/>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Under the terms of the Amended AstraZeneca Agreements, the Company has agreed, in connection with certain further development and regulatory milestones, to make potential future payments both in cash and through the issue of a variable number of additional ADSs to AstraZeneca of up to $114.3 million in aggregate for products included in the Amended AstraZeneca License Agreement.</w:t>
      </w:r>
    </w:p>
    <w:p>
      <w:pPr>
        <w:spacing w:after="0" w:line="17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number of ADSs to be issued to satisfy each equity milestone is determined by dividing a monetary amount by a defined subscription price based on the weighted average trading price of the Company's ADSs, and the obligation is presented as a liability under ASC Topic 480, Distinguishing Liabilities from Equity. The Company continues to reassess the fair value of such instruments in each reporting period until the milestones are achieved, if ever, and the issuance of shares occurs. Given the pervasive uncertainty involved in establishing the amounts, timing and likelihood of the future cash flows, including the Company’s ability to secure either a partnership or alternative forms of non-dilutive financing, the possible terms and rate of such a partnership or financing, the clinical and regulatory performance of the product candidate and the lack of comparable recent transactions, the Company has determined the fair value of the equity milestones to be paid in a variable number of shares pursuant to its Amended AstraZeneca License Agreement to be negligible and therefore assigned a nil value to the instrument as of December 31, 2025 and 2024.</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the development and regulatory milestones,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spacing w:after="0" w:line="18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Amended AstraZeneca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Amended AstraZeneca License Agreement upon prior written notice. Either party may terminate the agreement upon prior written notice for the other party’s material breach that remains uncured for a specified period of time or insolvency.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CROs,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has no manufacturing commitments with CMOs as of December 31, 2025 and had $0.5 million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 agreement with Ultragenyx</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December 2024, the Company entered into a manufacturing and supply agreement with Ultragenyx under which Ultragenyx is responsible for the manufacture and supply of setrusumab to the Company in its territories. The Company is also required to reimburse Ultragenyx for a portion of the manufacturing process development costs, future commercial supply costs as well as a portion of costs in the event of cancellation of certain manufacturing slots. Pursuant to this agreement, the Company expects to recognize its share of the costs related to cancellation of certain manufacturing slots by Ultragenyx in the first half of 2026. The amount of these costs is currently subject to verification.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140" w:firstLine="749"/>
        <w:spacing w:after="0" w:line="312" w:lineRule="auto"/>
        <w:rPr>
          <w:sz w:val="20"/>
          <w:szCs w:val="20"/>
          <w:color w:val="auto"/>
        </w:rPr>
      </w:pPr>
      <w:r>
        <w:rPr>
          <w:rFonts w:ascii="Times New Roman" w:cs="Times New Roman" w:eastAsia="Times New Roman" w:hAnsi="Times New Roman"/>
          <w:sz w:val="17"/>
          <w:szCs w:val="17"/>
          <w:color w:val="auto"/>
        </w:rPr>
        <w:t>From time to time, the Company may be a party to litigation or subject to claims incident to the ordinary course of business. The Company was not a party to any material litigation and did not have any material contingency reserves established for any liabilities as of December 31, 2025 and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years ended December 31, 2025 and 2024, there were no reportable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1" w:name="page142"/>
    <w:bookmarkEnd w:id="141"/>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one operating segment focused on the business of developing rare disease therapies. The accounting policies of the single operating segment are described in Note 2. The chief operating decision maker, its Chief Executive Officer, assesses performance for the entity and decides how to allocate resources based on consolidated net loss before income tax, which is reported on the consolidated statements of operations and comprehensive loss. The measure of segment assets is reported on the balance sheet as total consolidated assets.</w:t>
      </w:r>
    </w:p>
    <w:p>
      <w:pPr>
        <w:spacing w:after="0" w:line="18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uses consolidated net loss before income tax and budget-to-actual variances for consolidated net loss before income tax to assess the performance of the operating segment.</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financial data for the Company’s reportable segment, including significant segment expenses regularly provided to the chief operating decision maker to assess performance of the Company.</w:t>
      </w:r>
    </w:p>
    <w:p>
      <w:pPr>
        <w:spacing w:after="0" w:line="37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Setrusumab (BPS-804/UX143)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Alvelestat (MPH-966)</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(12,918)</w:t>
            </w:r>
          </w:p>
        </w:tc>
      </w:tr>
      <w:tr>
        <w:trPr>
          <w:trHeight w:val="216"/>
        </w:trPr>
        <w:tc>
          <w:tcPr>
            <w:tcW w:w="20" w:type="dxa"/>
            <w:vAlign w:val="bottom"/>
          </w:tcPr>
          <w:p>
            <w:pPr>
              <w:spacing w:after="0"/>
              <w:rPr>
                <w:sz w:val="18"/>
                <w:szCs w:val="18"/>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Etigilimab (MPH-313)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(26,434)</w:t>
            </w: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4,111</w:t>
            </w: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(41,878)</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(43,253)</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-170815</wp:posOffset>
            </wp:positionV>
            <wp:extent cx="857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revenue recognized by the Company during the year ended December 31, 2025 was attributable to its operations in the U.K.</w:t>
      </w:r>
    </w:p>
    <w:p>
      <w:pPr>
        <w:spacing w:after="0" w:line="225"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Other segment expenses consist of interest income, interest expense, change in fair value of warrants, foreign currency transaction loss/(gain), benefit from research and development tax credit and other income. These are disclosed in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Putative Securities Class Action</w:t>
      </w:r>
    </w:p>
    <w:p>
      <w:pPr>
        <w:spacing w:after="0" w:line="229"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 xml:space="preserve">On February 4, 2026, a putative class action complaint was filed in the United States District Court for the Southern District of New York against the Company, its Chief Executive Officer, Denise Scots-Knight, and its Chief Scientific Officer, John Lewicki (the “Defendants”). This action, captioned </w:t>
      </w:r>
      <w:r>
        <w:rPr>
          <w:rFonts w:ascii="Times New Roman" w:cs="Times New Roman" w:eastAsia="Times New Roman" w:hAnsi="Times New Roman"/>
          <w:sz w:val="18"/>
          <w:szCs w:val="18"/>
          <w:i w:val="1"/>
          <w:iCs w:val="1"/>
          <w:color w:val="auto"/>
        </w:rPr>
        <w:t>Dodge v. Mereo Biopharma Group PLC</w:t>
      </w:r>
      <w:r>
        <w:rPr>
          <w:rFonts w:ascii="Times New Roman" w:cs="Times New Roman" w:eastAsia="Times New Roman" w:hAnsi="Times New Roman"/>
          <w:sz w:val="18"/>
          <w:szCs w:val="18"/>
          <w:color w:val="auto"/>
        </w:rPr>
        <w:t xml:space="preserve"> (No. 1:26-cv-988), alleges that the Defendants violated federal securities law by making false and misleading statements regarding the Company's business and operations. The Plaintiff seeks the payment of damages allegedly sustained by her and the putative class by reason of the allegations set forth in the complaint, plus interest, and legal and other costs and fees. The Company intends to vigorously defend against this action. Due to the nature of this matter and inherent uncertainties, it is not possible to provide an evaluation of the likelihood of an unfavorable outcome or an estimate of the amount or range of potential loss, if any.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b w:val="1"/>
          <w:bCs w:val="1"/>
          <w:color w:val="auto"/>
        </w:rPr>
        <w:t>Exhibit 10.33</w:t>
      </w:r>
    </w:p>
    <w:p>
      <w:pPr>
        <w:spacing w:after="0" w:line="324" w:lineRule="exact"/>
        <w:rPr>
          <w:sz w:val="20"/>
          <w:szCs w:val="20"/>
          <w:color w:val="auto"/>
        </w:rPr>
      </w:pPr>
    </w:p>
    <w:p>
      <w:pPr>
        <w:ind w:left="60" w:right="20" w:hanging="44"/>
        <w:spacing w:after="0" w:line="300" w:lineRule="auto"/>
        <w:rPr>
          <w:sz w:val="20"/>
          <w:szCs w:val="20"/>
          <w:color w:val="auto"/>
        </w:rPr>
      </w:pPr>
      <w:r>
        <w:rPr>
          <w:rFonts w:ascii="Times New Roman" w:cs="Times New Roman" w:eastAsia="Times New Roman" w:hAnsi="Times New Roman"/>
          <w:sz w:val="19"/>
          <w:szCs w:val="19"/>
          <w:b w:val="1"/>
          <w:bCs w:val="1"/>
          <w:color w:val="auto"/>
        </w:rPr>
        <w:t>CERTAIN CONFIDENTIAL INFORMATION CONTAINED IN THIS DOCUMENT, MARKED BY [***], HAS BEEN OMITTED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COLLABORATION AND LICENSEAGREEMENT</w:t>
      </w:r>
    </w:p>
    <w:p>
      <w:pPr>
        <w:spacing w:after="0" w:line="324"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0"/>
          <w:szCs w:val="20"/>
          <w:color w:val="auto"/>
        </w:rPr>
        <w:t>This First Amendment to Collaboration and License Agreement (the “</w:t>
      </w:r>
      <w:r>
        <w:rPr>
          <w:rFonts w:ascii="Times New Roman" w:cs="Times New Roman" w:eastAsia="Times New Roman" w:hAnsi="Times New Roman"/>
          <w:sz w:val="20"/>
          <w:szCs w:val="20"/>
          <w:b w:val="1"/>
          <w:bCs w:val="1"/>
          <w:color w:val="auto"/>
        </w:rPr>
        <w:t>First Amendment</w:t>
      </w:r>
      <w:r>
        <w:rPr>
          <w:rFonts w:ascii="Times New Roman" w:cs="Times New Roman" w:eastAsia="Times New Roman" w:hAnsi="Times New Roman"/>
          <w:sz w:val="20"/>
          <w:szCs w:val="20"/>
          <w:color w:val="auto"/>
        </w:rPr>
        <w:t>”), effective May 20, 2025 (“</w:t>
      </w:r>
      <w:r>
        <w:rPr>
          <w:rFonts w:ascii="Times New Roman" w:cs="Times New Roman" w:eastAsia="Times New Roman" w:hAnsi="Times New Roman"/>
          <w:sz w:val="20"/>
          <w:szCs w:val="20"/>
          <w:b w:val="1"/>
          <w:bCs w:val="1"/>
          <w:color w:val="auto"/>
        </w:rPr>
        <w:t>First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Amendment Effective Date</w:t>
      </w:r>
      <w:r>
        <w:rPr>
          <w:rFonts w:ascii="Times New Roman" w:cs="Times New Roman" w:eastAsia="Times New Roman" w:hAnsi="Times New Roman"/>
          <w:sz w:val="20"/>
          <w:szCs w:val="20"/>
          <w:color w:val="auto"/>
        </w:rPr>
        <w:t>”), serves to amend the Collaboration and License Agreement, effective December 17, 2020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and between Mereo BioPharma 3 Limited, a corporation with a place of business at 1 Cavendish Place, London, W1G 0QF, United Kingdom (“</w:t>
      </w:r>
      <w:r>
        <w:rPr>
          <w:rFonts w:ascii="Times New Roman" w:cs="Times New Roman" w:eastAsia="Times New Roman" w:hAnsi="Times New Roman"/>
          <w:sz w:val="20"/>
          <w:szCs w:val="20"/>
          <w:b w:val="1"/>
          <w:bCs w:val="1"/>
          <w:color w:val="auto"/>
        </w:rPr>
        <w:t>Mereo</w:t>
      </w:r>
      <w:r>
        <w:rPr>
          <w:rFonts w:ascii="Times New Roman" w:cs="Times New Roman" w:eastAsia="Times New Roman" w:hAnsi="Times New Roman"/>
          <w:sz w:val="20"/>
          <w:szCs w:val="20"/>
          <w:color w:val="auto"/>
        </w:rPr>
        <w:t>”) and Ultragenyx Pharmaceutical Inc., a Delaware corporation having a place of business at 60 Leveroni Court, Novato, CA 94949 (“</w:t>
      </w:r>
      <w:r>
        <w:rPr>
          <w:rFonts w:ascii="Times New Roman" w:cs="Times New Roman" w:eastAsia="Times New Roman" w:hAnsi="Times New Roman"/>
          <w:sz w:val="20"/>
          <w:szCs w:val="20"/>
          <w:b w:val="1"/>
          <w:bCs w:val="1"/>
          <w:color w:val="auto"/>
        </w:rPr>
        <w:t>UGNX</w:t>
      </w:r>
      <w:r>
        <w:rPr>
          <w:rFonts w:ascii="Times New Roman" w:cs="Times New Roman" w:eastAsia="Times New Roman" w:hAnsi="Times New Roman"/>
          <w:sz w:val="20"/>
          <w:szCs w:val="20"/>
          <w:color w:val="auto"/>
        </w:rPr>
        <w:t>”). All capitalized terms shall take their meaning from the Agreement unless defined herein. UGNX and Mereo are each hereafter referred to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together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right="3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for their mutual benefit, now desire to revise the Agreement to include additional provisions to address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importation of Licensed Product and to revise certain definitions relating to upstream agreements with Novartis;</w:t>
      </w:r>
    </w:p>
    <w:p>
      <w:pPr>
        <w:spacing w:after="0" w:line="44" w:lineRule="exact"/>
        <w:rPr>
          <w:sz w:val="20"/>
          <w:szCs w:val="20"/>
          <w:color w:val="auto"/>
        </w:rPr>
      </w:pPr>
    </w:p>
    <w:p>
      <w:pPr>
        <w:ind w:right="24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contained herein, and for other good and valuable consideration,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receipt and adequacy of which are hereby acknowledged, the Parties hereby agree as follows:</w:t>
      </w:r>
    </w:p>
    <w:p>
      <w:pPr>
        <w:spacing w:after="0" w:line="48" w:lineRule="exact"/>
        <w:rPr>
          <w:sz w:val="20"/>
          <w:szCs w:val="20"/>
          <w:color w:val="auto"/>
        </w:rPr>
      </w:pPr>
    </w:p>
    <w:p>
      <w:pPr>
        <w:ind w:left="1140" w:right="3240" w:hanging="1132"/>
        <w:spacing w:after="0" w:line="508" w:lineRule="auto"/>
        <w:tabs>
          <w:tab w:leader="none" w:pos="39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1.115 of the Agreement is hereby deleted in its entirety and replaced with the following: “</w:t>
      </w:r>
      <w:r>
        <w:rPr>
          <w:rFonts w:ascii="Times New Roman" w:cs="Times New Roman" w:eastAsia="Times New Roman" w:hAnsi="Times New Roman"/>
          <w:sz w:val="20"/>
          <w:szCs w:val="20"/>
          <w:b w:val="1"/>
          <w:bCs w:val="1"/>
          <w:color w:val="auto"/>
        </w:rPr>
        <w:t>Section 1.115 [***]</w:t>
      </w:r>
    </w:p>
    <w:p>
      <w:pPr>
        <w:spacing w:after="0" w:line="52" w:lineRule="exact"/>
        <w:rPr>
          <w:rFonts w:ascii="Times New Roman" w:cs="Times New Roman" w:eastAsia="Times New Roman" w:hAnsi="Times New Roman"/>
          <w:sz w:val="20"/>
          <w:szCs w:val="20"/>
          <w:color w:val="auto"/>
        </w:rPr>
      </w:pPr>
    </w:p>
    <w:p>
      <w:pPr>
        <w:ind w:left="1140" w:right="3240" w:hanging="1132"/>
        <w:spacing w:after="0" w:line="471" w:lineRule="auto"/>
        <w:tabs>
          <w:tab w:leader="none" w:pos="39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1.118 of the Agreement is hereby deleted in its entirety and replaced with the following: “</w:t>
      </w:r>
      <w:r>
        <w:rPr>
          <w:rFonts w:ascii="Times New Roman" w:cs="Times New Roman" w:eastAsia="Times New Roman" w:hAnsi="Times New Roman"/>
          <w:sz w:val="20"/>
          <w:szCs w:val="20"/>
          <w:b w:val="1"/>
          <w:bCs w:val="1"/>
          <w:color w:val="auto"/>
        </w:rPr>
        <w:t>Section 1.118 [***]</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7.3 of the Agreement is hereby deleted and replaced with the following:</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7.3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No Diversion</w:t>
      </w:r>
      <w:r>
        <w:rPr>
          <w:rFonts w:ascii="Times New Roman" w:cs="Times New Roman" w:eastAsia="Times New Roman" w:hAnsi="Times New Roman"/>
          <w:sz w:val="20"/>
          <w:szCs w:val="20"/>
          <w:color w:val="auto"/>
        </w:rPr>
        <w:t>.</w:t>
      </w:r>
    </w:p>
    <w:p>
      <w:pPr>
        <w:spacing w:after="0" w:line="341" w:lineRule="exact"/>
        <w:rPr>
          <w:sz w:val="20"/>
          <w:szCs w:val="20"/>
          <w:color w:val="auto"/>
        </w:rPr>
      </w:pPr>
    </w:p>
    <w:p>
      <w:pPr>
        <w:ind w:left="1140" w:right="100" w:hanging="383"/>
        <w:spacing w:after="0" w:line="245" w:lineRule="auto"/>
        <w:tabs>
          <w:tab w:leader="none" w:pos="11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Laws, each Party shall implement a commercially reasonable system in accordance with standards in the biopharmaceutical rare disease industry to manage and monitor its inventory and distribution of commercially sold (pre- or post- Marketing Approval) Licensed Product (“</w:t>
      </w:r>
      <w:r>
        <w:rPr>
          <w:rFonts w:ascii="Times New Roman" w:cs="Times New Roman" w:eastAsia="Times New Roman" w:hAnsi="Times New Roman"/>
          <w:sz w:val="20"/>
          <w:szCs w:val="20"/>
          <w:b w:val="1"/>
          <w:bCs w:val="1"/>
          <w:color w:val="auto"/>
        </w:rPr>
        <w:t>Supply Integrity Program</w:t>
      </w:r>
      <w:r>
        <w:rPr>
          <w:rFonts w:ascii="Times New Roman" w:cs="Times New Roman" w:eastAsia="Times New Roman" w:hAnsi="Times New Roman"/>
          <w:sz w:val="20"/>
          <w:szCs w:val="20"/>
          <w:color w:val="auto"/>
        </w:rPr>
        <w:t>”), including complying with all inventory management obligations set forth in the manufacturing and supply agreement entered into between UGNX and Mereo, effective December 20, 2024 (the “</w:t>
      </w:r>
      <w:r>
        <w:rPr>
          <w:rFonts w:ascii="Times New Roman" w:cs="Times New Roman" w:eastAsia="Times New Roman" w:hAnsi="Times New Roman"/>
          <w:sz w:val="20"/>
          <w:szCs w:val="20"/>
          <w:b w:val="1"/>
          <w:bCs w:val="1"/>
          <w:color w:val="auto"/>
        </w:rPr>
        <w:t>Manufacturing and Supply Agreement</w:t>
      </w:r>
      <w:r>
        <w:rPr>
          <w:rFonts w:ascii="Times New Roman" w:cs="Times New Roman" w:eastAsia="Times New Roman" w:hAnsi="Times New Roman"/>
          <w:sz w:val="20"/>
          <w:szCs w:val="20"/>
          <w:color w:val="auto"/>
        </w:rPr>
        <w:t>”). As part of each Party’s Supply Integrity Program, each Party (including its Affiliates) shall use Commercially Reasonable Efforts:</w:t>
      </w:r>
    </w:p>
    <w:p>
      <w:pPr>
        <w:spacing w:after="0" w:line="184" w:lineRule="exact"/>
        <w:rPr>
          <w:rFonts w:ascii="Times New Roman" w:cs="Times New Roman" w:eastAsia="Times New Roman" w:hAnsi="Times New Roman"/>
          <w:sz w:val="20"/>
          <w:szCs w:val="20"/>
          <w:color w:val="auto"/>
        </w:rPr>
      </w:pPr>
    </w:p>
    <w:p>
      <w:pPr>
        <w:ind w:left="1920" w:right="160" w:hanging="744"/>
        <w:spacing w:after="0" w:line="269" w:lineRule="auto"/>
        <w:tabs>
          <w:tab w:leader="none" w:pos="192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export, distribute, market, promote, offer for sale or sell the Licensed Product outside its territory (for Mereo, the Mereo Territory and for UGNX, the UGNX Territory);</w:t>
      </w:r>
    </w:p>
    <w:p>
      <w:pPr>
        <w:spacing w:after="0" w:line="159" w:lineRule="exact"/>
        <w:rPr>
          <w:rFonts w:ascii="Times New Roman" w:cs="Times New Roman" w:eastAsia="Times New Roman" w:hAnsi="Times New Roman"/>
          <w:sz w:val="20"/>
          <w:szCs w:val="20"/>
          <w:color w:val="auto"/>
        </w:rPr>
      </w:pPr>
    </w:p>
    <w:p>
      <w:pPr>
        <w:ind w:left="1920" w:right="40" w:hanging="744"/>
        <w:spacing w:after="0" w:line="249" w:lineRule="auto"/>
        <w:tabs>
          <w:tab w:leader="none" w:pos="192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distribute, market, promote, offer for sale or sell the Licensed Product to any Third Party inside its territory (for Mereo, the Mereo Territory and for UGNX, the UGNX Territory) that such Party is aware is reasonably likely to directly or indirectly distribute, market, promote, offer for sale or sell the Licensed Product in the other Party’s territory; and</w:t>
      </w:r>
    </w:p>
    <w:p>
      <w:pPr>
        <w:spacing w:after="0" w:line="179" w:lineRule="exact"/>
        <w:rPr>
          <w:rFonts w:ascii="Times New Roman" w:cs="Times New Roman" w:eastAsia="Times New Roman" w:hAnsi="Times New Roman"/>
          <w:sz w:val="20"/>
          <w:szCs w:val="20"/>
          <w:color w:val="auto"/>
        </w:rPr>
      </w:pPr>
    </w:p>
    <w:p>
      <w:pPr>
        <w:ind w:left="1920" w:right="40" w:hanging="744"/>
        <w:spacing w:after="0" w:line="269" w:lineRule="auto"/>
        <w:tabs>
          <w:tab w:leader="none" w:pos="192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cause its Associated Parties to implement commercially reasonable measures to prevent the activities in (i) and (ii) above from occurring, and to include a legally binding commitment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3" w:name="page144"/>
    <w:bookmarkEnd w:id="143"/>
    <w:p>
      <w:pPr>
        <w:ind w:left="1920"/>
        <w:spacing w:after="0"/>
        <w:rPr>
          <w:sz w:val="20"/>
          <w:szCs w:val="20"/>
          <w:color w:val="auto"/>
        </w:rPr>
      </w:pPr>
      <w:r>
        <w:rPr>
          <w:rFonts w:ascii="Times New Roman" w:cs="Times New Roman" w:eastAsia="Times New Roman" w:hAnsi="Times New Roman"/>
          <w:sz w:val="19"/>
          <w:szCs w:val="19"/>
          <w:color w:val="auto"/>
        </w:rPr>
        <w:t>agreements with such Associated Parties that such Associated Party will not engage in the activities set forth in (i) or</w:t>
      </w:r>
    </w:p>
    <w:p>
      <w:pPr>
        <w:spacing w:after="0" w:line="33" w:lineRule="exact"/>
        <w:rPr>
          <w:sz w:val="20"/>
          <w:szCs w:val="20"/>
          <w:color w:val="auto"/>
        </w:rPr>
      </w:pPr>
    </w:p>
    <w:p>
      <w:pPr>
        <w:ind w:left="2220" w:hanging="295"/>
        <w:spacing w:after="0"/>
        <w:tabs>
          <w:tab w:leader="none" w:pos="2220"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w:t>
      </w:r>
    </w:p>
    <w:p>
      <w:pPr>
        <w:spacing w:after="0" w:line="193" w:lineRule="exact"/>
        <w:rPr>
          <w:rFonts w:ascii="Times New Roman" w:cs="Times New Roman" w:eastAsia="Times New Roman" w:hAnsi="Times New Roman"/>
          <w:sz w:val="20"/>
          <w:szCs w:val="20"/>
          <w:color w:val="auto"/>
        </w:rPr>
      </w:pPr>
    </w:p>
    <w:p>
      <w:pPr>
        <w:ind w:left="1140" w:hanging="383"/>
        <w:spacing w:after="0" w:line="255" w:lineRule="auto"/>
        <w:tabs>
          <w:tab w:leader="none" w:pos="114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to the extent permitted by applicable Laws, each Party shall, in connection with marketing, selling or otherwise distributing the Licensed Product in its respective territory (for Mereo, the Mereo Territory and for UGNX, the UGNX Territory), itself as the Selling Party shall, and shall use Commercially Reasonable Efforts to require any subcontractor, distributor or wholesaler with which the Selling Party enters into a contract in respect of the Licensed Product, (“</w:t>
      </w:r>
      <w:r>
        <w:rPr>
          <w:rFonts w:ascii="Times New Roman" w:cs="Times New Roman" w:eastAsia="Times New Roman" w:hAnsi="Times New Roman"/>
          <w:sz w:val="19"/>
          <w:szCs w:val="19"/>
          <w:b w:val="1"/>
          <w:bCs w:val="1"/>
          <w:color w:val="auto"/>
        </w:rPr>
        <w:t>Associated Party</w:t>
      </w:r>
      <w:r>
        <w:rPr>
          <w:rFonts w:ascii="Times New Roman" w:cs="Times New Roman" w:eastAsia="Times New Roman" w:hAnsi="Times New Roman"/>
          <w:sz w:val="19"/>
          <w:szCs w:val="19"/>
          <w:color w:val="auto"/>
        </w:rPr>
        <w:t>”) to: (i) provide a bona fide estimate of the demand for the Licensed Product in their respective country(ies) in the territory (for Mereo, the Mereo Territory and for UGNX, the UGNX Territory); (ii) promptly (and in any event within ten (10) business days) notify the other Party in writing if a Selling Party, or any Associated Party receives an order for the Licensed Product from a Third Party in the other Party’s territory (for Mereo, the Mereo Territory and for UGNX, the UGNX Territory); and similarly to notify the other Party should either Party be made aware that a sale of Licensed Product has been made to a Third Party in the other Party’s territory; (iii) promptly (and in any event within ten (10) business days) notify the other Party in writing if either Party becomes aware that it has breached its obligations with respect to its Supply Integrity Program, or that any of its Associated Parties has breached their obligations under their agreement with the relevant Party, with respect to activities described in Section 7.3(a)(iii); (iv) provide regular reports, including quantities, lot numbers, date and customer name in addition to requirements set forth in the Manufacturing and Supply Agreement and any other information that may be agreed by the Selling Parties in relation to sales of Licensed Products; and (v) include in the agreement between such Associated Party on the one hand, and each of their customers on the other hand, provisions that would</w:t>
      </w:r>
    </w:p>
    <w:p>
      <w:pPr>
        <w:spacing w:after="0" w:line="65" w:lineRule="exact"/>
        <w:rPr>
          <w:rFonts w:ascii="Times New Roman" w:cs="Times New Roman" w:eastAsia="Times New Roman" w:hAnsi="Times New Roman"/>
          <w:sz w:val="19"/>
          <w:szCs w:val="19"/>
          <w:color w:val="auto"/>
        </w:rPr>
      </w:pPr>
    </w:p>
    <w:p>
      <w:pPr>
        <w:ind w:left="1880" w:right="60" w:hanging="375"/>
        <w:spacing w:after="0" w:line="249" w:lineRule="auto"/>
        <w:tabs>
          <w:tab w:leader="none" w:pos="188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such customers to marketing, selling or otherwise distributing the Licensed Product solely within such Party’s territory (for Mereo, the Mereo Territory and for UGNX, the UGNX Territory) (or a subset of that territory, as applicable) and prohibit such activities outside such Party’s territory (for Mereo, the Mereo Territory and for UGNX, the UGNX Territory),</w:t>
      </w:r>
    </w:p>
    <w:p>
      <w:pPr>
        <w:spacing w:after="0" w:line="71" w:lineRule="exact"/>
        <w:rPr>
          <w:rFonts w:ascii="Times New Roman" w:cs="Times New Roman" w:eastAsia="Times New Roman" w:hAnsi="Times New Roman"/>
          <w:sz w:val="20"/>
          <w:szCs w:val="20"/>
          <w:color w:val="auto"/>
        </w:rPr>
      </w:pPr>
    </w:p>
    <w:p>
      <w:pPr>
        <w:jc w:val="both"/>
        <w:ind w:left="1880" w:right="220" w:hanging="375"/>
        <w:spacing w:after="0" w:line="254" w:lineRule="auto"/>
        <w:tabs>
          <w:tab w:leader="none" w:pos="188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such customers to promptly cooperate with the relevant Selling Party for its territory (for Mereo, the Mereo Territory and for UGNX, the UGNX Territory) in investigating the origin of the Licensed Product in its possession, including providing information regarding lot numbers.</w:t>
      </w:r>
    </w:p>
    <w:p>
      <w:pPr>
        <w:spacing w:after="0" w:line="174" w:lineRule="exact"/>
        <w:rPr>
          <w:rFonts w:ascii="Times New Roman" w:cs="Times New Roman" w:eastAsia="Times New Roman" w:hAnsi="Times New Roman"/>
          <w:sz w:val="20"/>
          <w:szCs w:val="20"/>
          <w:color w:val="auto"/>
        </w:rPr>
      </w:pPr>
    </w:p>
    <w:p>
      <w:pPr>
        <w:ind w:left="1140" w:right="320" w:hanging="383"/>
        <w:spacing w:after="0" w:line="269" w:lineRule="auto"/>
        <w:tabs>
          <w:tab w:leader="none" w:pos="11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Laws, Parties shall coordinate and agree on other measures to implement the intent of Section 7.3(a) and Section 7.3(b).</w:t>
      </w:r>
    </w:p>
    <w:p>
      <w:pPr>
        <w:spacing w:after="0" w:line="159"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333" w:lineRule="exact"/>
        <w:rPr>
          <w:sz w:val="20"/>
          <w:szCs w:val="20"/>
          <w:color w:val="auto"/>
        </w:rPr>
      </w:pPr>
    </w:p>
    <w:p>
      <w:pPr>
        <w:ind w:left="1140" w:hanging="383"/>
        <w:spacing w:after="0"/>
        <w:tabs>
          <w:tab w:leader="none" w:pos="114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Schedule 7.3 </w:t>
      </w:r>
      <w:r>
        <w:rPr>
          <w:rFonts w:ascii="Times New Roman" w:cs="Times New Roman" w:eastAsia="Times New Roman" w:hAnsi="Times New Roman"/>
          <w:sz w:val="20"/>
          <w:szCs w:val="20"/>
          <w:color w:val="auto"/>
        </w:rPr>
        <w:t>is hereby added to the Agreement.</w:t>
      </w:r>
    </w:p>
    <w:p>
      <w:pPr>
        <w:spacing w:after="0" w:line="337" w:lineRule="exact"/>
        <w:rPr>
          <w:rFonts w:ascii="Times New Roman" w:cs="Times New Roman" w:eastAsia="Times New Roman" w:hAnsi="Times New Roman"/>
          <w:sz w:val="20"/>
          <w:szCs w:val="20"/>
          <w:b w:val="1"/>
          <w:bCs w:val="1"/>
          <w:color w:val="auto"/>
        </w:rPr>
      </w:pPr>
    </w:p>
    <w:p>
      <w:pPr>
        <w:ind w:left="1140" w:hanging="383"/>
        <w:spacing w:after="0"/>
        <w:tabs>
          <w:tab w:leader="none" w:pos="114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left="1500" w:right="220" w:hanging="369"/>
        <w:spacing w:after="0" w:line="256" w:lineRule="auto"/>
        <w:tabs>
          <w:tab w:leader="none" w:pos="1500"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Conflicting Terms</w:t>
      </w:r>
      <w:r>
        <w:rPr>
          <w:rFonts w:ascii="Times New Roman" w:cs="Times New Roman" w:eastAsia="Times New Roman" w:hAnsi="Times New Roman"/>
          <w:sz w:val="20"/>
          <w:szCs w:val="20"/>
          <w:color w:val="auto"/>
        </w:rPr>
        <w:t>. Except as expressly set forth herein, all provisions of the Agreement, including each Party’s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responsibilities to deliver reports in connection with the royalty payments and the timing of royalty payments, remain in full force and effect.</w:t>
      </w:r>
    </w:p>
    <w:p>
      <w:pPr>
        <w:spacing w:after="0" w:line="60" w:lineRule="exact"/>
        <w:rPr>
          <w:rFonts w:ascii="Times New Roman" w:cs="Times New Roman" w:eastAsia="Times New Roman" w:hAnsi="Times New Roman"/>
          <w:sz w:val="20"/>
          <w:szCs w:val="20"/>
          <w:b w:val="1"/>
          <w:bCs w:val="1"/>
          <w:color w:val="auto"/>
        </w:rPr>
      </w:pPr>
    </w:p>
    <w:p>
      <w:pPr>
        <w:ind w:left="1500" w:right="260" w:hanging="369"/>
        <w:spacing w:after="0" w:line="273" w:lineRule="auto"/>
        <w:tabs>
          <w:tab w:leader="none" w:pos="1500"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First Amendment and its effect are subject to and shall be construed and enforced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law of the State of New York, without regard to its conflicts of laws provision thereof.</w:t>
      </w:r>
    </w:p>
    <w:p>
      <w:pPr>
        <w:spacing w:after="0" w:line="43" w:lineRule="exact"/>
        <w:rPr>
          <w:rFonts w:ascii="Times New Roman" w:cs="Times New Roman" w:eastAsia="Times New Roman" w:hAnsi="Times New Roman"/>
          <w:sz w:val="20"/>
          <w:szCs w:val="20"/>
          <w:b w:val="1"/>
          <w:bCs w:val="1"/>
          <w:color w:val="auto"/>
        </w:rPr>
      </w:pPr>
    </w:p>
    <w:p>
      <w:pPr>
        <w:ind w:left="1500" w:right="20" w:hanging="369"/>
        <w:spacing w:after="0" w:line="250" w:lineRule="auto"/>
        <w:tabs>
          <w:tab w:leader="none" w:pos="1500"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First Amendment may be executed in any number of counterparts, each of which shall be an original,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all of which together shall constitute one instrument. This First Amendment may be executed and delivered electronically or by facsimile and upon such delivery such electronic or facsimile signature will be deemed to have the same effect as if the original signature had been delivered to the other Party.</w:t>
      </w:r>
    </w:p>
    <w:p>
      <w:pPr>
        <w:spacing w:after="0" w:line="18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This First Amendment to the Collaboration and License Agreement is executed by the authorized representatives of the Parties as of the First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p>
      <w:pPr>
        <w:ind w:left="180"/>
        <w:spacing w:after="0"/>
        <w:tabs>
          <w:tab w:leader="none" w:pos="5820" w:val="left"/>
        </w:tabs>
        <w:rPr>
          <w:sz w:val="20"/>
          <w:szCs w:val="20"/>
          <w:color w:val="auto"/>
        </w:rPr>
      </w:pPr>
      <w:r>
        <w:rPr>
          <w:rFonts w:ascii="Times New Roman" w:cs="Times New Roman" w:eastAsia="Times New Roman" w:hAnsi="Times New Roman"/>
          <w:sz w:val="20"/>
          <w:szCs w:val="20"/>
          <w:b w:val="1"/>
          <w:bCs w:val="1"/>
          <w:color w:val="auto"/>
        </w:rPr>
        <w:t>ULTRAGENYX PHARMACEUTICAL INC.</w:t>
      </w:r>
      <w:r>
        <w:rPr>
          <w:sz w:val="20"/>
          <w:szCs w:val="20"/>
          <w:color w:val="auto"/>
        </w:rPr>
        <w:tab/>
      </w:r>
      <w:r>
        <w:rPr>
          <w:rFonts w:ascii="Times New Roman" w:cs="Times New Roman" w:eastAsia="Times New Roman" w:hAnsi="Times New Roman"/>
          <w:sz w:val="19"/>
          <w:szCs w:val="19"/>
          <w:b w:val="1"/>
          <w:bCs w:val="1"/>
          <w:color w:val="auto"/>
        </w:rPr>
        <w:t>MEREO BIOPHARMA 3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8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/s/Vimal Srivastava</w:t>
            </w:r>
          </w:p>
        </w:tc>
        <w:tc>
          <w:tcPr>
            <w:tcW w:w="60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/s/ Denise Scots-Knight</w:t>
            </w:r>
          </w:p>
        </w:tc>
      </w:tr>
      <w:tr>
        <w:trPr>
          <w:trHeight w:val="200"/>
        </w:trPr>
        <w:tc>
          <w:tcPr>
            <w:tcW w:w="180" w:type="dxa"/>
            <w:vAlign w:val="bottom"/>
          </w:tcPr>
          <w:p>
            <w:pPr>
              <w:spacing w:after="0"/>
              <w:rPr>
                <w:sz w:val="17"/>
                <w:szCs w:val="17"/>
                <w:color w:val="auto"/>
              </w:rPr>
            </w:pPr>
          </w:p>
        </w:tc>
        <w:tc>
          <w:tcPr>
            <w:tcW w:w="506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 Vimal Srivastava</w:t>
            </w:r>
          </w:p>
        </w:tc>
        <w:tc>
          <w:tcPr>
            <w:tcW w:w="560" w:type="dxa"/>
            <w:vAlign w:val="bottom"/>
          </w:tcPr>
          <w:p>
            <w:pPr>
              <w:spacing w:after="0"/>
              <w:rPr>
                <w:sz w:val="17"/>
                <w:szCs w:val="17"/>
                <w:color w:val="auto"/>
              </w:rPr>
            </w:pPr>
          </w:p>
        </w:tc>
        <w:tc>
          <w:tcPr>
            <w:tcW w:w="52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 / Denise Scots-Knight</w:t>
            </w:r>
          </w:p>
        </w:tc>
        <w:tc>
          <w:tcPr>
            <w:tcW w:w="160" w:type="dxa"/>
            <w:vAlign w:val="bottom"/>
          </w:tcPr>
          <w:p>
            <w:pPr>
              <w:spacing w:after="0"/>
              <w:rPr>
                <w:sz w:val="17"/>
                <w:szCs w:val="17"/>
                <w:color w:val="auto"/>
              </w:rPr>
            </w:pPr>
          </w:p>
        </w:tc>
      </w:tr>
      <w:tr>
        <w:trPr>
          <w:trHeight w:val="258"/>
        </w:trPr>
        <w:tc>
          <w:tcPr>
            <w:tcW w:w="180" w:type="dxa"/>
            <w:vAlign w:val="bottom"/>
          </w:tcPr>
          <w:p>
            <w:pPr>
              <w:spacing w:after="0"/>
              <w:rPr>
                <w:sz w:val="22"/>
                <w:szCs w:val="22"/>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Title SVP BD and Alliance Management</w:t>
            </w:r>
          </w:p>
        </w:tc>
        <w:tc>
          <w:tcPr>
            <w:tcW w:w="60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Title Chief Executive Officer</w:t>
            </w:r>
          </w:p>
        </w:tc>
      </w:tr>
      <w:tr>
        <w:trPr>
          <w:trHeight w:val="1446"/>
        </w:trPr>
        <w:tc>
          <w:tcPr>
            <w:tcW w:w="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7.3</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487045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4"/>
          <w:szCs w:val="24"/>
          <w:color w:val="auto"/>
        </w:rPr>
        <w:t>Exhibit 23.1</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CONSENT OF INDEPENDENT REGISTERED PUBLIC ACCOUNTING FIRM</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4"/>
          <w:szCs w:val="24"/>
          <w:color w:val="auto"/>
        </w:rPr>
        <w:t>We hereby consent to the incorporation by reference in the Registration Statements on Form S-8 (Nos. 333-293122, 333-284432, 333-276656, 333-231636, 333-236498, 333-252147, 333-262151 and 333-269388) and Form S-3 (Nos 333-283439 and 333-279433) of Mereo BioPharma Group plc of our report dated March 19, 2026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 PricewaterhouseCoopers LLP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Reading, United Kingdom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1450340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7" w:name="page148"/>
    <w:bookmarkEnd w:id="147"/>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Denise Scots-Knight, certify that:</w:t>
      </w:r>
    </w:p>
    <w:p>
      <w:pPr>
        <w:spacing w:after="0" w:line="131" w:lineRule="exact"/>
        <w:rPr>
          <w:sz w:val="20"/>
          <w:szCs w:val="20"/>
          <w:color w:val="auto"/>
        </w:rPr>
      </w:pPr>
    </w:p>
    <w:p>
      <w:pPr>
        <w:ind w:left="460" w:hanging="452"/>
        <w:spacing w:after="0"/>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Mereo BioPharma Group plc (the “Company”);</w:t>
      </w:r>
    </w:p>
    <w:p>
      <w:pPr>
        <w:spacing w:after="0" w:line="130"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60" w:right="280" w:hanging="452"/>
        <w:spacing w:after="0" w:line="266" w:lineRule="auto"/>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1" w:lineRule="exact"/>
        <w:rPr>
          <w:rFonts w:ascii="Times New Roman" w:cs="Times New Roman" w:eastAsia="Times New Roman" w:hAnsi="Times New Roman"/>
          <w:sz w:val="18"/>
          <w:szCs w:val="18"/>
          <w:color w:val="auto"/>
        </w:rPr>
      </w:pPr>
    </w:p>
    <w:p>
      <w:pPr>
        <w:ind w:left="1020" w:right="20" w:hanging="553"/>
        <w:spacing w:after="0" w:line="266"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20" w:right="320" w:hanging="553"/>
        <w:spacing w:after="0" w:line="266"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20" w:right="480" w:hanging="553"/>
        <w:spacing w:after="0" w:line="282"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53"/>
        <w:spacing w:after="0" w:line="266"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most recent fiscal quarter (the Company's fourth fiscal quarter in the case of an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40" w:hanging="452"/>
        <w:spacing w:after="0" w:line="312" w:lineRule="auto"/>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45" w:lineRule="exact"/>
        <w:rPr>
          <w:rFonts w:ascii="Times New Roman" w:cs="Times New Roman" w:eastAsia="Times New Roman" w:hAnsi="Times New Roman"/>
          <w:sz w:val="17"/>
          <w:szCs w:val="17"/>
          <w:color w:val="auto"/>
        </w:rPr>
      </w:pPr>
    </w:p>
    <w:p>
      <w:pPr>
        <w:ind w:left="1020" w:right="740" w:hanging="553"/>
        <w:spacing w:after="0" w:line="282"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00" w:hanging="553"/>
        <w:spacing w:after="0" w:line="282"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2026</w:t>
      </w:r>
    </w:p>
    <w:p>
      <w:pPr>
        <w:spacing w:after="0" w:line="200" w:lineRule="exact"/>
        <w:rPr>
          <w:sz w:val="20"/>
          <w:szCs w:val="20"/>
          <w:color w:val="auto"/>
        </w:rPr>
      </w:pPr>
    </w:p>
    <w:p>
      <w:pPr>
        <w:spacing w:after="0" w:line="29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Denise Scots-Knight, Ph.D.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60" w:type="dxa"/>
            <w:vAlign w:val="bottom"/>
          </w:tcPr>
          <w:p>
            <w:pPr>
              <w:spacing w:after="0"/>
              <w:rPr>
                <w:sz w:val="17"/>
                <w:szCs w:val="17"/>
                <w:color w:val="auto"/>
              </w:rPr>
            </w:pPr>
          </w:p>
        </w:tc>
        <w:tc>
          <w:tcPr>
            <w:tcW w:w="6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Denise Scots-Knight, Ph.D.</w:t>
            </w:r>
          </w:p>
        </w:tc>
      </w:tr>
      <w:tr>
        <w:trPr>
          <w:trHeight w:val="234"/>
        </w:trPr>
        <w:tc>
          <w:tcPr>
            <w:tcW w:w="676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6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Christine Fox, certify that:</w:t>
      </w:r>
    </w:p>
    <w:p>
      <w:pPr>
        <w:spacing w:after="0" w:line="131" w:lineRule="exact"/>
        <w:rPr>
          <w:sz w:val="20"/>
          <w:szCs w:val="20"/>
          <w:color w:val="auto"/>
        </w:rPr>
      </w:pPr>
    </w:p>
    <w:p>
      <w:pPr>
        <w:ind w:left="460" w:hanging="452"/>
        <w:spacing w:after="0"/>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Mereo BioPharma Group plc (the “Company”);</w:t>
      </w:r>
    </w:p>
    <w:p>
      <w:pPr>
        <w:spacing w:after="0" w:line="130"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60" w:right="280" w:hanging="452"/>
        <w:spacing w:after="0" w:line="266"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1" w:lineRule="exact"/>
        <w:rPr>
          <w:rFonts w:ascii="Times New Roman" w:cs="Times New Roman" w:eastAsia="Times New Roman" w:hAnsi="Times New Roman"/>
          <w:sz w:val="18"/>
          <w:szCs w:val="18"/>
          <w:color w:val="auto"/>
        </w:rPr>
      </w:pPr>
    </w:p>
    <w:p>
      <w:pPr>
        <w:ind w:left="1020" w:right="20" w:hanging="553"/>
        <w:spacing w:after="0" w:line="266"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20" w:right="320" w:hanging="553"/>
        <w:spacing w:after="0" w:line="266"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20" w:right="480" w:hanging="553"/>
        <w:spacing w:after="0" w:line="282"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53"/>
        <w:spacing w:after="0" w:line="266"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most recent fiscal quarter (the Company's fourth fiscal quarter in the case of an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40" w:hanging="452"/>
        <w:spacing w:after="0" w:line="312" w:lineRule="auto"/>
        <w:tabs>
          <w:tab w:leader="none" w:pos="4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45" w:lineRule="exact"/>
        <w:rPr>
          <w:rFonts w:ascii="Times New Roman" w:cs="Times New Roman" w:eastAsia="Times New Roman" w:hAnsi="Times New Roman"/>
          <w:sz w:val="17"/>
          <w:szCs w:val="17"/>
          <w:color w:val="auto"/>
        </w:rPr>
      </w:pPr>
    </w:p>
    <w:p>
      <w:pPr>
        <w:ind w:left="1020" w:right="740" w:hanging="553"/>
        <w:spacing w:after="0" w:line="282"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00" w:hanging="553"/>
        <w:spacing w:after="0" w:line="282"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2026</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 Christine Fox</w:t>
            </w:r>
          </w:p>
        </w:tc>
      </w:tr>
      <w:tr>
        <w:trPr>
          <w:trHeight w:val="205"/>
        </w:trPr>
        <w:tc>
          <w:tcPr>
            <w:tcW w:w="6080" w:type="dxa"/>
            <w:vAlign w:val="bottom"/>
          </w:tcPr>
          <w:p>
            <w:pPr>
              <w:spacing w:after="0"/>
              <w:rPr>
                <w:sz w:val="17"/>
                <w:szCs w:val="17"/>
                <w:color w:val="auto"/>
              </w:rPr>
            </w:pPr>
          </w:p>
        </w:tc>
        <w:tc>
          <w:tcPr>
            <w:tcW w:w="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ind w:left="580"/>
              <w:spacing w:after="0" w:line="205" w:lineRule="exact"/>
              <w:rPr>
                <w:sz w:val="20"/>
                <w:szCs w:val="20"/>
                <w:color w:val="auto"/>
              </w:rPr>
            </w:pPr>
            <w:r>
              <w:rPr>
                <w:rFonts w:ascii="Times New Roman" w:cs="Times New Roman" w:eastAsia="Times New Roman" w:hAnsi="Times New Roman"/>
                <w:sz w:val="18"/>
                <w:szCs w:val="18"/>
                <w:color w:val="auto"/>
              </w:rPr>
              <w:t>Christine Fox</w:t>
            </w:r>
          </w:p>
        </w:tc>
      </w:tr>
      <w:tr>
        <w:trPr>
          <w:trHeight w:val="234"/>
        </w:trPr>
        <w:tc>
          <w:tcPr>
            <w:tcW w:w="608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2"/>
        </w:trPr>
        <w:tc>
          <w:tcPr>
            <w:tcW w:w="6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Mereo BioPharma Group plc (the “Company”) on Form 10-K for the year ended December 31, 2025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19,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Denise Scots-Knight, Ph.D.</w:t>
            </w:r>
          </w:p>
        </w:tc>
      </w:tr>
      <w:tr>
        <w:trPr>
          <w:trHeight w:val="205"/>
        </w:trPr>
        <w:tc>
          <w:tcPr>
            <w:tcW w:w="1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4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Denise Scots-Knight, Ph.D.</w:t>
            </w:r>
          </w:p>
        </w:tc>
        <w:tc>
          <w:tcPr>
            <w:tcW w:w="6760" w:type="dxa"/>
            <w:vAlign w:val="bottom"/>
          </w:tcPr>
          <w:p>
            <w:pPr>
              <w:spacing w:after="0"/>
              <w:rPr>
                <w:sz w:val="17"/>
                <w:szCs w:val="17"/>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843"/>
        </w:trPr>
        <w:tc>
          <w:tcPr>
            <w:tcW w:w="10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Mereo BioPharma Group plc (the “Company”) on Form 10-K for the year ended December 31, 2025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19,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Christine Fox</w:t>
            </w:r>
          </w:p>
        </w:tc>
      </w:tr>
      <w:tr>
        <w:trPr>
          <w:trHeight w:val="205"/>
        </w:trPr>
        <w:tc>
          <w:tcPr>
            <w:tcW w:w="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5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Christine Fox</w:t>
            </w:r>
          </w:p>
        </w:tc>
        <w:tc>
          <w:tcPr>
            <w:tcW w:w="6760" w:type="dxa"/>
            <w:vAlign w:val="bottom"/>
          </w:tcPr>
          <w:p>
            <w:pPr>
              <w:spacing w:after="0"/>
              <w:rPr>
                <w:sz w:val="17"/>
                <w:szCs w:val="17"/>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9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lowerLetter"/>
      <w:start w:val="2"/>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lowerLetter"/>
      <w:start w:val="3"/>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1"/>
      <w:numFmt w:val="decimal"/>
      <w:start w:val="101"/>
    </w:lvl>
  </w:abstractNum>
  <w:abstractNum w:abstractNumId="60">
    <w:nsid w:val="6590700B"/>
    <w:multiLevelType w:val="hybridMultilevel"/>
    <w:lvl w:ilvl="0">
      <w:lvlJc w:val="left"/>
      <w:lvlText w:val="*"/>
      <w:numFmt w:val="bullet"/>
      <w:start w:val="1"/>
    </w:lvl>
    <w:lvl w:ilvl="1">
      <w:lvlJc w:val="left"/>
      <w:lvlText w:val="%2"/>
      <w:numFmt w:val="decimal"/>
      <w:start w:val="104"/>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1)"/>
      <w:numFmt w:val="lowerRoman"/>
      <w:start w:val="2"/>
    </w:lvl>
  </w:abstractNum>
  <w:abstractNum w:abstractNumId="67">
    <w:nsid w:val="168E121F"/>
    <w:multiLevelType w:val="hybridMultilevel"/>
    <w:lvl w:ilvl="0">
      <w:lvlJc w:val="left"/>
      <w:lvlText w:val="(%1)"/>
      <w:numFmt w:val="lowerRoman"/>
      <w:start w:val="2"/>
    </w:lvl>
  </w:abstractNum>
  <w:abstractNum w:abstractNumId="68">
    <w:nsid w:val="1EBA5D23"/>
    <w:multiLevelType w:val="hybridMultilevel"/>
    <w:lvl w:ilvl="0">
      <w:lvlJc w:val="left"/>
      <w:lvlText w:val="%1."/>
      <w:numFmt w:val="decimal"/>
      <w:start w:val="1"/>
    </w:lvl>
  </w:abstractNum>
  <w:abstractNum w:abstractNumId="69">
    <w:nsid w:val="661E3F1E"/>
    <w:multiLevelType w:val="hybridMultilevel"/>
    <w:lvl w:ilvl="0">
      <w:lvlJc w:val="left"/>
      <w:lvlText w:val="(%1)"/>
      <w:numFmt w:val="lowerLetter"/>
      <w:start w:val="1"/>
    </w:lvl>
    <w:lvl w:ilvl="1">
      <w:lvlJc w:val="left"/>
      <w:lvlText w:val="(%2)"/>
      <w:numFmt w:val="lowerRoman"/>
      <w:start w:val="1"/>
    </w:lvl>
  </w:abstractNum>
  <w:abstractNum w:abstractNumId="70">
    <w:nsid w:val="5DC79E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71">
    <w:nsid w:val="540A471C"/>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72">
    <w:nsid w:val="7BD3EE7B"/>
    <w:multiLevelType w:val="hybridMultilevel"/>
    <w:lvl w:ilvl="0">
      <w:lvlJc w:val="left"/>
      <w:lvlText w:val="%1."/>
      <w:numFmt w:val="decimal"/>
      <w:start w:val="4"/>
    </w:lvl>
    <w:lvl w:ilvl="1">
      <w:lvlJc w:val="left"/>
      <w:lvlText w:val="%2."/>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6" Type="http://schemas.openxmlformats.org/officeDocument/2006/relationships/image" Target="media/image198.png"/><Relationship Id="rId247" Type="http://schemas.openxmlformats.org/officeDocument/2006/relationships/image" Target="media/image199.png"/><Relationship Id="rId248" Type="http://schemas.openxmlformats.org/officeDocument/2006/relationships/image" Target="media/image200.pn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256" Type="http://schemas.openxmlformats.org/officeDocument/2006/relationships/image" Target="media/image208.png"/><Relationship Id="rId257" Type="http://schemas.openxmlformats.org/officeDocument/2006/relationships/image" Target="media/image209.png"/><Relationship Id="rId258" Type="http://schemas.openxmlformats.org/officeDocument/2006/relationships/image" Target="media/image210.png"/><Relationship Id="rId259" Type="http://schemas.openxmlformats.org/officeDocument/2006/relationships/image" Target="media/image211.png"/><Relationship Id="rId260" Type="http://schemas.openxmlformats.org/officeDocument/2006/relationships/image" Target="media/image212.png"/><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64" Type="http://schemas.openxmlformats.org/officeDocument/2006/relationships/image" Target="media/image216.png"/><Relationship Id="rId265" Type="http://schemas.openxmlformats.org/officeDocument/2006/relationships/image" Target="media/image217.png"/><Relationship Id="rId266" Type="http://schemas.openxmlformats.org/officeDocument/2006/relationships/image" Target="media/image218.png"/><Relationship Id="rId267" Type="http://schemas.openxmlformats.org/officeDocument/2006/relationships/image" Target="media/image219.png"/><Relationship Id="rId268" Type="http://schemas.openxmlformats.org/officeDocument/2006/relationships/image" Target="media/image220.png"/><Relationship Id="rId269" Type="http://schemas.openxmlformats.org/officeDocument/2006/relationships/image" Target="media/image221.png"/><Relationship Id="rId270" Type="http://schemas.openxmlformats.org/officeDocument/2006/relationships/image" Target="media/image222.png"/><Relationship Id="rId271" Type="http://schemas.openxmlformats.org/officeDocument/2006/relationships/image" Target="media/image223.png"/><Relationship Id="rId272" Type="http://schemas.openxmlformats.org/officeDocument/2006/relationships/image" Target="media/image224.png"/><Relationship Id="rId273" Type="http://schemas.openxmlformats.org/officeDocument/2006/relationships/image" Target="media/image225.png"/><Relationship Id="rId274" Type="http://schemas.openxmlformats.org/officeDocument/2006/relationships/image" Target="media/image226.png"/><Relationship Id="rId275" Type="http://schemas.openxmlformats.org/officeDocument/2006/relationships/image" Target="media/image227.png"/><Relationship Id="rId276" Type="http://schemas.openxmlformats.org/officeDocument/2006/relationships/image" Target="media/image228.png"/><Relationship Id="rId277" Type="http://schemas.openxmlformats.org/officeDocument/2006/relationships/image" Target="media/image229.png"/><Relationship Id="rId278" Type="http://schemas.openxmlformats.org/officeDocument/2006/relationships/image" Target="media/image230.png"/><Relationship Id="rId279" Type="http://schemas.openxmlformats.org/officeDocument/2006/relationships/image" Target="media/image231.png"/><Relationship Id="rId280" Type="http://schemas.openxmlformats.org/officeDocument/2006/relationships/image" Target="media/image232.png"/><Relationship Id="rId281" Type="http://schemas.openxmlformats.org/officeDocument/2006/relationships/image" Target="media/image233.png"/><Relationship Id="rId282" Type="http://schemas.openxmlformats.org/officeDocument/2006/relationships/image" Target="media/image234.png"/><Relationship Id="rId283" Type="http://schemas.openxmlformats.org/officeDocument/2006/relationships/image" Target="media/image235.png"/><Relationship Id="rId284" Type="http://schemas.openxmlformats.org/officeDocument/2006/relationships/image" Target="media/image236.png"/><Relationship Id="rId285" Type="http://schemas.openxmlformats.org/officeDocument/2006/relationships/image" Target="media/image237.png"/><Relationship Id="rId286" Type="http://schemas.openxmlformats.org/officeDocument/2006/relationships/image" Target="media/image238.png"/><Relationship Id="rId287" Type="http://schemas.openxmlformats.org/officeDocument/2006/relationships/image" Target="media/image239.png"/><Relationship Id="rId288" Type="http://schemas.openxmlformats.org/officeDocument/2006/relationships/image" Target="media/image240.png"/><Relationship Id="rId289" Type="http://schemas.openxmlformats.org/officeDocument/2006/relationships/image" Target="media/image241.png"/><Relationship Id="rId290" Type="http://schemas.openxmlformats.org/officeDocument/2006/relationships/image" Target="media/image242.png"/><Relationship Id="rId291" Type="http://schemas.openxmlformats.org/officeDocument/2006/relationships/image" Target="media/image243.png"/><Relationship Id="rId292" Type="http://schemas.openxmlformats.org/officeDocument/2006/relationships/image" Target="media/image244.png"/><Relationship Id="rId293" Type="http://schemas.openxmlformats.org/officeDocument/2006/relationships/image" Target="media/image245.png"/><Relationship Id="rId294" Type="http://schemas.openxmlformats.org/officeDocument/2006/relationships/image" Target="media/image246.png"/><Relationship Id="rId295" Type="http://schemas.openxmlformats.org/officeDocument/2006/relationships/image" Target="media/image247.png"/><Relationship Id="rId296" Type="http://schemas.openxmlformats.org/officeDocument/2006/relationships/image" Target="media/image248.png"/><Relationship Id="rId297" Type="http://schemas.openxmlformats.org/officeDocument/2006/relationships/image" Target="media/image249.png"/><Relationship Id="rId298" Type="http://schemas.openxmlformats.org/officeDocument/2006/relationships/image" Target="media/image250.png"/><Relationship Id="rId299" Type="http://schemas.openxmlformats.org/officeDocument/2006/relationships/image" Target="media/image251.png"/><Relationship Id="rId300" Type="http://schemas.openxmlformats.org/officeDocument/2006/relationships/image" Target="media/image252.png"/><Relationship Id="rId301" Type="http://schemas.openxmlformats.org/officeDocument/2006/relationships/image" Target="media/image253.png"/><Relationship Id="rId302" Type="http://schemas.openxmlformats.org/officeDocument/2006/relationships/image" Target="media/image254.png"/><Relationship Id="rId303" Type="http://schemas.openxmlformats.org/officeDocument/2006/relationships/image" Target="media/image255.png"/><Relationship Id="rId304" Type="http://schemas.openxmlformats.org/officeDocument/2006/relationships/image" Target="media/image256.png"/><Relationship Id="rId305" Type="http://schemas.openxmlformats.org/officeDocument/2006/relationships/image" Target="media/image257.png"/><Relationship Id="rId306" Type="http://schemas.openxmlformats.org/officeDocument/2006/relationships/image" Target="media/image258.png"/><Relationship Id="rId307" Type="http://schemas.openxmlformats.org/officeDocument/2006/relationships/image" Target="media/image259.png"/><Relationship Id="rId308" Type="http://schemas.openxmlformats.org/officeDocument/2006/relationships/image" Target="media/image260.png"/><Relationship Id="rId309" Type="http://schemas.openxmlformats.org/officeDocument/2006/relationships/image" Target="media/image261.png"/><Relationship Id="rId310" Type="http://schemas.openxmlformats.org/officeDocument/2006/relationships/image" Target="media/image262.png"/><Relationship Id="rId311" Type="http://schemas.openxmlformats.org/officeDocument/2006/relationships/image" Target="media/image263.png"/><Relationship Id="rId312" Type="http://schemas.openxmlformats.org/officeDocument/2006/relationships/image" Target="media/image264.png"/><Relationship Id="rId313" Type="http://schemas.openxmlformats.org/officeDocument/2006/relationships/image" Target="media/image265.png"/><Relationship Id="rId314" Type="http://schemas.openxmlformats.org/officeDocument/2006/relationships/image" Target="media/image266.png"/><Relationship Id="rId315" Type="http://schemas.openxmlformats.org/officeDocument/2006/relationships/image" Target="media/image267.png"/><Relationship Id="rId316" Type="http://schemas.openxmlformats.org/officeDocument/2006/relationships/image" Target="media/image268.png"/><Relationship Id="rId130" Type="http://schemas.openxmlformats.org/officeDocument/2006/relationships/hyperlink" Target="https://www.sec.gov/Archives/edgar/data/1719714/000119312519076867/d680874df4a.htm#rom680874_1001" TargetMode="External"/><Relationship Id="rId131" Type="http://schemas.openxmlformats.org/officeDocument/2006/relationships/hyperlink" Target="https://www.sec.gov/Archives/edgar/data/1719714/000119312519016112/d680874dex1020.htm" TargetMode="External"/><Relationship Id="rId132" Type="http://schemas.openxmlformats.org/officeDocument/2006/relationships/hyperlink" Target="https://www.sec.gov/Archives/edgar/data/1719714/000119312519016112/d680874dex10203.htm" TargetMode="External"/><Relationship Id="rId133" Type="http://schemas.openxmlformats.org/officeDocument/2006/relationships/hyperlink" Target="https://www.sec.gov/Archives/edgar/data/1719714/000119312519016112/d680874dex10202.htm" TargetMode="External"/><Relationship Id="rId134" Type="http://schemas.openxmlformats.org/officeDocument/2006/relationships/hyperlink" Target="https://www.sec.gov/Archives/edgar/data/1719714/000119312519016112/d680874dex10201.htm" TargetMode="External"/><Relationship Id="rId137" Type="http://schemas.openxmlformats.org/officeDocument/2006/relationships/hyperlink" Target="https://www.sec.gov/Archives/edgar/data/1719714/000119312519016112/d680874dex1021.htm" TargetMode="External"/><Relationship Id="rId138" Type="http://schemas.openxmlformats.org/officeDocument/2006/relationships/hyperlink" Target="https://www.sec.gov/Archives/edgar/data/1719714/000119312519016112/d680874dex10212.htm" TargetMode="External"/><Relationship Id="rId139" Type="http://schemas.openxmlformats.org/officeDocument/2006/relationships/hyperlink" Target="https://www.sec.gov/Archives/edgar/data/1719714/000119312519016112/d680874dex10211.htm" TargetMode="External"/><Relationship Id="rId140" Type="http://schemas.openxmlformats.org/officeDocument/2006/relationships/hyperlink" Target="https://www.sec.gov/Archives/edgar/data/1719714/000119312519016112/d680874dex1022.htm" TargetMode="External"/><Relationship Id="rId141" Type="http://schemas.openxmlformats.org/officeDocument/2006/relationships/hyperlink" Target="https://www.sec.gov/Archives/edgar/data/1719714/000119312519016112/d680874dex10222.htm" TargetMode="External"/><Relationship Id="rId142" Type="http://schemas.openxmlformats.org/officeDocument/2006/relationships/hyperlink" Target="https://www.sec.gov/Archives/edgar/data/1719714/000119312519016112/d680874dex10221.htm" TargetMode="External"/><Relationship Id="rId143" Type="http://schemas.openxmlformats.org/officeDocument/2006/relationships/hyperlink" Target="https://www.sec.gov/Archives/edgar/data/1719714/000119312523297624/d677335dex31.htm" TargetMode="External"/><Relationship Id="rId144" Type="http://schemas.openxmlformats.org/officeDocument/2006/relationships/hyperlink" Target="https://www.sec.gov/Archives/edgar/data/1719714/000119312519016112/d680874dex42.htm" TargetMode="External"/><Relationship Id="rId145" Type="http://schemas.openxmlformats.org/officeDocument/2006/relationships/hyperlink" Target="https://www.sec.gov/Archives/edgar/data/1719714/000095017024037348/mreo-ex4_2.htm" TargetMode="External"/><Relationship Id="rId146" Type="http://schemas.openxmlformats.org/officeDocument/2006/relationships/hyperlink" Target="https://www.sec.gov/Archives/edgar/data/1719714/000119312519016112/d680874dex1023.htm" TargetMode="External"/><Relationship Id="rId147" Type="http://schemas.openxmlformats.org/officeDocument/2006/relationships/hyperlink" Target="https://www.sec.gov/Archives/edgar/data/1719714/000119312519016112/d680874dex1024.htm" TargetMode="External"/><Relationship Id="rId148" Type="http://schemas.openxmlformats.org/officeDocument/2006/relationships/hyperlink" Target="https://www.sec.gov/Archives/edgar/data/1719714/000119312519016112/d680874dex1026.htm" TargetMode="External"/><Relationship Id="rId149" Type="http://schemas.openxmlformats.org/officeDocument/2006/relationships/hyperlink" Target="https://www.sec.gov/Archives/edgar/data/1719714/000119312521010098/d35302dex991.htm" TargetMode="External"/><Relationship Id="rId150" Type="http://schemas.openxmlformats.org/officeDocument/2006/relationships/hyperlink" Target="https://www.sec.gov/Archives/edgar/data/1719714/000119312521102416/d60415dex425.htm" TargetMode="External"/><Relationship Id="rId151" Type="http://schemas.openxmlformats.org/officeDocument/2006/relationships/hyperlink" Target="https://www.sec.gov/Archives/edgar/data/1719714/000119312521102416/d60415dex427.htm" TargetMode="External"/><Relationship Id="rId154" Type="http://schemas.openxmlformats.org/officeDocument/2006/relationships/hyperlink" Target="https://www.sec.gov/Archives/edgar/data/1719714/000119312521102416/d60415dex428.htm" TargetMode="External"/><Relationship Id="rId155" Type="http://schemas.openxmlformats.org/officeDocument/2006/relationships/hyperlink" Target="https://www.sec.gov/Archives/edgar/data/1719714/000119312521102416/d60415dex429.htm" TargetMode="External"/><Relationship Id="rId156" Type="http://schemas.openxmlformats.org/officeDocument/2006/relationships/hyperlink" Target="https://www.sec.gov/Archives/edgar/data/1719714/000119312521102416/d60415dex430.htm" TargetMode="External"/><Relationship Id="rId157" Type="http://schemas.openxmlformats.org/officeDocument/2006/relationships/hyperlink" Target="https://www.sec.gov/Archives/edgar/data/1719714/000119312521102416/d60415dex431.htm" TargetMode="External"/><Relationship Id="rId158" Type="http://schemas.openxmlformats.org/officeDocument/2006/relationships/hyperlink" Target="https://www.sec.gov/Archives/edgar/data/1719714/000119312521102416/d60415dex432.htm" TargetMode="External"/><Relationship Id="rId159" Type="http://schemas.openxmlformats.org/officeDocument/2006/relationships/hyperlink" Target="https://www.sec.gov/Archives/edgar/data/1719714/000119312522091822/d237872dex433.htm" TargetMode="External"/><Relationship Id="rId160" Type="http://schemas.openxmlformats.org/officeDocument/2006/relationships/hyperlink" Target="https://www.sec.gov/Archives/edgar/data/1719714/000119312522091822/d237872dex434.htm" TargetMode="External"/><Relationship Id="rId161" Type="http://schemas.openxmlformats.org/officeDocument/2006/relationships/hyperlink" Target="https://www.sec.gov/Archives/edgar/data/1719714/000119312522091822/d237872dex436.htm" TargetMode="External"/><Relationship Id="rId162" Type="http://schemas.openxmlformats.org/officeDocument/2006/relationships/hyperlink" Target="https://www.sec.gov/Archives/edgar/data/1719714/000119312522091822/d237872dex437.htm" TargetMode="External"/><Relationship Id="rId163" Type="http://schemas.openxmlformats.org/officeDocument/2006/relationships/hyperlink" Target="https://www.sec.gov/Archives/edgar/data/1719714/000119312522091822/d237872dex440.htm" TargetMode="External"/><Relationship Id="rId164" Type="http://schemas.openxmlformats.org/officeDocument/2006/relationships/hyperlink" Target="https://www.sec.gov/Archives/edgar/data/1719714/000119312523082264/d430075dex417.htm" TargetMode="External"/><Relationship Id="rId165" Type="http://schemas.openxmlformats.org/officeDocument/2006/relationships/hyperlink" Target="https://www.sec.gov/Archives/edgar/data/1719714/000119312523082264/d430075dex446.htm" TargetMode="External"/><Relationship Id="rId166" Type="http://schemas.openxmlformats.org/officeDocument/2006/relationships/hyperlink" Target="https://www.sec.gov/Archives/edgar/data/1719714/000119312523082264/d430075dex447.htm" TargetMode="External"/><Relationship Id="rId167" Type="http://schemas.openxmlformats.org/officeDocument/2006/relationships/hyperlink" Target="https://www.sec.gov/Archives/edgar/data/1719714/000119312524012995/d735625dex43.htm" TargetMode="External"/><Relationship Id="rId168" Type="http://schemas.openxmlformats.org/officeDocument/2006/relationships/hyperlink" Target="https://www.sec.gov/Archives/edgar/data/1719714/000119312523014256/d421215dex44.htm" TargetMode="External"/><Relationship Id="rId169" Type="http://schemas.openxmlformats.org/officeDocument/2006/relationships/hyperlink" Target="https://www.sec.gov/Archives/edgar/data/1719714/000119312523014256/d421215dex45.htm" TargetMode="External"/><Relationship Id="rId170" Type="http://schemas.openxmlformats.org/officeDocument/2006/relationships/hyperlink" Target="https://www.sec.gov/Archives/edgar/data/1719714/000095017025044787/mreo-ex10_31.htm" TargetMode="External"/><Relationship Id="rId173" Type="http://schemas.openxmlformats.org/officeDocument/2006/relationships/hyperlink" Target="https://www.sec.gov/Archives/edgar/data/1719714/000095017025044787/mreo-ex10_32.htm" TargetMode="External"/><Relationship Id="rId174" Type="http://schemas.openxmlformats.org/officeDocument/2006/relationships/hyperlink" Target="https://www.sec.gov/Archives/edgar/data/1719714/000095017024037348/mreo-ex19_1.htm" TargetMode="External"/><Relationship Id="rId175" Type="http://schemas.openxmlformats.org/officeDocument/2006/relationships/hyperlink" Target="https://www.sec.gov/ix?doc=/Archives/edgar/data/0001719714/000119312523082264/d430075dex81.htm" TargetMode="External"/><Relationship Id="rId176" Type="http://schemas.openxmlformats.org/officeDocument/2006/relationships/hyperlink" Target="https://www.sec.gov/Archives/edgar/data/1719714/000095017024037348/mreo-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2026-03-19T07:58:40Z</dcterms:created>
  <dcterms:modified xsi:type="dcterms:W3CDTF">2026-03-19T07:58:40Z</dcterms:modified>
</cp:coreProperties>
</file>