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80"/>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42"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 w:lineRule="exact"/>
        <w:rPr>
          <w:sz w:val="24"/>
          <w:szCs w:val="24"/>
          <w:color w:val="auto"/>
        </w:rPr>
      </w:pPr>
    </w:p>
    <w:p>
      <w:pPr>
        <w:ind w:left="418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0"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left="2280" w:right="1020"/>
        <w:spacing w:after="0" w:line="246" w:lineRule="auto"/>
        <w:rPr>
          <w:sz w:val="20"/>
          <w:szCs w:val="20"/>
          <w:color w:val="auto"/>
        </w:rPr>
      </w:pPr>
      <w:r>
        <w:rPr>
          <w:rFonts w:ascii="Times New Roman" w:cs="Times New Roman" w:eastAsia="Times New Roman" w:hAnsi="Times New Roman"/>
          <w:sz w:val="22"/>
          <w:szCs w:val="22"/>
          <w:b w:val="1"/>
          <w:bCs w:val="1"/>
          <w:color w:val="auto"/>
        </w:rPr>
        <w:t>REPORT OF FOREIGN PRIVATE ISSUER PURSUANT TO RULE 13a-16 or 15d-16 UNDER THE SECURITIES EXCHANGE ACT OF 1934</w:t>
      </w:r>
    </w:p>
    <w:p>
      <w:pPr>
        <w:spacing w:after="0" w:line="176"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For the month of September, 2020</w:t>
      </w:r>
    </w:p>
    <w:p>
      <w:pPr>
        <w:spacing w:after="0" w:line="225" w:lineRule="exact"/>
        <w:rPr>
          <w:sz w:val="24"/>
          <w:szCs w:val="24"/>
          <w:color w:val="auto"/>
        </w:rPr>
      </w:pPr>
    </w:p>
    <w:p>
      <w:pPr>
        <w:ind w:left="4080"/>
        <w:spacing w:after="0"/>
        <w:rPr>
          <w:sz w:val="20"/>
          <w:szCs w:val="20"/>
          <w:color w:val="auto"/>
        </w:rPr>
      </w:pPr>
      <w:r>
        <w:rPr>
          <w:rFonts w:ascii="Times New Roman" w:cs="Times New Roman" w:eastAsia="Times New Roman" w:hAnsi="Times New Roman"/>
          <w:sz w:val="18"/>
          <w:szCs w:val="18"/>
          <w:b w:val="1"/>
          <w:bCs w:val="1"/>
          <w:color w:val="auto"/>
        </w:rPr>
        <w:t>Commission File Number: 001-38452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242570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0"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43"/>
          <w:szCs w:val="43"/>
          <w:b w:val="1"/>
          <w:bCs w:val="1"/>
          <w:color w:val="auto"/>
        </w:rPr>
        <w:t>MEREO BIOPHARMA GROUP PLC</w:t>
      </w:r>
    </w:p>
    <w:p>
      <w:pPr>
        <w:spacing w:after="0" w:line="58"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18"/>
          <w:szCs w:val="18"/>
          <w:b w:val="1"/>
          <w:bCs w:val="1"/>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236220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9"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4</w:t>
      </w:r>
      <w:r>
        <w:rPr>
          <w:rFonts w:ascii="Times New Roman" w:cs="Times New Roman" w:eastAsia="Times New Roman" w:hAnsi="Times New Roman"/>
          <w:sz w:val="15"/>
          <w:szCs w:val="15"/>
          <w:b w:val="1"/>
          <w:bCs w:val="1"/>
          <w:color w:val="auto"/>
        </w:rPr>
        <w:t>th</w:t>
      </w:r>
      <w:r>
        <w:rPr>
          <w:rFonts w:ascii="Times New Roman" w:cs="Times New Roman" w:eastAsia="Times New Roman" w:hAnsi="Times New Roman"/>
          <w:sz w:val="18"/>
          <w:szCs w:val="18"/>
          <w:b w:val="1"/>
          <w:bCs w:val="1"/>
          <w:color w:val="auto"/>
        </w:rPr>
        <w:t xml:space="preserve"> Floor, One Cavendish Place,</w:t>
      </w:r>
    </w:p>
    <w:p>
      <w:pPr>
        <w:spacing w:after="0" w:line="31"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London, W1G 0QF, United Kingdom</w:t>
      </w:r>
    </w:p>
    <w:p>
      <w:pPr>
        <w:spacing w:after="0" w:line="2" w:lineRule="exact"/>
        <w:rPr>
          <w:sz w:val="24"/>
          <w:szCs w:val="24"/>
          <w:color w:val="auto"/>
        </w:rPr>
      </w:pPr>
    </w:p>
    <w:p>
      <w:pPr>
        <w:ind w:left="434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96" w:lineRule="exact"/>
        <w:rPr>
          <w:sz w:val="24"/>
          <w:szCs w:val="24"/>
          <w:color w:val="auto"/>
        </w:rPr>
      </w:pPr>
    </w:p>
    <w:p>
      <w:pPr>
        <w:ind w:left="4140"/>
        <w:spacing w:after="0" w:line="207" w:lineRule="exact"/>
        <w:tabs>
          <w:tab w:leader="none" w:pos="578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Form 40-F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101(b)(1):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101(b)(7):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181610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224155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019"/>
          </w:cols>
          <w:pgMar w:left="440" w:top="371" w:right="1440"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INFORMATION CONTAINED IN THIS REPORT ON FORM 6-K</w:t>
      </w:r>
    </w:p>
    <w:p>
      <w:pPr>
        <w:spacing w:after="0" w:line="22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On September 29, 2020, Mereo BioPharma Group plc (the “Company”) issued a press release announcing the Company’s financial results for the six months ended June 30, 2020. In addition, the Company is submitting with this Form 6-K its unaudited condensed consolidated financial statements as of June 30, 2020 and for the six months then ended.</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Exhibit Index</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Exhibits</w:t>
      </w:r>
    </w:p>
    <w:p>
      <w:pPr>
        <w:spacing w:after="0" w:line="256" w:lineRule="exact"/>
        <w:rPr>
          <w:sz w:val="20"/>
          <w:szCs w:val="20"/>
          <w:color w:val="auto"/>
        </w:rPr>
      </w:pPr>
    </w:p>
    <w:p>
      <w:pPr>
        <w:spacing w:after="0"/>
        <w:tabs>
          <w:tab w:leader="none" w:pos="64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99.1</w:t>
      </w:r>
      <w:r>
        <w:rPr>
          <w:sz w:val="20"/>
          <w:szCs w:val="20"/>
          <w:color w:val="auto"/>
        </w:rPr>
        <w:tab/>
      </w:r>
      <w:hyperlink w:anchor="page4">
        <w:r>
          <w:rPr>
            <w:rFonts w:ascii="Times New Roman" w:cs="Times New Roman" w:eastAsia="Times New Roman" w:hAnsi="Times New Roman"/>
            <w:sz w:val="17"/>
            <w:szCs w:val="17"/>
            <w:u w:val="single" w:color="auto"/>
            <w:color w:val="0000EE"/>
          </w:rPr>
          <w:t>Press release, dated September 29, 2020, announcing the Company’s financial results for the six months ended June 30, 2020.</w:t>
        </w:r>
      </w:hyperlink>
    </w:p>
    <w:p>
      <w:pPr>
        <w:spacing w:after="0" w:line="117" w:lineRule="exact"/>
        <w:rPr>
          <w:sz w:val="20"/>
          <w:szCs w:val="20"/>
          <w:color w:val="auto"/>
        </w:rPr>
      </w:pPr>
    </w:p>
    <w:p>
      <w:pPr>
        <w:spacing w:after="0"/>
        <w:tabs>
          <w:tab w:leader="none" w:pos="6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99.2</w:t>
      </w:r>
      <w:r>
        <w:rPr>
          <w:sz w:val="20"/>
          <w:szCs w:val="20"/>
          <w:color w:val="auto"/>
        </w:rPr>
        <w:tab/>
      </w:r>
      <w:hyperlink w:anchor="page9">
        <w:r>
          <w:rPr>
            <w:rFonts w:ascii="Times New Roman" w:cs="Times New Roman" w:eastAsia="Times New Roman" w:hAnsi="Times New Roman"/>
            <w:sz w:val="18"/>
            <w:szCs w:val="18"/>
            <w:u w:val="single" w:color="auto"/>
            <w:color w:val="0000EE"/>
          </w:rPr>
          <w:t>Unaudited condensed consolidated financial statements as of June 30, 2020 and for the six months then ended.</w:t>
        </w:r>
      </w:hyperlink>
    </w:p>
    <w:p>
      <w:pPr>
        <w:spacing w:after="0" w:line="117"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101</w:t>
      </w:r>
      <w:r>
        <w:rPr>
          <w:sz w:val="20"/>
          <w:szCs w:val="20"/>
          <w:color w:val="auto"/>
        </w:rPr>
        <w:tab/>
      </w:r>
      <w:r>
        <w:rPr>
          <w:rFonts w:ascii="Times New Roman" w:cs="Times New Roman" w:eastAsia="Times New Roman" w:hAnsi="Times New Roman"/>
          <w:sz w:val="18"/>
          <w:szCs w:val="18"/>
          <w:color w:val="auto"/>
        </w:rPr>
        <w:t>Financial Statements, formatted in XBRL (eXtensible Business Reporting Language).</w:t>
      </w:r>
    </w:p>
    <w:p>
      <w:pPr>
        <w:spacing w:after="0" w:line="225"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The XBRL related information in Exhibit 101 to this Form 6-K shall not deemed “filed” for purposes of Section 18 of the Securities Exchange Act of 1934, as amended, or otherwise subject to liability under that section and shall not be incorporated by reference into any filing or other document pursuant to the Securities Act of 1933, as amended, except as shall be expressly set forth by specific reference in such filing or document.</w:t>
      </w:r>
    </w:p>
    <w:p>
      <w:pPr>
        <w:spacing w:after="0" w:line="176"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The contents of this Report of Foreign Private Issuer on Form 6-K are incorporated by reference in the Company’s registration statements on Form F-3 (File No. 333-239708), filed with the Securities and Exchange Commission (the “SEC”) on July 6, 2020, and on Form S-8 (File Nos. 333-236498 and 333-231636), filed with the SEC on February 18, 2020 and May 21, 2019, respectively.</w:t>
      </w:r>
    </w:p>
    <w:p>
      <w:pPr>
        <w:sectPr>
          <w:pgSz w:w="11900" w:h="16838" w:orient="portrait"/>
          <w:cols w:equalWidth="0" w:num="1">
            <w:col w:w="11000"/>
          </w:cols>
          <w:pgMar w:left="440" w:top="266" w:right="459" w:bottom="1440" w:gutter="0" w:footer="0" w:header="0"/>
        </w:sectPr>
      </w:pPr>
    </w:p>
    <w:bookmarkStart w:id="2" w:name="page3"/>
    <w:bookmarkEnd w:id="2"/>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SIGNATURES</w:t>
      </w:r>
    </w:p>
    <w:p>
      <w:pPr>
        <w:spacing w:after="0" w:line="229"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September 29, 2020</w:t>
      </w:r>
    </w:p>
    <w:p>
      <w:pPr>
        <w:spacing w:after="0" w:line="244"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20"/>
          <w:szCs w:val="20"/>
          <w:b w:val="1"/>
          <w:bCs w:val="1"/>
          <w:color w:val="auto"/>
        </w:rPr>
        <w:t>MEREO BIOPHARMA GROUP PLC</w:t>
      </w:r>
    </w:p>
    <w:p>
      <w:pPr>
        <w:spacing w:after="0" w:line="224"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Charles Sermon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Charles Sermon</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General Counsel</w:t>
      </w:r>
    </w:p>
    <w:p>
      <w:pPr>
        <w:sectPr>
          <w:pgSz w:w="11900" w:h="16838" w:orient="portrait"/>
          <w:cols w:equalWidth="0" w:num="1">
            <w:col w:w="10700"/>
          </w:cols>
          <w:pgMar w:left="440" w:top="266" w:right="759" w:bottom="1440" w:gutter="0" w:footer="0" w:header="0"/>
        </w:sectPr>
      </w:pPr>
    </w:p>
    <w:bookmarkStart w:id="3" w:name="page4"/>
    <w:bookmarkEnd w:id="3"/>
    <w:p>
      <w:pPr>
        <w:ind w:left="10080"/>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Mereo BioPharma Announces Interim Financial Results for the Six Months Ended June 30, 2020 and Provides Corporate Update</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On track to initiate Phase 1b/2 etigilimab (Anti-TIGIT) combination study in Q4 2020</w:t>
      </w:r>
    </w:p>
    <w:p>
      <w:pPr>
        <w:spacing w:after="0" w:line="225" w:lineRule="exact"/>
        <w:rPr>
          <w:sz w:val="20"/>
          <w:szCs w:val="20"/>
          <w:color w:val="auto"/>
        </w:rPr>
      </w:pPr>
    </w:p>
    <w:p>
      <w:pPr>
        <w:jc w:val="center"/>
        <w:ind w:right="20"/>
        <w:spacing w:after="0" w:line="282" w:lineRule="auto"/>
        <w:rPr>
          <w:sz w:val="20"/>
          <w:szCs w:val="20"/>
          <w:color w:val="auto"/>
        </w:rPr>
      </w:pPr>
      <w:r>
        <w:rPr>
          <w:rFonts w:ascii="Times New Roman" w:cs="Times New Roman" w:eastAsia="Times New Roman" w:hAnsi="Times New Roman"/>
          <w:sz w:val="18"/>
          <w:szCs w:val="18"/>
          <w:color w:val="auto"/>
        </w:rPr>
        <w:t>Enrolment resumed in Phase 2 study of alvelestat in Alpha-1 Antitrypsin Deficiency and initiated placebo-controlled Phase 1b/2 clinical trial in COVID-19 respiratory disease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Partnering discussions continue for portfolio of clinical-stage programs including setrusumab for osteogenesis imperfecta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PIPE Financing of $70 million (£56 million) completed in June 2020, cash runway into 2022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Conference Call Today at 8:00 a.m. EDT / 1:00 p.m. BST</w:t>
      </w:r>
    </w:p>
    <w:p>
      <w:pPr>
        <w:spacing w:after="0" w:line="27"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London and Redwood City, Calif., September 29, 2020 </w:t>
      </w:r>
      <w:r>
        <w:rPr>
          <w:rFonts w:ascii="Times New Roman" w:cs="Times New Roman" w:eastAsia="Times New Roman" w:hAnsi="Times New Roman"/>
          <w:sz w:val="18"/>
          <w:szCs w:val="18"/>
          <w:color w:val="auto"/>
        </w:rPr>
        <w:t>- Mereo BioPharma Group plc (NASDAQ: MREO, AIM: MPH), “Mereo” or “the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 clinical stage biopharmaceutical company focused on oncology and rare diseases, today announces unaudited interim financial results for the six months ended June 30, 2020 and provides a corporate update.</w:t>
      </w:r>
    </w:p>
    <w:p>
      <w:pPr>
        <w:spacing w:after="0" w:line="186"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Denise Scots-Knight, Chief Executive of Mereo, said: “Following the closing of our $70 million financing in the first half of 2020 we have focussed on executing our strategy, advancing etigilimab (“Anti-TIGIT”) for the treatment of solid tumors alongside developing our rare disease portfolio. We remain on track to initiate a Phase 1b/2 study of etigilimab (Anti-TIGIT) in combination with an anti-PD-1 in a range of solid tumor types in Q4 2020. Our rare disease portfolio includes setrusumab for osteogenesis imperfecta which we plan to partner prior to the initiation of a pivotal Phase 3 study, and alvelestat which is being investigated in an ongoing Phase 2 proof-of-concept study for alpha-1 anti-trypsin deficiency. We were also pleased to have recently announced the initiation of a Phase 1b/2 placebo-controlled study of alvelestat in COVID-19 infected patients following the scientific publications demonstrating the involvement of neutrophil elastase in COVID-19 infection pathways. We also continue to advance other discussions with potential partners to optimize the value of our broader product portfolio.”</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Highlights and Upcoming Milestones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Etigilimab (Anti-TIGIT) for Solid Tumors</w:t>
      </w:r>
    </w:p>
    <w:p>
      <w:pPr>
        <w:spacing w:after="0" w:line="135" w:lineRule="exact"/>
        <w:rPr>
          <w:sz w:val="20"/>
          <w:szCs w:val="20"/>
          <w:color w:val="auto"/>
        </w:rPr>
      </w:pPr>
    </w:p>
    <w:p>
      <w:pPr>
        <w:ind w:left="960" w:hanging="424"/>
        <w:spacing w:after="0"/>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track to initiate a Phase 1b/2 study of etigilimab in combination with an anti-PD-1 in a range of solid tumor types in Q4 2020.</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Setrusumab for Osteogenesis Imperfecta (OI)</w:t>
      </w:r>
    </w:p>
    <w:p>
      <w:pPr>
        <w:spacing w:after="0" w:line="135" w:lineRule="exact"/>
        <w:rPr>
          <w:sz w:val="20"/>
          <w:szCs w:val="20"/>
          <w:color w:val="auto"/>
        </w:rPr>
      </w:pPr>
    </w:p>
    <w:p>
      <w:pPr>
        <w:ind w:left="960" w:hanging="424"/>
        <w:spacing w:after="0"/>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of FDA Rare Pediatric Disease Designation on September 23, 2020.</w:t>
      </w:r>
    </w:p>
    <w:p>
      <w:pPr>
        <w:spacing w:after="0" w:line="130" w:lineRule="exact"/>
        <w:rPr>
          <w:rFonts w:ascii="Times New Roman" w:cs="Times New Roman" w:eastAsia="Times New Roman" w:hAnsi="Times New Roman"/>
          <w:sz w:val="18"/>
          <w:szCs w:val="18"/>
          <w:color w:val="auto"/>
        </w:rPr>
      </w:pPr>
    </w:p>
    <w:p>
      <w:pPr>
        <w:ind w:left="960" w:right="600" w:hanging="424"/>
        <w:spacing w:after="0" w:line="282" w:lineRule="auto"/>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regulatory discussions in 1H 2020, both the FDA and EMA have agreed on the principles of a design of a single Phase 3 pediatric pivotal study in OI.</w:t>
      </w:r>
    </w:p>
    <w:p>
      <w:pPr>
        <w:spacing w:after="0" w:line="67" w:lineRule="exact"/>
        <w:rPr>
          <w:rFonts w:ascii="Times New Roman" w:cs="Times New Roman" w:eastAsia="Times New Roman" w:hAnsi="Times New Roman"/>
          <w:sz w:val="18"/>
          <w:szCs w:val="18"/>
          <w:color w:val="auto"/>
        </w:rPr>
      </w:pPr>
    </w:p>
    <w:p>
      <w:pPr>
        <w:ind w:left="960" w:right="260" w:hanging="424"/>
        <w:spacing w:after="0" w:line="282" w:lineRule="auto"/>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Intend to partner setrusumab prior to conducting a pivotal trial of setrusumab in children with severe OI. Partnering discussions are well underway with a range of potential structures including options for Mereo to retain commercial rights in certain regions.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Alvelestat for Severe Alpha-1 Antitrypsin Deficiency (AATD)</w:t>
      </w:r>
    </w:p>
    <w:p>
      <w:pPr>
        <w:spacing w:after="0" w:line="135" w:lineRule="exact"/>
        <w:rPr>
          <w:sz w:val="20"/>
          <w:szCs w:val="20"/>
          <w:color w:val="auto"/>
        </w:rPr>
      </w:pPr>
    </w:p>
    <w:p>
      <w:pPr>
        <w:ind w:left="960" w:hanging="424"/>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Topline data from an ongoing Phase 2 proof of concept study remains on track for 2H 2021.</w:t>
      </w:r>
    </w:p>
    <w:p>
      <w:pPr>
        <w:spacing w:after="0" w:line="130" w:lineRule="exact"/>
        <w:rPr>
          <w:rFonts w:ascii="Times New Roman" w:cs="Times New Roman" w:eastAsia="Times New Roman" w:hAnsi="Times New Roman"/>
          <w:sz w:val="18"/>
          <w:szCs w:val="18"/>
          <w:color w:val="auto"/>
        </w:rPr>
      </w:pPr>
    </w:p>
    <w:p>
      <w:pPr>
        <w:ind w:left="960" w:right="260" w:hanging="424"/>
        <w:spacing w:after="0" w:line="282" w:lineRule="auto"/>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Announced the initiation of a Phase 1b/2 placebo-controlled clinical trial to evaluate the safety and efficacy of alvelestat in hospitalized, adult patients with moderate to severe COVID-19 respiratory disease.</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Investigator-sponsored studies underway in AATD and in the orphan disease, bronchiolitis obliterans syndrome (BOS).</w:t>
      </w:r>
    </w:p>
    <w:p>
      <w:pPr>
        <w:sectPr>
          <w:pgSz w:w="11900" w:h="16838" w:orient="portrait"/>
          <w:cols w:equalWidth="0" w:num="1">
            <w:col w:w="11020"/>
          </w:cols>
          <w:pgMar w:left="440" w:top="117" w:right="4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Partnering Discussions Continue for Portfolio of Other Clinical-Stage Programs</w:t>
      </w:r>
    </w:p>
    <w:p>
      <w:pPr>
        <w:spacing w:after="0" w:line="135" w:lineRule="exact"/>
        <w:rPr>
          <w:sz w:val="20"/>
          <w:szCs w:val="20"/>
          <w:color w:val="auto"/>
        </w:rPr>
      </w:pPr>
    </w:p>
    <w:p>
      <w:pPr>
        <w:ind w:left="960" w:hanging="424"/>
        <w:spacing w:after="0"/>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Leflutrozole for hypogonadotropic hypogonadism (HH)</w:t>
      </w:r>
    </w:p>
    <w:p>
      <w:pPr>
        <w:spacing w:after="0" w:line="130" w:lineRule="exact"/>
        <w:rPr>
          <w:rFonts w:ascii="Times New Roman" w:cs="Times New Roman" w:eastAsia="Times New Roman" w:hAnsi="Times New Roman"/>
          <w:sz w:val="18"/>
          <w:szCs w:val="18"/>
          <w:color w:val="auto"/>
        </w:rPr>
      </w:pPr>
    </w:p>
    <w:p>
      <w:pPr>
        <w:ind w:left="1420" w:hanging="331"/>
        <w:spacing w:after="0"/>
        <w:tabs>
          <w:tab w:leader="none" w:pos="142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Partnering discussions continuing based on development in male infertility.</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Acumapimod for Acute Exacerbations of Chronic Obstructive Pulmonary Disease (AECOPD)</w:t>
      </w:r>
    </w:p>
    <w:p>
      <w:pPr>
        <w:spacing w:after="0" w:line="130" w:lineRule="exact"/>
        <w:rPr>
          <w:rFonts w:ascii="Times New Roman" w:cs="Times New Roman" w:eastAsia="Times New Roman" w:hAnsi="Times New Roman"/>
          <w:sz w:val="18"/>
          <w:szCs w:val="18"/>
          <w:color w:val="auto"/>
        </w:rPr>
      </w:pPr>
    </w:p>
    <w:p>
      <w:pPr>
        <w:ind w:left="1420" w:hanging="331"/>
        <w:spacing w:after="0"/>
        <w:tabs>
          <w:tab w:leader="none" w:pos="142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Discussions continuing on separate financing for the Phase 3 study agreed with the FDA and EMA.</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w:t>
      </w:r>
    </w:p>
    <w:p>
      <w:pPr>
        <w:spacing w:after="0" w:line="135" w:lineRule="exact"/>
        <w:rPr>
          <w:sz w:val="20"/>
          <w:szCs w:val="20"/>
          <w:color w:val="auto"/>
        </w:rPr>
      </w:pPr>
    </w:p>
    <w:p>
      <w:pPr>
        <w:ind w:left="960" w:right="460" w:hanging="424"/>
        <w:spacing w:after="0" w:line="282" w:lineRule="auto"/>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Appointment of Dr. Brian Schwartz and Dr. Jeremy Bender as Non-Executive Directors and departure of Mr Paul Blackburn as Non-Executive Director effective October 1, 2020</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John Lewicki appointed as Chief Scientific Officer and Dr. Ann Kapoun appointed as Head Translational R&amp;D in July 2020.</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Highlights</w:t>
      </w:r>
    </w:p>
    <w:p>
      <w:pPr>
        <w:spacing w:after="0" w:line="135" w:lineRule="exact"/>
        <w:rPr>
          <w:sz w:val="20"/>
          <w:szCs w:val="20"/>
          <w:color w:val="auto"/>
        </w:rPr>
      </w:pPr>
    </w:p>
    <w:p>
      <w:pPr>
        <w:ind w:left="960" w:hanging="424"/>
        <w:spacing w:after="0"/>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resources of £56.8 million as at June 30, 2020 (June 30, 2019 £36.1 million).</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£11.8 million raised in equity and debt in Q1 2020.</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$70 million (£56 million) raised in PIPE in Q2 2020.</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runway to early 2022.</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Conference Call Information</w:t>
      </w:r>
    </w:p>
    <w:p>
      <w:pPr>
        <w:spacing w:after="0" w:line="121"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Mereo will host a live conference call and webcast today at 8:00 a.m. EDT / 1:00 p.m. BST to discuss the Company’s financial results and provide a corporate update.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Dial-in numbers: (866) 688-2942 (U.S.) or +1 (561) 569-9224 (U.K./International)</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Conference ID number: 9572439</w:t>
      </w:r>
    </w:p>
    <w:p>
      <w:pPr>
        <w:spacing w:after="0" w:line="225"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 xml:space="preserve">A live and archived webcast may be accessed by visiting the Investors sections of the Company’s website at </w:t>
      </w:r>
      <w:r>
        <w:rPr>
          <w:rFonts w:ascii="Times New Roman" w:cs="Times New Roman" w:eastAsia="Times New Roman" w:hAnsi="Times New Roman"/>
          <w:sz w:val="18"/>
          <w:szCs w:val="18"/>
          <w:u w:val="single" w:color="auto"/>
          <w:color w:val="auto"/>
        </w:rPr>
        <w:t>https://www.mereobiopharma.com/investors/results-reports-and-presentations/</w:t>
      </w:r>
      <w:r>
        <w:rPr>
          <w:rFonts w:ascii="Times New Roman" w:cs="Times New Roman" w:eastAsia="Times New Roman" w:hAnsi="Times New Roman"/>
          <w:sz w:val="18"/>
          <w:szCs w:val="18"/>
          <w:color w:val="auto"/>
        </w:rPr>
        <w:t>. The archived webcast will remain available on the Company’s website following the live call.</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Mereo BioPharma</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u w:val="single" w:color="auto"/>
          <w:color w:val="auto"/>
        </w:rPr>
        <w:t>Mereo BioPharma</w:t>
      </w:r>
      <w:r>
        <w:rPr>
          <w:rFonts w:ascii="Times New Roman" w:cs="Times New Roman" w:eastAsia="Times New Roman" w:hAnsi="Times New Roman"/>
          <w:sz w:val="18"/>
          <w:szCs w:val="18"/>
          <w:color w:val="auto"/>
        </w:rPr>
        <w:t xml:space="preserve"> is a biopharmaceutical company focused on the development and commercialization of innovative therapeutics that aim to improve outcomes for oncology and rare diseases. Mereo’s lead oncology product candidate, etigilimab (“Anti-TIGIT”), has completed a Phase 1a dose escalation clinical trial in patients with advanced solid tumors and has been evaluated in a Phase 1b study in combination with nivolumab in select tumor types. Mereo’s rare disease product portfolio consists of setrusumab, which has completed a Phase 2b dose-ranging study in adults with osteogenesis imperfecta (“OI”), as well as alvelestat, which is being investigated in a Phase 2 proof-of-concept clinical trial in patients with alpha-1 antitrypsin deficiency (“AATD”) and in a Phase 1b/2 clinical trial in COVID-19 respiratory disease.</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Information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person responsible for arranging the release of this information on behalf of the Company is Charles Sermon, General Counsel.</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0"/>
          </w:cols>
          <w:pgMar w:left="440" w:top="266" w:right="4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Forward-Looking Statements</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This Announcement contains “forward-looking statements.” All statements other than statements of historical fact contained in this Announcement are forward-looking statements within the meaning of Section 27A of the United States Securities Act of 1933, as amended and Section 21E of the United States Securities Exchange Act of 1934, as amended. Forward-looking statements usually relate to future events and anticipated revenues, earnings, cash flows or other aspects of our operations or operating results. Forward-looking statements are often identified by the words “believe,” “expect,” “anticipate,” “plan,” “intend,” “foresee,” “should,” “would,” “could,” “may,” “estimate,” “outlook” and similar expressions, including the negative thereof. The absence of these words, however, does not mean that the statements are not forward-looking. These forward-looking statements are based on the Company’s current expectations, beliefs and assumptions concerning future developments and business conditions and their potential effect on the Company. While management believes that these forward-looking statements are reasonable as and when made, there can be no assurance that future developments affecting the Company will be those that it anticipates.</w:t>
      </w:r>
    </w:p>
    <w:p>
      <w:pPr>
        <w:spacing w:after="0" w:line="188"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All of the Company’s forward-looking statements involve known and unknown risks and uncertainties (some of which are significant or beyond its control) and assumptions that could cause actual results to differ materially from the Company’s historical experience and its present expectations or projections. The foregoing factors and the other risks and uncertainties that affect the Company’s business, including those described in its Annual Report on Form 20-F, Reports on Form 6-K and other documents filed from time to time by the Company with the United States Securities and Exchange Commission. The Company wishes to caution you not to place undue reliance on any forward-looking statements, which speak only as of the date hereof. The Company undertakes no obligation to publicly update or revise any of our forward-looking statements after the date they are made, whether as a result of new information, future events or otherwise, except to the extent required by law.</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Mereo BioPharma Contacts:</w:t>
            </w:r>
          </w:p>
        </w:tc>
        <w:tc>
          <w:tcPr>
            <w:tcW w:w="7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80" w:type="dxa"/>
            <w:vAlign w:val="bottom"/>
          </w:tcPr>
          <w:p>
            <w:pPr>
              <w:spacing w:after="0"/>
              <w:rPr>
                <w:sz w:val="20"/>
                <w:szCs w:val="20"/>
                <w:color w:val="auto"/>
              </w:rPr>
            </w:pPr>
          </w:p>
        </w:tc>
      </w:tr>
      <w:tr>
        <w:trPr>
          <w:trHeight w:val="441"/>
        </w:trPr>
        <w:tc>
          <w:tcPr>
            <w:tcW w:w="5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Mereo</w:t>
            </w:r>
          </w:p>
        </w:tc>
        <w:tc>
          <w:tcPr>
            <w:tcW w:w="1040" w:type="dxa"/>
            <w:vAlign w:val="bottom"/>
            <w:gridSpan w:val="2"/>
          </w:tcPr>
          <w:p>
            <w:pPr>
              <w:ind w:left="740"/>
              <w:spacing w:after="0"/>
              <w:rPr>
                <w:sz w:val="20"/>
                <w:szCs w:val="20"/>
                <w:color w:val="auto"/>
              </w:rPr>
            </w:pPr>
            <w:r>
              <w:rPr>
                <w:rFonts w:ascii="Times New Roman" w:cs="Times New Roman" w:eastAsia="Times New Roman" w:hAnsi="Times New Roman"/>
                <w:sz w:val="18"/>
                <w:szCs w:val="18"/>
                <w:b w:val="1"/>
                <w:bCs w:val="1"/>
                <w:color w:val="auto"/>
                <w:w w:val="98"/>
              </w:rPr>
              <w:t>+44</w:t>
            </w:r>
          </w:p>
        </w:tc>
        <w:tc>
          <w:tcPr>
            <w:tcW w:w="20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(0)333 023 7300</w:t>
            </w:r>
          </w:p>
        </w:tc>
      </w:tr>
      <w:tr>
        <w:trPr>
          <w:trHeight w:val="234"/>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Denise Scots-Knight, Chief Executive Officer</w:t>
            </w:r>
          </w:p>
        </w:tc>
        <w:tc>
          <w:tcPr>
            <w:tcW w:w="7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80" w:type="dxa"/>
            <w:vAlign w:val="bottom"/>
          </w:tcPr>
          <w:p>
            <w:pPr>
              <w:spacing w:after="0"/>
              <w:rPr>
                <w:sz w:val="20"/>
                <w:szCs w:val="20"/>
                <w:color w:val="auto"/>
              </w:rPr>
            </w:pPr>
          </w:p>
        </w:tc>
      </w:tr>
      <w:tr>
        <w:trPr>
          <w:trHeight w:val="414"/>
        </w:trPr>
        <w:tc>
          <w:tcPr>
            <w:tcW w:w="5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N+1 Singer (Nominated Adviser and Broker to Mereo)</w:t>
            </w:r>
          </w:p>
        </w:tc>
        <w:tc>
          <w:tcPr>
            <w:tcW w:w="1040" w:type="dxa"/>
            <w:vAlign w:val="bottom"/>
            <w:gridSpan w:val="2"/>
          </w:tcPr>
          <w:p>
            <w:pPr>
              <w:ind w:left="740"/>
              <w:spacing w:after="0"/>
              <w:rPr>
                <w:sz w:val="20"/>
                <w:szCs w:val="20"/>
                <w:color w:val="auto"/>
              </w:rPr>
            </w:pPr>
            <w:r>
              <w:rPr>
                <w:rFonts w:ascii="Times New Roman" w:cs="Times New Roman" w:eastAsia="Times New Roman" w:hAnsi="Times New Roman"/>
                <w:sz w:val="18"/>
                <w:szCs w:val="18"/>
                <w:b w:val="1"/>
                <w:bCs w:val="1"/>
                <w:color w:val="auto"/>
                <w:w w:val="98"/>
              </w:rPr>
              <w:t>+44</w:t>
            </w:r>
          </w:p>
        </w:tc>
        <w:tc>
          <w:tcPr>
            <w:tcW w:w="20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(0)20 7496 3081</w:t>
            </w:r>
          </w:p>
        </w:tc>
      </w:tr>
      <w:tr>
        <w:trPr>
          <w:trHeight w:val="216"/>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Phil Davies</w:t>
            </w: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80" w:type="dxa"/>
            <w:vAlign w:val="bottom"/>
          </w:tcPr>
          <w:p>
            <w:pPr>
              <w:spacing w:after="0"/>
              <w:rPr>
                <w:sz w:val="18"/>
                <w:szCs w:val="18"/>
                <w:color w:val="auto"/>
              </w:rPr>
            </w:pPr>
          </w:p>
        </w:tc>
      </w:tr>
      <w:tr>
        <w:trPr>
          <w:trHeight w:val="234"/>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Will Goode</w:t>
            </w:r>
          </w:p>
        </w:tc>
        <w:tc>
          <w:tcPr>
            <w:tcW w:w="7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80" w:type="dxa"/>
            <w:vAlign w:val="bottom"/>
          </w:tcPr>
          <w:p>
            <w:pPr>
              <w:spacing w:after="0"/>
              <w:rPr>
                <w:sz w:val="20"/>
                <w:szCs w:val="20"/>
                <w:color w:val="auto"/>
              </w:rPr>
            </w:pPr>
          </w:p>
        </w:tc>
      </w:tr>
      <w:tr>
        <w:trPr>
          <w:trHeight w:val="414"/>
        </w:trPr>
        <w:tc>
          <w:tcPr>
            <w:tcW w:w="5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Burns McClellan (US Investor Relations Adviser to Mereo)</w:t>
            </w:r>
          </w:p>
        </w:tc>
        <w:tc>
          <w:tcPr>
            <w:tcW w:w="1040" w:type="dxa"/>
            <w:vAlign w:val="bottom"/>
            <w:gridSpan w:val="2"/>
          </w:tcPr>
          <w:p>
            <w:pPr>
              <w:ind w:left="740"/>
              <w:spacing w:after="0"/>
              <w:rPr>
                <w:sz w:val="20"/>
                <w:szCs w:val="20"/>
                <w:color w:val="auto"/>
              </w:rPr>
            </w:pPr>
            <w:r>
              <w:rPr>
                <w:rFonts w:ascii="Times New Roman" w:cs="Times New Roman" w:eastAsia="Times New Roman" w:hAnsi="Times New Roman"/>
                <w:sz w:val="18"/>
                <w:szCs w:val="18"/>
                <w:b w:val="1"/>
                <w:bCs w:val="1"/>
                <w:color w:val="auto"/>
                <w:w w:val="98"/>
              </w:rPr>
              <w:t>+01</w:t>
            </w:r>
          </w:p>
        </w:tc>
        <w:tc>
          <w:tcPr>
            <w:tcW w:w="20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212 213 0006</w:t>
            </w:r>
          </w:p>
        </w:tc>
      </w:tr>
      <w:tr>
        <w:trPr>
          <w:trHeight w:val="216"/>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Lisa Burns</w:t>
            </w: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80" w:type="dxa"/>
            <w:vAlign w:val="bottom"/>
          </w:tcPr>
          <w:p>
            <w:pPr>
              <w:spacing w:after="0"/>
              <w:rPr>
                <w:sz w:val="18"/>
                <w:szCs w:val="18"/>
                <w:color w:val="auto"/>
              </w:rPr>
            </w:pPr>
          </w:p>
        </w:tc>
      </w:tr>
      <w:tr>
        <w:trPr>
          <w:trHeight w:val="234"/>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Steve Klass</w:t>
            </w:r>
          </w:p>
        </w:tc>
        <w:tc>
          <w:tcPr>
            <w:tcW w:w="7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80" w:type="dxa"/>
            <w:vAlign w:val="bottom"/>
          </w:tcPr>
          <w:p>
            <w:pPr>
              <w:spacing w:after="0"/>
              <w:rPr>
                <w:sz w:val="20"/>
                <w:szCs w:val="20"/>
                <w:color w:val="auto"/>
              </w:rPr>
            </w:pPr>
          </w:p>
        </w:tc>
      </w:tr>
      <w:tr>
        <w:trPr>
          <w:trHeight w:val="414"/>
        </w:trPr>
        <w:tc>
          <w:tcPr>
            <w:tcW w:w="5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FTI Consulting (UK Public Relations Adviser to Mereo)</w:t>
            </w:r>
          </w:p>
        </w:tc>
        <w:tc>
          <w:tcPr>
            <w:tcW w:w="1040" w:type="dxa"/>
            <w:vAlign w:val="bottom"/>
            <w:gridSpan w:val="2"/>
          </w:tcPr>
          <w:p>
            <w:pPr>
              <w:ind w:left="740"/>
              <w:spacing w:after="0"/>
              <w:rPr>
                <w:sz w:val="20"/>
                <w:szCs w:val="20"/>
                <w:color w:val="auto"/>
              </w:rPr>
            </w:pPr>
            <w:r>
              <w:rPr>
                <w:rFonts w:ascii="Times New Roman" w:cs="Times New Roman" w:eastAsia="Times New Roman" w:hAnsi="Times New Roman"/>
                <w:sz w:val="18"/>
                <w:szCs w:val="18"/>
                <w:b w:val="1"/>
                <w:bCs w:val="1"/>
                <w:color w:val="auto"/>
                <w:w w:val="98"/>
              </w:rPr>
              <w:t>+44</w:t>
            </w:r>
          </w:p>
        </w:tc>
        <w:tc>
          <w:tcPr>
            <w:tcW w:w="20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(0)20 3727 1000</w:t>
            </w:r>
          </w:p>
        </w:tc>
      </w:tr>
      <w:tr>
        <w:trPr>
          <w:trHeight w:val="216"/>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Simon Conway</w:t>
            </w: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80" w:type="dxa"/>
            <w:vAlign w:val="bottom"/>
          </w:tcPr>
          <w:p>
            <w:pPr>
              <w:spacing w:after="0"/>
              <w:rPr>
                <w:sz w:val="18"/>
                <w:szCs w:val="18"/>
                <w:color w:val="auto"/>
              </w:rPr>
            </w:pPr>
          </w:p>
        </w:tc>
      </w:tr>
      <w:tr>
        <w:trPr>
          <w:trHeight w:val="234"/>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Ciara Martin</w:t>
            </w:r>
          </w:p>
        </w:tc>
        <w:tc>
          <w:tcPr>
            <w:tcW w:w="7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80" w:type="dxa"/>
            <w:vAlign w:val="bottom"/>
          </w:tcPr>
          <w:p>
            <w:pPr>
              <w:spacing w:after="0"/>
              <w:rPr>
                <w:sz w:val="20"/>
                <w:szCs w:val="20"/>
                <w:color w:val="auto"/>
              </w:rPr>
            </w:pPr>
          </w:p>
        </w:tc>
      </w:tr>
      <w:tr>
        <w:trPr>
          <w:trHeight w:val="283"/>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Investors</w:t>
            </w:r>
          </w:p>
        </w:tc>
        <w:tc>
          <w:tcPr>
            <w:tcW w:w="3120" w:type="dxa"/>
            <w:vAlign w:val="bottom"/>
            <w:gridSpan w:val="3"/>
          </w:tcPr>
          <w:p>
            <w:pPr>
              <w:ind w:left="740"/>
              <w:spacing w:after="0"/>
              <w:rPr>
                <w:sz w:val="20"/>
                <w:szCs w:val="20"/>
                <w:color w:val="auto"/>
              </w:rPr>
            </w:pPr>
            <w:r>
              <w:rPr>
                <w:rFonts w:ascii="Times New Roman" w:cs="Times New Roman" w:eastAsia="Times New Roman" w:hAnsi="Times New Roman"/>
                <w:sz w:val="18"/>
                <w:szCs w:val="18"/>
                <w:color w:val="auto"/>
                <w:w w:val="98"/>
              </w:rPr>
              <w:t>investors@mereobiopharma.com</w:t>
            </w:r>
          </w:p>
        </w:tc>
      </w:tr>
      <w:tr>
        <w:trPr>
          <w:trHeight w:val="385"/>
        </w:trPr>
        <w:tc>
          <w:tcPr>
            <w:tcW w:w="5000" w:type="dxa"/>
            <w:vAlign w:val="bottom"/>
          </w:tcPr>
          <w:p>
            <w:pPr>
              <w:spacing w:after="0"/>
              <w:rPr>
                <w:sz w:val="24"/>
                <w:szCs w:val="24"/>
                <w:color w:val="auto"/>
              </w:rPr>
            </w:pPr>
          </w:p>
        </w:tc>
        <w:tc>
          <w:tcPr>
            <w:tcW w:w="7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3</w:t>
            </w:r>
          </w:p>
        </w:tc>
        <w:tc>
          <w:tcPr>
            <w:tcW w:w="300" w:type="dxa"/>
            <w:vAlign w:val="bottom"/>
            <w:tcBorders>
              <w:top w:val="single" w:sz="8" w:color="auto"/>
            </w:tcBorders>
          </w:tcPr>
          <w:p>
            <w:pPr>
              <w:spacing w:after="0"/>
              <w:rPr>
                <w:sz w:val="24"/>
                <w:szCs w:val="24"/>
                <w:color w:val="auto"/>
              </w:rPr>
            </w:pPr>
          </w:p>
        </w:tc>
        <w:tc>
          <w:tcPr>
            <w:tcW w:w="2080" w:type="dxa"/>
            <w:vAlign w:val="bottom"/>
            <w:tcBorders>
              <w:top w:val="single" w:sz="8" w:color="auto"/>
            </w:tcBorders>
          </w:tcPr>
          <w:p>
            <w:pPr>
              <w:spacing w:after="0"/>
              <w:rPr>
                <w:sz w:val="24"/>
                <w:szCs w:val="24"/>
                <w:color w:val="auto"/>
              </w:rPr>
            </w:pPr>
          </w:p>
        </w:tc>
      </w:tr>
    </w:tbl>
    <w:p>
      <w:pPr>
        <w:sectPr>
          <w:pgSz w:w="11900" w:h="16838" w:orient="portrait"/>
          <w:cols w:equalWidth="0" w:num="1">
            <w:col w:w="11000"/>
          </w:cols>
          <w:pgMar w:left="440" w:top="266" w:right="4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Consolidated statement of comprehensive loss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six months ended June 30, 2020</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4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Six months</w:t>
            </w:r>
          </w:p>
        </w:tc>
        <w:tc>
          <w:tcPr>
            <w:tcW w:w="122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color w:val="auto"/>
              </w:rPr>
              <w:t>Six months</w:t>
            </w: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Year ended</w:t>
            </w:r>
          </w:p>
        </w:tc>
        <w:tc>
          <w:tcPr>
            <w:tcW w:w="0" w:type="dxa"/>
            <w:vAlign w:val="bottom"/>
          </w:tcPr>
          <w:p>
            <w:pPr>
              <w:spacing w:after="0"/>
              <w:rPr>
                <w:sz w:val="1"/>
                <w:szCs w:val="1"/>
                <w:color w:val="auto"/>
              </w:rPr>
            </w:pPr>
          </w:p>
        </w:tc>
      </w:tr>
      <w:tr>
        <w:trPr>
          <w:trHeight w:val="148"/>
        </w:trPr>
        <w:tc>
          <w:tcPr>
            <w:tcW w:w="6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4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122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color w:val="auto"/>
              </w:rPr>
              <w:t>ended</w:t>
            </w:r>
          </w:p>
        </w:tc>
        <w:tc>
          <w:tcPr>
            <w:tcW w:w="9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w w:val="99"/>
              </w:rPr>
              <w:t>December 31,</w:t>
            </w:r>
          </w:p>
        </w:tc>
        <w:tc>
          <w:tcPr>
            <w:tcW w:w="0" w:type="dxa"/>
            <w:vAlign w:val="bottom"/>
          </w:tcPr>
          <w:p>
            <w:pPr>
              <w:spacing w:after="0"/>
              <w:rPr>
                <w:sz w:val="1"/>
                <w:szCs w:val="1"/>
                <w:color w:val="auto"/>
              </w:rPr>
            </w:pPr>
          </w:p>
        </w:tc>
      </w:tr>
      <w:tr>
        <w:trPr>
          <w:trHeight w:val="148"/>
        </w:trPr>
        <w:tc>
          <w:tcPr>
            <w:tcW w:w="6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4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June 30, 2020</w:t>
            </w:r>
          </w:p>
        </w:tc>
        <w:tc>
          <w:tcPr>
            <w:tcW w:w="122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color w:val="auto"/>
              </w:rPr>
              <w:t>June 30, 2019</w:t>
            </w:r>
          </w:p>
        </w:tc>
        <w:tc>
          <w:tcPr>
            <w:tcW w:w="800" w:type="dxa"/>
            <w:vAlign w:val="bottom"/>
          </w:tcPr>
          <w:p>
            <w:pPr>
              <w:jc w:val="right"/>
              <w:ind w:right="175"/>
              <w:spacing w:after="0" w:line="149" w:lineRule="exact"/>
              <w:rPr>
                <w:sz w:val="20"/>
                <w:szCs w:val="20"/>
                <w:color w:val="auto"/>
              </w:rPr>
            </w:pPr>
            <w:r>
              <w:rPr>
                <w:rFonts w:ascii="Times New Roman" w:cs="Times New Roman" w:eastAsia="Times New Roman" w:hAnsi="Times New Roman"/>
                <w:sz w:val="14"/>
                <w:szCs w:val="14"/>
                <w:color w:val="auto"/>
              </w:rPr>
              <w:t>2019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4"/>
                <w:szCs w:val="14"/>
                <w:color w:val="auto"/>
                <w:w w:val="97"/>
              </w:rPr>
              <w:t>Notes</w:t>
            </w:r>
          </w:p>
        </w:tc>
        <w:tc>
          <w:tcPr>
            <w:tcW w:w="124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122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color w:val="auto"/>
              </w:rPr>
              <w:t>Unaudited</w:t>
            </w:r>
          </w:p>
        </w:tc>
        <w:tc>
          <w:tcPr>
            <w:tcW w:w="92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Audited</w:t>
            </w:r>
          </w:p>
        </w:tc>
        <w:tc>
          <w:tcPr>
            <w:tcW w:w="0" w:type="dxa"/>
            <w:vAlign w:val="bottom"/>
          </w:tcPr>
          <w:p>
            <w:pPr>
              <w:spacing w:after="0"/>
              <w:rPr>
                <w:sz w:val="1"/>
                <w:szCs w:val="1"/>
                <w:color w:val="auto"/>
              </w:rPr>
            </w:pPr>
          </w:p>
        </w:tc>
      </w:tr>
      <w:tr>
        <w:trPr>
          <w:trHeight w:val="173"/>
        </w:trPr>
        <w:tc>
          <w:tcPr>
            <w:tcW w:w="66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124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£’000</w:t>
            </w:r>
          </w:p>
        </w:tc>
        <w:tc>
          <w:tcPr>
            <w:tcW w:w="122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color w:val="auto"/>
              </w:rPr>
              <w:t>£’000</w:t>
            </w:r>
          </w:p>
        </w:tc>
        <w:tc>
          <w:tcPr>
            <w:tcW w:w="9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w w:val="97"/>
              </w:rPr>
              <w:t>£’000</w:t>
            </w:r>
          </w:p>
        </w:tc>
        <w:tc>
          <w:tcPr>
            <w:tcW w:w="0" w:type="dxa"/>
            <w:vAlign w:val="bottom"/>
          </w:tcPr>
          <w:p>
            <w:pPr>
              <w:spacing w:after="0"/>
              <w:rPr>
                <w:sz w:val="1"/>
                <w:szCs w:val="1"/>
                <w:color w:val="auto"/>
              </w:rPr>
            </w:pPr>
          </w:p>
        </w:tc>
      </w:tr>
      <w:tr>
        <w:trPr>
          <w:trHeight w:val="209"/>
        </w:trPr>
        <w:tc>
          <w:tcPr>
            <w:tcW w:w="66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2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(8,479)</w:t>
            </w:r>
          </w:p>
        </w:tc>
        <w:tc>
          <w:tcPr>
            <w:tcW w:w="40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(11,918)</w:t>
            </w:r>
          </w:p>
        </w:tc>
        <w:tc>
          <w:tcPr>
            <w:tcW w:w="4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(23,608)</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Administrative expenses</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(8,212)</w:t>
            </w:r>
          </w:p>
        </w:tc>
        <w:tc>
          <w:tcPr>
            <w:tcW w:w="12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(6,918)</w:t>
            </w: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(15,909)</w:t>
            </w:r>
          </w:p>
        </w:tc>
        <w:tc>
          <w:tcPr>
            <w:tcW w:w="0" w:type="dxa"/>
            <w:vAlign w:val="bottom"/>
          </w:tcPr>
          <w:p>
            <w:pPr>
              <w:spacing w:after="0"/>
              <w:rPr>
                <w:sz w:val="1"/>
                <w:szCs w:val="1"/>
                <w:color w:val="auto"/>
              </w:rPr>
            </w:pPr>
          </w:p>
        </w:tc>
      </w:tr>
      <w:tr>
        <w:trPr>
          <w:trHeight w:val="27"/>
        </w:trPr>
        <w:tc>
          <w:tcPr>
            <w:tcW w:w="6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loss</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(16,691)</w:t>
            </w:r>
          </w:p>
        </w:tc>
        <w:tc>
          <w:tcPr>
            <w:tcW w:w="12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(18,836)</w:t>
            </w: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(39,517)</w:t>
            </w:r>
          </w:p>
        </w:tc>
        <w:tc>
          <w:tcPr>
            <w:tcW w:w="0" w:type="dxa"/>
            <w:vAlign w:val="bottom"/>
          </w:tcPr>
          <w:p>
            <w:pPr>
              <w:spacing w:after="0"/>
              <w:rPr>
                <w:sz w:val="1"/>
                <w:szCs w:val="1"/>
                <w:color w:val="auto"/>
              </w:rPr>
            </w:pPr>
          </w:p>
        </w:tc>
      </w:tr>
      <w:tr>
        <w:trPr>
          <w:trHeight w:val="223"/>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Net income recognised on acquisition of subsidiary</w:t>
            </w: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Borders>
              <w:top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1,035</w:t>
            </w:r>
          </w:p>
        </w:tc>
        <w:tc>
          <w:tcPr>
            <w:tcW w:w="420" w:type="dxa"/>
            <w:vAlign w:val="bottom"/>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 income</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39</w:t>
            </w:r>
          </w:p>
        </w:tc>
        <w:tc>
          <w:tcPr>
            <w:tcW w:w="12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137</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377</w:t>
            </w:r>
          </w:p>
        </w:tc>
        <w:tc>
          <w:tcPr>
            <w:tcW w:w="0" w:type="dxa"/>
            <w:vAlign w:val="bottom"/>
          </w:tcPr>
          <w:p>
            <w:pPr>
              <w:spacing w:after="0"/>
              <w:rPr>
                <w:sz w:val="1"/>
                <w:szCs w:val="1"/>
                <w:color w:val="auto"/>
              </w:rPr>
            </w:pPr>
          </w:p>
        </w:tc>
      </w:tr>
      <w:tr>
        <w:trPr>
          <w:trHeight w:val="216"/>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Finance charge</w:t>
            </w:r>
          </w:p>
        </w:tc>
        <w:tc>
          <w:tcPr>
            <w:tcW w:w="98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3</w:t>
            </w:r>
          </w:p>
        </w:tc>
        <w:tc>
          <w:tcPr>
            <w:tcW w:w="12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(97,628)</w:t>
            </w:r>
          </w:p>
        </w:tc>
        <w:tc>
          <w:tcPr>
            <w:tcW w:w="12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(998)</w:t>
            </w: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(3,496)</w:t>
            </w: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disposal of intangible assets</w:t>
            </w:r>
          </w:p>
        </w:tc>
        <w:tc>
          <w:tcPr>
            <w:tcW w:w="98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4</w:t>
            </w:r>
          </w:p>
        </w:tc>
        <w:tc>
          <w:tcPr>
            <w:tcW w:w="12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(11,302)</w:t>
            </w:r>
          </w:p>
        </w:tc>
        <w:tc>
          <w:tcPr>
            <w:tcW w:w="122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Net foreign exchange (loss)/gain</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(519)</w:t>
            </w:r>
          </w:p>
        </w:tc>
        <w:tc>
          <w:tcPr>
            <w:tcW w:w="12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(20)</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483</w:t>
            </w:r>
          </w:p>
        </w:tc>
        <w:tc>
          <w:tcPr>
            <w:tcW w:w="0" w:type="dxa"/>
            <w:vAlign w:val="bottom"/>
          </w:tcPr>
          <w:p>
            <w:pPr>
              <w:spacing w:after="0"/>
              <w:rPr>
                <w:sz w:val="1"/>
                <w:szCs w:val="1"/>
                <w:color w:val="auto"/>
              </w:rPr>
            </w:pPr>
          </w:p>
        </w:tc>
      </w:tr>
      <w:tr>
        <w:trPr>
          <w:trHeight w:val="27"/>
        </w:trPr>
        <w:tc>
          <w:tcPr>
            <w:tcW w:w="6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before tax</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(126,101)</w:t>
            </w:r>
          </w:p>
        </w:tc>
        <w:tc>
          <w:tcPr>
            <w:tcW w:w="12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(18,682)</w:t>
            </w: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(41,118)</w:t>
            </w:r>
          </w:p>
        </w:tc>
        <w:tc>
          <w:tcPr>
            <w:tcW w:w="0" w:type="dxa"/>
            <w:vAlign w:val="bottom"/>
          </w:tcPr>
          <w:p>
            <w:pPr>
              <w:spacing w:after="0"/>
              <w:rPr>
                <w:sz w:val="1"/>
                <w:szCs w:val="1"/>
                <w:color w:val="auto"/>
              </w:rPr>
            </w:pPr>
          </w:p>
        </w:tc>
      </w:tr>
      <w:tr>
        <w:trPr>
          <w:trHeight w:val="216"/>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Taxation</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1,482</w:t>
            </w:r>
          </w:p>
        </w:tc>
        <w:tc>
          <w:tcPr>
            <w:tcW w:w="400" w:type="dxa"/>
            <w:vAlign w:val="bottom"/>
          </w:tcPr>
          <w:p>
            <w:pPr>
              <w:spacing w:after="0"/>
              <w:rPr>
                <w:sz w:val="18"/>
                <w:szCs w:val="18"/>
                <w:color w:val="auto"/>
              </w:rPr>
            </w:pPr>
          </w:p>
        </w:tc>
        <w:tc>
          <w:tcPr>
            <w:tcW w:w="12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2,459</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6,274</w:t>
            </w:r>
          </w:p>
        </w:tc>
        <w:tc>
          <w:tcPr>
            <w:tcW w:w="0" w:type="dxa"/>
            <w:vAlign w:val="bottom"/>
          </w:tcPr>
          <w:p>
            <w:pPr>
              <w:spacing w:after="0"/>
              <w:rPr>
                <w:sz w:val="1"/>
                <w:szCs w:val="1"/>
                <w:color w:val="auto"/>
              </w:rPr>
            </w:pPr>
          </w:p>
        </w:tc>
      </w:tr>
      <w:tr>
        <w:trPr>
          <w:trHeight w:val="27"/>
        </w:trPr>
        <w:tc>
          <w:tcPr>
            <w:tcW w:w="6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for the period, attributable to equity holders of the parent</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(124,619)</w:t>
            </w:r>
          </w:p>
        </w:tc>
        <w:tc>
          <w:tcPr>
            <w:tcW w:w="12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(16,224)</w:t>
            </w: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(34,844)</w:t>
            </w:r>
          </w:p>
        </w:tc>
        <w:tc>
          <w:tcPr>
            <w:tcW w:w="0" w:type="dxa"/>
            <w:vAlign w:val="bottom"/>
          </w:tcPr>
          <w:p>
            <w:pPr>
              <w:spacing w:after="0"/>
              <w:rPr>
                <w:sz w:val="1"/>
                <w:szCs w:val="1"/>
                <w:color w:val="auto"/>
              </w:rPr>
            </w:pPr>
          </w:p>
        </w:tc>
      </w:tr>
      <w:tr>
        <w:trPr>
          <w:trHeight w:val="20"/>
        </w:trPr>
        <w:tc>
          <w:tcPr>
            <w:tcW w:w="66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Basic and diluted loss per share for the period</w:t>
            </w: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6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(1.05)</w:t>
            </w:r>
          </w:p>
        </w:tc>
        <w:tc>
          <w:tcPr>
            <w:tcW w:w="400" w:type="dxa"/>
            <w:vAlign w:val="bottom"/>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(0.22)</w:t>
            </w:r>
          </w:p>
        </w:tc>
        <w:tc>
          <w:tcPr>
            <w:tcW w:w="420" w:type="dxa"/>
            <w:vAlign w:val="bottom"/>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666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Other comprehensive income / (loss)</w:t>
            </w:r>
          </w:p>
        </w:tc>
        <w:tc>
          <w:tcPr>
            <w:tcW w:w="2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Items that may be subsequently reclassified to the income statement</w:t>
            </w:r>
          </w:p>
        </w:tc>
        <w:tc>
          <w:tcPr>
            <w:tcW w:w="2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changes on investments held at fair value through OCI</w:t>
            </w:r>
          </w:p>
        </w:tc>
        <w:tc>
          <w:tcPr>
            <w:tcW w:w="2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3</w:t>
            </w:r>
          </w:p>
        </w:tc>
        <w:tc>
          <w:tcPr>
            <w:tcW w:w="12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88</w:t>
            </w: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Currency translation of foreign operations</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1,324</w:t>
            </w:r>
          </w:p>
        </w:tc>
        <w:tc>
          <w:tcPr>
            <w:tcW w:w="4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711</w:t>
            </w: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(499)</w:t>
            </w:r>
          </w:p>
        </w:tc>
        <w:tc>
          <w:tcPr>
            <w:tcW w:w="0" w:type="dxa"/>
            <w:vAlign w:val="bottom"/>
          </w:tcPr>
          <w:p>
            <w:pPr>
              <w:spacing w:after="0"/>
              <w:rPr>
                <w:sz w:val="1"/>
                <w:szCs w:val="1"/>
                <w:color w:val="auto"/>
              </w:rPr>
            </w:pPr>
          </w:p>
        </w:tc>
      </w:tr>
      <w:tr>
        <w:trPr>
          <w:trHeight w:val="20"/>
        </w:trPr>
        <w:tc>
          <w:tcPr>
            <w:tcW w:w="66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Total comprehensive loss for the period, attributable to equity holders of the parent</w:t>
            </w: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6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(123,292)</w:t>
            </w:r>
          </w:p>
        </w:tc>
        <w:tc>
          <w:tcPr>
            <w:tcW w:w="400" w:type="dxa"/>
            <w:vAlign w:val="bottom"/>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(15,425)</w:t>
            </w:r>
          </w:p>
        </w:tc>
        <w:tc>
          <w:tcPr>
            <w:tcW w:w="420" w:type="dxa"/>
            <w:vAlign w:val="bottom"/>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(35,343)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60" w:type="dxa"/>
            <w:vAlign w:val="bottom"/>
            <w:vMerge w:val="restart"/>
          </w:tcPr>
          <w:p>
            <w:pPr>
              <w:ind w:left="5460"/>
              <w:spacing w:after="0"/>
              <w:rPr>
                <w:sz w:val="20"/>
                <w:szCs w:val="20"/>
                <w:color w:val="auto"/>
              </w:rPr>
            </w:pPr>
            <w:r>
              <w:rPr>
                <w:rFonts w:ascii="Times New Roman" w:cs="Times New Roman" w:eastAsia="Times New Roman" w:hAnsi="Times New Roman"/>
                <w:sz w:val="18"/>
                <w:szCs w:val="18"/>
                <w:color w:val="auto"/>
              </w:rPr>
              <w:t>4</w:t>
            </w: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666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66" w:right="4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Consolidated balance sheet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at June 30, 2020</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00" w:type="dxa"/>
            <w:vAlign w:val="bottom"/>
          </w:tcPr>
          <w:p>
            <w:pPr>
              <w:spacing w:after="0"/>
              <w:rPr>
                <w:sz w:val="13"/>
                <w:szCs w:val="13"/>
                <w:color w:val="auto"/>
              </w:rPr>
            </w:pPr>
          </w:p>
        </w:tc>
        <w:tc>
          <w:tcPr>
            <w:tcW w:w="25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4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w w:val="98"/>
              </w:rPr>
              <w:t>June 30, 2020</w:t>
            </w:r>
          </w:p>
        </w:tc>
        <w:tc>
          <w:tcPr>
            <w:tcW w:w="120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color w:val="auto"/>
              </w:rPr>
              <w:t>June 30, 2019</w:t>
            </w:r>
          </w:p>
        </w:tc>
        <w:tc>
          <w:tcPr>
            <w:tcW w:w="12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December 31, 2019</w:t>
            </w:r>
          </w:p>
        </w:tc>
        <w:tc>
          <w:tcPr>
            <w:tcW w:w="0" w:type="dxa"/>
            <w:vAlign w:val="bottom"/>
          </w:tcPr>
          <w:p>
            <w:pPr>
              <w:spacing w:after="0"/>
              <w:rPr>
                <w:sz w:val="1"/>
                <w:szCs w:val="1"/>
                <w:color w:val="auto"/>
              </w:rPr>
            </w:pPr>
          </w:p>
        </w:tc>
      </w:tr>
      <w:tr>
        <w:trPr>
          <w:trHeight w:val="148"/>
        </w:trPr>
        <w:tc>
          <w:tcPr>
            <w:tcW w:w="410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70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4"/>
                <w:szCs w:val="14"/>
                <w:color w:val="auto"/>
                <w:w w:val="97"/>
              </w:rPr>
              <w:t>Notes</w:t>
            </w:r>
          </w:p>
        </w:tc>
        <w:tc>
          <w:tcPr>
            <w:tcW w:w="1240" w:type="dxa"/>
            <w:vAlign w:val="bottom"/>
            <w:gridSpan w:val="2"/>
          </w:tcPr>
          <w:p>
            <w:pPr>
              <w:jc w:val="right"/>
              <w:ind w:right="500"/>
              <w:spacing w:after="0" w:line="149"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120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color w:val="auto"/>
              </w:rPr>
              <w:t>Unaudited</w:t>
            </w:r>
          </w:p>
        </w:tc>
        <w:tc>
          <w:tcPr>
            <w:tcW w:w="12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color w:val="auto"/>
              </w:rPr>
              <w:t>Audited</w:t>
            </w:r>
          </w:p>
        </w:tc>
        <w:tc>
          <w:tcPr>
            <w:tcW w:w="0" w:type="dxa"/>
            <w:vAlign w:val="bottom"/>
          </w:tcPr>
          <w:p>
            <w:pPr>
              <w:spacing w:after="0"/>
              <w:rPr>
                <w:sz w:val="1"/>
                <w:szCs w:val="1"/>
                <w:color w:val="auto"/>
              </w:rPr>
            </w:pPr>
          </w:p>
        </w:tc>
      </w:tr>
      <w:tr>
        <w:trPr>
          <w:trHeight w:val="173"/>
        </w:trPr>
        <w:tc>
          <w:tcPr>
            <w:tcW w:w="410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1240" w:type="dxa"/>
            <w:vAlign w:val="bottom"/>
            <w:gridSpan w:val="2"/>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£’000</w:t>
            </w:r>
          </w:p>
        </w:tc>
        <w:tc>
          <w:tcPr>
            <w:tcW w:w="120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color w:val="auto"/>
                <w:w w:val="97"/>
              </w:rPr>
              <w:t>£’000</w:t>
            </w:r>
          </w:p>
        </w:tc>
        <w:tc>
          <w:tcPr>
            <w:tcW w:w="12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£’000</w:t>
            </w:r>
          </w:p>
        </w:tc>
        <w:tc>
          <w:tcPr>
            <w:tcW w:w="0" w:type="dxa"/>
            <w:vAlign w:val="bottom"/>
          </w:tcPr>
          <w:p>
            <w:pPr>
              <w:spacing w:after="0"/>
              <w:rPr>
                <w:sz w:val="1"/>
                <w:szCs w:val="1"/>
                <w:color w:val="auto"/>
              </w:rPr>
            </w:pPr>
          </w:p>
        </w:tc>
      </w:tr>
      <w:tr>
        <w:trPr>
          <w:trHeight w:val="196"/>
        </w:trPr>
        <w:tc>
          <w:tcPr>
            <w:tcW w:w="410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Assets</w:t>
            </w:r>
          </w:p>
        </w:tc>
        <w:tc>
          <w:tcPr>
            <w:tcW w:w="252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Non-current assets</w:t>
            </w:r>
          </w:p>
        </w:tc>
        <w:tc>
          <w:tcPr>
            <w:tcW w:w="2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2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11,225</w:t>
            </w:r>
          </w:p>
        </w:tc>
        <w:tc>
          <w:tcPr>
            <w:tcW w:w="12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13,100</w:t>
            </w: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11,558</w:t>
            </w:r>
          </w:p>
        </w:tc>
        <w:tc>
          <w:tcPr>
            <w:tcW w:w="0" w:type="dxa"/>
            <w:vAlign w:val="bottom"/>
          </w:tcPr>
          <w:p>
            <w:pPr>
              <w:spacing w:after="0"/>
              <w:rPr>
                <w:sz w:val="1"/>
                <w:szCs w:val="1"/>
                <w:color w:val="auto"/>
              </w:rPr>
            </w:pPr>
          </w:p>
        </w:tc>
      </w:tr>
      <w:tr>
        <w:trPr>
          <w:trHeight w:val="216"/>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322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4</w:t>
            </w:r>
          </w:p>
        </w:tc>
        <w:tc>
          <w:tcPr>
            <w:tcW w:w="12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31,876</w:t>
            </w:r>
          </w:p>
        </w:tc>
        <w:tc>
          <w:tcPr>
            <w:tcW w:w="12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45,157</w:t>
            </w: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44,456</w:t>
            </w:r>
          </w:p>
        </w:tc>
        <w:tc>
          <w:tcPr>
            <w:tcW w:w="0" w:type="dxa"/>
            <w:vAlign w:val="bottom"/>
          </w:tcPr>
          <w:p>
            <w:pPr>
              <w:spacing w:after="0"/>
              <w:rPr>
                <w:sz w:val="1"/>
                <w:szCs w:val="1"/>
                <w:color w:val="auto"/>
              </w:rPr>
            </w:pPr>
          </w:p>
        </w:tc>
      </w:tr>
      <w:tr>
        <w:trPr>
          <w:trHeight w:val="27"/>
        </w:trPr>
        <w:tc>
          <w:tcPr>
            <w:tcW w:w="4100" w:type="dxa"/>
            <w:vAlign w:val="bottom"/>
          </w:tcPr>
          <w:p>
            <w:pPr>
              <w:spacing w:after="0"/>
              <w:rPr>
                <w:sz w:val="2"/>
                <w:szCs w:val="2"/>
                <w:color w:val="auto"/>
              </w:rPr>
            </w:pPr>
          </w:p>
        </w:tc>
        <w:tc>
          <w:tcPr>
            <w:tcW w:w="2520" w:type="dxa"/>
            <w:vAlign w:val="bottom"/>
          </w:tcPr>
          <w:p>
            <w:pPr>
              <w:spacing w:after="0"/>
              <w:rPr>
                <w:sz w:val="2"/>
                <w:szCs w:val="2"/>
                <w:color w:val="auto"/>
              </w:rPr>
            </w:pPr>
          </w:p>
        </w:tc>
        <w:tc>
          <w:tcPr>
            <w:tcW w:w="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100" w:type="dxa"/>
            <w:vAlign w:val="bottom"/>
            <w:shd w:val="clear" w:color="auto" w:fill="CCEEFF"/>
          </w:tcPr>
          <w:p>
            <w:pPr>
              <w:spacing w:after="0"/>
              <w:rPr>
                <w:sz w:val="18"/>
                <w:szCs w:val="18"/>
                <w:color w:val="auto"/>
              </w:rPr>
            </w:pPr>
          </w:p>
        </w:tc>
        <w:tc>
          <w:tcPr>
            <w:tcW w:w="2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43,101</w:t>
            </w:r>
          </w:p>
        </w:tc>
        <w:tc>
          <w:tcPr>
            <w:tcW w:w="12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58,257</w:t>
            </w: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56,014</w:t>
            </w:r>
          </w:p>
        </w:tc>
        <w:tc>
          <w:tcPr>
            <w:tcW w:w="0" w:type="dxa"/>
            <w:vAlign w:val="bottom"/>
          </w:tcPr>
          <w:p>
            <w:pPr>
              <w:spacing w:after="0"/>
              <w:rPr>
                <w:sz w:val="1"/>
                <w:szCs w:val="1"/>
                <w:color w:val="auto"/>
              </w:rPr>
            </w:pPr>
          </w:p>
        </w:tc>
      </w:tr>
      <w:tr>
        <w:trPr>
          <w:trHeight w:val="223"/>
        </w:trPr>
        <w:tc>
          <w:tcPr>
            <w:tcW w:w="4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25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Prepayments</w:t>
            </w:r>
          </w:p>
        </w:tc>
        <w:tc>
          <w:tcPr>
            <w:tcW w:w="2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1,400</w:t>
            </w:r>
          </w:p>
        </w:tc>
        <w:tc>
          <w:tcPr>
            <w:tcW w:w="12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3,068</w:t>
            </w: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2,111</w:t>
            </w:r>
          </w:p>
        </w:tc>
        <w:tc>
          <w:tcPr>
            <w:tcW w:w="0" w:type="dxa"/>
            <w:vAlign w:val="bottom"/>
          </w:tcPr>
          <w:p>
            <w:pPr>
              <w:spacing w:after="0"/>
              <w:rPr>
                <w:sz w:val="1"/>
                <w:szCs w:val="1"/>
                <w:color w:val="auto"/>
              </w:rPr>
            </w:pPr>
          </w:p>
        </w:tc>
      </w:tr>
      <w:tr>
        <w:trPr>
          <w:trHeight w:val="216"/>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R&amp;D tax credits</w:t>
            </w:r>
          </w:p>
        </w:tc>
        <w:tc>
          <w:tcPr>
            <w:tcW w:w="2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6,624</w:t>
            </w:r>
          </w:p>
        </w:tc>
        <w:tc>
          <w:tcPr>
            <w:tcW w:w="12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7,745</w:t>
            </w: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10,426</w:t>
            </w: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taxes recoverable</w:t>
            </w:r>
          </w:p>
        </w:tc>
        <w:tc>
          <w:tcPr>
            <w:tcW w:w="2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979</w:t>
            </w:r>
          </w:p>
        </w:tc>
        <w:tc>
          <w:tcPr>
            <w:tcW w:w="0" w:type="dxa"/>
            <w:vAlign w:val="bottom"/>
          </w:tcPr>
          <w:p>
            <w:pPr>
              <w:spacing w:after="0"/>
              <w:rPr>
                <w:sz w:val="1"/>
                <w:szCs w:val="1"/>
                <w:color w:val="auto"/>
              </w:rPr>
            </w:pPr>
          </w:p>
        </w:tc>
      </w:tr>
      <w:tr>
        <w:trPr>
          <w:trHeight w:val="216"/>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Other receivables</w:t>
            </w:r>
          </w:p>
        </w:tc>
        <w:tc>
          <w:tcPr>
            <w:tcW w:w="2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1,836</w:t>
            </w:r>
          </w:p>
        </w:tc>
        <w:tc>
          <w:tcPr>
            <w:tcW w:w="12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1,953</w:t>
            </w: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572</w:t>
            </w: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Short-term investments</w:t>
            </w:r>
          </w:p>
        </w:tc>
        <w:tc>
          <w:tcPr>
            <w:tcW w:w="2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7,828</w:t>
            </w: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Cash and short-term deposits</w:t>
            </w:r>
          </w:p>
        </w:tc>
        <w:tc>
          <w:tcPr>
            <w:tcW w:w="2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56,821</w:t>
            </w:r>
          </w:p>
        </w:tc>
        <w:tc>
          <w:tcPr>
            <w:tcW w:w="12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28,290</w:t>
            </w: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16,347</w:t>
            </w:r>
          </w:p>
        </w:tc>
        <w:tc>
          <w:tcPr>
            <w:tcW w:w="0" w:type="dxa"/>
            <w:vAlign w:val="bottom"/>
          </w:tcPr>
          <w:p>
            <w:pPr>
              <w:spacing w:after="0"/>
              <w:rPr>
                <w:sz w:val="1"/>
                <w:szCs w:val="1"/>
                <w:color w:val="auto"/>
              </w:rPr>
            </w:pPr>
          </w:p>
        </w:tc>
      </w:tr>
      <w:tr>
        <w:trPr>
          <w:trHeight w:val="27"/>
        </w:trPr>
        <w:tc>
          <w:tcPr>
            <w:tcW w:w="4100" w:type="dxa"/>
            <w:vAlign w:val="bottom"/>
          </w:tcPr>
          <w:p>
            <w:pPr>
              <w:spacing w:after="0"/>
              <w:rPr>
                <w:sz w:val="2"/>
                <w:szCs w:val="2"/>
                <w:color w:val="auto"/>
              </w:rPr>
            </w:pPr>
          </w:p>
        </w:tc>
        <w:tc>
          <w:tcPr>
            <w:tcW w:w="2520" w:type="dxa"/>
            <w:vAlign w:val="bottom"/>
          </w:tcPr>
          <w:p>
            <w:pPr>
              <w:spacing w:after="0"/>
              <w:rPr>
                <w:sz w:val="2"/>
                <w:szCs w:val="2"/>
                <w:color w:val="auto"/>
              </w:rPr>
            </w:pPr>
          </w:p>
        </w:tc>
        <w:tc>
          <w:tcPr>
            <w:tcW w:w="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100" w:type="dxa"/>
            <w:vAlign w:val="bottom"/>
            <w:shd w:val="clear" w:color="auto" w:fill="CCEEFF"/>
          </w:tcPr>
          <w:p>
            <w:pPr>
              <w:spacing w:after="0"/>
              <w:rPr>
                <w:sz w:val="18"/>
                <w:szCs w:val="18"/>
                <w:color w:val="auto"/>
              </w:rPr>
            </w:pPr>
          </w:p>
        </w:tc>
        <w:tc>
          <w:tcPr>
            <w:tcW w:w="2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66,681</w:t>
            </w:r>
          </w:p>
        </w:tc>
        <w:tc>
          <w:tcPr>
            <w:tcW w:w="12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48,884</w:t>
            </w: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30,435</w:t>
            </w:r>
          </w:p>
        </w:tc>
        <w:tc>
          <w:tcPr>
            <w:tcW w:w="0" w:type="dxa"/>
            <w:vAlign w:val="bottom"/>
          </w:tcPr>
          <w:p>
            <w:pPr>
              <w:spacing w:after="0"/>
              <w:rPr>
                <w:sz w:val="1"/>
                <w:szCs w:val="1"/>
                <w:color w:val="auto"/>
              </w:rPr>
            </w:pPr>
          </w:p>
        </w:tc>
      </w:tr>
      <w:tr>
        <w:trPr>
          <w:trHeight w:val="223"/>
        </w:trPr>
        <w:tc>
          <w:tcPr>
            <w:tcW w:w="4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5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109,782</w:t>
            </w:r>
          </w:p>
        </w:tc>
        <w:tc>
          <w:tcPr>
            <w:tcW w:w="42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107,141</w:t>
            </w:r>
          </w:p>
        </w:tc>
        <w:tc>
          <w:tcPr>
            <w:tcW w:w="400" w:type="dxa"/>
            <w:vAlign w:val="bottom"/>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86,449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0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Equity and liabilities</w:t>
            </w:r>
          </w:p>
        </w:tc>
        <w:tc>
          <w:tcPr>
            <w:tcW w:w="2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2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Issued capital</w:t>
            </w:r>
          </w:p>
        </w:tc>
        <w:tc>
          <w:tcPr>
            <w:tcW w:w="322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7</w:t>
            </w:r>
          </w:p>
        </w:tc>
        <w:tc>
          <w:tcPr>
            <w:tcW w:w="12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1,016</w:t>
            </w:r>
          </w:p>
        </w:tc>
        <w:tc>
          <w:tcPr>
            <w:tcW w:w="12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294</w:t>
            </w: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294</w:t>
            </w:r>
          </w:p>
        </w:tc>
        <w:tc>
          <w:tcPr>
            <w:tcW w:w="0" w:type="dxa"/>
            <w:vAlign w:val="bottom"/>
          </w:tcPr>
          <w:p>
            <w:pPr>
              <w:spacing w:after="0"/>
              <w:rPr>
                <w:sz w:val="1"/>
                <w:szCs w:val="1"/>
                <w:color w:val="auto"/>
              </w:rPr>
            </w:pPr>
          </w:p>
        </w:tc>
      </w:tr>
      <w:tr>
        <w:trPr>
          <w:trHeight w:val="216"/>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Share premium</w:t>
            </w:r>
          </w:p>
        </w:tc>
        <w:tc>
          <w:tcPr>
            <w:tcW w:w="322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7</w:t>
            </w:r>
          </w:p>
        </w:tc>
        <w:tc>
          <w:tcPr>
            <w:tcW w:w="12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161,785</w:t>
            </w:r>
          </w:p>
        </w:tc>
        <w:tc>
          <w:tcPr>
            <w:tcW w:w="12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121,684</w:t>
            </w: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121,684</w:t>
            </w: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capital reserves</w:t>
            </w:r>
          </w:p>
        </w:tc>
        <w:tc>
          <w:tcPr>
            <w:tcW w:w="322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7</w:t>
            </w:r>
          </w:p>
        </w:tc>
        <w:tc>
          <w:tcPr>
            <w:tcW w:w="12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127,727</w:t>
            </w:r>
          </w:p>
        </w:tc>
        <w:tc>
          <w:tcPr>
            <w:tcW w:w="12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58,004</w:t>
            </w: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59,147</w:t>
            </w:r>
          </w:p>
        </w:tc>
        <w:tc>
          <w:tcPr>
            <w:tcW w:w="0" w:type="dxa"/>
            <w:vAlign w:val="bottom"/>
          </w:tcPr>
          <w:p>
            <w:pPr>
              <w:spacing w:after="0"/>
              <w:rPr>
                <w:sz w:val="1"/>
                <w:szCs w:val="1"/>
                <w:color w:val="auto"/>
              </w:rPr>
            </w:pPr>
          </w:p>
        </w:tc>
      </w:tr>
      <w:tr>
        <w:trPr>
          <w:trHeight w:val="216"/>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Employee Benefit Trust shares</w:t>
            </w:r>
          </w:p>
        </w:tc>
        <w:tc>
          <w:tcPr>
            <w:tcW w:w="322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7</w:t>
            </w:r>
          </w:p>
        </w:tc>
        <w:tc>
          <w:tcPr>
            <w:tcW w:w="12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(1,305)</w:t>
            </w:r>
          </w:p>
        </w:tc>
        <w:tc>
          <w:tcPr>
            <w:tcW w:w="12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(1,305)</w:t>
            </w: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(1,305)</w:t>
            </w: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reserves</w:t>
            </w:r>
          </w:p>
        </w:tc>
        <w:tc>
          <w:tcPr>
            <w:tcW w:w="322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7</w:t>
            </w:r>
          </w:p>
        </w:tc>
        <w:tc>
          <w:tcPr>
            <w:tcW w:w="12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4,875</w:t>
            </w:r>
          </w:p>
        </w:tc>
        <w:tc>
          <w:tcPr>
            <w:tcW w:w="12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7,000</w:t>
            </w: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7,000</w:t>
            </w:r>
          </w:p>
        </w:tc>
        <w:tc>
          <w:tcPr>
            <w:tcW w:w="0" w:type="dxa"/>
            <w:vAlign w:val="bottom"/>
          </w:tcPr>
          <w:p>
            <w:pPr>
              <w:spacing w:after="0"/>
              <w:rPr>
                <w:sz w:val="1"/>
                <w:szCs w:val="1"/>
                <w:color w:val="auto"/>
              </w:rPr>
            </w:pPr>
          </w:p>
        </w:tc>
      </w:tr>
      <w:tr>
        <w:trPr>
          <w:trHeight w:val="216"/>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Accumulated losses</w:t>
            </w:r>
          </w:p>
        </w:tc>
        <w:tc>
          <w:tcPr>
            <w:tcW w:w="322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7</w:t>
            </w:r>
          </w:p>
        </w:tc>
        <w:tc>
          <w:tcPr>
            <w:tcW w:w="12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(270,681)</w:t>
            </w:r>
          </w:p>
        </w:tc>
        <w:tc>
          <w:tcPr>
            <w:tcW w:w="12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(127,357)</w:t>
            </w: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(146,065)</w:t>
            </w: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Translation reserve</w:t>
            </w:r>
          </w:p>
        </w:tc>
        <w:tc>
          <w:tcPr>
            <w:tcW w:w="322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7</w:t>
            </w:r>
          </w:p>
        </w:tc>
        <w:tc>
          <w:tcPr>
            <w:tcW w:w="12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825</w:t>
            </w:r>
          </w:p>
        </w:tc>
        <w:tc>
          <w:tcPr>
            <w:tcW w:w="12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711</w:t>
            </w: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(499)</w:t>
            </w:r>
          </w:p>
        </w:tc>
        <w:tc>
          <w:tcPr>
            <w:tcW w:w="0" w:type="dxa"/>
            <w:vAlign w:val="bottom"/>
          </w:tcPr>
          <w:p>
            <w:pPr>
              <w:spacing w:after="0"/>
              <w:rPr>
                <w:sz w:val="1"/>
                <w:szCs w:val="1"/>
                <w:color w:val="auto"/>
              </w:rPr>
            </w:pPr>
          </w:p>
        </w:tc>
      </w:tr>
      <w:tr>
        <w:trPr>
          <w:trHeight w:val="230"/>
        </w:trPr>
        <w:tc>
          <w:tcPr>
            <w:tcW w:w="4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equity</w:t>
            </w:r>
          </w:p>
        </w:tc>
        <w:tc>
          <w:tcPr>
            <w:tcW w:w="25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24,242</w:t>
            </w:r>
          </w:p>
        </w:tc>
        <w:tc>
          <w:tcPr>
            <w:tcW w:w="420" w:type="dxa"/>
            <w:vAlign w:val="bottom"/>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59,031</w:t>
            </w:r>
          </w:p>
        </w:tc>
        <w:tc>
          <w:tcPr>
            <w:tcW w:w="400" w:type="dxa"/>
            <w:vAlign w:val="bottom"/>
          </w:tcPr>
          <w:p>
            <w:pPr>
              <w:spacing w:after="0"/>
              <w:rPr>
                <w:sz w:val="20"/>
                <w:szCs w:val="20"/>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40,256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Non-current liabilities</w:t>
            </w:r>
          </w:p>
        </w:tc>
        <w:tc>
          <w:tcPr>
            <w:tcW w:w="2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Provisions</w:t>
            </w:r>
          </w:p>
        </w:tc>
        <w:tc>
          <w:tcPr>
            <w:tcW w:w="322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8</w:t>
            </w:r>
          </w:p>
        </w:tc>
        <w:tc>
          <w:tcPr>
            <w:tcW w:w="12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1,698</w:t>
            </w:r>
          </w:p>
        </w:tc>
        <w:tc>
          <w:tcPr>
            <w:tcW w:w="12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1,927</w:t>
            </w: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1,449</w:t>
            </w: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Interest-bearing loans and borrowings</w:t>
            </w:r>
          </w:p>
        </w:tc>
        <w:tc>
          <w:tcPr>
            <w:tcW w:w="322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6</w:t>
            </w:r>
          </w:p>
        </w:tc>
        <w:tc>
          <w:tcPr>
            <w:tcW w:w="12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14,506</w:t>
            </w:r>
          </w:p>
        </w:tc>
        <w:tc>
          <w:tcPr>
            <w:tcW w:w="12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11,721</w:t>
            </w: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5,373</w:t>
            </w:r>
          </w:p>
        </w:tc>
        <w:tc>
          <w:tcPr>
            <w:tcW w:w="0" w:type="dxa"/>
            <w:vAlign w:val="bottom"/>
          </w:tcPr>
          <w:p>
            <w:pPr>
              <w:spacing w:after="0"/>
              <w:rPr>
                <w:sz w:val="1"/>
                <w:szCs w:val="1"/>
                <w:color w:val="auto"/>
              </w:rPr>
            </w:pPr>
          </w:p>
        </w:tc>
      </w:tr>
      <w:tr>
        <w:trPr>
          <w:trHeight w:val="216"/>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2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44</w:t>
            </w:r>
          </w:p>
        </w:tc>
        <w:tc>
          <w:tcPr>
            <w:tcW w:w="12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34</w:t>
            </w: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 liability</w:t>
            </w:r>
          </w:p>
        </w:tc>
        <w:tc>
          <w:tcPr>
            <w:tcW w:w="322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9</w:t>
            </w:r>
          </w:p>
        </w:tc>
        <w:tc>
          <w:tcPr>
            <w:tcW w:w="12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35,757</w:t>
            </w:r>
          </w:p>
        </w:tc>
        <w:tc>
          <w:tcPr>
            <w:tcW w:w="12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225</w:t>
            </w: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131</w:t>
            </w:r>
          </w:p>
        </w:tc>
        <w:tc>
          <w:tcPr>
            <w:tcW w:w="0" w:type="dxa"/>
            <w:vAlign w:val="bottom"/>
          </w:tcPr>
          <w:p>
            <w:pPr>
              <w:spacing w:after="0"/>
              <w:rPr>
                <w:sz w:val="1"/>
                <w:szCs w:val="1"/>
                <w:color w:val="auto"/>
              </w:rPr>
            </w:pPr>
          </w:p>
        </w:tc>
      </w:tr>
      <w:tr>
        <w:trPr>
          <w:trHeight w:val="216"/>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Lease liability</w:t>
            </w:r>
          </w:p>
        </w:tc>
        <w:tc>
          <w:tcPr>
            <w:tcW w:w="2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11,167</w:t>
            </w:r>
          </w:p>
        </w:tc>
        <w:tc>
          <w:tcPr>
            <w:tcW w:w="12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13,139</w:t>
            </w: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9,318</w:t>
            </w:r>
          </w:p>
        </w:tc>
        <w:tc>
          <w:tcPr>
            <w:tcW w:w="0" w:type="dxa"/>
            <w:vAlign w:val="bottom"/>
          </w:tcPr>
          <w:p>
            <w:pPr>
              <w:spacing w:after="0"/>
              <w:rPr>
                <w:sz w:val="1"/>
                <w:szCs w:val="1"/>
                <w:color w:val="auto"/>
              </w:rPr>
            </w:pPr>
          </w:p>
        </w:tc>
      </w:tr>
      <w:tr>
        <w:trPr>
          <w:trHeight w:val="27"/>
        </w:trPr>
        <w:tc>
          <w:tcPr>
            <w:tcW w:w="4100" w:type="dxa"/>
            <w:vAlign w:val="bottom"/>
          </w:tcPr>
          <w:p>
            <w:pPr>
              <w:spacing w:after="0"/>
              <w:rPr>
                <w:sz w:val="2"/>
                <w:szCs w:val="2"/>
                <w:color w:val="auto"/>
              </w:rPr>
            </w:pPr>
          </w:p>
        </w:tc>
        <w:tc>
          <w:tcPr>
            <w:tcW w:w="2520" w:type="dxa"/>
            <w:vAlign w:val="bottom"/>
          </w:tcPr>
          <w:p>
            <w:pPr>
              <w:spacing w:after="0"/>
              <w:rPr>
                <w:sz w:val="2"/>
                <w:szCs w:val="2"/>
                <w:color w:val="auto"/>
              </w:rPr>
            </w:pPr>
          </w:p>
        </w:tc>
        <w:tc>
          <w:tcPr>
            <w:tcW w:w="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100" w:type="dxa"/>
            <w:vAlign w:val="bottom"/>
            <w:shd w:val="clear" w:color="auto" w:fill="CCEEFF"/>
          </w:tcPr>
          <w:p>
            <w:pPr>
              <w:spacing w:after="0"/>
              <w:rPr>
                <w:sz w:val="18"/>
                <w:szCs w:val="18"/>
                <w:color w:val="auto"/>
              </w:rPr>
            </w:pPr>
          </w:p>
        </w:tc>
        <w:tc>
          <w:tcPr>
            <w:tcW w:w="2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63,172</w:t>
            </w:r>
          </w:p>
        </w:tc>
        <w:tc>
          <w:tcPr>
            <w:tcW w:w="12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27,046</w:t>
            </w: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16,315</w:t>
            </w:r>
          </w:p>
        </w:tc>
        <w:tc>
          <w:tcPr>
            <w:tcW w:w="0" w:type="dxa"/>
            <w:vAlign w:val="bottom"/>
          </w:tcPr>
          <w:p>
            <w:pPr>
              <w:spacing w:after="0"/>
              <w:rPr>
                <w:sz w:val="1"/>
                <w:szCs w:val="1"/>
                <w:color w:val="auto"/>
              </w:rPr>
            </w:pPr>
          </w:p>
        </w:tc>
      </w:tr>
      <w:tr>
        <w:trPr>
          <w:trHeight w:val="223"/>
        </w:trPr>
        <w:tc>
          <w:tcPr>
            <w:tcW w:w="4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25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and other payables</w:t>
            </w:r>
          </w:p>
        </w:tc>
        <w:tc>
          <w:tcPr>
            <w:tcW w:w="2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5,489</w:t>
            </w:r>
          </w:p>
        </w:tc>
        <w:tc>
          <w:tcPr>
            <w:tcW w:w="12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6,758</w:t>
            </w: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6,352</w:t>
            </w:r>
          </w:p>
        </w:tc>
        <w:tc>
          <w:tcPr>
            <w:tcW w:w="0" w:type="dxa"/>
            <w:vAlign w:val="bottom"/>
          </w:tcPr>
          <w:p>
            <w:pPr>
              <w:spacing w:after="0"/>
              <w:rPr>
                <w:sz w:val="1"/>
                <w:szCs w:val="1"/>
                <w:color w:val="auto"/>
              </w:rPr>
            </w:pPr>
          </w:p>
        </w:tc>
      </w:tr>
      <w:tr>
        <w:trPr>
          <w:trHeight w:val="216"/>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Accruals</w:t>
            </w:r>
          </w:p>
        </w:tc>
        <w:tc>
          <w:tcPr>
            <w:tcW w:w="2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2,701</w:t>
            </w:r>
          </w:p>
        </w:tc>
        <w:tc>
          <w:tcPr>
            <w:tcW w:w="12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5,961</w:t>
            </w: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5,138</w:t>
            </w: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Provisions</w:t>
            </w:r>
          </w:p>
        </w:tc>
        <w:tc>
          <w:tcPr>
            <w:tcW w:w="322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8</w:t>
            </w:r>
          </w:p>
        </w:tc>
        <w:tc>
          <w:tcPr>
            <w:tcW w:w="12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31</w:t>
            </w:r>
          </w:p>
        </w:tc>
        <w:tc>
          <w:tcPr>
            <w:tcW w:w="12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334</w:t>
            </w: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309</w:t>
            </w:r>
          </w:p>
        </w:tc>
        <w:tc>
          <w:tcPr>
            <w:tcW w:w="0" w:type="dxa"/>
            <w:vAlign w:val="bottom"/>
          </w:tcPr>
          <w:p>
            <w:pPr>
              <w:spacing w:after="0"/>
              <w:rPr>
                <w:sz w:val="1"/>
                <w:szCs w:val="1"/>
                <w:color w:val="auto"/>
              </w:rPr>
            </w:pPr>
          </w:p>
        </w:tc>
      </w:tr>
      <w:tr>
        <w:trPr>
          <w:trHeight w:val="216"/>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Interest-bearing loans and borrowings</w:t>
            </w:r>
          </w:p>
        </w:tc>
        <w:tc>
          <w:tcPr>
            <w:tcW w:w="322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6</w:t>
            </w:r>
          </w:p>
        </w:tc>
        <w:tc>
          <w:tcPr>
            <w:tcW w:w="12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13,254</w:t>
            </w:r>
          </w:p>
        </w:tc>
        <w:tc>
          <w:tcPr>
            <w:tcW w:w="12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8,011</w:t>
            </w: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15,139</w:t>
            </w: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Contingent consideration liability</w:t>
            </w:r>
          </w:p>
        </w:tc>
        <w:tc>
          <w:tcPr>
            <w:tcW w:w="2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354</w:t>
            </w:r>
          </w:p>
        </w:tc>
        <w:tc>
          <w:tcPr>
            <w:tcW w:w="0" w:type="dxa"/>
            <w:vAlign w:val="bottom"/>
          </w:tcPr>
          <w:p>
            <w:pPr>
              <w:spacing w:after="0"/>
              <w:rPr>
                <w:sz w:val="1"/>
                <w:szCs w:val="1"/>
                <w:color w:val="auto"/>
              </w:rPr>
            </w:pPr>
          </w:p>
        </w:tc>
      </w:tr>
      <w:tr>
        <w:trPr>
          <w:trHeight w:val="216"/>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Lease liability</w:t>
            </w:r>
          </w:p>
        </w:tc>
        <w:tc>
          <w:tcPr>
            <w:tcW w:w="2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893</w:t>
            </w:r>
          </w:p>
        </w:tc>
        <w:tc>
          <w:tcPr>
            <w:tcW w:w="12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2,586</w:t>
            </w:r>
          </w:p>
        </w:tc>
        <w:tc>
          <w:tcPr>
            <w:tcW w:w="0" w:type="dxa"/>
            <w:vAlign w:val="bottom"/>
          </w:tcPr>
          <w:p>
            <w:pPr>
              <w:spacing w:after="0"/>
              <w:rPr>
                <w:sz w:val="1"/>
                <w:szCs w:val="1"/>
                <w:color w:val="auto"/>
              </w:rPr>
            </w:pPr>
          </w:p>
        </w:tc>
      </w:tr>
      <w:tr>
        <w:trPr>
          <w:trHeight w:val="27"/>
        </w:trPr>
        <w:tc>
          <w:tcPr>
            <w:tcW w:w="4100" w:type="dxa"/>
            <w:vAlign w:val="bottom"/>
          </w:tcPr>
          <w:p>
            <w:pPr>
              <w:spacing w:after="0"/>
              <w:rPr>
                <w:sz w:val="2"/>
                <w:szCs w:val="2"/>
                <w:color w:val="auto"/>
              </w:rPr>
            </w:pPr>
          </w:p>
        </w:tc>
        <w:tc>
          <w:tcPr>
            <w:tcW w:w="2520" w:type="dxa"/>
            <w:vAlign w:val="bottom"/>
          </w:tcPr>
          <w:p>
            <w:pPr>
              <w:spacing w:after="0"/>
              <w:rPr>
                <w:sz w:val="2"/>
                <w:szCs w:val="2"/>
                <w:color w:val="auto"/>
              </w:rPr>
            </w:pPr>
          </w:p>
        </w:tc>
        <w:tc>
          <w:tcPr>
            <w:tcW w:w="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100" w:type="dxa"/>
            <w:vAlign w:val="bottom"/>
            <w:shd w:val="clear" w:color="auto" w:fill="CCEEFF"/>
          </w:tcPr>
          <w:p>
            <w:pPr>
              <w:spacing w:after="0"/>
              <w:rPr>
                <w:sz w:val="18"/>
                <w:szCs w:val="18"/>
                <w:color w:val="auto"/>
              </w:rPr>
            </w:pPr>
          </w:p>
        </w:tc>
        <w:tc>
          <w:tcPr>
            <w:tcW w:w="2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22,298</w:t>
            </w:r>
          </w:p>
        </w:tc>
        <w:tc>
          <w:tcPr>
            <w:tcW w:w="12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21,064</w:t>
            </w: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29,878</w:t>
            </w:r>
          </w:p>
        </w:tc>
        <w:tc>
          <w:tcPr>
            <w:tcW w:w="0" w:type="dxa"/>
            <w:vAlign w:val="bottom"/>
          </w:tcPr>
          <w:p>
            <w:pPr>
              <w:spacing w:after="0"/>
              <w:rPr>
                <w:sz w:val="1"/>
                <w:szCs w:val="1"/>
                <w:color w:val="auto"/>
              </w:rPr>
            </w:pPr>
          </w:p>
        </w:tc>
      </w:tr>
      <w:tr>
        <w:trPr>
          <w:trHeight w:val="230"/>
        </w:trPr>
        <w:tc>
          <w:tcPr>
            <w:tcW w:w="4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25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85,540</w:t>
            </w:r>
          </w:p>
        </w:tc>
        <w:tc>
          <w:tcPr>
            <w:tcW w:w="420" w:type="dxa"/>
            <w:vAlign w:val="bottom"/>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48,110</w:t>
            </w:r>
          </w:p>
        </w:tc>
        <w:tc>
          <w:tcPr>
            <w:tcW w:w="400" w:type="dxa"/>
            <w:vAlign w:val="bottom"/>
          </w:tcPr>
          <w:p>
            <w:pPr>
              <w:spacing w:after="0"/>
              <w:rPr>
                <w:sz w:val="20"/>
                <w:szCs w:val="20"/>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46,193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equity and liabilities</w:t>
            </w:r>
          </w:p>
        </w:tc>
        <w:tc>
          <w:tcPr>
            <w:tcW w:w="2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109,782</w:t>
            </w:r>
          </w:p>
        </w:tc>
        <w:tc>
          <w:tcPr>
            <w:tcW w:w="12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107,141</w:t>
            </w: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86,449</w:t>
            </w:r>
          </w:p>
        </w:tc>
        <w:tc>
          <w:tcPr>
            <w:tcW w:w="0" w:type="dxa"/>
            <w:vAlign w:val="bottom"/>
          </w:tcPr>
          <w:p>
            <w:pPr>
              <w:spacing w:after="0"/>
              <w:rPr>
                <w:sz w:val="1"/>
                <w:szCs w:val="1"/>
                <w:color w:val="auto"/>
              </w:rPr>
            </w:pPr>
          </w:p>
        </w:tc>
      </w:tr>
      <w:tr>
        <w:trPr>
          <w:trHeight w:val="20"/>
        </w:trPr>
        <w:tc>
          <w:tcPr>
            <w:tcW w:w="4100" w:type="dxa"/>
            <w:vAlign w:val="bottom"/>
          </w:tcPr>
          <w:p>
            <w:pPr>
              <w:spacing w:after="0" w:line="20" w:lineRule="exact"/>
              <w:rPr>
                <w:sz w:val="1"/>
                <w:szCs w:val="1"/>
                <w:color w:val="auto"/>
              </w:rPr>
            </w:pPr>
          </w:p>
        </w:tc>
        <w:tc>
          <w:tcPr>
            <w:tcW w:w="2520" w:type="dxa"/>
            <w:vAlign w:val="bottom"/>
            <w:vMerge w:val="restart"/>
          </w:tcPr>
          <w:p>
            <w:pPr>
              <w:jc w:val="right"/>
              <w:ind w:right="990"/>
              <w:spacing w:after="0"/>
              <w:rPr>
                <w:sz w:val="20"/>
                <w:szCs w:val="20"/>
                <w:color w:val="auto"/>
              </w:rPr>
            </w:pPr>
            <w:r>
              <w:rPr>
                <w:rFonts w:ascii="Times New Roman" w:cs="Times New Roman" w:eastAsia="Times New Roman" w:hAnsi="Times New Roman"/>
                <w:sz w:val="18"/>
                <w:szCs w:val="18"/>
                <w:color w:val="auto"/>
              </w:rPr>
              <w:t>5</w:t>
            </w: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100" w:type="dxa"/>
            <w:vAlign w:val="bottom"/>
          </w:tcPr>
          <w:p>
            <w:pPr>
              <w:spacing w:after="0"/>
              <w:rPr>
                <w:sz w:val="24"/>
                <w:szCs w:val="24"/>
                <w:color w:val="auto"/>
              </w:rPr>
            </w:pPr>
          </w:p>
        </w:tc>
        <w:tc>
          <w:tcPr>
            <w:tcW w:w="252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66" w:right="439" w:bottom="1440" w:gutter="0" w:footer="0" w:header="0"/>
        </w:sectPr>
      </w:pPr>
    </w:p>
    <w:bookmarkStart w:id="8" w:name="page9"/>
    <w:bookmarkEnd w:id="8"/>
    <w:p>
      <w:pPr>
        <w:ind w:left="10080"/>
        <w:spacing w:after="0"/>
        <w:rPr>
          <w:sz w:val="20"/>
          <w:szCs w:val="20"/>
          <w:color w:val="auto"/>
        </w:rPr>
      </w:pPr>
      <w:r>
        <w:rPr>
          <w:rFonts w:ascii="Times New Roman" w:cs="Times New Roman" w:eastAsia="Times New Roman" w:hAnsi="Times New Roman"/>
          <w:sz w:val="18"/>
          <w:szCs w:val="18"/>
          <w:b w:val="1"/>
          <w:bCs w:val="1"/>
          <w:color w:val="auto"/>
        </w:rPr>
        <w:t>Exhibit 99.2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Mereo BioPharma Announces Interim Financial Results for the Six Months Ended June 30, 2020 and Provides Corporate Update</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On track to initiate Phase 1b/2 etigilimab (Anti-TIGIT) combination study in Q4 2020</w:t>
      </w:r>
    </w:p>
    <w:p>
      <w:pPr>
        <w:spacing w:after="0" w:line="225" w:lineRule="exact"/>
        <w:rPr>
          <w:sz w:val="20"/>
          <w:szCs w:val="20"/>
          <w:color w:val="auto"/>
        </w:rPr>
      </w:pPr>
    </w:p>
    <w:p>
      <w:pPr>
        <w:jc w:val="center"/>
        <w:ind w:right="20"/>
        <w:spacing w:after="0" w:line="282" w:lineRule="auto"/>
        <w:rPr>
          <w:sz w:val="20"/>
          <w:szCs w:val="20"/>
          <w:color w:val="auto"/>
        </w:rPr>
      </w:pPr>
      <w:r>
        <w:rPr>
          <w:rFonts w:ascii="Times New Roman" w:cs="Times New Roman" w:eastAsia="Times New Roman" w:hAnsi="Times New Roman"/>
          <w:sz w:val="18"/>
          <w:szCs w:val="18"/>
          <w:color w:val="auto"/>
        </w:rPr>
        <w:t>Enrolment resumed in Phase 2 study of alvelestat in Alpha-1 Antitrypsin Deficiency and initiated placebo-controlled Phase 1b/2 clinical trial in COVID-19 respiratory disease</w:t>
      </w:r>
    </w:p>
    <w:p>
      <w:pPr>
        <w:spacing w:after="0" w:line="162"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Partnering discussions continue for portfolio of clinical-stage programs including setrusumab for osteogenesis imperfecta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PIPE Financing of $70 million (£56 million) completed in June 2020, cash runway into 2022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Conference Call Today at 8:00 a.m. EDT / 1:00 p.m. BST</w:t>
      </w:r>
    </w:p>
    <w:p>
      <w:pPr>
        <w:spacing w:after="0" w:line="221"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London and Redwood City, Calif., September 29, 2020 </w:t>
      </w:r>
      <w:r>
        <w:rPr>
          <w:rFonts w:ascii="Times New Roman" w:cs="Times New Roman" w:eastAsia="Times New Roman" w:hAnsi="Times New Roman"/>
          <w:sz w:val="18"/>
          <w:szCs w:val="18"/>
          <w:color w:val="auto"/>
        </w:rPr>
        <w:t>- Mereo BioPharma Group plc (NASDAQ: MREO, AIM: MPH), “Mereo” or “the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 clinical stage biopharmaceutical company focused on oncology and rare diseases, today announces unaudited interim financial results for the six months ended June 30, 2020 and provides a corporate update.</w:t>
      </w:r>
    </w:p>
    <w:p>
      <w:pPr>
        <w:spacing w:after="0" w:line="175"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Denise Scots-Knight, Chief Executive of Mereo, said: “Following the closing of our $70 million financing in the first half of 2020 we have focussed on executing our strategy, advancing etigilimab (“Anti-TIGIT”) for the treatment of solid tumors alongside developing our rare disease portfolio. We remain on track to initiate a Phase 1b/2 study of etigilimab (Anti-TIGIT) in combination with an anti-PD-1 in a range of solid tumor types in Q4 2020. Our rare disease portfolio includes setrusumab for osteogenesis imperfecta which we plan to partner prior to the initiation of a pivotal Phase 3 study, and alvelestat which is being investigated in an ongoing Phase 2 proof-of-concept study for alpha-1 anti-trypsin deficiency. We were also pleased to have recently announced the initiation of a Phase 1b/2 placebo-controlled study of alvelestat in COVID-19 infected patients following the scientific publications demonstrating the involvement of neutrophil elastase in COVID-19 infection pathways. We also continue to advance other discussions with potential partners to optimize the value of our broader product portfolio.”</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Highlights and Upcoming Milestones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Etigilimab (Anti-TIGIT) for Solid Tumors</w:t>
      </w:r>
    </w:p>
    <w:p>
      <w:pPr>
        <w:spacing w:after="0" w:line="135" w:lineRule="exact"/>
        <w:rPr>
          <w:sz w:val="20"/>
          <w:szCs w:val="20"/>
          <w:color w:val="auto"/>
        </w:rPr>
      </w:pPr>
    </w:p>
    <w:p>
      <w:pPr>
        <w:ind w:left="960" w:hanging="424"/>
        <w:spacing w:after="0"/>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track to initiate a Phase 1b/2 study of etigilimab in combination with an anti-PD-1 in a range of solid tumor types in Q4 2020.</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Setrusumab for Osteogenesis Imperfecta (OI)</w:t>
      </w:r>
    </w:p>
    <w:p>
      <w:pPr>
        <w:spacing w:after="0" w:line="135" w:lineRule="exact"/>
        <w:rPr>
          <w:sz w:val="20"/>
          <w:szCs w:val="20"/>
          <w:color w:val="auto"/>
        </w:rPr>
      </w:pPr>
    </w:p>
    <w:p>
      <w:pPr>
        <w:ind w:left="960" w:hanging="424"/>
        <w:spacing w:after="0"/>
        <w:tabs>
          <w:tab w:leader="none" w:pos="9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of FDA Rare Pediatric Disease Designation on September 23, 2020.</w:t>
      </w:r>
    </w:p>
    <w:p>
      <w:pPr>
        <w:spacing w:after="0" w:line="130" w:lineRule="exact"/>
        <w:rPr>
          <w:rFonts w:ascii="Times New Roman" w:cs="Times New Roman" w:eastAsia="Times New Roman" w:hAnsi="Times New Roman"/>
          <w:sz w:val="18"/>
          <w:szCs w:val="18"/>
          <w:color w:val="auto"/>
        </w:rPr>
      </w:pPr>
    </w:p>
    <w:p>
      <w:pPr>
        <w:ind w:left="960" w:right="600" w:hanging="424"/>
        <w:spacing w:after="0" w:line="282" w:lineRule="auto"/>
        <w:tabs>
          <w:tab w:leader="none" w:pos="9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regulatory discussions in 1H 2020, both the FDA and EMA have agreed on the principles of a design of a single Phase 3 pediatric pivotal study in OI.</w:t>
      </w:r>
    </w:p>
    <w:p>
      <w:pPr>
        <w:spacing w:after="0" w:line="67" w:lineRule="exact"/>
        <w:rPr>
          <w:rFonts w:ascii="Times New Roman" w:cs="Times New Roman" w:eastAsia="Times New Roman" w:hAnsi="Times New Roman"/>
          <w:sz w:val="18"/>
          <w:szCs w:val="18"/>
          <w:color w:val="auto"/>
        </w:rPr>
      </w:pPr>
    </w:p>
    <w:p>
      <w:pPr>
        <w:ind w:left="960" w:right="260" w:hanging="424"/>
        <w:spacing w:after="0" w:line="282" w:lineRule="auto"/>
        <w:tabs>
          <w:tab w:leader="none" w:pos="9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Intend to partner setrusumab prior to conducting a pivotal trial of setrusumab in children with severe OI. Partnering discussions are well underway with a range of potential structures including options for Mereo to retain commercial rights in certain regions.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Alvelestat for Severe Alpha-1 Antitrypsin Deficiency (AATD)</w:t>
      </w:r>
    </w:p>
    <w:p>
      <w:pPr>
        <w:spacing w:after="0" w:line="135" w:lineRule="exact"/>
        <w:rPr>
          <w:sz w:val="20"/>
          <w:szCs w:val="20"/>
          <w:color w:val="auto"/>
        </w:rPr>
      </w:pPr>
    </w:p>
    <w:p>
      <w:pPr>
        <w:ind w:left="960" w:hanging="424"/>
        <w:spacing w:after="0"/>
        <w:tabs>
          <w:tab w:leader="none" w:pos="9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Topline data from an ongoing Phase 2 proof of concept study remains on track for 2H 2021.</w:t>
      </w:r>
    </w:p>
    <w:p>
      <w:pPr>
        <w:spacing w:after="0" w:line="130" w:lineRule="exact"/>
        <w:rPr>
          <w:rFonts w:ascii="Times New Roman" w:cs="Times New Roman" w:eastAsia="Times New Roman" w:hAnsi="Times New Roman"/>
          <w:sz w:val="18"/>
          <w:szCs w:val="18"/>
          <w:color w:val="auto"/>
        </w:rPr>
      </w:pPr>
    </w:p>
    <w:p>
      <w:pPr>
        <w:ind w:left="960" w:right="260" w:hanging="424"/>
        <w:spacing w:after="0" w:line="282" w:lineRule="auto"/>
        <w:tabs>
          <w:tab w:leader="none" w:pos="9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Announced the initiation of a Phase 1b/2 placebo-controlled clinical trial to evaluate the safety and efficacy of alvelestat in hospitalized, adult patients with moderate to severe COVID-19 respiratory disease.</w:t>
      </w:r>
    </w:p>
    <w:p>
      <w:pPr>
        <w:sectPr>
          <w:pgSz w:w="11900" w:h="16838" w:orient="portrait"/>
          <w:cols w:equalWidth="0" w:num="1">
            <w:col w:w="11020"/>
          </w:cols>
          <w:pgMar w:left="440" w:top="117" w:right="439" w:bottom="1440" w:gutter="0" w:footer="0" w:header="0"/>
        </w:sectPr>
      </w:pPr>
    </w:p>
    <w:bookmarkStart w:id="9" w:name="page10"/>
    <w:bookmarkEnd w:id="9"/>
    <w:p>
      <w:pPr>
        <w:ind w:left="960" w:hanging="424"/>
        <w:spacing w:after="0"/>
        <w:tabs>
          <w:tab w:leader="none" w:pos="9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Investigator-sponsored studies underway in AATD and in the orphan disease, bronchiolitis obliterans syndrome (BOS).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Partnering Discussions Continue for Portfolio of Other Clinical-Stage Programs</w:t>
      </w:r>
    </w:p>
    <w:p>
      <w:pPr>
        <w:spacing w:after="0" w:line="135" w:lineRule="exact"/>
        <w:rPr>
          <w:sz w:val="20"/>
          <w:szCs w:val="20"/>
          <w:color w:val="auto"/>
        </w:rPr>
      </w:pPr>
    </w:p>
    <w:p>
      <w:pPr>
        <w:ind w:left="960" w:hanging="424"/>
        <w:spacing w:after="0"/>
        <w:tabs>
          <w:tab w:leader="none" w:pos="9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Leflutrozole for hypogonadotropic hypogonadism (HH)</w:t>
      </w:r>
    </w:p>
    <w:p>
      <w:pPr>
        <w:spacing w:after="0" w:line="130" w:lineRule="exact"/>
        <w:rPr>
          <w:rFonts w:ascii="Times New Roman" w:cs="Times New Roman" w:eastAsia="Times New Roman" w:hAnsi="Times New Roman"/>
          <w:sz w:val="18"/>
          <w:szCs w:val="18"/>
          <w:color w:val="auto"/>
        </w:rPr>
      </w:pPr>
    </w:p>
    <w:p>
      <w:pPr>
        <w:ind w:left="1420" w:hanging="331"/>
        <w:spacing w:after="0"/>
        <w:tabs>
          <w:tab w:leader="none" w:pos="142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Partnering discussions continuing based on development in male infertility.</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Acumapimod for Acute Exacerbations of Chronic Obstructive Pulmonary Disease (AECOPD)</w:t>
      </w:r>
    </w:p>
    <w:p>
      <w:pPr>
        <w:spacing w:after="0" w:line="130" w:lineRule="exact"/>
        <w:rPr>
          <w:rFonts w:ascii="Times New Roman" w:cs="Times New Roman" w:eastAsia="Times New Roman" w:hAnsi="Times New Roman"/>
          <w:sz w:val="18"/>
          <w:szCs w:val="18"/>
          <w:color w:val="auto"/>
        </w:rPr>
      </w:pPr>
    </w:p>
    <w:p>
      <w:pPr>
        <w:ind w:left="1420" w:hanging="331"/>
        <w:spacing w:after="0"/>
        <w:tabs>
          <w:tab w:leader="none" w:pos="142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Discussions continuing on separate financing for the Phase 3 study agreed with the FDA and EMA.</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w:t>
      </w:r>
    </w:p>
    <w:p>
      <w:pPr>
        <w:spacing w:after="0" w:line="135" w:lineRule="exact"/>
        <w:rPr>
          <w:sz w:val="20"/>
          <w:szCs w:val="20"/>
          <w:color w:val="auto"/>
        </w:rPr>
      </w:pPr>
    </w:p>
    <w:p>
      <w:pPr>
        <w:ind w:left="960" w:right="860" w:hanging="424"/>
        <w:spacing w:after="0" w:line="282" w:lineRule="auto"/>
        <w:tabs>
          <w:tab w:leader="none" w:pos="9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Appointment of Dr. Brian Schwartz and Dr. Jeremy Bender as Non-Executive Directors and departure of Mr Paul Blackburn as Non-Executive Director effective October 1, 2020</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John Lewicki appointed as Chief Scientific Officer and Dr. Ann Kapoun appointed as Head Translational R&amp;D in July 2020.</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Highlights</w:t>
      </w:r>
    </w:p>
    <w:p>
      <w:pPr>
        <w:spacing w:after="0" w:line="135" w:lineRule="exact"/>
        <w:rPr>
          <w:sz w:val="20"/>
          <w:szCs w:val="20"/>
          <w:color w:val="auto"/>
        </w:rPr>
      </w:pPr>
    </w:p>
    <w:p>
      <w:pPr>
        <w:ind w:left="960" w:hanging="424"/>
        <w:spacing w:after="0"/>
        <w:tabs>
          <w:tab w:leader="none" w:pos="9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resources of £56.8 million as at June 30, 2020 (June 30, 2019 £36.1 million).</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£11.8 million raised in equity and debt in Q1 2020.</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$70 million (£56 million) raised in PIPE in Q2 2020.</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runway to early 2022.</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Conference Call Information</w:t>
      </w:r>
    </w:p>
    <w:p>
      <w:pPr>
        <w:spacing w:after="0" w:line="121"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Mereo will host a live conference call and webcast today at 8:00 a.m. EDT / 1:00 p.m. BST to discuss the Company’s financial results and provide a corporate update.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Dial-in numbers: (866) 688-2942 (U.S.) or +1 (561) 569-9224 (U.K./International)</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Conference ID number: 9572439</w:t>
      </w:r>
    </w:p>
    <w:p>
      <w:pPr>
        <w:spacing w:after="0" w:line="225"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A live and archived webcast may be accessed by visiting the Investors sections of the Company’s website at https://www.mereobiopharma.com/investors/results-reports-and-presentations/. The archived webcast will remain available on the Company’s website following the live call.</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Mereo BioPharma</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u w:val="single" w:color="auto"/>
          <w:color w:val="auto"/>
        </w:rPr>
        <w:t>Mereo BioPharma</w:t>
      </w:r>
      <w:r>
        <w:rPr>
          <w:rFonts w:ascii="Times New Roman" w:cs="Times New Roman" w:eastAsia="Times New Roman" w:hAnsi="Times New Roman"/>
          <w:sz w:val="18"/>
          <w:szCs w:val="18"/>
          <w:color w:val="auto"/>
        </w:rPr>
        <w:t xml:space="preserve"> is a biopharmaceutical company focused on the development and commercialization of innovative therapeutics that aim to improve outcomes for oncology and rare diseases. Mereo’s lead oncology product candidate, etigilimab (“Anti-TIGIT”), has completed a Phase 1a dose escalation clinical trial in patients with advanced solid tumors and has been evaluated in a Phase 1b study in combination with nivolumab in select tumor types. Mereo’s rare disease product portfolio consists of setrusumab, which has completed a Phase 2b dose-ranging study in adults with osteogenesis imperfecta (“OI”), as well as alvelestat, which is being investigated in a Phase 2 proof-of-concept clinical trial in patients with alpha-1 antitrypsin deficiency (“AATD”) and in a Phase 1b/2 clinical trial in COVID-19 respiratory disease.</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Information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person responsible for arranging the release of this information on behalf of the Company is Charles Sermon, General Counsel.</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0"/>
          </w:cols>
          <w:pgMar w:left="440" w:top="270" w:right="4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Forward-Looking Statements</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This Announcement contains “forward-looking statements.” All statements other than statements of historical fact contained in this Announcement are forward-looking statements within the meaning of Section 27A of the United States Securities Act of 1933, as amended and Section 21E of the United States Securities Exchange Act of 1934, as amended. Forward-looking statements usually relate to future events and anticipated revenues, earnings, cash flows or other aspects of our operations or operating results. Forward-looking statements are often identified by the words “believe,” “expect,” “anticipate,” “plan,” “intend,” “foresee,” “should,” “would,” “could,” “may,” “estimate,” “outlook” and similar expressions, including the negative thereof. The absence of these words, however, does not mean that the statements are not forward-looking. These forward-looking statements are based on the Company’s current expectations, beliefs and assumptions concerning future developments and business conditions and their potential effect on the Company. While management believes that these forward-looking statements are reasonable as and when made, there can be no assurance that future developments affecting the Company will be those that it anticipates.</w:t>
      </w:r>
    </w:p>
    <w:p>
      <w:pPr>
        <w:spacing w:after="0" w:line="188"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All of the Company’s forward-looking statements involve known and unknown risks and uncertainties (some of which are significant or beyond its control) and assumptions that could cause actual results to differ materially from the Company’s historical experience and its present expectations or projections. The foregoing factors and the other risks and uncertainties that affect the Company’s business, including those described in its Annual Report on Form 20-F, Reports on Form 6-K and other documents filed from time to time by the Company with the United States Securities and Exchange Commission. The Company wishes to caution you not to place undue reliance on any forward-looking statements, which speak only as of the date hereof. The Company undertakes no obligation to publicly update or revise any of our forward-looking statements after the date they are made, whether as a result of new information, future events or otherwise, except to the extent required by law.</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Mereo BioPharma Contacts:</w:t>
            </w:r>
          </w:p>
        </w:tc>
        <w:tc>
          <w:tcPr>
            <w:tcW w:w="7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80" w:type="dxa"/>
            <w:vAlign w:val="bottom"/>
          </w:tcPr>
          <w:p>
            <w:pPr>
              <w:spacing w:after="0"/>
              <w:rPr>
                <w:sz w:val="20"/>
                <w:szCs w:val="20"/>
                <w:color w:val="auto"/>
              </w:rPr>
            </w:pPr>
          </w:p>
        </w:tc>
      </w:tr>
      <w:tr>
        <w:trPr>
          <w:trHeight w:val="441"/>
        </w:trPr>
        <w:tc>
          <w:tcPr>
            <w:tcW w:w="5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Mereo</w:t>
            </w:r>
          </w:p>
        </w:tc>
        <w:tc>
          <w:tcPr>
            <w:tcW w:w="1040" w:type="dxa"/>
            <w:vAlign w:val="bottom"/>
            <w:gridSpan w:val="2"/>
          </w:tcPr>
          <w:p>
            <w:pPr>
              <w:ind w:left="740"/>
              <w:spacing w:after="0"/>
              <w:rPr>
                <w:sz w:val="20"/>
                <w:szCs w:val="20"/>
                <w:color w:val="auto"/>
              </w:rPr>
            </w:pPr>
            <w:r>
              <w:rPr>
                <w:rFonts w:ascii="Times New Roman" w:cs="Times New Roman" w:eastAsia="Times New Roman" w:hAnsi="Times New Roman"/>
                <w:sz w:val="18"/>
                <w:szCs w:val="18"/>
                <w:b w:val="1"/>
                <w:bCs w:val="1"/>
                <w:color w:val="auto"/>
                <w:w w:val="98"/>
              </w:rPr>
              <w:t>+44</w:t>
            </w:r>
          </w:p>
        </w:tc>
        <w:tc>
          <w:tcPr>
            <w:tcW w:w="20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(0)333 023 7300</w:t>
            </w:r>
          </w:p>
        </w:tc>
      </w:tr>
      <w:tr>
        <w:trPr>
          <w:trHeight w:val="234"/>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Denise Scots-Knight, Chief Executive Officer</w:t>
            </w:r>
          </w:p>
        </w:tc>
        <w:tc>
          <w:tcPr>
            <w:tcW w:w="7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80" w:type="dxa"/>
            <w:vAlign w:val="bottom"/>
          </w:tcPr>
          <w:p>
            <w:pPr>
              <w:spacing w:after="0"/>
              <w:rPr>
                <w:sz w:val="20"/>
                <w:szCs w:val="20"/>
                <w:color w:val="auto"/>
              </w:rPr>
            </w:pPr>
          </w:p>
        </w:tc>
      </w:tr>
      <w:tr>
        <w:trPr>
          <w:trHeight w:val="414"/>
        </w:trPr>
        <w:tc>
          <w:tcPr>
            <w:tcW w:w="5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N+1 Singer (Nominated Adviser and Broker to Mereo)</w:t>
            </w:r>
          </w:p>
        </w:tc>
        <w:tc>
          <w:tcPr>
            <w:tcW w:w="1040" w:type="dxa"/>
            <w:vAlign w:val="bottom"/>
            <w:gridSpan w:val="2"/>
          </w:tcPr>
          <w:p>
            <w:pPr>
              <w:ind w:left="740"/>
              <w:spacing w:after="0"/>
              <w:rPr>
                <w:sz w:val="20"/>
                <w:szCs w:val="20"/>
                <w:color w:val="auto"/>
              </w:rPr>
            </w:pPr>
            <w:r>
              <w:rPr>
                <w:rFonts w:ascii="Times New Roman" w:cs="Times New Roman" w:eastAsia="Times New Roman" w:hAnsi="Times New Roman"/>
                <w:sz w:val="18"/>
                <w:szCs w:val="18"/>
                <w:b w:val="1"/>
                <w:bCs w:val="1"/>
                <w:color w:val="auto"/>
                <w:w w:val="98"/>
              </w:rPr>
              <w:t>+44</w:t>
            </w:r>
          </w:p>
        </w:tc>
        <w:tc>
          <w:tcPr>
            <w:tcW w:w="20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(0)20 7496 3081</w:t>
            </w:r>
          </w:p>
        </w:tc>
      </w:tr>
      <w:tr>
        <w:trPr>
          <w:trHeight w:val="216"/>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Phil Davies</w:t>
            </w: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80" w:type="dxa"/>
            <w:vAlign w:val="bottom"/>
          </w:tcPr>
          <w:p>
            <w:pPr>
              <w:spacing w:after="0"/>
              <w:rPr>
                <w:sz w:val="18"/>
                <w:szCs w:val="18"/>
                <w:color w:val="auto"/>
              </w:rPr>
            </w:pPr>
          </w:p>
        </w:tc>
      </w:tr>
      <w:tr>
        <w:trPr>
          <w:trHeight w:val="234"/>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Will Goode</w:t>
            </w:r>
          </w:p>
        </w:tc>
        <w:tc>
          <w:tcPr>
            <w:tcW w:w="7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80" w:type="dxa"/>
            <w:vAlign w:val="bottom"/>
          </w:tcPr>
          <w:p>
            <w:pPr>
              <w:spacing w:after="0"/>
              <w:rPr>
                <w:sz w:val="20"/>
                <w:szCs w:val="20"/>
                <w:color w:val="auto"/>
              </w:rPr>
            </w:pPr>
          </w:p>
        </w:tc>
      </w:tr>
      <w:tr>
        <w:trPr>
          <w:trHeight w:val="414"/>
        </w:trPr>
        <w:tc>
          <w:tcPr>
            <w:tcW w:w="5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Burns McClellan (US Investor Relations Adviser to Mereo)</w:t>
            </w:r>
          </w:p>
        </w:tc>
        <w:tc>
          <w:tcPr>
            <w:tcW w:w="1040" w:type="dxa"/>
            <w:vAlign w:val="bottom"/>
            <w:gridSpan w:val="2"/>
          </w:tcPr>
          <w:p>
            <w:pPr>
              <w:ind w:left="740"/>
              <w:spacing w:after="0"/>
              <w:rPr>
                <w:sz w:val="20"/>
                <w:szCs w:val="20"/>
                <w:color w:val="auto"/>
              </w:rPr>
            </w:pPr>
            <w:r>
              <w:rPr>
                <w:rFonts w:ascii="Times New Roman" w:cs="Times New Roman" w:eastAsia="Times New Roman" w:hAnsi="Times New Roman"/>
                <w:sz w:val="18"/>
                <w:szCs w:val="18"/>
                <w:b w:val="1"/>
                <w:bCs w:val="1"/>
                <w:color w:val="auto"/>
                <w:w w:val="98"/>
              </w:rPr>
              <w:t>+01</w:t>
            </w:r>
          </w:p>
        </w:tc>
        <w:tc>
          <w:tcPr>
            <w:tcW w:w="20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212 213 0006</w:t>
            </w:r>
          </w:p>
        </w:tc>
      </w:tr>
      <w:tr>
        <w:trPr>
          <w:trHeight w:val="216"/>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Lisa Burns</w:t>
            </w: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80" w:type="dxa"/>
            <w:vAlign w:val="bottom"/>
          </w:tcPr>
          <w:p>
            <w:pPr>
              <w:spacing w:after="0"/>
              <w:rPr>
                <w:sz w:val="18"/>
                <w:szCs w:val="18"/>
                <w:color w:val="auto"/>
              </w:rPr>
            </w:pPr>
          </w:p>
        </w:tc>
      </w:tr>
      <w:tr>
        <w:trPr>
          <w:trHeight w:val="234"/>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Steve Klass</w:t>
            </w:r>
          </w:p>
        </w:tc>
        <w:tc>
          <w:tcPr>
            <w:tcW w:w="7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80" w:type="dxa"/>
            <w:vAlign w:val="bottom"/>
          </w:tcPr>
          <w:p>
            <w:pPr>
              <w:spacing w:after="0"/>
              <w:rPr>
                <w:sz w:val="20"/>
                <w:szCs w:val="20"/>
                <w:color w:val="auto"/>
              </w:rPr>
            </w:pPr>
          </w:p>
        </w:tc>
      </w:tr>
      <w:tr>
        <w:trPr>
          <w:trHeight w:val="414"/>
        </w:trPr>
        <w:tc>
          <w:tcPr>
            <w:tcW w:w="5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FTI Consulting (UK Public Relations Adviser to Mereo)</w:t>
            </w:r>
          </w:p>
        </w:tc>
        <w:tc>
          <w:tcPr>
            <w:tcW w:w="1040" w:type="dxa"/>
            <w:vAlign w:val="bottom"/>
            <w:gridSpan w:val="2"/>
          </w:tcPr>
          <w:p>
            <w:pPr>
              <w:ind w:left="740"/>
              <w:spacing w:after="0"/>
              <w:rPr>
                <w:sz w:val="20"/>
                <w:szCs w:val="20"/>
                <w:color w:val="auto"/>
              </w:rPr>
            </w:pPr>
            <w:r>
              <w:rPr>
                <w:rFonts w:ascii="Times New Roman" w:cs="Times New Roman" w:eastAsia="Times New Roman" w:hAnsi="Times New Roman"/>
                <w:sz w:val="18"/>
                <w:szCs w:val="18"/>
                <w:b w:val="1"/>
                <w:bCs w:val="1"/>
                <w:color w:val="auto"/>
                <w:w w:val="98"/>
              </w:rPr>
              <w:t>+44</w:t>
            </w:r>
          </w:p>
        </w:tc>
        <w:tc>
          <w:tcPr>
            <w:tcW w:w="20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(0)20 3727 1000</w:t>
            </w:r>
          </w:p>
        </w:tc>
      </w:tr>
      <w:tr>
        <w:trPr>
          <w:trHeight w:val="216"/>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Simon Conway</w:t>
            </w: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80" w:type="dxa"/>
            <w:vAlign w:val="bottom"/>
          </w:tcPr>
          <w:p>
            <w:pPr>
              <w:spacing w:after="0"/>
              <w:rPr>
                <w:sz w:val="18"/>
                <w:szCs w:val="18"/>
                <w:color w:val="auto"/>
              </w:rPr>
            </w:pPr>
          </w:p>
        </w:tc>
      </w:tr>
      <w:tr>
        <w:trPr>
          <w:trHeight w:val="234"/>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Ciara Martin</w:t>
            </w:r>
          </w:p>
        </w:tc>
        <w:tc>
          <w:tcPr>
            <w:tcW w:w="7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80" w:type="dxa"/>
            <w:vAlign w:val="bottom"/>
          </w:tcPr>
          <w:p>
            <w:pPr>
              <w:spacing w:after="0"/>
              <w:rPr>
                <w:sz w:val="20"/>
                <w:szCs w:val="20"/>
                <w:color w:val="auto"/>
              </w:rPr>
            </w:pPr>
          </w:p>
        </w:tc>
      </w:tr>
      <w:tr>
        <w:trPr>
          <w:trHeight w:val="283"/>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Investors</w:t>
            </w:r>
          </w:p>
        </w:tc>
        <w:tc>
          <w:tcPr>
            <w:tcW w:w="3120" w:type="dxa"/>
            <w:vAlign w:val="bottom"/>
            <w:gridSpan w:val="3"/>
          </w:tcPr>
          <w:p>
            <w:pPr>
              <w:ind w:left="740"/>
              <w:spacing w:after="0"/>
              <w:rPr>
                <w:sz w:val="20"/>
                <w:szCs w:val="20"/>
                <w:color w:val="auto"/>
              </w:rPr>
            </w:pPr>
            <w:r>
              <w:rPr>
                <w:rFonts w:ascii="Times New Roman" w:cs="Times New Roman" w:eastAsia="Times New Roman" w:hAnsi="Times New Roman"/>
                <w:sz w:val="18"/>
                <w:szCs w:val="18"/>
                <w:color w:val="auto"/>
                <w:w w:val="98"/>
              </w:rPr>
              <w:t>investors@mereobiopharma.com</w:t>
            </w:r>
          </w:p>
        </w:tc>
      </w:tr>
      <w:tr>
        <w:trPr>
          <w:trHeight w:val="385"/>
        </w:trPr>
        <w:tc>
          <w:tcPr>
            <w:tcW w:w="5000" w:type="dxa"/>
            <w:vAlign w:val="bottom"/>
          </w:tcPr>
          <w:p>
            <w:pPr>
              <w:spacing w:after="0"/>
              <w:rPr>
                <w:sz w:val="24"/>
                <w:szCs w:val="24"/>
                <w:color w:val="auto"/>
              </w:rPr>
            </w:pPr>
          </w:p>
        </w:tc>
        <w:tc>
          <w:tcPr>
            <w:tcW w:w="7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3</w:t>
            </w:r>
          </w:p>
        </w:tc>
        <w:tc>
          <w:tcPr>
            <w:tcW w:w="300" w:type="dxa"/>
            <w:vAlign w:val="bottom"/>
            <w:tcBorders>
              <w:top w:val="single" w:sz="8" w:color="auto"/>
            </w:tcBorders>
          </w:tcPr>
          <w:p>
            <w:pPr>
              <w:spacing w:after="0"/>
              <w:rPr>
                <w:sz w:val="24"/>
                <w:szCs w:val="24"/>
                <w:color w:val="auto"/>
              </w:rPr>
            </w:pPr>
          </w:p>
        </w:tc>
        <w:tc>
          <w:tcPr>
            <w:tcW w:w="2080" w:type="dxa"/>
            <w:vAlign w:val="bottom"/>
            <w:tcBorders>
              <w:top w:val="single" w:sz="8" w:color="auto"/>
            </w:tcBorders>
          </w:tcPr>
          <w:p>
            <w:pPr>
              <w:spacing w:after="0"/>
              <w:rPr>
                <w:sz w:val="24"/>
                <w:szCs w:val="24"/>
                <w:color w:val="auto"/>
              </w:rPr>
            </w:pPr>
          </w:p>
        </w:tc>
      </w:tr>
    </w:tbl>
    <w:p>
      <w:pPr>
        <w:sectPr>
          <w:pgSz w:w="11900" w:h="16838" w:orient="portrait"/>
          <w:cols w:equalWidth="0" w:num="1">
            <w:col w:w="11000"/>
          </w:cols>
          <w:pgMar w:left="440" w:top="266" w:right="4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Chairman and CEO’s statement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Introduction</w:t>
      </w:r>
    </w:p>
    <w:p>
      <w:pPr>
        <w:spacing w:after="0" w:line="12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Company’s strategy is to build a portfolio of oncology and rare disease products acquired from pharmaceutical and biotechnology companies and to develop these through regulatory approval and subsequent commercialization in certain indications and regions and to work alongside partners as appropriate for the broader therapeutic indications and regions where more substantial resources are required.</w:t>
      </w:r>
    </w:p>
    <w:p>
      <w:pPr>
        <w:spacing w:after="0" w:line="176"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Products for use in oncology and rare (including orphan) indications represent an attractive development and commercialization opportunity for the Company, since the target patient population typically has a high unmet medical need, the compounds require more targeted clinical trials and these programmes can often utilise regulatory pathways that facilitate acceleration to the potential market. Development of oncology and rare disease therapies generally involves close co-ordination with regulators, healthcare authorities, patient organizations, key opinion leaders (KOLs) and a limited number of specialized treatment sites, which helps identification of the patient population and allows for a smaller, more targeted sales infrastructure for commercialization in key markets.</w:t>
      </w:r>
    </w:p>
    <w:p>
      <w:pPr>
        <w:spacing w:after="0" w:line="187"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For our two speciality programs, leflutrozole and acumapimod, the Company plans to partner or sell the products recognising the need for a larger sales infrastructure and greater resources to take these products successfully to market.</w:t>
      </w:r>
    </w:p>
    <w:p>
      <w:pPr>
        <w:spacing w:after="0" w:line="162" w:lineRule="exact"/>
        <w:rPr>
          <w:sz w:val="20"/>
          <w:szCs w:val="20"/>
          <w:color w:val="auto"/>
        </w:rPr>
      </w:pPr>
    </w:p>
    <w:p>
      <w:pPr>
        <w:ind w:right="540"/>
        <w:spacing w:after="0" w:line="266" w:lineRule="auto"/>
        <w:rPr>
          <w:sz w:val="20"/>
          <w:szCs w:val="20"/>
          <w:color w:val="auto"/>
        </w:rPr>
      </w:pPr>
      <w:r>
        <w:rPr>
          <w:rFonts w:ascii="Times New Roman" w:cs="Times New Roman" w:eastAsia="Times New Roman" w:hAnsi="Times New Roman"/>
          <w:sz w:val="18"/>
          <w:szCs w:val="18"/>
          <w:color w:val="auto"/>
        </w:rPr>
        <w:t>We have made significant progress across all our programs in the first half of 2020 and were pleased to announce the £56 million ($70 million) financing with a group of US investors in June 2020. We are funded into early 2022 providing the Company sufficient balance sheet strength and runway to deliver on our clinical and business development milestones.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Overview</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Oncology Product Candidate</w:t>
      </w:r>
    </w:p>
    <w:p>
      <w:pPr>
        <w:spacing w:after="0" w:line="129" w:lineRule="exact"/>
        <w:rPr>
          <w:sz w:val="20"/>
          <w:szCs w:val="20"/>
          <w:color w:val="auto"/>
        </w:rPr>
      </w:pPr>
    </w:p>
    <w:p>
      <w:pPr>
        <w:ind w:left="420" w:right="60" w:hanging="316"/>
        <w:spacing w:after="0" w:line="259" w:lineRule="auto"/>
        <w:tabs>
          <w:tab w:leader="none" w:pos="4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Etigilimab (MPH-313): </w:t>
      </w:r>
      <w:r>
        <w:rPr>
          <w:rFonts w:ascii="Times New Roman" w:cs="Times New Roman" w:eastAsia="Times New Roman" w:hAnsi="Times New Roman"/>
          <w:sz w:val="18"/>
          <w:szCs w:val="18"/>
          <w:color w:val="auto"/>
        </w:rPr>
        <w:t>Etigilimab is an antibody against TIGIT (T-cell immunoreceptor with Ig and ITIM domains). TIGIT is a next generation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checkpoint receptor shown to block T-cell activation and the body’s natural anti-cancer immune response. Etigilimab is an IgG1 monoclonal antibody which binds to the human TIGIT receptor on immune cells with a goal of improving the activation and effectiveness of T-cell and NK cell anti-tumor activity. Mereo completed a Phase 1a dose escalation clinical trial with etigilimab in patients with advanced solid tumors and enrolled patients in a Phase 1b study in combination with nivolumab in selected tumor types.</w:t>
      </w:r>
    </w:p>
    <w:p>
      <w:pPr>
        <w:spacing w:after="0" w:line="75" w:lineRule="exact"/>
        <w:rPr>
          <w:rFonts w:ascii="Times New Roman" w:cs="Times New Roman" w:eastAsia="Times New Roman" w:hAnsi="Times New Roman"/>
          <w:sz w:val="18"/>
          <w:szCs w:val="18"/>
          <w:color w:val="auto"/>
        </w:rPr>
      </w:pPr>
    </w:p>
    <w:p>
      <w:pPr>
        <w:ind w:left="440" w:right="20"/>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23 patients were treated in the Phase 1a dose escalation study with doses up to 20mg/kg Q2W. Tumor types included colorectal cancer, endometrial cancer, pancreatic cancer and other tumor types. No dose limiting toxicities were observed. In the Phase 1b combination study, a total of ten patients, nine of whom had progressed on prior anti-PD1/PD-L1 therapies were enrolled at doses of 3, 10, and 20 mg/kg. Tumor types included gastric cancer and six other tumor types. Eight patients were evaluable for tumor growth assessment, and all of these patients had progressed on PD1/PD-L1 therapies with best responses including two patients with a partial response and stable disease. Patients remained on study for up to 224 days. No dose limiting toxicities (DLTs) were observed.</w:t>
      </w:r>
    </w:p>
    <w:p>
      <w:pPr>
        <w:spacing w:after="0" w:line="79" w:lineRule="exact"/>
        <w:rPr>
          <w:rFonts w:ascii="Times New Roman" w:cs="Times New Roman" w:eastAsia="Times New Roman" w:hAnsi="Times New Roman"/>
          <w:sz w:val="18"/>
          <w:szCs w:val="18"/>
          <w:color w:val="auto"/>
        </w:rPr>
      </w:pPr>
    </w:p>
    <w:p>
      <w:pPr>
        <w:ind w:left="440" w:right="14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only treatment-related adverse event in the Phase 1a portion of the study with an incidence rate greater than 20 per cent. was rash (35 per cent.), and the most common treatment-related adverse events in the Phase 1b portion of the study were rash (40 per cent.), fatigue (30 per cent.) and pruritus (20 per cent.) There was only one treatment-related serious adverse event in the Phase 1a portion (autoimmune hepatitis) and there were no treatment-related serious adverse events in the Phase 1b portion of the study. The Phase 1b study has now completed.</w:t>
      </w:r>
    </w:p>
    <w:p>
      <w:pPr>
        <w:spacing w:after="0" w:line="1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80"/>
          </w:cols>
          <w:pgMar w:left="440" w:top="266" w:right="479" w:bottom="1440" w:gutter="0" w:footer="0" w:header="0"/>
        </w:sectPr>
      </w:pPr>
    </w:p>
    <w:bookmarkStart w:id="12" w:name="page13"/>
    <w:bookmarkEnd w:id="12"/>
    <w:p>
      <w:pPr>
        <w:ind w:left="440" w:right="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We are on track to initiate a Phase 1b/2 combination study of etigilimab in combination with a anti-PD-1 in a range of tumor types in 75-100 patients in Q4 2020.</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Rare Disease Product Candidates</w:t>
      </w:r>
    </w:p>
    <w:p>
      <w:pPr>
        <w:spacing w:after="0" w:line="129" w:lineRule="exact"/>
        <w:rPr>
          <w:sz w:val="20"/>
          <w:szCs w:val="20"/>
          <w:color w:val="auto"/>
        </w:rPr>
      </w:pPr>
    </w:p>
    <w:p>
      <w:pPr>
        <w:ind w:left="420" w:right="280" w:hanging="316"/>
        <w:spacing w:after="0" w:line="257" w:lineRule="auto"/>
        <w:tabs>
          <w:tab w:leader="none" w:pos="4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Setrusumab (BPS-804): </w:t>
      </w:r>
      <w:r>
        <w:rPr>
          <w:rFonts w:ascii="Times New Roman" w:cs="Times New Roman" w:eastAsia="Times New Roman" w:hAnsi="Times New Roman"/>
          <w:sz w:val="18"/>
          <w:szCs w:val="18"/>
          <w:color w:val="auto"/>
        </w:rPr>
        <w:t>Setrusumab is a novel antibody we are developing as a treatment for osteogenesis imperfecta (“OI”), a rare genetic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disease that results in bones that can break easily and is commonly known as brittle bone disease. OI is a debilitating orphan disease for which there are no treatments approved by the FDA or EMA. It is estimated that OI affects a minimum of 25,000 people in the United States and approximately 32,000 people in Germany, Spain, France, Italy, and the United Kingdom. Setrusumab is designed to inhibit sclerostin, a protein that inhibits the activity of bone-forming cells. We believe setrusumab’s mechanism of action is well suited for the treatment of OI and has the potential to become a novel treatment option for patients that could reduce fractures and improve patient quality of life.</w:t>
      </w:r>
    </w:p>
    <w:p>
      <w:pPr>
        <w:spacing w:after="0" w:line="78" w:lineRule="exact"/>
        <w:rPr>
          <w:rFonts w:ascii="Times New Roman" w:cs="Times New Roman" w:eastAsia="Times New Roman" w:hAnsi="Times New Roman"/>
          <w:sz w:val="18"/>
          <w:szCs w:val="18"/>
          <w:color w:val="auto"/>
        </w:rPr>
      </w:pPr>
    </w:p>
    <w:p>
      <w:pPr>
        <w:ind w:left="44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2016, we obtained orphan drug designation in OI for setrusumab in the United States and the EU and, in November 2017, it was accepted into the Priority Medicines scheme (“PRIME”) of the EMA. Prior to our acquisition of setrusumab, Novartis conducted four clinical trials in 106 patients and healthy volunteers. A Phase 2 clinical trial of setrusumab in OI showed statistically significant improvements in bone formation biomarkers and bone mineral density. In April 2017, we initiated a Phase 2b clinical trial for setrusumab in adults in the United States, Europe and Canada. The trial was randomized with three blinded arms at high, medium and low doses to establish the dose response curve and an open label arm at the top dose. We reported top-line data on the three blinded dose ranging arms in November 2019 with the results supporting progression of setrusumab into a pediatric pivotal study in OI.</w:t>
      </w:r>
    </w:p>
    <w:p>
      <w:pPr>
        <w:spacing w:after="0" w:line="80" w:lineRule="exact"/>
        <w:rPr>
          <w:rFonts w:ascii="Times New Roman" w:cs="Times New Roman" w:eastAsia="Times New Roman" w:hAnsi="Times New Roman"/>
          <w:sz w:val="18"/>
          <w:szCs w:val="18"/>
          <w:color w:val="auto"/>
        </w:rPr>
      </w:pPr>
    </w:p>
    <w:p>
      <w:pPr>
        <w:ind w:left="440" w:right="10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completion of the dosing part of the study, patients are continuing to be followed for a further twelve months to examine the off-effects of setrusumab. We have agreed a PIP for setrusumab with the EMA and in February 2020, we announced the successful completion of a Type B End-of-Phase 2 meeting with the FDA to discuss the development of setrusumab for the treatment of children with OI in the United States. We intend to partner setrusumab prior to conducting a pivotal trial of setrusumab in children with severe OI with fracture rate as the primary endpoint. We believe that the results from this trial, if favorable, will be sufficient to support the submission of an MAA to the EMA for setrusumab for the treatment of children with severe OI and a CMA for the treatment of OI in adults in the EU. The partnering discussions are well underway with a range of potential structures including options for Mereo to retain commercial rights in certain regions.</w:t>
      </w:r>
    </w:p>
    <w:p>
      <w:pPr>
        <w:spacing w:after="0" w:line="80" w:lineRule="exact"/>
        <w:rPr>
          <w:rFonts w:ascii="Times New Roman" w:cs="Times New Roman" w:eastAsia="Times New Roman" w:hAnsi="Times New Roman"/>
          <w:sz w:val="18"/>
          <w:szCs w:val="18"/>
          <w:color w:val="auto"/>
        </w:rPr>
      </w:pPr>
    </w:p>
    <w:p>
      <w:pPr>
        <w:ind w:left="440" w:right="160"/>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September 23 2020 we announced that the FDA has granted Rare Pediatric Disease designation to setrusumab for the treatment of osteogenesis imperfecta (OI). The FDA grants Rare Pediatric Disease Designation for serious and life-threatening diseases that primarily affect children ages 18 years or younger and fewer than 200,000 people in the United States. If a Biologics License Application (“BLA”) in the United States for setrusumab is approved, Mereo may be eligible to receive a priority review voucher from the FDA, which can be redeemed to obtain priority review for any subsequent marketing application and may be sold or transferred to other companies for their programs, such as has recently been done by other voucher recipients.</w:t>
      </w:r>
    </w:p>
    <w:p>
      <w:pPr>
        <w:spacing w:after="0" w:line="79" w:lineRule="exact"/>
        <w:rPr>
          <w:rFonts w:ascii="Times New Roman" w:cs="Times New Roman" w:eastAsia="Times New Roman" w:hAnsi="Times New Roman"/>
          <w:sz w:val="18"/>
          <w:szCs w:val="18"/>
          <w:color w:val="auto"/>
        </w:rPr>
      </w:pPr>
    </w:p>
    <w:p>
      <w:pPr>
        <w:ind w:left="440" w:right="2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continue to develop, build and maintain close relationships with OI patient representative groups in the EU and US, systematically involving them in our interactions with authorities. We maintain close relationships with the OI Federation (OIF), representing the OI community in North America and also remain close to the KOLs and treating community in the USA, as in the EU. We recently participated in the ASBMR conference (American Society for Bone and Mineral Research).</w:t>
      </w:r>
    </w:p>
    <w:p>
      <w:pPr>
        <w:spacing w:after="0" w:line="81" w:lineRule="exact"/>
        <w:rPr>
          <w:rFonts w:ascii="Times New Roman" w:cs="Times New Roman" w:eastAsia="Times New Roman" w:hAnsi="Times New Roman"/>
          <w:sz w:val="18"/>
          <w:szCs w:val="18"/>
          <w:color w:val="auto"/>
        </w:rPr>
      </w:pPr>
    </w:p>
    <w:p>
      <w:pPr>
        <w:ind w:left="420" w:right="20" w:hanging="316"/>
        <w:spacing w:after="0" w:line="257" w:lineRule="auto"/>
        <w:tabs>
          <w:tab w:leader="none" w:pos="4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Alvelestat (MPH-966): </w:t>
      </w:r>
      <w:r>
        <w:rPr>
          <w:rFonts w:ascii="Times New Roman" w:cs="Times New Roman" w:eastAsia="Times New Roman" w:hAnsi="Times New Roman"/>
          <w:sz w:val="18"/>
          <w:szCs w:val="18"/>
          <w:color w:val="auto"/>
        </w:rPr>
        <w:t>Alvelestat is a novel, oral small molecule we are developing for the treatment of severe AATD, a potentially life-threatening, rare, genetic condition caused by a lack of effective alpha-1 antitrypsin (“AAT”), a protein that protects the lungs from enzymatic degradation. This degradation leads to severe debilitating diseases, including early-onset pulmonar</w:t>
      </w:r>
      <w:r>
        <w:rPr>
          <w:rFonts w:ascii="Times New Roman" w:cs="Times New Roman" w:eastAsia="Times New Roman" w:hAnsi="Times New Roman"/>
          <w:sz w:val="18"/>
          <w:szCs w:val="18"/>
          <w:b w:val="1"/>
          <w:bCs w:val="1"/>
          <w:color w:val="auto"/>
        </w:rPr>
        <w:t>y</w:t>
      </w:r>
      <w:r>
        <w:rPr>
          <w:rFonts w:ascii="Times New Roman" w:cs="Times New Roman" w:eastAsia="Times New Roman" w:hAnsi="Times New Roman"/>
          <w:sz w:val="18"/>
          <w:szCs w:val="18"/>
          <w:color w:val="auto"/>
        </w:rPr>
        <w:t xml:space="preserve"> emphysema, a disease that irreversibly destroys the tissues that support lung function. There are an estimated 50,000 patients in North America and 60,000 patients in Europe with severe AATD. Alvelestat is designed to inhibit NE, a neutrophil protease, which is a key enzyme involved in the destruction of lung tissue. We believe the inhibition of NE has the potential to protect AATD patients from further lung damage.</w:t>
      </w:r>
    </w:p>
    <w:p>
      <w:pPr>
        <w:spacing w:after="0" w:line="78" w:lineRule="exact"/>
        <w:rPr>
          <w:rFonts w:ascii="Times New Roman" w:cs="Times New Roman" w:eastAsia="Times New Roman" w:hAnsi="Times New Roman"/>
          <w:sz w:val="18"/>
          <w:szCs w:val="18"/>
          <w:color w:val="auto"/>
        </w:rPr>
      </w:pPr>
    </w:p>
    <w:p>
      <w:pPr>
        <w:ind w:left="440" w:right="30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our license of alvelestat, AstraZeneca conducted 12 clinical trials involving 1,776 subjects, including trials in bronchiectasis and CF. Although these trials were conducted in diseases other than AATD, we believe the data demonstrated potential clinical benefit and biomarker evidence of treatment effect for AATD patients. We have initiated a Phase 2 proof-of-concept clinical trial in patients with severe AATD in the United States and the EU and as previously announced, currently expect to report top-line data from this trial in the second half of 2021.</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00"/>
          </w:cols>
          <w:pgMar w:left="440" w:top="270" w:right="459" w:bottom="1440" w:gutter="0" w:footer="0" w:header="0"/>
        </w:sectPr>
      </w:pPr>
    </w:p>
    <w:bookmarkStart w:id="13" w:name="page14"/>
    <w:bookmarkEnd w:id="13"/>
    <w:p>
      <w:pPr>
        <w:ind w:left="440" w:right="20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We continue to develop, build and maintain close relationships with the KOLs, treating community and the AATD patient representative organisations in both the EU and North America. The Company participated in the recent International Research Conference on Alpha-1 Antitrypsin and Alpha-1 Global Patient Congress in April as part of advancing these efforts. Close collaboration continues with the treating and diagnosing community in support of the alvelestat development program.</w:t>
      </w:r>
    </w:p>
    <w:p>
      <w:pPr>
        <w:spacing w:after="0" w:line="72" w:lineRule="exact"/>
        <w:rPr>
          <w:sz w:val="20"/>
          <w:szCs w:val="20"/>
          <w:color w:val="auto"/>
        </w:rPr>
      </w:pPr>
    </w:p>
    <w:p>
      <w:pPr>
        <w:ind w:left="440" w:right="840"/>
        <w:spacing w:after="0" w:line="282" w:lineRule="auto"/>
        <w:rPr>
          <w:sz w:val="20"/>
          <w:szCs w:val="20"/>
          <w:color w:val="auto"/>
        </w:rPr>
      </w:pPr>
      <w:r>
        <w:rPr>
          <w:rFonts w:ascii="Times New Roman" w:cs="Times New Roman" w:eastAsia="Times New Roman" w:hAnsi="Times New Roman"/>
          <w:sz w:val="18"/>
          <w:szCs w:val="18"/>
          <w:color w:val="auto"/>
        </w:rPr>
        <w:t>We recently announced the initiation of a Phase 1b/2 placebo-controlled clinical trial to evaluate the safety and efficacy of alvelestat in hospitalized, adult patients with moderate to severe COVID-19 respiratory disease.</w:t>
      </w:r>
    </w:p>
    <w:p>
      <w:pPr>
        <w:spacing w:after="0" w:line="54" w:lineRule="exact"/>
        <w:rPr>
          <w:sz w:val="20"/>
          <w:szCs w:val="20"/>
          <w:color w:val="auto"/>
        </w:rPr>
      </w:pPr>
    </w:p>
    <w:p>
      <w:pPr>
        <w:ind w:left="440" w:right="80"/>
        <w:spacing w:after="0" w:line="281" w:lineRule="auto"/>
        <w:rPr>
          <w:sz w:val="20"/>
          <w:szCs w:val="20"/>
          <w:color w:val="auto"/>
        </w:rPr>
      </w:pPr>
      <w:r>
        <w:rPr>
          <w:rFonts w:ascii="Times New Roman" w:cs="Times New Roman" w:eastAsia="Times New Roman" w:hAnsi="Times New Roman"/>
          <w:sz w:val="17"/>
          <w:szCs w:val="17"/>
          <w:color w:val="auto"/>
        </w:rPr>
        <w:t>Acute Lung Injury (ALI) is a manifestation of systemic inflammation in the lungs that can result from SARS-CoV-2 infection. Neutrophil extracellular traps (NETs), involving the enzyme neutrophil elastase (NE), may contribute to the pathogenesis of ALI via cytokine and neutrophil activation. NET formation (NETosis) also plays an important role in arterial and venous thrombosis, which have been shown to be common complications of COVID-19. By inhibiting NE, alvelestat demonstrated efficacy in preclinical models of treating ALI driven by NETosis.</w:t>
      </w:r>
    </w:p>
    <w:p>
      <w:pPr>
        <w:spacing w:after="0" w:line="56" w:lineRule="exact"/>
        <w:rPr>
          <w:sz w:val="20"/>
          <w:szCs w:val="20"/>
          <w:color w:val="auto"/>
        </w:rPr>
      </w:pPr>
    </w:p>
    <w:p>
      <w:pPr>
        <w:ind w:left="440" w:right="160"/>
        <w:spacing w:after="0" w:line="254" w:lineRule="auto"/>
        <w:rPr>
          <w:sz w:val="20"/>
          <w:szCs w:val="20"/>
          <w:color w:val="auto"/>
        </w:rPr>
      </w:pPr>
      <w:r>
        <w:rPr>
          <w:rFonts w:ascii="Times New Roman" w:cs="Times New Roman" w:eastAsia="Times New Roman" w:hAnsi="Times New Roman"/>
          <w:sz w:val="18"/>
          <w:szCs w:val="18"/>
          <w:color w:val="auto"/>
        </w:rPr>
        <w:t>The Phase 1b/2 trial is a randomized, double-blind, placebo-controlled study to assess the safety and efficacy of alvelestat in adult patients hospitalized with moderate to severe COVID-19 respiratory disease not yet receiving mechanical ventilation. The trial is led by Dr. J. Michael Wells and will be conducted at the University of Alabama. Approximately 15 patients will be randomized (2:1) to receive either alvelestat plus standard of care or placebo plus standard of care for 10 days. The primary endpoint of the trial is safety and tolerability of alvelestat at day 10, with a safety follow up to day 90. Additional endpoints include blood biomarkers (NETosis, inflammation and hypercoagulation) and oxygen deficit (as measured by the ratio of oxygen saturation to the fraction of inspired oxygen, SaO2/FiO2) at day 10. The trial will also assess clinical outcomes, including effect on disease progression measured by need for respiratory support and disease severity using the WHO 9-point ordinal scale at day 29.</w:t>
      </w:r>
    </w:p>
    <w:p>
      <w:pPr>
        <w:spacing w:after="0" w:line="84" w:lineRule="exact"/>
        <w:rPr>
          <w:sz w:val="20"/>
          <w:szCs w:val="20"/>
          <w:color w:val="auto"/>
        </w:rPr>
      </w:pPr>
    </w:p>
    <w:p>
      <w:pPr>
        <w:ind w:left="440" w:right="80"/>
        <w:spacing w:after="0" w:line="261" w:lineRule="auto"/>
        <w:rPr>
          <w:sz w:val="20"/>
          <w:szCs w:val="20"/>
          <w:color w:val="auto"/>
        </w:rPr>
      </w:pPr>
      <w:r>
        <w:rPr>
          <w:rFonts w:ascii="Times New Roman" w:cs="Times New Roman" w:eastAsia="Times New Roman" w:hAnsi="Times New Roman"/>
          <w:sz w:val="18"/>
          <w:szCs w:val="18"/>
          <w:color w:val="auto"/>
        </w:rPr>
        <w:t>As part of our development plans for alvelestat we are continuing to support certain investigator-led studies including the ATALANTA study into AATD led by Mark T. Dransfield and his team, supported, as previously announced, by an NCATS grant and also a study into bronchiolitis obliterans syndrome (BOS) associated with graft-versus-host disease (GvHD) in patients receiving hematopoietic stem cell transplantation (HSCT) led by Steven Z Pavletic at the NIH.</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Product Candidates for Partnering</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portfolio of products also consists of the following product candidates:</w:t>
      </w:r>
    </w:p>
    <w:p>
      <w:pPr>
        <w:spacing w:after="0" w:line="127" w:lineRule="exact"/>
        <w:rPr>
          <w:sz w:val="20"/>
          <w:szCs w:val="20"/>
          <w:color w:val="auto"/>
        </w:rPr>
      </w:pPr>
    </w:p>
    <w:p>
      <w:pPr>
        <w:ind w:left="420" w:hanging="316"/>
        <w:spacing w:after="0" w:line="259" w:lineRule="auto"/>
        <w:tabs>
          <w:tab w:leader="none" w:pos="4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Acumapimod (BCT-197): </w:t>
      </w:r>
      <w:r>
        <w:rPr>
          <w:rFonts w:ascii="Times New Roman" w:cs="Times New Roman" w:eastAsia="Times New Roman" w:hAnsi="Times New Roman"/>
          <w:sz w:val="18"/>
          <w:szCs w:val="18"/>
          <w:color w:val="auto"/>
        </w:rPr>
        <w:t>Acumapimod is a p38 MAP kinase inhibitor being developed as an oral first-line acute therapy for patients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AECOPD. COPD is a non-reversible, progressive lung disease in which inflammation plays a central role. There are an estimated 16 million people in the United States diagnosed with COPD. Of all hospital admissions in the United States related to COPD, approximately 63 per cent. are for AECOPD patients. We believe acumapimod offers a potential new treatment for controlling inflammation by targeting pathways that drive the pathological mechanism behind AECOPD. We are seeking separate funding for Acumapimod</w:t>
      </w:r>
    </w:p>
    <w:p>
      <w:pPr>
        <w:spacing w:after="0" w:line="84" w:lineRule="exact"/>
        <w:rPr>
          <w:rFonts w:ascii="Times New Roman" w:cs="Times New Roman" w:eastAsia="Times New Roman" w:hAnsi="Times New Roman"/>
          <w:sz w:val="18"/>
          <w:szCs w:val="18"/>
          <w:color w:val="auto"/>
        </w:rPr>
      </w:pPr>
    </w:p>
    <w:p>
      <w:pPr>
        <w:ind w:left="420" w:hanging="316"/>
        <w:spacing w:after="0" w:line="257" w:lineRule="auto"/>
        <w:tabs>
          <w:tab w:leader="none" w:pos="4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Leflutrozole (BGS-649): </w:t>
      </w:r>
      <w:r>
        <w:rPr>
          <w:rFonts w:ascii="Times New Roman" w:cs="Times New Roman" w:eastAsia="Times New Roman" w:hAnsi="Times New Roman"/>
          <w:sz w:val="18"/>
          <w:szCs w:val="18"/>
          <w:color w:val="auto"/>
        </w:rPr>
        <w:t>Leflutrozole is a once-weekly oral therapy being developed for the treatment of HH in obese men. HH is a clinical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syndrome that results from inadequate levels of testosterone. Based on WHO estimates and scientific data, we estimate there are approximately seven million cases of HH in obese men in the United States. In these men, a decline in testosterone is exacerbated by high levels of the aromatase enzyme, which is present in fat tissue and leads to a reduction in testosterone. Leflutrozole is designed to inhibit the aromatase enzyme and is being developed to restore normal levels of testosterone without causing excessively high testosterone levels or reducing the levels of LH or FSH. Both LH and FSH play key roles in sperm formation and LH plays a key role in endogenous testosterone formation. In contrast to current</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80"/>
          </w:cols>
          <w:pgMar w:left="440" w:top="270" w:right="479" w:bottom="1440" w:gutter="0" w:footer="0" w:header="0"/>
        </w:sectPr>
      </w:pPr>
    </w:p>
    <w:bookmarkStart w:id="14" w:name="page15"/>
    <w:bookmarkEnd w:id="14"/>
    <w:p>
      <w:pPr>
        <w:ind w:left="420" w:right="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therapies for HH, which involve the exogenous administration of testosterone and lead to further down regulation of LH and FSH, we believe that leflutrozole, by preserving sperm formation through LH and FSH production, may present a benefit to patients. We continue to make progress in discussions with global licensing partners for leflutrozole focused on the potential of leflutrozole for male infertility</w:t>
      </w:r>
    </w:p>
    <w:p>
      <w:pPr>
        <w:spacing w:after="0" w:line="77" w:lineRule="exact"/>
        <w:rPr>
          <w:sz w:val="20"/>
          <w:szCs w:val="20"/>
          <w:color w:val="auto"/>
        </w:rPr>
      </w:pPr>
    </w:p>
    <w:p>
      <w:pPr>
        <w:ind w:left="420" w:right="40" w:hanging="316"/>
        <w:spacing w:after="0" w:line="256" w:lineRule="auto"/>
        <w:tabs>
          <w:tab w:leader="none" w:pos="4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Navicixizumab (OMP-305B83): </w:t>
      </w:r>
      <w:r>
        <w:rPr>
          <w:rFonts w:ascii="Times New Roman" w:cs="Times New Roman" w:eastAsia="Times New Roman" w:hAnsi="Times New Roman"/>
          <w:sz w:val="18"/>
          <w:szCs w:val="18"/>
          <w:color w:val="auto"/>
        </w:rPr>
        <w:t>Navi is a bispecific antibody that inhibits delta-like ligand 4 (DLL4) and vascular endothelial growth factor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VEGF). We acquired this therapeutic product in the merger with OncoMed. This antibody is intended to have anti-angiogenic and anticancer stem cell activity. In a Phase 1a clinical trial, Navi demonstrated single agent activity. Following this we conducted a Phase 1b clinical trial in ovarian cancer, in combination with paclitaxel, in platinum-resistant ovarian cancer. In January of 2020, the Company entered a global license agreement with OncXerna (formerly Oncologie) for the development and commercialization of Navi. Under the agreement, OncXerna is solely responsible for the future development, manufacturing and commercialization of the program while Mereo received an upfront payment and is eligible to receive up to $302million in milestones and royalties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Organizational Change and Changes to the Board of Directors</w:t>
      </w:r>
    </w:p>
    <w:p>
      <w:pPr>
        <w:spacing w:after="0" w:line="121"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On March 27, 2020, we announced that Michael Wyzga who, at the time, served as a Non-Executive Director, would become the Interim Chief Financial Officer following the announced departure of Richard Jones, the Company’s previous Chief Financial Officer (“CFO”). Richard Jones left the Company on 31 July 2020 and Michael Wyzga currently serves as the Interim Chief Financial Officer as we continue the search for a new full time CFO.</w:t>
      </w:r>
    </w:p>
    <w:p>
      <w:pPr>
        <w:spacing w:after="0" w:line="180" w:lineRule="exact"/>
        <w:rPr>
          <w:sz w:val="20"/>
          <w:szCs w:val="20"/>
          <w:color w:val="auto"/>
        </w:rPr>
      </w:pPr>
    </w:p>
    <w:p>
      <w:pPr>
        <w:ind w:right="100"/>
        <w:spacing w:after="0" w:line="277" w:lineRule="auto"/>
        <w:rPr>
          <w:sz w:val="20"/>
          <w:szCs w:val="20"/>
          <w:color w:val="auto"/>
        </w:rPr>
      </w:pPr>
      <w:r>
        <w:rPr>
          <w:rFonts w:ascii="Times New Roman" w:cs="Times New Roman" w:eastAsia="Times New Roman" w:hAnsi="Times New Roman"/>
          <w:sz w:val="17"/>
          <w:szCs w:val="17"/>
          <w:color w:val="auto"/>
        </w:rPr>
        <w:t>On September 28, 2020, we announced that Dr. Brian Schwartz, former Chief Medical Officer of Arqule, Inc. and Dr. Jeremy Bender, former Vice President of Corporate Development at Gilead Sciences, Inc. and recently appointed Chief Executive Officer of Day One BioPharmacueticals, Inc. will join Mereo’s Board of Directors. Drs. Schwartz and Bender, respectively, bring significant oncology and rare disease drug development and corporate development experience to Mereo. In order to maintain the number of board members at a maximum of nine, Paul Blackburn will be leaving Mereo’s Board of Directors after a five year tenure as a Non-Executive Director. The changes to the Mereo Board will be effective from October 1, 2020.</w:t>
      </w: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Update on impact of COVID-19</w:t>
      </w:r>
    </w:p>
    <w:p>
      <w:pPr>
        <w:spacing w:after="0" w:line="121"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Coronavirus disease 2019 (“COVID-19”) is an infectious respiratory disease that was first identified in 2019 in Wuhan, China and has since spread globally. The impact COVID-19 is evolving rapidly and its future effects are uncertain.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actively monitoring how the effects and risks of COVID-19 impact our day-to-day operations, including our ongoing clinical trial activities:</w:t>
      </w:r>
    </w:p>
    <w:p>
      <w:pPr>
        <w:spacing w:after="0" w:line="131" w:lineRule="exact"/>
        <w:rPr>
          <w:sz w:val="20"/>
          <w:szCs w:val="20"/>
          <w:color w:val="auto"/>
        </w:rPr>
      </w:pPr>
    </w:p>
    <w:p>
      <w:pPr>
        <w:ind w:left="420" w:hanging="316"/>
        <w:spacing w:after="0" w:line="261" w:lineRule="auto"/>
        <w:tabs>
          <w:tab w:leader="none" w:pos="4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current activities on setrusumab for potential treatment of OI are focussed on completion of the ASTEROID Phase 2b extension study in adults with OI and preparations for the Phase 3 pediatric trial, which we intend to start following a partnership. Our Phase 2b ASTEROID study in OI is fully recruited with top-line results announced in November 2019. Patients who enrolled in this study are in a one-year follow up post treatment extension phase to monitor the off-effect of setrusumab.</w:t>
      </w:r>
    </w:p>
    <w:p>
      <w:pPr>
        <w:spacing w:after="0" w:line="85" w:lineRule="exact"/>
        <w:rPr>
          <w:rFonts w:ascii="Times New Roman" w:cs="Times New Roman" w:eastAsia="Times New Roman" w:hAnsi="Times New Roman"/>
          <w:sz w:val="18"/>
          <w:szCs w:val="18"/>
          <w:color w:val="auto"/>
        </w:rPr>
      </w:pPr>
    </w:p>
    <w:p>
      <w:pPr>
        <w:ind w:left="420" w:right="40" w:hanging="316"/>
        <w:spacing w:after="0" w:line="266" w:lineRule="auto"/>
        <w:tabs>
          <w:tab w:leader="none" w:pos="4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Phase 2 alvelestat trial recruits individuals with alpha-1 antitrypsin deficiency-related lung disease, who are potentially at greater risk from COVID-19 exposure. As a result, and as we announced in March 2020, completion of enrolment into our Phase 2 alpta-1 antitrypsin study will be delayed, with topline data now currently expected in the second half of 2021.</w:t>
      </w:r>
    </w:p>
    <w:p>
      <w:pPr>
        <w:spacing w:after="0" w:line="202" w:lineRule="exact"/>
        <w:rPr>
          <w:rFonts w:ascii="Times New Roman" w:cs="Times New Roman" w:eastAsia="Times New Roman" w:hAnsi="Times New Roman"/>
          <w:sz w:val="18"/>
          <w:szCs w:val="18"/>
          <w:color w:val="auto"/>
        </w:rPr>
      </w:pPr>
    </w:p>
    <w:p>
      <w:pPr>
        <w:ind w:left="420" w:right="100" w:hanging="316"/>
        <w:spacing w:after="0" w:line="258" w:lineRule="auto"/>
        <w:tabs>
          <w:tab w:leader="none" w:pos="4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business, we have taken necessary measures across our sites in the U.K. and U.S. to ensure that our employees and other key stakeholders best adhere to the advice set out by the relevant authorities. Such measures have included the introduction of remote working arrangements, reduced face to face contact by encouraging the use of teleconferencing, a ban on domestic and international travel as well as other measures considered necessary by our recently formed COVID-19 committee which is responsible for business continuity planning during this challenging time.</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980"/>
          </w:cols>
          <w:pgMar w:left="440" w:top="270" w:right="47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Financial Review</w:t>
      </w:r>
    </w:p>
    <w:p>
      <w:pPr>
        <w:spacing w:after="0" w:line="1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During the period, the Company completed multiple transactions to allow for the continued development of our product candidates as well to meet its liabilities. On 3 June 2020 the Company completed a $70 million (£56 million) private placement. The transaction comprised of the issue of 89.1 million new ordinary shares of £0.003 each in the Company at a price of 17.4 pence per share for total proceeds of $19.4 million (£15.5 million) and the issue of convertible notes (the “Loan Notes”) for total proceeds of $50.6 million (£40.5 million). The investors also received conditional warrants to subscribe for further ordinary shares (the “Warrants”). The terms of the Loan Notes and Warrants, and, in particular, their ability to be converted into ordinary shares was conditional on the passing of certain resolutions (the “Resolutions”) at a general meeting of shareholders on June 30, 2020 (the “General Meeting”).</w:t>
      </w:r>
    </w:p>
    <w:p>
      <w:pPr>
        <w:spacing w:after="0" w:line="18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On February 10, 2020, the Company entered into a Securities Purchase Agreement (the “Agreement”) to issue up to $28 million of the Company’s ordinary shares exchangeable for American Depositary Shares (“ADSs”), with Aspire Capital Fund, LLC (“Aspire Capital”), a Chicago-based institutional investor. Under the terms of the Agreement, Aspire Capital made an initial investment of $3 million to purchase 11,432,925 of the Company’s ordinary shares (equivalent to 2,286,585 ADSs) at a price equivalent to $1.31 per ADS, which represents a 16% discount over Mereo’s ADS closing stock price of $1.56 on February 8, 2020.</w:t>
      </w:r>
    </w:p>
    <w:p>
      <w:pPr>
        <w:spacing w:after="0" w:line="183"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On February 10, 2020, the Company entered into a £3.8 million convertible equity financing with Novartis Pharma (AG) (“Novartis”). Under the terms of the convertible equity financing, Novartis purchased £3.8 million in a convertible loan note (“Loan Note”). The maturity of the Loan Note is three years from issuance, and it bears an interest rate of 6% per annum.</w:t>
      </w:r>
    </w:p>
    <w:p>
      <w:pPr>
        <w:spacing w:after="0" w:line="17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On January 13, 2020, the Company entered into a License Agreement with OncXerna Therapeutics, Inc. (“OncXerna”) (formerly Oncologie Inc.) for the development and commercialisation of Navi. Under the terms of the License Agreement, with OncXerna the Company received an upfront payment of £3.2 million ($4 million). Additionally, the Company will be eligible to receive up to $302 million in future milestones and royalties.</w:t>
      </w:r>
    </w:p>
    <w:p>
      <w:pPr>
        <w:spacing w:after="0" w:line="17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During the period, R&amp;D expenditures fell by £3.4 million to £8.5 million from £11.9 million in the period to June 30, 2019. We are on track to initiate a Phase 1b/2 combination study of etigilimab in combination with an anti-PD-1 in a range of tumor types in Q4 2020. We continued the development of our two rare disease assets setrusumab and alvelestat with R&amp;D expenditure relating to the adult Phase 2b study with less manufacturing costs for setrusumab and the Proof of Concept Phase 2 study in alvelestat. In the same period last year our R&amp;D spend was focused again on the setrusumab adult Phase 2b study and the completion of the Phase 2 studies for our specialty products Acumapimod and Leflutrozole.</w:t>
      </w:r>
    </w:p>
    <w:p>
      <w:pPr>
        <w:spacing w:after="0" w:line="183"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Our administrative expenses increased by £1.3 million to £8.2 million from £6.9 million in 2019. This increase was predominantly due to one-off legal and professional fees which increased by £0.9 million to £2.4 million. Excluding these amounts administrative expenses in the period were £4.9 million compared to £5.3 million in 2019.</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00"/>
          </w:cols>
          <w:pgMar w:left="440" w:top="266" w:right="459" w:bottom="1440" w:gutter="0" w:footer="0" w:header="0"/>
        </w:sectPr>
      </w:pPr>
    </w:p>
    <w:bookmarkStart w:id="16" w:name="page17"/>
    <w:bookmarkEnd w:id="16"/>
    <w:p>
      <w:pPr>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Finance charges of £97.6 million mainly relate to changes in fair value of embedded derivatives of £63.2 million due to the re-measurement of the conversion feature of the loan notes issued as part of the private placement, changes in the fair value of warrants in connection to private placement £31.5 million, interest accrued and paid in respect of the bank debt of £1.3 million together with non-cash finance charges under IFRS 16 of £0.9 million together with £0.4 million in respect of the interest accrued on the loan instruments between issue and conversion and £0.2 million interest on convertible loan notes.</w:t>
      </w:r>
    </w:p>
    <w:p>
      <w:pPr>
        <w:spacing w:after="0" w:line="183"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Income tax benefit represents the estimate of R&amp;D tax credit accrued during the period. Tax credits for the FY 2019 are expected to be received in Q4 2020.</w:t>
      </w:r>
    </w:p>
    <w:p>
      <w:pPr>
        <w:spacing w:after="0" w:line="162"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The weighted average loss per share for the six-month period was 105 pence (2019: 22 pence) due to a £94.6 million non-cash accounting adjustment for fair value movement of financial instrument.</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Cashflow</w:t>
      </w:r>
    </w:p>
    <w:p>
      <w:pPr>
        <w:spacing w:after="0" w:line="117"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We started the year with £16.3 million in cash and short-term deposits. On June 4, 2020 the Company announced the completion of a £56 million ($70 million) fundraising, or £51.4 million ($64.2 million) net from the issue of equity, loan notes and warrants to new and existing shareholders. The net cash inflow in H1 2020 was £40.6 million with cash and short-term deposits at the period end of £56.8 million.</w:t>
      </w:r>
    </w:p>
    <w:p>
      <w:pPr>
        <w:spacing w:after="0" w:line="17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loss before tax for the period was £126.1 million but after adjusting for non-cash items (namely the fair value movement on financial instruments of £94.7 million and loss on disposal of intangible fixed assets of £11.3 million), net cash outflows from operating activities were £11.2 million (2019: £27.6 million). Net cash inflows from investing activities were £1.7 million in the period (2019: £34.0m) reflecting the disposal of Navicixizumab. Net cash inflows from financing activities were £49.6 million (2019: £(3.4 million)), relating to various transactions described further in the equity section below.</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Significant transactions during the period</w:t>
      </w:r>
    </w:p>
    <w:p>
      <w:pPr>
        <w:spacing w:after="0" w:line="117"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On January 13, 2020, the Company announced the License Agreement with OncXerna for the development and commercialization of Navicixizumab (or “Navi”). Under the terms of the License Agreement, the Company received an upfront payment of £3.2 million ($4 million) with an additional payment of £1.6 million ($2 million) to be received conditional on a Chemistry, Manufacturing and Controls (“CMC”) milestone. Additionally, the Company will be eligible to receive up to $302 million in future milestones and royalties.</w:t>
      </w:r>
    </w:p>
    <w:p>
      <w:pPr>
        <w:spacing w:after="0" w:line="180"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On February 10, 2020, the Company entered into a £3.8m million convertible equity financing with Novartis Pharma AG (“Novartis”). Under the terms of the convertible equity financing, Novartis purchased £3.8 million in a convertible loan note. The loan note is convertible at any time at a fixed price of £0.265 per ordinary share. In connection with the loan note, the Company issued a warrant instrument to Novartis to purchase up to 1,449,614 of the Company’s ordinary shares.</w:t>
      </w:r>
    </w:p>
    <w:p>
      <w:pPr>
        <w:spacing w:after="0" w:line="180"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On February 10, 2020, the Company entered into a Securities Purchase Agreement to issue up to £22.4 million ($28 million) of the Company’s ordinary shares exchangeable for American Depositary Shares (“ADSs”), including a £2.4 million ($3 million) initial purchase, with Aspire Capital Fund, LLC. In exchange for the £2.4 million ($3 million) initial purchase the Company issued 11,432,925 ordinary shares (equivalent to 2,286,585 ADSs). In addition, the Company issued Aspire Capital Fund, LLC £0.2 million ($0.3 million) in the form of 2,862,595 commission ordinary shares (equivalent to 572,519 ADSs).</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00"/>
          </w:cols>
          <w:pgMar w:left="440" w:top="270" w:right="459" w:bottom="1440" w:gutter="0" w:footer="0" w:header="0"/>
        </w:sectPr>
      </w:pPr>
    </w:p>
    <w:bookmarkStart w:id="17" w:name="page18"/>
    <w:bookmarkEnd w:id="17"/>
    <w:p>
      <w:pPr>
        <w:ind w:right="12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On February 19, 2020, the Company entered into a Securities Purchase Agreement with Boxer Capital, LLC to make an investment of £2.4 million ($3 million) to purchase 12,252,715 of the Company’s ordinary shares (equivalent to 2,450,543 ADSs).</w:t>
      </w:r>
    </w:p>
    <w:p>
      <w:pPr>
        <w:spacing w:after="0" w:line="162"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On June 4, 2020 the Company announced the completion of a £56 million ($70 million) financing, or approximately £51.4 million ($64.2 million) net from the issue of equity, loan notes and warrants to new and existing shareholders. This is detailed further in note 5.</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 prior periods</w:t>
      </w:r>
    </w:p>
    <w:p>
      <w:pPr>
        <w:spacing w:after="0" w:line="11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In April 2019 the Company agreed an amendment to the terms of its bank loan. The interest only-period was extended to December 31, 2019 followed by a 15-month capital and interest repayment period. Also, in June 2019, shortly after completion of the merger, the balance of the Novartis Loan Notes together with accumulated interest plus the balance of bonus shares due under the Loan Note agreement with Novartis were converted into ordinary shares in Mereo.</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Going Concern</w:t>
      </w:r>
    </w:p>
    <w:p>
      <w:pPr>
        <w:spacing w:after="0" w:line="117"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As part of the going concern review, the Directors have considered the funding requirements of the Company through consideration of the Company’s current business plan and the preparation of detailed cash flow forecasts. The going concern review prepared by the Directors extends through to 2022 from the date of approval of these consolidated interim financial statements.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Based on delivering the business plan objectives set out in the strategic report of the 2019 Annual Report which include:</w:t>
      </w:r>
    </w:p>
    <w:p>
      <w:pPr>
        <w:spacing w:after="0" w:line="131" w:lineRule="exact"/>
        <w:rPr>
          <w:sz w:val="20"/>
          <w:szCs w:val="20"/>
          <w:color w:val="auto"/>
        </w:rPr>
      </w:pPr>
    </w:p>
    <w:p>
      <w:pPr>
        <w:ind w:left="960" w:hanging="424"/>
        <w:spacing w:after="0"/>
        <w:tabs>
          <w:tab w:leader="none" w:pos="9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Commencement later in 2020 of a new Phase 1b/2 study for etigilimab “Anti-TIGIT”;</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Completion of the adult Phase 2b extension study for setrusumab;</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Completion of the current Phase 2 study for alvelestat; and</w:t>
      </w:r>
    </w:p>
    <w:p>
      <w:pPr>
        <w:spacing w:after="0" w:line="130" w:lineRule="exact"/>
        <w:rPr>
          <w:rFonts w:ascii="Times New Roman" w:cs="Times New Roman" w:eastAsia="Times New Roman" w:hAnsi="Times New Roman"/>
          <w:sz w:val="18"/>
          <w:szCs w:val="18"/>
          <w:color w:val="auto"/>
        </w:rPr>
      </w:pPr>
    </w:p>
    <w:p>
      <w:pPr>
        <w:ind w:left="960" w:right="580" w:hanging="424"/>
        <w:spacing w:after="0" w:line="282" w:lineRule="auto"/>
        <w:tabs>
          <w:tab w:leader="none" w:pos="9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Commencement and completion of a new Investigator sponsored study in COVID-19 infected patients initiated at the University of Alabama.</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These forecasts indicate that the Company has a total cash runway into early 2022 and will have sufficient funds to meet its liabilities as they fall due for at least the next 12 months.</w:t>
      </w:r>
    </w:p>
    <w:p>
      <w:pPr>
        <w:spacing w:after="0" w:line="162"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Further funding to continue to develop our rare disease products is most likely to come from a mix of additional equity funding and partnering transactions with third parties, where discussions are in advanced stages with potential partners. The Directors remain confident of raising additional funding through either or both of these routes</w:t>
      </w:r>
    </w:p>
    <w:p>
      <w:pPr>
        <w:spacing w:after="0" w:line="176"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In preparing these forecasts the Directors have considered the impact of COVID-19 and in particular the unprecedented burden on health systems in impacted countries around the world. As a result, clinical centres have diverted resources away from the performance of clinical trials and because of that and the vulnerability of patients in the Company’s setrusumab clinical development program for osteogenesis imperfecta (OI)and its Phase 2 alvelestat program for patients with alpha-1 antitrypsin deficiency (AATD), the Company’s clinical activities will face some delays. AATD patients, in particular, are at greater risk from COVID-19 given that the condition is a respiratory and lung condition, for this reason, our Phase 2 alvelestat trial will be delayed with topline data now expected in the second half of 2021. We plan to initiate a Phase 3 study in children with OI following completion of a partnership.</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00"/>
          </w:cols>
          <w:pgMar w:left="440" w:top="270" w:right="459" w:bottom="1440" w:gutter="0" w:footer="0" w:header="0"/>
        </w:sectPr>
      </w:pPr>
    </w:p>
    <w:bookmarkStart w:id="18" w:name="page19"/>
    <w:bookmarkEnd w:id="18"/>
    <w:p>
      <w:pPr>
        <w:ind w:right="32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conclusion, although the Group continues to make losses, the Directors believe it is appropriate to prepare the financial information on the going concern basis.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Outlook</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second half of 2020 is set to be a pivotal period for Mereo. We are on track to initiate a Phase 1b/2 combination study of etigilimab in combination with an anti-PD-1 in a range of tumor types in 75-100 patients in Q4 2020 and look forward to partnering our setrusumab program prior to initiating the pivotal pediatric study in OI patients in the US, EU and Canada.</w:t>
      </w:r>
    </w:p>
    <w:p>
      <w:pPr>
        <w:spacing w:after="0" w:line="176"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We have re-initiated enrolment in our Phase 2 proof-of-concept clinical trial in patients with severe AATD in the United States and the EU and now expect to report top-line data from this trial in the second half of 2021. We recently announced the initiation of a Phase 1b/2 placebo-controlled clinical trial to evaluate the safety and efficacy of alvelestat in hospitalized, adult patients with moderate to severe COVID-19 respiratory disease and look forward to reporting data from this study in mid-2021.</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Alongside these developments we continue to focus on partnering opportunities for our broader product pipeline.</w:t>
      </w:r>
    </w:p>
    <w:p>
      <w:pPr>
        <w:spacing w:after="0" w:line="225"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We are very pleased to have Dr Brian Schwartz and Dr Jeremy Bender joining our board and the Company has sufficient balance sheet strength and runway to deliver on our clinical and business development milestones.</w:t>
      </w:r>
    </w:p>
    <w:p>
      <w:pPr>
        <w:spacing w:after="0" w:line="9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920"/>
          </w:cols>
          <w:pgMar w:left="440" w:top="270" w:right="5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Consolidated statement of comprehensive loss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six months ended June 30, 2020</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4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Six months</w:t>
            </w:r>
          </w:p>
        </w:tc>
        <w:tc>
          <w:tcPr>
            <w:tcW w:w="122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color w:val="auto"/>
              </w:rPr>
              <w:t>Six months</w:t>
            </w: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Year ended</w:t>
            </w:r>
          </w:p>
        </w:tc>
        <w:tc>
          <w:tcPr>
            <w:tcW w:w="0" w:type="dxa"/>
            <w:vAlign w:val="bottom"/>
          </w:tcPr>
          <w:p>
            <w:pPr>
              <w:spacing w:after="0"/>
              <w:rPr>
                <w:sz w:val="1"/>
                <w:szCs w:val="1"/>
                <w:color w:val="auto"/>
              </w:rPr>
            </w:pPr>
          </w:p>
        </w:tc>
      </w:tr>
      <w:tr>
        <w:trPr>
          <w:trHeight w:val="148"/>
        </w:trPr>
        <w:tc>
          <w:tcPr>
            <w:tcW w:w="6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4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122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color w:val="auto"/>
              </w:rPr>
              <w:t>ended</w:t>
            </w:r>
          </w:p>
        </w:tc>
        <w:tc>
          <w:tcPr>
            <w:tcW w:w="9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w w:val="99"/>
              </w:rPr>
              <w:t>December 31,</w:t>
            </w:r>
          </w:p>
        </w:tc>
        <w:tc>
          <w:tcPr>
            <w:tcW w:w="0" w:type="dxa"/>
            <w:vAlign w:val="bottom"/>
          </w:tcPr>
          <w:p>
            <w:pPr>
              <w:spacing w:after="0"/>
              <w:rPr>
                <w:sz w:val="1"/>
                <w:szCs w:val="1"/>
                <w:color w:val="auto"/>
              </w:rPr>
            </w:pPr>
          </w:p>
        </w:tc>
      </w:tr>
      <w:tr>
        <w:trPr>
          <w:trHeight w:val="148"/>
        </w:trPr>
        <w:tc>
          <w:tcPr>
            <w:tcW w:w="6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4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June 30, 2020</w:t>
            </w:r>
          </w:p>
        </w:tc>
        <w:tc>
          <w:tcPr>
            <w:tcW w:w="122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color w:val="auto"/>
              </w:rPr>
              <w:t>June 30, 2019</w:t>
            </w:r>
          </w:p>
        </w:tc>
        <w:tc>
          <w:tcPr>
            <w:tcW w:w="800" w:type="dxa"/>
            <w:vAlign w:val="bottom"/>
          </w:tcPr>
          <w:p>
            <w:pPr>
              <w:jc w:val="right"/>
              <w:ind w:right="175"/>
              <w:spacing w:after="0" w:line="149" w:lineRule="exact"/>
              <w:rPr>
                <w:sz w:val="20"/>
                <w:szCs w:val="20"/>
                <w:color w:val="auto"/>
              </w:rPr>
            </w:pPr>
            <w:r>
              <w:rPr>
                <w:rFonts w:ascii="Times New Roman" w:cs="Times New Roman" w:eastAsia="Times New Roman" w:hAnsi="Times New Roman"/>
                <w:sz w:val="14"/>
                <w:szCs w:val="14"/>
                <w:color w:val="auto"/>
              </w:rPr>
              <w:t>2019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4"/>
                <w:szCs w:val="14"/>
                <w:color w:val="auto"/>
                <w:w w:val="97"/>
              </w:rPr>
              <w:t>Notes</w:t>
            </w:r>
          </w:p>
        </w:tc>
        <w:tc>
          <w:tcPr>
            <w:tcW w:w="124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122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color w:val="auto"/>
              </w:rPr>
              <w:t>Unaudited</w:t>
            </w:r>
          </w:p>
        </w:tc>
        <w:tc>
          <w:tcPr>
            <w:tcW w:w="92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Audited</w:t>
            </w:r>
          </w:p>
        </w:tc>
        <w:tc>
          <w:tcPr>
            <w:tcW w:w="0" w:type="dxa"/>
            <w:vAlign w:val="bottom"/>
          </w:tcPr>
          <w:p>
            <w:pPr>
              <w:spacing w:after="0"/>
              <w:rPr>
                <w:sz w:val="1"/>
                <w:szCs w:val="1"/>
                <w:color w:val="auto"/>
              </w:rPr>
            </w:pPr>
          </w:p>
        </w:tc>
      </w:tr>
      <w:tr>
        <w:trPr>
          <w:trHeight w:val="173"/>
        </w:trPr>
        <w:tc>
          <w:tcPr>
            <w:tcW w:w="66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124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£’000</w:t>
            </w:r>
          </w:p>
        </w:tc>
        <w:tc>
          <w:tcPr>
            <w:tcW w:w="122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color w:val="auto"/>
              </w:rPr>
              <w:t>£’000</w:t>
            </w:r>
          </w:p>
        </w:tc>
        <w:tc>
          <w:tcPr>
            <w:tcW w:w="9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w w:val="97"/>
              </w:rPr>
              <w:t>£’000</w:t>
            </w:r>
          </w:p>
        </w:tc>
        <w:tc>
          <w:tcPr>
            <w:tcW w:w="0" w:type="dxa"/>
            <w:vAlign w:val="bottom"/>
          </w:tcPr>
          <w:p>
            <w:pPr>
              <w:spacing w:after="0"/>
              <w:rPr>
                <w:sz w:val="1"/>
                <w:szCs w:val="1"/>
                <w:color w:val="auto"/>
              </w:rPr>
            </w:pPr>
          </w:p>
        </w:tc>
      </w:tr>
      <w:tr>
        <w:trPr>
          <w:trHeight w:val="209"/>
        </w:trPr>
        <w:tc>
          <w:tcPr>
            <w:tcW w:w="66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2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(8,479)</w:t>
            </w:r>
          </w:p>
        </w:tc>
        <w:tc>
          <w:tcPr>
            <w:tcW w:w="40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(11,918)</w:t>
            </w:r>
          </w:p>
        </w:tc>
        <w:tc>
          <w:tcPr>
            <w:tcW w:w="4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(23,608)</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Administrative expenses</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(8,212)</w:t>
            </w:r>
          </w:p>
        </w:tc>
        <w:tc>
          <w:tcPr>
            <w:tcW w:w="12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(6,918)</w:t>
            </w: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(15,909)</w:t>
            </w:r>
          </w:p>
        </w:tc>
        <w:tc>
          <w:tcPr>
            <w:tcW w:w="0" w:type="dxa"/>
            <w:vAlign w:val="bottom"/>
          </w:tcPr>
          <w:p>
            <w:pPr>
              <w:spacing w:after="0"/>
              <w:rPr>
                <w:sz w:val="1"/>
                <w:szCs w:val="1"/>
                <w:color w:val="auto"/>
              </w:rPr>
            </w:pPr>
          </w:p>
        </w:tc>
      </w:tr>
      <w:tr>
        <w:trPr>
          <w:trHeight w:val="27"/>
        </w:trPr>
        <w:tc>
          <w:tcPr>
            <w:tcW w:w="6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loss</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(16,691)</w:t>
            </w:r>
          </w:p>
        </w:tc>
        <w:tc>
          <w:tcPr>
            <w:tcW w:w="12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(18,836)</w:t>
            </w: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(39,517)</w:t>
            </w:r>
          </w:p>
        </w:tc>
        <w:tc>
          <w:tcPr>
            <w:tcW w:w="0" w:type="dxa"/>
            <w:vAlign w:val="bottom"/>
          </w:tcPr>
          <w:p>
            <w:pPr>
              <w:spacing w:after="0"/>
              <w:rPr>
                <w:sz w:val="1"/>
                <w:szCs w:val="1"/>
                <w:color w:val="auto"/>
              </w:rPr>
            </w:pPr>
          </w:p>
        </w:tc>
      </w:tr>
      <w:tr>
        <w:trPr>
          <w:trHeight w:val="223"/>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Net income recognised on acquisition of subsidiary</w:t>
            </w: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Borders>
              <w:top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1,035</w:t>
            </w:r>
          </w:p>
        </w:tc>
        <w:tc>
          <w:tcPr>
            <w:tcW w:w="420" w:type="dxa"/>
            <w:vAlign w:val="bottom"/>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 income</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39</w:t>
            </w:r>
          </w:p>
        </w:tc>
        <w:tc>
          <w:tcPr>
            <w:tcW w:w="12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137</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377</w:t>
            </w:r>
          </w:p>
        </w:tc>
        <w:tc>
          <w:tcPr>
            <w:tcW w:w="0" w:type="dxa"/>
            <w:vAlign w:val="bottom"/>
          </w:tcPr>
          <w:p>
            <w:pPr>
              <w:spacing w:after="0"/>
              <w:rPr>
                <w:sz w:val="1"/>
                <w:szCs w:val="1"/>
                <w:color w:val="auto"/>
              </w:rPr>
            </w:pPr>
          </w:p>
        </w:tc>
      </w:tr>
      <w:tr>
        <w:trPr>
          <w:trHeight w:val="216"/>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Finance charge</w:t>
            </w:r>
          </w:p>
        </w:tc>
        <w:tc>
          <w:tcPr>
            <w:tcW w:w="98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3</w:t>
            </w:r>
          </w:p>
        </w:tc>
        <w:tc>
          <w:tcPr>
            <w:tcW w:w="12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(97,628)</w:t>
            </w:r>
          </w:p>
        </w:tc>
        <w:tc>
          <w:tcPr>
            <w:tcW w:w="12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(998)</w:t>
            </w: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(3,496)</w:t>
            </w: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disposal of intangible assets</w:t>
            </w:r>
          </w:p>
        </w:tc>
        <w:tc>
          <w:tcPr>
            <w:tcW w:w="98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4</w:t>
            </w:r>
          </w:p>
        </w:tc>
        <w:tc>
          <w:tcPr>
            <w:tcW w:w="12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(11,302)</w:t>
            </w:r>
          </w:p>
        </w:tc>
        <w:tc>
          <w:tcPr>
            <w:tcW w:w="122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Net foreign exchange (loss)/gain</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(519)</w:t>
            </w:r>
          </w:p>
        </w:tc>
        <w:tc>
          <w:tcPr>
            <w:tcW w:w="12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(20)</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483</w:t>
            </w:r>
          </w:p>
        </w:tc>
        <w:tc>
          <w:tcPr>
            <w:tcW w:w="0" w:type="dxa"/>
            <w:vAlign w:val="bottom"/>
          </w:tcPr>
          <w:p>
            <w:pPr>
              <w:spacing w:after="0"/>
              <w:rPr>
                <w:sz w:val="1"/>
                <w:szCs w:val="1"/>
                <w:color w:val="auto"/>
              </w:rPr>
            </w:pPr>
          </w:p>
        </w:tc>
      </w:tr>
      <w:tr>
        <w:trPr>
          <w:trHeight w:val="27"/>
        </w:trPr>
        <w:tc>
          <w:tcPr>
            <w:tcW w:w="6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before tax</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(126,101)</w:t>
            </w:r>
          </w:p>
        </w:tc>
        <w:tc>
          <w:tcPr>
            <w:tcW w:w="12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(18,682)</w:t>
            </w: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(41,118)</w:t>
            </w:r>
          </w:p>
        </w:tc>
        <w:tc>
          <w:tcPr>
            <w:tcW w:w="0" w:type="dxa"/>
            <w:vAlign w:val="bottom"/>
          </w:tcPr>
          <w:p>
            <w:pPr>
              <w:spacing w:after="0"/>
              <w:rPr>
                <w:sz w:val="1"/>
                <w:szCs w:val="1"/>
                <w:color w:val="auto"/>
              </w:rPr>
            </w:pPr>
          </w:p>
        </w:tc>
      </w:tr>
      <w:tr>
        <w:trPr>
          <w:trHeight w:val="216"/>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Taxation</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1,482</w:t>
            </w:r>
          </w:p>
        </w:tc>
        <w:tc>
          <w:tcPr>
            <w:tcW w:w="400" w:type="dxa"/>
            <w:vAlign w:val="bottom"/>
          </w:tcPr>
          <w:p>
            <w:pPr>
              <w:spacing w:after="0"/>
              <w:rPr>
                <w:sz w:val="18"/>
                <w:szCs w:val="18"/>
                <w:color w:val="auto"/>
              </w:rPr>
            </w:pPr>
          </w:p>
        </w:tc>
        <w:tc>
          <w:tcPr>
            <w:tcW w:w="12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2,459</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6,274</w:t>
            </w:r>
          </w:p>
        </w:tc>
        <w:tc>
          <w:tcPr>
            <w:tcW w:w="0" w:type="dxa"/>
            <w:vAlign w:val="bottom"/>
          </w:tcPr>
          <w:p>
            <w:pPr>
              <w:spacing w:after="0"/>
              <w:rPr>
                <w:sz w:val="1"/>
                <w:szCs w:val="1"/>
                <w:color w:val="auto"/>
              </w:rPr>
            </w:pPr>
          </w:p>
        </w:tc>
      </w:tr>
      <w:tr>
        <w:trPr>
          <w:trHeight w:val="27"/>
        </w:trPr>
        <w:tc>
          <w:tcPr>
            <w:tcW w:w="6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for the period, attributable to equity holders of the parent</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(124,619)</w:t>
            </w:r>
          </w:p>
        </w:tc>
        <w:tc>
          <w:tcPr>
            <w:tcW w:w="12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(16,224)</w:t>
            </w: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(34,844)</w:t>
            </w:r>
          </w:p>
        </w:tc>
        <w:tc>
          <w:tcPr>
            <w:tcW w:w="0" w:type="dxa"/>
            <w:vAlign w:val="bottom"/>
          </w:tcPr>
          <w:p>
            <w:pPr>
              <w:spacing w:after="0"/>
              <w:rPr>
                <w:sz w:val="1"/>
                <w:szCs w:val="1"/>
                <w:color w:val="auto"/>
              </w:rPr>
            </w:pPr>
          </w:p>
        </w:tc>
      </w:tr>
      <w:tr>
        <w:trPr>
          <w:trHeight w:val="20"/>
        </w:trPr>
        <w:tc>
          <w:tcPr>
            <w:tcW w:w="66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Basic and diluted loss per share for the period</w:t>
            </w: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6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(1.05)</w:t>
            </w:r>
          </w:p>
        </w:tc>
        <w:tc>
          <w:tcPr>
            <w:tcW w:w="400" w:type="dxa"/>
            <w:vAlign w:val="bottom"/>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(0.22)</w:t>
            </w:r>
          </w:p>
        </w:tc>
        <w:tc>
          <w:tcPr>
            <w:tcW w:w="420" w:type="dxa"/>
            <w:vAlign w:val="bottom"/>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666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Other comprehensive income / (loss)</w:t>
            </w:r>
          </w:p>
        </w:tc>
        <w:tc>
          <w:tcPr>
            <w:tcW w:w="2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Items that may be subsequently reclassified to the income statement</w:t>
            </w:r>
          </w:p>
        </w:tc>
        <w:tc>
          <w:tcPr>
            <w:tcW w:w="2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changes on investments held at fair value through OCI</w:t>
            </w:r>
          </w:p>
        </w:tc>
        <w:tc>
          <w:tcPr>
            <w:tcW w:w="2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3</w:t>
            </w:r>
          </w:p>
        </w:tc>
        <w:tc>
          <w:tcPr>
            <w:tcW w:w="12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88</w:t>
            </w: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Currency translation of foreign operations</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1,324</w:t>
            </w:r>
          </w:p>
        </w:tc>
        <w:tc>
          <w:tcPr>
            <w:tcW w:w="4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711</w:t>
            </w: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(499)</w:t>
            </w:r>
          </w:p>
        </w:tc>
        <w:tc>
          <w:tcPr>
            <w:tcW w:w="0" w:type="dxa"/>
            <w:vAlign w:val="bottom"/>
          </w:tcPr>
          <w:p>
            <w:pPr>
              <w:spacing w:after="0"/>
              <w:rPr>
                <w:sz w:val="1"/>
                <w:szCs w:val="1"/>
                <w:color w:val="auto"/>
              </w:rPr>
            </w:pPr>
          </w:p>
        </w:tc>
      </w:tr>
      <w:tr>
        <w:trPr>
          <w:trHeight w:val="20"/>
        </w:trPr>
        <w:tc>
          <w:tcPr>
            <w:tcW w:w="66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Total comprehensive loss for the period, attributable to equity holders of the parent</w:t>
            </w: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6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(123,292)</w:t>
            </w:r>
          </w:p>
        </w:tc>
        <w:tc>
          <w:tcPr>
            <w:tcW w:w="400" w:type="dxa"/>
            <w:vAlign w:val="bottom"/>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(15,425)</w:t>
            </w:r>
          </w:p>
        </w:tc>
        <w:tc>
          <w:tcPr>
            <w:tcW w:w="420" w:type="dxa"/>
            <w:vAlign w:val="bottom"/>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(35,343)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60" w:type="dxa"/>
            <w:vAlign w:val="bottom"/>
            <w:vMerge w:val="restart"/>
          </w:tcPr>
          <w:p>
            <w:pPr>
              <w:ind w:left="5420"/>
              <w:spacing w:after="0"/>
              <w:rPr>
                <w:sz w:val="20"/>
                <w:szCs w:val="20"/>
                <w:color w:val="auto"/>
              </w:rPr>
            </w:pPr>
            <w:r>
              <w:rPr>
                <w:rFonts w:ascii="Times New Roman" w:cs="Times New Roman" w:eastAsia="Times New Roman" w:hAnsi="Times New Roman"/>
                <w:sz w:val="18"/>
                <w:szCs w:val="18"/>
                <w:color w:val="auto"/>
              </w:rPr>
              <w:t>12</w:t>
            </w: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666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66" w:right="4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Consolidated balance sheet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at June 30, 2020</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80" w:type="dxa"/>
            <w:vAlign w:val="bottom"/>
          </w:tcPr>
          <w:p>
            <w:pPr>
              <w:spacing w:after="0"/>
              <w:rPr>
                <w:sz w:val="13"/>
                <w:szCs w:val="13"/>
                <w:color w:val="auto"/>
              </w:rPr>
            </w:pPr>
          </w:p>
        </w:tc>
        <w:tc>
          <w:tcPr>
            <w:tcW w:w="25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4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w w:val="98"/>
              </w:rPr>
              <w:t>June 30, 2020</w:t>
            </w:r>
          </w:p>
        </w:tc>
        <w:tc>
          <w:tcPr>
            <w:tcW w:w="120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color w:val="auto"/>
              </w:rPr>
              <w:t>June 30, 2019</w:t>
            </w:r>
          </w:p>
        </w:tc>
        <w:tc>
          <w:tcPr>
            <w:tcW w:w="12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December 31, 2019</w:t>
            </w:r>
          </w:p>
        </w:tc>
        <w:tc>
          <w:tcPr>
            <w:tcW w:w="0" w:type="dxa"/>
            <w:vAlign w:val="bottom"/>
          </w:tcPr>
          <w:p>
            <w:pPr>
              <w:spacing w:after="0"/>
              <w:rPr>
                <w:sz w:val="1"/>
                <w:szCs w:val="1"/>
                <w:color w:val="auto"/>
              </w:rPr>
            </w:pPr>
          </w:p>
        </w:tc>
      </w:tr>
      <w:tr>
        <w:trPr>
          <w:trHeight w:val="148"/>
        </w:trPr>
        <w:tc>
          <w:tcPr>
            <w:tcW w:w="408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70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4"/>
                <w:szCs w:val="14"/>
                <w:color w:val="auto"/>
                <w:w w:val="97"/>
              </w:rPr>
              <w:t>Notes</w:t>
            </w:r>
          </w:p>
        </w:tc>
        <w:tc>
          <w:tcPr>
            <w:tcW w:w="1240" w:type="dxa"/>
            <w:vAlign w:val="bottom"/>
            <w:gridSpan w:val="2"/>
          </w:tcPr>
          <w:p>
            <w:pPr>
              <w:jc w:val="right"/>
              <w:ind w:right="500"/>
              <w:spacing w:after="0" w:line="149"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120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color w:val="auto"/>
              </w:rPr>
              <w:t>Unaudited</w:t>
            </w:r>
          </w:p>
        </w:tc>
        <w:tc>
          <w:tcPr>
            <w:tcW w:w="12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color w:val="auto"/>
              </w:rPr>
              <w:t>Audited</w:t>
            </w:r>
          </w:p>
        </w:tc>
        <w:tc>
          <w:tcPr>
            <w:tcW w:w="0" w:type="dxa"/>
            <w:vAlign w:val="bottom"/>
          </w:tcPr>
          <w:p>
            <w:pPr>
              <w:spacing w:after="0"/>
              <w:rPr>
                <w:sz w:val="1"/>
                <w:szCs w:val="1"/>
                <w:color w:val="auto"/>
              </w:rPr>
            </w:pPr>
          </w:p>
        </w:tc>
      </w:tr>
      <w:tr>
        <w:trPr>
          <w:trHeight w:val="173"/>
        </w:trPr>
        <w:tc>
          <w:tcPr>
            <w:tcW w:w="408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1240" w:type="dxa"/>
            <w:vAlign w:val="bottom"/>
            <w:gridSpan w:val="2"/>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£’000</w:t>
            </w:r>
          </w:p>
        </w:tc>
        <w:tc>
          <w:tcPr>
            <w:tcW w:w="120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color w:val="auto"/>
                <w:w w:val="97"/>
              </w:rPr>
              <w:t>£’000</w:t>
            </w:r>
          </w:p>
        </w:tc>
        <w:tc>
          <w:tcPr>
            <w:tcW w:w="12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£’000</w:t>
            </w:r>
          </w:p>
        </w:tc>
        <w:tc>
          <w:tcPr>
            <w:tcW w:w="0" w:type="dxa"/>
            <w:vAlign w:val="bottom"/>
          </w:tcPr>
          <w:p>
            <w:pPr>
              <w:spacing w:after="0"/>
              <w:rPr>
                <w:sz w:val="1"/>
                <w:szCs w:val="1"/>
                <w:color w:val="auto"/>
              </w:rPr>
            </w:pPr>
          </w:p>
        </w:tc>
      </w:tr>
      <w:tr>
        <w:trPr>
          <w:trHeight w:val="196"/>
        </w:trPr>
        <w:tc>
          <w:tcPr>
            <w:tcW w:w="408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Assets</w:t>
            </w:r>
          </w:p>
        </w:tc>
        <w:tc>
          <w:tcPr>
            <w:tcW w:w="254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Non-current assets</w:t>
            </w:r>
          </w:p>
        </w:tc>
        <w:tc>
          <w:tcPr>
            <w:tcW w:w="2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2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11,225</w:t>
            </w:r>
          </w:p>
        </w:tc>
        <w:tc>
          <w:tcPr>
            <w:tcW w:w="12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13,100</w:t>
            </w: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11,558</w:t>
            </w:r>
          </w:p>
        </w:tc>
        <w:tc>
          <w:tcPr>
            <w:tcW w:w="0" w:type="dxa"/>
            <w:vAlign w:val="bottom"/>
          </w:tcPr>
          <w:p>
            <w:pPr>
              <w:spacing w:after="0"/>
              <w:rPr>
                <w:sz w:val="1"/>
                <w:szCs w:val="1"/>
                <w:color w:val="auto"/>
              </w:rPr>
            </w:pPr>
          </w:p>
        </w:tc>
      </w:tr>
      <w:tr>
        <w:trPr>
          <w:trHeight w:val="216"/>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324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4</w:t>
            </w:r>
          </w:p>
        </w:tc>
        <w:tc>
          <w:tcPr>
            <w:tcW w:w="12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31,876</w:t>
            </w:r>
          </w:p>
        </w:tc>
        <w:tc>
          <w:tcPr>
            <w:tcW w:w="12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45,157</w:t>
            </w: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44,456</w:t>
            </w:r>
          </w:p>
        </w:tc>
        <w:tc>
          <w:tcPr>
            <w:tcW w:w="0" w:type="dxa"/>
            <w:vAlign w:val="bottom"/>
          </w:tcPr>
          <w:p>
            <w:pPr>
              <w:spacing w:after="0"/>
              <w:rPr>
                <w:sz w:val="1"/>
                <w:szCs w:val="1"/>
                <w:color w:val="auto"/>
              </w:rPr>
            </w:pPr>
          </w:p>
        </w:tc>
      </w:tr>
      <w:tr>
        <w:trPr>
          <w:trHeight w:val="27"/>
        </w:trPr>
        <w:tc>
          <w:tcPr>
            <w:tcW w:w="4080" w:type="dxa"/>
            <w:vAlign w:val="bottom"/>
          </w:tcPr>
          <w:p>
            <w:pPr>
              <w:spacing w:after="0"/>
              <w:rPr>
                <w:sz w:val="2"/>
                <w:szCs w:val="2"/>
                <w:color w:val="auto"/>
              </w:rPr>
            </w:pPr>
          </w:p>
        </w:tc>
        <w:tc>
          <w:tcPr>
            <w:tcW w:w="2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080" w:type="dxa"/>
            <w:vAlign w:val="bottom"/>
            <w:shd w:val="clear" w:color="auto" w:fill="CCEEFF"/>
          </w:tcPr>
          <w:p>
            <w:pPr>
              <w:spacing w:after="0"/>
              <w:rPr>
                <w:sz w:val="18"/>
                <w:szCs w:val="18"/>
                <w:color w:val="auto"/>
              </w:rPr>
            </w:pPr>
          </w:p>
        </w:tc>
        <w:tc>
          <w:tcPr>
            <w:tcW w:w="2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43,101</w:t>
            </w:r>
          </w:p>
        </w:tc>
        <w:tc>
          <w:tcPr>
            <w:tcW w:w="12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58,257</w:t>
            </w: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56,014</w:t>
            </w:r>
          </w:p>
        </w:tc>
        <w:tc>
          <w:tcPr>
            <w:tcW w:w="0" w:type="dxa"/>
            <w:vAlign w:val="bottom"/>
          </w:tcPr>
          <w:p>
            <w:pPr>
              <w:spacing w:after="0"/>
              <w:rPr>
                <w:sz w:val="1"/>
                <w:szCs w:val="1"/>
                <w:color w:val="auto"/>
              </w:rPr>
            </w:pPr>
          </w:p>
        </w:tc>
      </w:tr>
      <w:tr>
        <w:trPr>
          <w:trHeight w:val="223"/>
        </w:trPr>
        <w:tc>
          <w:tcPr>
            <w:tcW w:w="4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25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Prepayments</w:t>
            </w:r>
          </w:p>
        </w:tc>
        <w:tc>
          <w:tcPr>
            <w:tcW w:w="2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1,400</w:t>
            </w:r>
          </w:p>
        </w:tc>
        <w:tc>
          <w:tcPr>
            <w:tcW w:w="12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3,068</w:t>
            </w: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2,111</w:t>
            </w:r>
          </w:p>
        </w:tc>
        <w:tc>
          <w:tcPr>
            <w:tcW w:w="0" w:type="dxa"/>
            <w:vAlign w:val="bottom"/>
          </w:tcPr>
          <w:p>
            <w:pPr>
              <w:spacing w:after="0"/>
              <w:rPr>
                <w:sz w:val="1"/>
                <w:szCs w:val="1"/>
                <w:color w:val="auto"/>
              </w:rPr>
            </w:pPr>
          </w:p>
        </w:tc>
      </w:tr>
      <w:tr>
        <w:trPr>
          <w:trHeight w:val="216"/>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R&amp;D tax credits</w:t>
            </w:r>
          </w:p>
        </w:tc>
        <w:tc>
          <w:tcPr>
            <w:tcW w:w="2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6,624</w:t>
            </w:r>
          </w:p>
        </w:tc>
        <w:tc>
          <w:tcPr>
            <w:tcW w:w="12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7,745</w:t>
            </w: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10,426</w:t>
            </w: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taxes recoverable</w:t>
            </w:r>
          </w:p>
        </w:tc>
        <w:tc>
          <w:tcPr>
            <w:tcW w:w="2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979</w:t>
            </w:r>
          </w:p>
        </w:tc>
        <w:tc>
          <w:tcPr>
            <w:tcW w:w="0" w:type="dxa"/>
            <w:vAlign w:val="bottom"/>
          </w:tcPr>
          <w:p>
            <w:pPr>
              <w:spacing w:after="0"/>
              <w:rPr>
                <w:sz w:val="1"/>
                <w:szCs w:val="1"/>
                <w:color w:val="auto"/>
              </w:rPr>
            </w:pPr>
          </w:p>
        </w:tc>
      </w:tr>
      <w:tr>
        <w:trPr>
          <w:trHeight w:val="216"/>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Other receivables</w:t>
            </w:r>
          </w:p>
        </w:tc>
        <w:tc>
          <w:tcPr>
            <w:tcW w:w="2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1,836</w:t>
            </w:r>
          </w:p>
        </w:tc>
        <w:tc>
          <w:tcPr>
            <w:tcW w:w="12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1,953</w:t>
            </w: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572</w:t>
            </w: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Short-term investments</w:t>
            </w:r>
          </w:p>
        </w:tc>
        <w:tc>
          <w:tcPr>
            <w:tcW w:w="2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7,828</w:t>
            </w: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Cash and short-term deposits</w:t>
            </w:r>
          </w:p>
        </w:tc>
        <w:tc>
          <w:tcPr>
            <w:tcW w:w="2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56,821</w:t>
            </w:r>
          </w:p>
        </w:tc>
        <w:tc>
          <w:tcPr>
            <w:tcW w:w="12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28,290</w:t>
            </w: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16,347</w:t>
            </w:r>
          </w:p>
        </w:tc>
        <w:tc>
          <w:tcPr>
            <w:tcW w:w="0" w:type="dxa"/>
            <w:vAlign w:val="bottom"/>
          </w:tcPr>
          <w:p>
            <w:pPr>
              <w:spacing w:after="0"/>
              <w:rPr>
                <w:sz w:val="1"/>
                <w:szCs w:val="1"/>
                <w:color w:val="auto"/>
              </w:rPr>
            </w:pPr>
          </w:p>
        </w:tc>
      </w:tr>
      <w:tr>
        <w:trPr>
          <w:trHeight w:val="27"/>
        </w:trPr>
        <w:tc>
          <w:tcPr>
            <w:tcW w:w="4080" w:type="dxa"/>
            <w:vAlign w:val="bottom"/>
          </w:tcPr>
          <w:p>
            <w:pPr>
              <w:spacing w:after="0"/>
              <w:rPr>
                <w:sz w:val="2"/>
                <w:szCs w:val="2"/>
                <w:color w:val="auto"/>
              </w:rPr>
            </w:pPr>
          </w:p>
        </w:tc>
        <w:tc>
          <w:tcPr>
            <w:tcW w:w="2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080" w:type="dxa"/>
            <w:vAlign w:val="bottom"/>
            <w:shd w:val="clear" w:color="auto" w:fill="CCEEFF"/>
          </w:tcPr>
          <w:p>
            <w:pPr>
              <w:spacing w:after="0"/>
              <w:rPr>
                <w:sz w:val="18"/>
                <w:szCs w:val="18"/>
                <w:color w:val="auto"/>
              </w:rPr>
            </w:pPr>
          </w:p>
        </w:tc>
        <w:tc>
          <w:tcPr>
            <w:tcW w:w="2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66,681</w:t>
            </w:r>
          </w:p>
        </w:tc>
        <w:tc>
          <w:tcPr>
            <w:tcW w:w="12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48,884</w:t>
            </w: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30,435</w:t>
            </w:r>
          </w:p>
        </w:tc>
        <w:tc>
          <w:tcPr>
            <w:tcW w:w="0" w:type="dxa"/>
            <w:vAlign w:val="bottom"/>
          </w:tcPr>
          <w:p>
            <w:pPr>
              <w:spacing w:after="0"/>
              <w:rPr>
                <w:sz w:val="1"/>
                <w:szCs w:val="1"/>
                <w:color w:val="auto"/>
              </w:rPr>
            </w:pPr>
          </w:p>
        </w:tc>
      </w:tr>
      <w:tr>
        <w:trPr>
          <w:trHeight w:val="223"/>
        </w:trPr>
        <w:tc>
          <w:tcPr>
            <w:tcW w:w="4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5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109,782</w:t>
            </w:r>
          </w:p>
        </w:tc>
        <w:tc>
          <w:tcPr>
            <w:tcW w:w="42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107,141</w:t>
            </w:r>
          </w:p>
        </w:tc>
        <w:tc>
          <w:tcPr>
            <w:tcW w:w="400" w:type="dxa"/>
            <w:vAlign w:val="bottom"/>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86,449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Equity and liabilities</w:t>
            </w:r>
          </w:p>
        </w:tc>
        <w:tc>
          <w:tcPr>
            <w:tcW w:w="2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2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Issued capital</w:t>
            </w:r>
          </w:p>
        </w:tc>
        <w:tc>
          <w:tcPr>
            <w:tcW w:w="324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7</w:t>
            </w:r>
          </w:p>
        </w:tc>
        <w:tc>
          <w:tcPr>
            <w:tcW w:w="12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1,016</w:t>
            </w:r>
          </w:p>
        </w:tc>
        <w:tc>
          <w:tcPr>
            <w:tcW w:w="12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294</w:t>
            </w: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294</w:t>
            </w:r>
          </w:p>
        </w:tc>
        <w:tc>
          <w:tcPr>
            <w:tcW w:w="0" w:type="dxa"/>
            <w:vAlign w:val="bottom"/>
          </w:tcPr>
          <w:p>
            <w:pPr>
              <w:spacing w:after="0"/>
              <w:rPr>
                <w:sz w:val="1"/>
                <w:szCs w:val="1"/>
                <w:color w:val="auto"/>
              </w:rPr>
            </w:pPr>
          </w:p>
        </w:tc>
      </w:tr>
      <w:tr>
        <w:trPr>
          <w:trHeight w:val="216"/>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Share premium</w:t>
            </w:r>
          </w:p>
        </w:tc>
        <w:tc>
          <w:tcPr>
            <w:tcW w:w="324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7</w:t>
            </w:r>
          </w:p>
        </w:tc>
        <w:tc>
          <w:tcPr>
            <w:tcW w:w="12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161,785</w:t>
            </w:r>
          </w:p>
        </w:tc>
        <w:tc>
          <w:tcPr>
            <w:tcW w:w="12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121,684</w:t>
            </w: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121,684</w:t>
            </w: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capital reserves</w:t>
            </w:r>
          </w:p>
        </w:tc>
        <w:tc>
          <w:tcPr>
            <w:tcW w:w="324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7</w:t>
            </w:r>
          </w:p>
        </w:tc>
        <w:tc>
          <w:tcPr>
            <w:tcW w:w="12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127,727</w:t>
            </w:r>
          </w:p>
        </w:tc>
        <w:tc>
          <w:tcPr>
            <w:tcW w:w="12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58,004</w:t>
            </w: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59,147</w:t>
            </w:r>
          </w:p>
        </w:tc>
        <w:tc>
          <w:tcPr>
            <w:tcW w:w="0" w:type="dxa"/>
            <w:vAlign w:val="bottom"/>
          </w:tcPr>
          <w:p>
            <w:pPr>
              <w:spacing w:after="0"/>
              <w:rPr>
                <w:sz w:val="1"/>
                <w:szCs w:val="1"/>
                <w:color w:val="auto"/>
              </w:rPr>
            </w:pPr>
          </w:p>
        </w:tc>
      </w:tr>
      <w:tr>
        <w:trPr>
          <w:trHeight w:val="216"/>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Employee Benefit Trust shares</w:t>
            </w:r>
          </w:p>
        </w:tc>
        <w:tc>
          <w:tcPr>
            <w:tcW w:w="324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7</w:t>
            </w:r>
          </w:p>
        </w:tc>
        <w:tc>
          <w:tcPr>
            <w:tcW w:w="12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(1,305)</w:t>
            </w:r>
          </w:p>
        </w:tc>
        <w:tc>
          <w:tcPr>
            <w:tcW w:w="12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(1,305)</w:t>
            </w: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(1,305)</w:t>
            </w: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reserves</w:t>
            </w:r>
          </w:p>
        </w:tc>
        <w:tc>
          <w:tcPr>
            <w:tcW w:w="324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7</w:t>
            </w:r>
          </w:p>
        </w:tc>
        <w:tc>
          <w:tcPr>
            <w:tcW w:w="12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4,875</w:t>
            </w:r>
          </w:p>
        </w:tc>
        <w:tc>
          <w:tcPr>
            <w:tcW w:w="12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7,000</w:t>
            </w: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7,000</w:t>
            </w:r>
          </w:p>
        </w:tc>
        <w:tc>
          <w:tcPr>
            <w:tcW w:w="0" w:type="dxa"/>
            <w:vAlign w:val="bottom"/>
          </w:tcPr>
          <w:p>
            <w:pPr>
              <w:spacing w:after="0"/>
              <w:rPr>
                <w:sz w:val="1"/>
                <w:szCs w:val="1"/>
                <w:color w:val="auto"/>
              </w:rPr>
            </w:pPr>
          </w:p>
        </w:tc>
      </w:tr>
      <w:tr>
        <w:trPr>
          <w:trHeight w:val="216"/>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Accumulated losses</w:t>
            </w:r>
          </w:p>
        </w:tc>
        <w:tc>
          <w:tcPr>
            <w:tcW w:w="324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7</w:t>
            </w:r>
          </w:p>
        </w:tc>
        <w:tc>
          <w:tcPr>
            <w:tcW w:w="12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(270,681)</w:t>
            </w:r>
          </w:p>
        </w:tc>
        <w:tc>
          <w:tcPr>
            <w:tcW w:w="12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(127,357)</w:t>
            </w: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(146,065)</w:t>
            </w: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Translation reserve</w:t>
            </w:r>
          </w:p>
        </w:tc>
        <w:tc>
          <w:tcPr>
            <w:tcW w:w="324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7</w:t>
            </w:r>
          </w:p>
        </w:tc>
        <w:tc>
          <w:tcPr>
            <w:tcW w:w="12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825</w:t>
            </w:r>
          </w:p>
        </w:tc>
        <w:tc>
          <w:tcPr>
            <w:tcW w:w="12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711</w:t>
            </w: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(499)</w:t>
            </w:r>
          </w:p>
        </w:tc>
        <w:tc>
          <w:tcPr>
            <w:tcW w:w="0" w:type="dxa"/>
            <w:vAlign w:val="bottom"/>
          </w:tcPr>
          <w:p>
            <w:pPr>
              <w:spacing w:after="0"/>
              <w:rPr>
                <w:sz w:val="1"/>
                <w:szCs w:val="1"/>
                <w:color w:val="auto"/>
              </w:rPr>
            </w:pPr>
          </w:p>
        </w:tc>
      </w:tr>
      <w:tr>
        <w:trPr>
          <w:trHeight w:val="230"/>
        </w:trPr>
        <w:tc>
          <w:tcPr>
            <w:tcW w:w="4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equity</w:t>
            </w:r>
          </w:p>
        </w:tc>
        <w:tc>
          <w:tcPr>
            <w:tcW w:w="25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24,242</w:t>
            </w:r>
          </w:p>
        </w:tc>
        <w:tc>
          <w:tcPr>
            <w:tcW w:w="420" w:type="dxa"/>
            <w:vAlign w:val="bottom"/>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59,031</w:t>
            </w:r>
          </w:p>
        </w:tc>
        <w:tc>
          <w:tcPr>
            <w:tcW w:w="400" w:type="dxa"/>
            <w:vAlign w:val="bottom"/>
          </w:tcPr>
          <w:p>
            <w:pPr>
              <w:spacing w:after="0"/>
              <w:rPr>
                <w:sz w:val="20"/>
                <w:szCs w:val="20"/>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40,256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Non-current liabilities</w:t>
            </w:r>
          </w:p>
        </w:tc>
        <w:tc>
          <w:tcPr>
            <w:tcW w:w="2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Provisions</w:t>
            </w:r>
          </w:p>
        </w:tc>
        <w:tc>
          <w:tcPr>
            <w:tcW w:w="324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8</w:t>
            </w:r>
          </w:p>
        </w:tc>
        <w:tc>
          <w:tcPr>
            <w:tcW w:w="12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1,698</w:t>
            </w:r>
          </w:p>
        </w:tc>
        <w:tc>
          <w:tcPr>
            <w:tcW w:w="12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1,927</w:t>
            </w: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1,449</w:t>
            </w: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Interest-bearing loans and borrowings</w:t>
            </w:r>
          </w:p>
        </w:tc>
        <w:tc>
          <w:tcPr>
            <w:tcW w:w="324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6</w:t>
            </w:r>
          </w:p>
        </w:tc>
        <w:tc>
          <w:tcPr>
            <w:tcW w:w="12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14,506</w:t>
            </w:r>
          </w:p>
        </w:tc>
        <w:tc>
          <w:tcPr>
            <w:tcW w:w="12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11,721</w:t>
            </w: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5,373</w:t>
            </w:r>
          </w:p>
        </w:tc>
        <w:tc>
          <w:tcPr>
            <w:tcW w:w="0" w:type="dxa"/>
            <w:vAlign w:val="bottom"/>
          </w:tcPr>
          <w:p>
            <w:pPr>
              <w:spacing w:after="0"/>
              <w:rPr>
                <w:sz w:val="1"/>
                <w:szCs w:val="1"/>
                <w:color w:val="auto"/>
              </w:rPr>
            </w:pPr>
          </w:p>
        </w:tc>
      </w:tr>
      <w:tr>
        <w:trPr>
          <w:trHeight w:val="216"/>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2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44</w:t>
            </w:r>
          </w:p>
        </w:tc>
        <w:tc>
          <w:tcPr>
            <w:tcW w:w="12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34</w:t>
            </w: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 liability</w:t>
            </w:r>
          </w:p>
        </w:tc>
        <w:tc>
          <w:tcPr>
            <w:tcW w:w="324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9</w:t>
            </w:r>
          </w:p>
        </w:tc>
        <w:tc>
          <w:tcPr>
            <w:tcW w:w="12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35,757</w:t>
            </w:r>
          </w:p>
        </w:tc>
        <w:tc>
          <w:tcPr>
            <w:tcW w:w="12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225</w:t>
            </w: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131</w:t>
            </w:r>
          </w:p>
        </w:tc>
        <w:tc>
          <w:tcPr>
            <w:tcW w:w="0" w:type="dxa"/>
            <w:vAlign w:val="bottom"/>
          </w:tcPr>
          <w:p>
            <w:pPr>
              <w:spacing w:after="0"/>
              <w:rPr>
                <w:sz w:val="1"/>
                <w:szCs w:val="1"/>
                <w:color w:val="auto"/>
              </w:rPr>
            </w:pPr>
          </w:p>
        </w:tc>
      </w:tr>
      <w:tr>
        <w:trPr>
          <w:trHeight w:val="216"/>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Lease liability</w:t>
            </w:r>
          </w:p>
        </w:tc>
        <w:tc>
          <w:tcPr>
            <w:tcW w:w="2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11,167</w:t>
            </w:r>
          </w:p>
        </w:tc>
        <w:tc>
          <w:tcPr>
            <w:tcW w:w="12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13,139</w:t>
            </w: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9,318</w:t>
            </w:r>
          </w:p>
        </w:tc>
        <w:tc>
          <w:tcPr>
            <w:tcW w:w="0" w:type="dxa"/>
            <w:vAlign w:val="bottom"/>
          </w:tcPr>
          <w:p>
            <w:pPr>
              <w:spacing w:after="0"/>
              <w:rPr>
                <w:sz w:val="1"/>
                <w:szCs w:val="1"/>
                <w:color w:val="auto"/>
              </w:rPr>
            </w:pPr>
          </w:p>
        </w:tc>
      </w:tr>
      <w:tr>
        <w:trPr>
          <w:trHeight w:val="27"/>
        </w:trPr>
        <w:tc>
          <w:tcPr>
            <w:tcW w:w="4080" w:type="dxa"/>
            <w:vAlign w:val="bottom"/>
          </w:tcPr>
          <w:p>
            <w:pPr>
              <w:spacing w:after="0"/>
              <w:rPr>
                <w:sz w:val="2"/>
                <w:szCs w:val="2"/>
                <w:color w:val="auto"/>
              </w:rPr>
            </w:pPr>
          </w:p>
        </w:tc>
        <w:tc>
          <w:tcPr>
            <w:tcW w:w="2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080" w:type="dxa"/>
            <w:vAlign w:val="bottom"/>
            <w:shd w:val="clear" w:color="auto" w:fill="CCEEFF"/>
          </w:tcPr>
          <w:p>
            <w:pPr>
              <w:spacing w:after="0"/>
              <w:rPr>
                <w:sz w:val="18"/>
                <w:szCs w:val="18"/>
                <w:color w:val="auto"/>
              </w:rPr>
            </w:pPr>
          </w:p>
        </w:tc>
        <w:tc>
          <w:tcPr>
            <w:tcW w:w="2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63,172</w:t>
            </w:r>
          </w:p>
        </w:tc>
        <w:tc>
          <w:tcPr>
            <w:tcW w:w="12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27,046</w:t>
            </w: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16,315</w:t>
            </w:r>
          </w:p>
        </w:tc>
        <w:tc>
          <w:tcPr>
            <w:tcW w:w="0" w:type="dxa"/>
            <w:vAlign w:val="bottom"/>
          </w:tcPr>
          <w:p>
            <w:pPr>
              <w:spacing w:after="0"/>
              <w:rPr>
                <w:sz w:val="1"/>
                <w:szCs w:val="1"/>
                <w:color w:val="auto"/>
              </w:rPr>
            </w:pPr>
          </w:p>
        </w:tc>
      </w:tr>
      <w:tr>
        <w:trPr>
          <w:trHeight w:val="223"/>
        </w:trPr>
        <w:tc>
          <w:tcPr>
            <w:tcW w:w="4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25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and other payables</w:t>
            </w:r>
          </w:p>
        </w:tc>
        <w:tc>
          <w:tcPr>
            <w:tcW w:w="2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5,489</w:t>
            </w:r>
          </w:p>
        </w:tc>
        <w:tc>
          <w:tcPr>
            <w:tcW w:w="12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6,758</w:t>
            </w: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6,352</w:t>
            </w:r>
          </w:p>
        </w:tc>
        <w:tc>
          <w:tcPr>
            <w:tcW w:w="0" w:type="dxa"/>
            <w:vAlign w:val="bottom"/>
          </w:tcPr>
          <w:p>
            <w:pPr>
              <w:spacing w:after="0"/>
              <w:rPr>
                <w:sz w:val="1"/>
                <w:szCs w:val="1"/>
                <w:color w:val="auto"/>
              </w:rPr>
            </w:pPr>
          </w:p>
        </w:tc>
      </w:tr>
      <w:tr>
        <w:trPr>
          <w:trHeight w:val="216"/>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Accruals</w:t>
            </w:r>
          </w:p>
        </w:tc>
        <w:tc>
          <w:tcPr>
            <w:tcW w:w="2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2,701</w:t>
            </w:r>
          </w:p>
        </w:tc>
        <w:tc>
          <w:tcPr>
            <w:tcW w:w="12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5,961</w:t>
            </w: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5,138</w:t>
            </w: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Provisions</w:t>
            </w:r>
          </w:p>
        </w:tc>
        <w:tc>
          <w:tcPr>
            <w:tcW w:w="324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8</w:t>
            </w:r>
          </w:p>
        </w:tc>
        <w:tc>
          <w:tcPr>
            <w:tcW w:w="12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31</w:t>
            </w:r>
          </w:p>
        </w:tc>
        <w:tc>
          <w:tcPr>
            <w:tcW w:w="12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334</w:t>
            </w: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309</w:t>
            </w:r>
          </w:p>
        </w:tc>
        <w:tc>
          <w:tcPr>
            <w:tcW w:w="0" w:type="dxa"/>
            <w:vAlign w:val="bottom"/>
          </w:tcPr>
          <w:p>
            <w:pPr>
              <w:spacing w:after="0"/>
              <w:rPr>
                <w:sz w:val="1"/>
                <w:szCs w:val="1"/>
                <w:color w:val="auto"/>
              </w:rPr>
            </w:pPr>
          </w:p>
        </w:tc>
      </w:tr>
      <w:tr>
        <w:trPr>
          <w:trHeight w:val="216"/>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Interest-bearing loans and borrowings</w:t>
            </w:r>
          </w:p>
        </w:tc>
        <w:tc>
          <w:tcPr>
            <w:tcW w:w="324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6</w:t>
            </w:r>
          </w:p>
        </w:tc>
        <w:tc>
          <w:tcPr>
            <w:tcW w:w="12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13,254</w:t>
            </w:r>
          </w:p>
        </w:tc>
        <w:tc>
          <w:tcPr>
            <w:tcW w:w="12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8,011</w:t>
            </w: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15,139</w:t>
            </w: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Contingent consideration liability</w:t>
            </w:r>
          </w:p>
        </w:tc>
        <w:tc>
          <w:tcPr>
            <w:tcW w:w="2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354</w:t>
            </w:r>
          </w:p>
        </w:tc>
        <w:tc>
          <w:tcPr>
            <w:tcW w:w="0" w:type="dxa"/>
            <w:vAlign w:val="bottom"/>
          </w:tcPr>
          <w:p>
            <w:pPr>
              <w:spacing w:after="0"/>
              <w:rPr>
                <w:sz w:val="1"/>
                <w:szCs w:val="1"/>
                <w:color w:val="auto"/>
              </w:rPr>
            </w:pPr>
          </w:p>
        </w:tc>
      </w:tr>
      <w:tr>
        <w:trPr>
          <w:trHeight w:val="216"/>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Lease liability</w:t>
            </w:r>
          </w:p>
        </w:tc>
        <w:tc>
          <w:tcPr>
            <w:tcW w:w="2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893</w:t>
            </w:r>
          </w:p>
        </w:tc>
        <w:tc>
          <w:tcPr>
            <w:tcW w:w="12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2,586</w:t>
            </w:r>
          </w:p>
        </w:tc>
        <w:tc>
          <w:tcPr>
            <w:tcW w:w="0" w:type="dxa"/>
            <w:vAlign w:val="bottom"/>
          </w:tcPr>
          <w:p>
            <w:pPr>
              <w:spacing w:after="0"/>
              <w:rPr>
                <w:sz w:val="1"/>
                <w:szCs w:val="1"/>
                <w:color w:val="auto"/>
              </w:rPr>
            </w:pPr>
          </w:p>
        </w:tc>
      </w:tr>
      <w:tr>
        <w:trPr>
          <w:trHeight w:val="27"/>
        </w:trPr>
        <w:tc>
          <w:tcPr>
            <w:tcW w:w="4080" w:type="dxa"/>
            <w:vAlign w:val="bottom"/>
          </w:tcPr>
          <w:p>
            <w:pPr>
              <w:spacing w:after="0"/>
              <w:rPr>
                <w:sz w:val="2"/>
                <w:szCs w:val="2"/>
                <w:color w:val="auto"/>
              </w:rPr>
            </w:pPr>
          </w:p>
        </w:tc>
        <w:tc>
          <w:tcPr>
            <w:tcW w:w="2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080" w:type="dxa"/>
            <w:vAlign w:val="bottom"/>
            <w:shd w:val="clear" w:color="auto" w:fill="CCEEFF"/>
          </w:tcPr>
          <w:p>
            <w:pPr>
              <w:spacing w:after="0"/>
              <w:rPr>
                <w:sz w:val="18"/>
                <w:szCs w:val="18"/>
                <w:color w:val="auto"/>
              </w:rPr>
            </w:pPr>
          </w:p>
        </w:tc>
        <w:tc>
          <w:tcPr>
            <w:tcW w:w="2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22,298</w:t>
            </w:r>
          </w:p>
        </w:tc>
        <w:tc>
          <w:tcPr>
            <w:tcW w:w="12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21,064</w:t>
            </w: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29,878</w:t>
            </w:r>
          </w:p>
        </w:tc>
        <w:tc>
          <w:tcPr>
            <w:tcW w:w="0" w:type="dxa"/>
            <w:vAlign w:val="bottom"/>
          </w:tcPr>
          <w:p>
            <w:pPr>
              <w:spacing w:after="0"/>
              <w:rPr>
                <w:sz w:val="1"/>
                <w:szCs w:val="1"/>
                <w:color w:val="auto"/>
              </w:rPr>
            </w:pPr>
          </w:p>
        </w:tc>
      </w:tr>
      <w:tr>
        <w:trPr>
          <w:trHeight w:val="230"/>
        </w:trPr>
        <w:tc>
          <w:tcPr>
            <w:tcW w:w="4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25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85,540</w:t>
            </w:r>
          </w:p>
        </w:tc>
        <w:tc>
          <w:tcPr>
            <w:tcW w:w="420" w:type="dxa"/>
            <w:vAlign w:val="bottom"/>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48,110</w:t>
            </w:r>
          </w:p>
        </w:tc>
        <w:tc>
          <w:tcPr>
            <w:tcW w:w="400" w:type="dxa"/>
            <w:vAlign w:val="bottom"/>
          </w:tcPr>
          <w:p>
            <w:pPr>
              <w:spacing w:after="0"/>
              <w:rPr>
                <w:sz w:val="20"/>
                <w:szCs w:val="20"/>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46,193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equity and liabilities</w:t>
            </w:r>
          </w:p>
        </w:tc>
        <w:tc>
          <w:tcPr>
            <w:tcW w:w="2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109,782</w:t>
            </w:r>
          </w:p>
        </w:tc>
        <w:tc>
          <w:tcPr>
            <w:tcW w:w="12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107,141</w:t>
            </w: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86,449</w:t>
            </w: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2540" w:type="dxa"/>
            <w:vAlign w:val="bottom"/>
            <w:vMerge w:val="restart"/>
          </w:tcPr>
          <w:p>
            <w:pPr>
              <w:jc w:val="right"/>
              <w:ind w:right="930"/>
              <w:spacing w:after="0"/>
              <w:rPr>
                <w:sz w:val="20"/>
                <w:szCs w:val="20"/>
                <w:color w:val="auto"/>
              </w:rPr>
            </w:pPr>
            <w:r>
              <w:rPr>
                <w:rFonts w:ascii="Times New Roman" w:cs="Times New Roman" w:eastAsia="Times New Roman" w:hAnsi="Times New Roman"/>
                <w:sz w:val="18"/>
                <w:szCs w:val="18"/>
                <w:color w:val="auto"/>
              </w:rPr>
              <w:t>13</w:t>
            </w: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080" w:type="dxa"/>
            <w:vAlign w:val="bottom"/>
          </w:tcPr>
          <w:p>
            <w:pPr>
              <w:spacing w:after="0"/>
              <w:rPr>
                <w:sz w:val="24"/>
                <w:szCs w:val="24"/>
                <w:color w:val="auto"/>
              </w:rPr>
            </w:pPr>
          </w:p>
        </w:tc>
        <w:tc>
          <w:tcPr>
            <w:tcW w:w="254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66" w:right="4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Consolidated statement of cash flows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six months ended June 30, 2020</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4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Six months</w:t>
            </w:r>
          </w:p>
        </w:tc>
        <w:tc>
          <w:tcPr>
            <w:tcW w:w="122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color w:val="auto"/>
              </w:rPr>
              <w:t>Six months</w:t>
            </w: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Year ended</w:t>
            </w:r>
          </w:p>
        </w:tc>
        <w:tc>
          <w:tcPr>
            <w:tcW w:w="0" w:type="dxa"/>
            <w:vAlign w:val="bottom"/>
          </w:tcPr>
          <w:p>
            <w:pPr>
              <w:spacing w:after="0"/>
              <w:rPr>
                <w:sz w:val="1"/>
                <w:szCs w:val="1"/>
                <w:color w:val="auto"/>
              </w:rPr>
            </w:pPr>
          </w:p>
        </w:tc>
      </w:tr>
      <w:tr>
        <w:trPr>
          <w:trHeight w:val="148"/>
        </w:trPr>
        <w:tc>
          <w:tcPr>
            <w:tcW w:w="69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4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122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color w:val="auto"/>
              </w:rPr>
              <w:t>ended</w:t>
            </w:r>
          </w:p>
        </w:tc>
        <w:tc>
          <w:tcPr>
            <w:tcW w:w="9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w w:val="99"/>
              </w:rPr>
              <w:t>December 31,</w:t>
            </w:r>
          </w:p>
        </w:tc>
        <w:tc>
          <w:tcPr>
            <w:tcW w:w="0" w:type="dxa"/>
            <w:vAlign w:val="bottom"/>
          </w:tcPr>
          <w:p>
            <w:pPr>
              <w:spacing w:after="0"/>
              <w:rPr>
                <w:sz w:val="1"/>
                <w:szCs w:val="1"/>
                <w:color w:val="auto"/>
              </w:rPr>
            </w:pPr>
          </w:p>
        </w:tc>
      </w:tr>
      <w:tr>
        <w:trPr>
          <w:trHeight w:val="148"/>
        </w:trPr>
        <w:tc>
          <w:tcPr>
            <w:tcW w:w="69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4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June 30, 2020</w:t>
            </w:r>
          </w:p>
        </w:tc>
        <w:tc>
          <w:tcPr>
            <w:tcW w:w="122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color w:val="auto"/>
              </w:rPr>
              <w:t>June 30, 2019</w:t>
            </w:r>
          </w:p>
        </w:tc>
        <w:tc>
          <w:tcPr>
            <w:tcW w:w="800" w:type="dxa"/>
            <w:vAlign w:val="bottom"/>
          </w:tcPr>
          <w:p>
            <w:pPr>
              <w:jc w:val="right"/>
              <w:ind w:right="172"/>
              <w:spacing w:after="0" w:line="149" w:lineRule="exact"/>
              <w:rPr>
                <w:sz w:val="20"/>
                <w:szCs w:val="20"/>
                <w:color w:val="auto"/>
              </w:rPr>
            </w:pPr>
            <w:r>
              <w:rPr>
                <w:rFonts w:ascii="Times New Roman" w:cs="Times New Roman" w:eastAsia="Times New Roman" w:hAnsi="Times New Roman"/>
                <w:sz w:val="14"/>
                <w:szCs w:val="14"/>
                <w:color w:val="auto"/>
              </w:rPr>
              <w:t>2019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940" w:type="dxa"/>
            <w:vAlign w:val="bottom"/>
          </w:tcPr>
          <w:p>
            <w:pPr>
              <w:spacing w:after="0"/>
              <w:rPr>
                <w:sz w:val="12"/>
                <w:szCs w:val="12"/>
                <w:color w:val="auto"/>
              </w:rPr>
            </w:pPr>
          </w:p>
        </w:tc>
        <w:tc>
          <w:tcPr>
            <w:tcW w:w="70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4"/>
                <w:szCs w:val="14"/>
                <w:color w:val="auto"/>
                <w:w w:val="97"/>
              </w:rPr>
              <w:t>Notes</w:t>
            </w:r>
          </w:p>
        </w:tc>
        <w:tc>
          <w:tcPr>
            <w:tcW w:w="1240" w:type="dxa"/>
            <w:vAlign w:val="bottom"/>
            <w:gridSpan w:val="2"/>
          </w:tcPr>
          <w:p>
            <w:pPr>
              <w:jc w:val="right"/>
              <w:ind w:right="500"/>
              <w:spacing w:after="0" w:line="149"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122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color w:val="auto"/>
              </w:rPr>
              <w:t>Unaudited</w:t>
            </w:r>
          </w:p>
        </w:tc>
        <w:tc>
          <w:tcPr>
            <w:tcW w:w="92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Audited</w:t>
            </w:r>
          </w:p>
        </w:tc>
        <w:tc>
          <w:tcPr>
            <w:tcW w:w="0" w:type="dxa"/>
            <w:vAlign w:val="bottom"/>
          </w:tcPr>
          <w:p>
            <w:pPr>
              <w:spacing w:after="0"/>
              <w:rPr>
                <w:sz w:val="1"/>
                <w:szCs w:val="1"/>
                <w:color w:val="auto"/>
              </w:rPr>
            </w:pPr>
          </w:p>
        </w:tc>
      </w:tr>
      <w:tr>
        <w:trPr>
          <w:trHeight w:val="173"/>
        </w:trPr>
        <w:tc>
          <w:tcPr>
            <w:tcW w:w="6940" w:type="dxa"/>
            <w:vAlign w:val="bottom"/>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124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£’000</w:t>
            </w:r>
          </w:p>
        </w:tc>
        <w:tc>
          <w:tcPr>
            <w:tcW w:w="122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color w:val="auto"/>
              </w:rPr>
              <w:t>£’000</w:t>
            </w:r>
          </w:p>
        </w:tc>
        <w:tc>
          <w:tcPr>
            <w:tcW w:w="9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w w:val="97"/>
              </w:rPr>
              <w:t>£’000</w:t>
            </w:r>
          </w:p>
        </w:tc>
        <w:tc>
          <w:tcPr>
            <w:tcW w:w="0" w:type="dxa"/>
            <w:vAlign w:val="bottom"/>
          </w:tcPr>
          <w:p>
            <w:pPr>
              <w:spacing w:after="0"/>
              <w:rPr>
                <w:sz w:val="1"/>
                <w:szCs w:val="1"/>
                <w:color w:val="auto"/>
              </w:rPr>
            </w:pPr>
          </w:p>
        </w:tc>
      </w:tr>
      <w:tr>
        <w:trPr>
          <w:trHeight w:val="196"/>
        </w:trPr>
        <w:tc>
          <w:tcPr>
            <w:tcW w:w="694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Operating activities</w:t>
            </w:r>
          </w:p>
        </w:tc>
        <w:tc>
          <w:tcPr>
            <w:tcW w:w="34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Loss before tax</w:t>
            </w: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(126,101)</w:t>
            </w:r>
          </w:p>
        </w:tc>
        <w:tc>
          <w:tcPr>
            <w:tcW w:w="12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(18,682)</w:t>
            </w: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(41,118)</w:t>
            </w: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loss before tax to net cash flows from operating activities:</w:t>
            </w: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 Depreciation and impairment of property, plant and equipment</w:t>
            </w: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1,018</w:t>
            </w:r>
          </w:p>
        </w:tc>
        <w:tc>
          <w:tcPr>
            <w:tcW w:w="12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724</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1,577</w:t>
            </w: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Share-based payment expense</w:t>
            </w: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911</w:t>
            </w:r>
          </w:p>
        </w:tc>
        <w:tc>
          <w:tcPr>
            <w:tcW w:w="12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493</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1,636</w:t>
            </w:r>
          </w:p>
        </w:tc>
        <w:tc>
          <w:tcPr>
            <w:tcW w:w="0" w:type="dxa"/>
            <w:vAlign w:val="bottom"/>
          </w:tcPr>
          <w:p>
            <w:pPr>
              <w:spacing w:after="0"/>
              <w:rPr>
                <w:sz w:val="1"/>
                <w:szCs w:val="1"/>
                <w:color w:val="auto"/>
              </w:rPr>
            </w:pPr>
          </w:p>
        </w:tc>
      </w:tr>
      <w:tr>
        <w:trPr>
          <w:trHeight w:val="216"/>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 Net foreign exchange loss /(gain)</w:t>
            </w: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519</w:t>
            </w:r>
          </w:p>
        </w:tc>
        <w:tc>
          <w:tcPr>
            <w:tcW w:w="12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20</w:t>
            </w: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(483)</w:t>
            </w: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Provision for social security contributions on employee share options</w:t>
            </w: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(73)</w:t>
            </w:r>
          </w:p>
        </w:tc>
        <w:tc>
          <w:tcPr>
            <w:tcW w:w="12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(723)</w:t>
            </w: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(738)</w:t>
            </w:r>
          </w:p>
        </w:tc>
        <w:tc>
          <w:tcPr>
            <w:tcW w:w="0" w:type="dxa"/>
            <w:vAlign w:val="bottom"/>
          </w:tcPr>
          <w:p>
            <w:pPr>
              <w:spacing w:after="0"/>
              <w:rPr>
                <w:sz w:val="1"/>
                <w:szCs w:val="1"/>
                <w:color w:val="auto"/>
              </w:rPr>
            </w:pPr>
          </w:p>
        </w:tc>
      </w:tr>
      <w:tr>
        <w:trPr>
          <w:trHeight w:val="216"/>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 Provision for deferred cash consideration</w:t>
            </w:r>
          </w:p>
        </w:tc>
        <w:tc>
          <w:tcPr>
            <w:tcW w:w="7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8</w:t>
            </w:r>
          </w:p>
        </w:tc>
        <w:tc>
          <w:tcPr>
            <w:tcW w:w="12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111</w:t>
            </w:r>
          </w:p>
        </w:tc>
        <w:tc>
          <w:tcPr>
            <w:tcW w:w="12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179</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221</w:t>
            </w: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Interest earned</w:t>
            </w: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(39)</w:t>
            </w:r>
          </w:p>
        </w:tc>
        <w:tc>
          <w:tcPr>
            <w:tcW w:w="12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(137)</w:t>
            </w: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(377)</w:t>
            </w:r>
          </w:p>
        </w:tc>
        <w:tc>
          <w:tcPr>
            <w:tcW w:w="0" w:type="dxa"/>
            <w:vAlign w:val="bottom"/>
          </w:tcPr>
          <w:p>
            <w:pPr>
              <w:spacing w:after="0"/>
              <w:rPr>
                <w:sz w:val="1"/>
                <w:szCs w:val="1"/>
                <w:color w:val="auto"/>
              </w:rPr>
            </w:pPr>
          </w:p>
        </w:tc>
      </w:tr>
      <w:tr>
        <w:trPr>
          <w:trHeight w:val="216"/>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 Finance charges</w:t>
            </w: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97,517</w:t>
            </w:r>
          </w:p>
        </w:tc>
        <w:tc>
          <w:tcPr>
            <w:tcW w:w="12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1,731</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3,731</w:t>
            </w: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Modification gain on bank loan</w:t>
            </w: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(456)</w:t>
            </w: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(456)</w:t>
            </w:r>
          </w:p>
        </w:tc>
        <w:tc>
          <w:tcPr>
            <w:tcW w:w="0" w:type="dxa"/>
            <w:vAlign w:val="bottom"/>
          </w:tcPr>
          <w:p>
            <w:pPr>
              <w:spacing w:after="0"/>
              <w:rPr>
                <w:sz w:val="1"/>
                <w:szCs w:val="1"/>
                <w:color w:val="auto"/>
              </w:rPr>
            </w:pPr>
          </w:p>
        </w:tc>
      </w:tr>
      <w:tr>
        <w:trPr>
          <w:trHeight w:val="216"/>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 Gain on bargain purchase</w:t>
            </w: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(3,680)</w:t>
            </w: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(3,681)</w:t>
            </w: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Fair value remeasurement on contingent consideration</w:t>
            </w: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354</w:t>
            </w:r>
          </w:p>
        </w:tc>
        <w:tc>
          <w:tcPr>
            <w:tcW w:w="0" w:type="dxa"/>
            <w:vAlign w:val="bottom"/>
          </w:tcPr>
          <w:p>
            <w:pPr>
              <w:spacing w:after="0"/>
              <w:rPr>
                <w:sz w:val="1"/>
                <w:szCs w:val="1"/>
                <w:color w:val="auto"/>
              </w:rPr>
            </w:pPr>
          </w:p>
        </w:tc>
      </w:tr>
      <w:tr>
        <w:trPr>
          <w:trHeight w:val="216"/>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 Loss on disposal of intangible assets</w:t>
            </w: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11,302</w:t>
            </w:r>
          </w:p>
        </w:tc>
        <w:tc>
          <w:tcPr>
            <w:tcW w:w="12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Transaction costs relating to PIPE</w:t>
            </w: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1,349</w:t>
            </w:r>
          </w:p>
        </w:tc>
        <w:tc>
          <w:tcPr>
            <w:tcW w:w="122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 Gain on disposal of fixed assets</w:t>
            </w: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(53)</w:t>
            </w:r>
          </w:p>
        </w:tc>
        <w:tc>
          <w:tcPr>
            <w:tcW w:w="12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Working capital adjustments:</w:t>
            </w: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 (Increase) in trade and other receivables</w:t>
            </w: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(553)</w:t>
            </w:r>
          </w:p>
        </w:tc>
        <w:tc>
          <w:tcPr>
            <w:tcW w:w="12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(1,483)</w:t>
            </w: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(936)</w:t>
            </w: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(Decrease) in trade and other payables</w:t>
            </w: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(3,329)</w:t>
            </w:r>
          </w:p>
        </w:tc>
        <w:tc>
          <w:tcPr>
            <w:tcW w:w="12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(5,619)</w:t>
            </w: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(6,730)</w:t>
            </w:r>
          </w:p>
        </w:tc>
        <w:tc>
          <w:tcPr>
            <w:tcW w:w="0" w:type="dxa"/>
            <w:vAlign w:val="bottom"/>
          </w:tcPr>
          <w:p>
            <w:pPr>
              <w:spacing w:after="0"/>
              <w:rPr>
                <w:sz w:val="1"/>
                <w:szCs w:val="1"/>
                <w:color w:val="auto"/>
              </w:rPr>
            </w:pPr>
          </w:p>
        </w:tc>
      </w:tr>
      <w:tr>
        <w:trPr>
          <w:trHeight w:val="216"/>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 Tax credits received</w:t>
            </w: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6,263</w:t>
            </w:r>
          </w:p>
        </w:tc>
        <w:tc>
          <w:tcPr>
            <w:tcW w:w="4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1,069</w:t>
            </w:r>
          </w:p>
        </w:tc>
        <w:tc>
          <w:tcPr>
            <w:tcW w:w="0" w:type="dxa"/>
            <w:vAlign w:val="bottom"/>
          </w:tcPr>
          <w:p>
            <w:pPr>
              <w:spacing w:after="0"/>
              <w:rPr>
                <w:sz w:val="1"/>
                <w:szCs w:val="1"/>
                <w:color w:val="auto"/>
              </w:rPr>
            </w:pPr>
          </w:p>
        </w:tc>
      </w:tr>
      <w:tr>
        <w:trPr>
          <w:trHeight w:val="27"/>
        </w:trPr>
        <w:tc>
          <w:tcPr>
            <w:tcW w:w="6940" w:type="dxa"/>
            <w:vAlign w:val="bottom"/>
          </w:tcPr>
          <w:p>
            <w:pPr>
              <w:spacing w:after="0"/>
              <w:rPr>
                <w:sz w:val="2"/>
                <w:szCs w:val="2"/>
                <w:color w:val="auto"/>
              </w:rPr>
            </w:pPr>
          </w:p>
        </w:tc>
        <w:tc>
          <w:tcPr>
            <w:tcW w:w="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flows from operating activities</w:t>
            </w: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(11,158)</w:t>
            </w:r>
          </w:p>
        </w:tc>
        <w:tc>
          <w:tcPr>
            <w:tcW w:w="12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(27,633)</w:t>
            </w: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(45,931)</w:t>
            </w:r>
          </w:p>
        </w:tc>
        <w:tc>
          <w:tcPr>
            <w:tcW w:w="0" w:type="dxa"/>
            <w:vAlign w:val="bottom"/>
          </w:tcPr>
          <w:p>
            <w:pPr>
              <w:spacing w:after="0"/>
              <w:rPr>
                <w:sz w:val="1"/>
                <w:szCs w:val="1"/>
                <w:color w:val="auto"/>
              </w:rPr>
            </w:pPr>
          </w:p>
        </w:tc>
      </w:tr>
      <w:tr>
        <w:trPr>
          <w:trHeight w:val="223"/>
        </w:trPr>
        <w:tc>
          <w:tcPr>
            <w:tcW w:w="6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 of property, plant and equipment</w:t>
            </w: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16"/>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sale of property, plant and equipment</w:t>
            </w: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59</w:t>
            </w:r>
          </w:p>
        </w:tc>
        <w:tc>
          <w:tcPr>
            <w:tcW w:w="12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 of intangible assets (net of transaction costs)</w:t>
            </w: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1,965</w:t>
            </w:r>
          </w:p>
        </w:tc>
        <w:tc>
          <w:tcPr>
            <w:tcW w:w="122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sale of short-term investments</w:t>
            </w: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12,463</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32,865</w:t>
            </w: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Conversion of short-term investments into cash and cash equivalents</w:t>
            </w: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11,429</w:t>
            </w: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Acquisition of subsidiary</w:t>
            </w: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(354)</w:t>
            </w:r>
          </w:p>
        </w:tc>
        <w:tc>
          <w:tcPr>
            <w:tcW w:w="12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10,074</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10,074</w:t>
            </w: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earned</w:t>
            </w: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39</w:t>
            </w:r>
          </w:p>
        </w:tc>
        <w:tc>
          <w:tcPr>
            <w:tcW w:w="12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43</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377</w:t>
            </w:r>
          </w:p>
        </w:tc>
        <w:tc>
          <w:tcPr>
            <w:tcW w:w="0" w:type="dxa"/>
            <w:vAlign w:val="bottom"/>
          </w:tcPr>
          <w:p>
            <w:pPr>
              <w:spacing w:after="0"/>
              <w:rPr>
                <w:sz w:val="1"/>
                <w:szCs w:val="1"/>
                <w:color w:val="auto"/>
              </w:rPr>
            </w:pPr>
          </w:p>
        </w:tc>
      </w:tr>
      <w:tr>
        <w:trPr>
          <w:trHeight w:val="230"/>
        </w:trPr>
        <w:tc>
          <w:tcPr>
            <w:tcW w:w="6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cash flows received in investing activities</w:t>
            </w:r>
          </w:p>
        </w:tc>
        <w:tc>
          <w:tcPr>
            <w:tcW w:w="3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1,709</w:t>
            </w:r>
          </w:p>
        </w:tc>
        <w:tc>
          <w:tcPr>
            <w:tcW w:w="400" w:type="dxa"/>
            <w:vAlign w:val="bottom"/>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34,009</w:t>
            </w:r>
          </w:p>
        </w:tc>
        <w:tc>
          <w:tcPr>
            <w:tcW w:w="420" w:type="dxa"/>
            <w:vAlign w:val="bottom"/>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43,295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issue of ordinary shares</w:t>
            </w:r>
          </w:p>
        </w:tc>
        <w:tc>
          <w:tcPr>
            <w:tcW w:w="7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7</w:t>
            </w:r>
          </w:p>
        </w:tc>
        <w:tc>
          <w:tcPr>
            <w:tcW w:w="12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20,136</w:t>
            </w:r>
          </w:p>
        </w:tc>
        <w:tc>
          <w:tcPr>
            <w:tcW w:w="12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Transaction costs on issue of shares</w:t>
            </w: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(1,307)</w:t>
            </w:r>
          </w:p>
        </w:tc>
        <w:tc>
          <w:tcPr>
            <w:tcW w:w="12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(761)</w:t>
            </w: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(761)</w:t>
            </w:r>
          </w:p>
        </w:tc>
        <w:tc>
          <w:tcPr>
            <w:tcW w:w="0" w:type="dxa"/>
            <w:vAlign w:val="bottom"/>
          </w:tcPr>
          <w:p>
            <w:pPr>
              <w:spacing w:after="0"/>
              <w:rPr>
                <w:sz w:val="1"/>
                <w:szCs w:val="1"/>
                <w:color w:val="auto"/>
              </w:rPr>
            </w:pPr>
          </w:p>
        </w:tc>
      </w:tr>
      <w:tr>
        <w:trPr>
          <w:trHeight w:val="216"/>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issue of convertible loan</w:t>
            </w: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44,375</w:t>
            </w:r>
          </w:p>
        </w:tc>
        <w:tc>
          <w:tcPr>
            <w:tcW w:w="12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Transaction costs issue of convertible loan</w:t>
            </w: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(3,598)</w:t>
            </w:r>
          </w:p>
        </w:tc>
        <w:tc>
          <w:tcPr>
            <w:tcW w:w="122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Capital repayment of bank loan</w:t>
            </w: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(8,011)</w:t>
            </w:r>
          </w:p>
        </w:tc>
        <w:tc>
          <w:tcPr>
            <w:tcW w:w="12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 of treasury shares</w:t>
            </w: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(998)</w:t>
            </w: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(998)</w:t>
            </w:r>
          </w:p>
        </w:tc>
        <w:tc>
          <w:tcPr>
            <w:tcW w:w="0" w:type="dxa"/>
            <w:vAlign w:val="bottom"/>
          </w:tcPr>
          <w:p>
            <w:pPr>
              <w:spacing w:after="0"/>
              <w:rPr>
                <w:sz w:val="1"/>
                <w:szCs w:val="1"/>
                <w:color w:val="auto"/>
              </w:rPr>
            </w:pPr>
          </w:p>
        </w:tc>
      </w:tr>
      <w:tr>
        <w:trPr>
          <w:trHeight w:val="216"/>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Interest paid on bank loan—</w:t>
            </w: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(581)</w:t>
            </w:r>
          </w:p>
        </w:tc>
        <w:tc>
          <w:tcPr>
            <w:tcW w:w="12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(865)</w:t>
            </w: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(1,739)</w:t>
            </w: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 of lease liabilities</w:t>
            </w: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(1,461)</w:t>
            </w:r>
          </w:p>
        </w:tc>
        <w:tc>
          <w:tcPr>
            <w:tcW w:w="12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(775)</w:t>
            </w: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(2,212)</w:t>
            </w:r>
          </w:p>
        </w:tc>
        <w:tc>
          <w:tcPr>
            <w:tcW w:w="0" w:type="dxa"/>
            <w:vAlign w:val="bottom"/>
          </w:tcPr>
          <w:p>
            <w:pPr>
              <w:spacing w:after="0"/>
              <w:rPr>
                <w:sz w:val="1"/>
                <w:szCs w:val="1"/>
                <w:color w:val="auto"/>
              </w:rPr>
            </w:pPr>
          </w:p>
        </w:tc>
      </w:tr>
      <w:tr>
        <w:trPr>
          <w:trHeight w:val="230"/>
        </w:trPr>
        <w:tc>
          <w:tcPr>
            <w:tcW w:w="6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cash generated from / (used in) financing activities</w:t>
            </w:r>
          </w:p>
        </w:tc>
        <w:tc>
          <w:tcPr>
            <w:tcW w:w="3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49,553</w:t>
            </w:r>
          </w:p>
        </w:tc>
        <w:tc>
          <w:tcPr>
            <w:tcW w:w="400" w:type="dxa"/>
            <w:vAlign w:val="bottom"/>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(3,399)</w:t>
            </w:r>
          </w:p>
        </w:tc>
        <w:tc>
          <w:tcPr>
            <w:tcW w:w="420" w:type="dxa"/>
            <w:vAlign w:val="bottom"/>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(5,710)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increase / (decrease) in cash and cash equivalents</w:t>
            </w: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40,104</w:t>
            </w:r>
          </w:p>
        </w:tc>
        <w:tc>
          <w:tcPr>
            <w:tcW w:w="12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2,977</w:t>
            </w: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(8,346)</w:t>
            </w:r>
          </w:p>
        </w:tc>
        <w:tc>
          <w:tcPr>
            <w:tcW w:w="0" w:type="dxa"/>
            <w:vAlign w:val="bottom"/>
          </w:tcPr>
          <w:p>
            <w:pPr>
              <w:spacing w:after="0"/>
              <w:rPr>
                <w:sz w:val="1"/>
                <w:szCs w:val="1"/>
                <w:color w:val="auto"/>
              </w:rPr>
            </w:pPr>
          </w:p>
        </w:tc>
      </w:tr>
      <w:tr>
        <w:trPr>
          <w:trHeight w:val="216"/>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at the beginning of the period</w:t>
            </w: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16,347</w:t>
            </w:r>
          </w:p>
        </w:tc>
        <w:tc>
          <w:tcPr>
            <w:tcW w:w="12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25,042</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25,042</w:t>
            </w: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370</w:t>
            </w:r>
          </w:p>
        </w:tc>
        <w:tc>
          <w:tcPr>
            <w:tcW w:w="12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271</w:t>
            </w: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(349)</w:t>
            </w:r>
          </w:p>
        </w:tc>
        <w:tc>
          <w:tcPr>
            <w:tcW w:w="0" w:type="dxa"/>
            <w:vAlign w:val="bottom"/>
          </w:tcPr>
          <w:p>
            <w:pPr>
              <w:spacing w:after="0"/>
              <w:rPr>
                <w:sz w:val="1"/>
                <w:szCs w:val="1"/>
                <w:color w:val="auto"/>
              </w:rPr>
            </w:pPr>
          </w:p>
        </w:tc>
      </w:tr>
      <w:tr>
        <w:trPr>
          <w:trHeight w:val="223"/>
        </w:trPr>
        <w:tc>
          <w:tcPr>
            <w:tcW w:w="6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at the end of the period</w:t>
            </w: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56,821</w:t>
            </w:r>
          </w:p>
        </w:tc>
        <w:tc>
          <w:tcPr>
            <w:tcW w:w="40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28,290</w:t>
            </w:r>
          </w:p>
        </w:tc>
        <w:tc>
          <w:tcPr>
            <w:tcW w:w="42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16,347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940" w:type="dxa"/>
            <w:vAlign w:val="bottom"/>
            <w:vMerge w:val="restart"/>
          </w:tcPr>
          <w:p>
            <w:pPr>
              <w:ind w:left="5420"/>
              <w:spacing w:after="0"/>
              <w:rPr>
                <w:sz w:val="20"/>
                <w:szCs w:val="20"/>
                <w:color w:val="auto"/>
              </w:rPr>
            </w:pPr>
            <w:r>
              <w:rPr>
                <w:rFonts w:ascii="Times New Roman" w:cs="Times New Roman" w:eastAsia="Times New Roman" w:hAnsi="Times New Roman"/>
                <w:sz w:val="18"/>
                <w:szCs w:val="18"/>
                <w:color w:val="auto"/>
              </w:rPr>
              <w:t>14</w:t>
            </w: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694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66" w:right="4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Consolidated statement of changes in equity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six months ended June 30, 2020</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3"/>
                <w:szCs w:val="13"/>
                <w:color w:val="auto"/>
              </w:rPr>
            </w:pPr>
          </w:p>
        </w:tc>
        <w:tc>
          <w:tcPr>
            <w:tcW w:w="5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Issued</w:t>
            </w:r>
          </w:p>
        </w:tc>
        <w:tc>
          <w:tcPr>
            <w:tcW w:w="8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color w:val="auto"/>
              </w:rPr>
              <w:t>Share</w:t>
            </w:r>
          </w:p>
        </w:tc>
        <w:tc>
          <w:tcPr>
            <w:tcW w:w="7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Other</w:t>
            </w:r>
          </w:p>
        </w:tc>
        <w:tc>
          <w:tcPr>
            <w:tcW w:w="62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color w:val="auto"/>
              </w:rPr>
              <w:t>Other</w:t>
            </w:r>
          </w:p>
        </w:tc>
        <w:tc>
          <w:tcPr>
            <w:tcW w:w="8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rPr>
              <w:t>Employee</w:t>
            </w:r>
          </w:p>
        </w:tc>
        <w:tc>
          <w:tcPr>
            <w:tcW w:w="9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w w:val="99"/>
              </w:rPr>
              <w:t>Accumulated</w:t>
            </w:r>
          </w:p>
        </w:tc>
        <w:tc>
          <w:tcPr>
            <w:tcW w:w="88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color w:val="auto"/>
              </w:rPr>
              <w:t>Translation</w:t>
            </w:r>
          </w:p>
        </w:tc>
        <w:tc>
          <w:tcPr>
            <w:tcW w:w="8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48"/>
        </w:trPr>
        <w:tc>
          <w:tcPr>
            <w:tcW w:w="4700" w:type="dxa"/>
            <w:vAlign w:val="bottom"/>
          </w:tcPr>
          <w:p>
            <w:pPr>
              <w:spacing w:after="0"/>
              <w:rPr>
                <w:sz w:val="12"/>
                <w:szCs w:val="12"/>
                <w:color w:val="auto"/>
              </w:rPr>
            </w:pPr>
          </w:p>
        </w:tc>
        <w:tc>
          <w:tcPr>
            <w:tcW w:w="560" w:type="dxa"/>
            <w:vAlign w:val="bottom"/>
            <w:gridSpan w:val="2"/>
            <w:vMerge w:val="continue"/>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78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color w:val="auto"/>
              </w:rPr>
              <w:t>capital</w:t>
            </w:r>
          </w:p>
        </w:tc>
        <w:tc>
          <w:tcPr>
            <w:tcW w:w="620" w:type="dxa"/>
            <w:vAlign w:val="bottom"/>
            <w:gridSpan w:val="2"/>
            <w:vMerge w:val="continue"/>
          </w:tcPr>
          <w:p>
            <w:pPr>
              <w:spacing w:after="0"/>
              <w:rPr>
                <w:sz w:val="12"/>
                <w:szCs w:val="12"/>
                <w:color w:val="auto"/>
              </w:rPr>
            </w:pPr>
          </w:p>
        </w:tc>
        <w:tc>
          <w:tcPr>
            <w:tcW w:w="82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Benefit</w:t>
            </w:r>
          </w:p>
        </w:tc>
        <w:tc>
          <w:tcPr>
            <w:tcW w:w="980" w:type="dxa"/>
            <w:vAlign w:val="bottom"/>
            <w:gridSpan w:val="2"/>
            <w:vMerge w:val="continue"/>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700" w:type="dxa"/>
            <w:vAlign w:val="bottom"/>
          </w:tcPr>
          <w:p>
            <w:pPr>
              <w:spacing w:after="0"/>
              <w:rPr>
                <w:sz w:val="12"/>
                <w:szCs w:val="12"/>
                <w:color w:val="auto"/>
              </w:rPr>
            </w:pPr>
          </w:p>
        </w:tc>
        <w:tc>
          <w:tcPr>
            <w:tcW w:w="56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capital</w:t>
            </w:r>
          </w:p>
        </w:tc>
        <w:tc>
          <w:tcPr>
            <w:tcW w:w="860" w:type="dxa"/>
            <w:vAlign w:val="bottom"/>
            <w:gridSpan w:val="2"/>
          </w:tcPr>
          <w:p>
            <w:pPr>
              <w:ind w:left="60"/>
              <w:spacing w:after="0" w:line="149" w:lineRule="exact"/>
              <w:rPr>
                <w:sz w:val="20"/>
                <w:szCs w:val="20"/>
                <w:color w:val="auto"/>
              </w:rPr>
            </w:pPr>
            <w:r>
              <w:rPr>
                <w:rFonts w:ascii="Times New Roman" w:cs="Times New Roman" w:eastAsia="Times New Roman" w:hAnsi="Times New Roman"/>
                <w:sz w:val="14"/>
                <w:szCs w:val="14"/>
                <w:color w:val="auto"/>
              </w:rPr>
              <w:t>premium</w:t>
            </w:r>
          </w:p>
        </w:tc>
        <w:tc>
          <w:tcPr>
            <w:tcW w:w="7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color w:val="auto"/>
              </w:rPr>
              <w:t>reserves</w:t>
            </w:r>
          </w:p>
        </w:tc>
        <w:tc>
          <w:tcPr>
            <w:tcW w:w="62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reserves</w:t>
            </w:r>
          </w:p>
        </w:tc>
        <w:tc>
          <w:tcPr>
            <w:tcW w:w="82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color w:val="auto"/>
              </w:rPr>
              <w:t>Trust</w:t>
            </w:r>
          </w:p>
        </w:tc>
        <w:tc>
          <w:tcPr>
            <w:tcW w:w="980" w:type="dxa"/>
            <w:vAlign w:val="bottom"/>
            <w:gridSpan w:val="2"/>
          </w:tcPr>
          <w:p>
            <w:pPr>
              <w:jc w:val="right"/>
              <w:ind w:right="420"/>
              <w:spacing w:after="0" w:line="149" w:lineRule="exact"/>
              <w:rPr>
                <w:sz w:val="20"/>
                <w:szCs w:val="20"/>
                <w:color w:val="auto"/>
              </w:rPr>
            </w:pPr>
            <w:r>
              <w:rPr>
                <w:rFonts w:ascii="Times New Roman" w:cs="Times New Roman" w:eastAsia="Times New Roman" w:hAnsi="Times New Roman"/>
                <w:sz w:val="14"/>
                <w:szCs w:val="14"/>
                <w:color w:val="auto"/>
              </w:rPr>
              <w:t>losses</w:t>
            </w:r>
          </w:p>
        </w:tc>
        <w:tc>
          <w:tcPr>
            <w:tcW w:w="8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color w:val="auto"/>
              </w:rPr>
              <w:t>reserve</w:t>
            </w:r>
          </w:p>
        </w:tc>
        <w:tc>
          <w:tcPr>
            <w:tcW w:w="8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color w:val="auto"/>
              </w:rPr>
              <w:t>equity</w:t>
            </w:r>
          </w:p>
        </w:tc>
        <w:tc>
          <w:tcPr>
            <w:tcW w:w="0" w:type="dxa"/>
            <w:vAlign w:val="bottom"/>
          </w:tcPr>
          <w:p>
            <w:pPr>
              <w:spacing w:after="0"/>
              <w:rPr>
                <w:sz w:val="1"/>
                <w:szCs w:val="1"/>
                <w:color w:val="auto"/>
              </w:rPr>
            </w:pPr>
          </w:p>
        </w:tc>
      </w:tr>
      <w:tr>
        <w:trPr>
          <w:trHeight w:val="171"/>
        </w:trPr>
        <w:tc>
          <w:tcPr>
            <w:tcW w:w="4700" w:type="dxa"/>
            <w:vAlign w:val="bottom"/>
          </w:tcPr>
          <w:p>
            <w:pPr>
              <w:spacing w:after="0"/>
              <w:rPr>
                <w:sz w:val="14"/>
                <w:szCs w:val="14"/>
                <w:color w:val="auto"/>
              </w:rPr>
            </w:pPr>
          </w:p>
        </w:tc>
        <w:tc>
          <w:tcPr>
            <w:tcW w:w="560" w:type="dxa"/>
            <w:vAlign w:val="bottom"/>
            <w:gridSpan w:val="2"/>
          </w:tcPr>
          <w:p>
            <w:pPr>
              <w:ind w:left="40"/>
              <w:spacing w:after="0"/>
              <w:rPr>
                <w:sz w:val="20"/>
                <w:szCs w:val="20"/>
                <w:color w:val="auto"/>
              </w:rPr>
            </w:pPr>
            <w:r>
              <w:rPr>
                <w:rFonts w:ascii="Times New Roman" w:cs="Times New Roman" w:eastAsia="Times New Roman" w:hAnsi="Times New Roman"/>
                <w:sz w:val="14"/>
                <w:szCs w:val="14"/>
                <w:u w:val="single" w:color="auto"/>
                <w:color w:val="auto"/>
              </w:rPr>
              <w:t>£</w:t>
            </w:r>
            <w:r>
              <w:rPr>
                <w:rFonts w:ascii="Times New Roman" w:cs="Times New Roman" w:eastAsia="Times New Roman" w:hAnsi="Times New Roman"/>
                <w:sz w:val="14"/>
                <w:szCs w:val="14"/>
                <w:color w:val="auto"/>
              </w:rPr>
              <w:t>’000</w:t>
            </w:r>
          </w:p>
        </w:tc>
        <w:tc>
          <w:tcPr>
            <w:tcW w:w="86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£’000</w:t>
            </w:r>
          </w:p>
        </w:tc>
        <w:tc>
          <w:tcPr>
            <w:tcW w:w="7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w w:val="97"/>
              </w:rPr>
              <w:t>£’000</w:t>
            </w:r>
          </w:p>
        </w:tc>
        <w:tc>
          <w:tcPr>
            <w:tcW w:w="62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£’000</w:t>
            </w:r>
          </w:p>
        </w:tc>
        <w:tc>
          <w:tcPr>
            <w:tcW w:w="8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rPr>
              <w:t>£’000</w:t>
            </w:r>
          </w:p>
        </w:tc>
        <w:tc>
          <w:tcPr>
            <w:tcW w:w="98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color w:val="auto"/>
              </w:rPr>
              <w:t>£’000</w:t>
            </w:r>
          </w:p>
        </w:tc>
        <w:tc>
          <w:tcPr>
            <w:tcW w:w="8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£’000</w:t>
            </w:r>
          </w:p>
        </w:tc>
        <w:tc>
          <w:tcPr>
            <w:tcW w:w="8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£’000</w:t>
            </w:r>
          </w:p>
        </w:tc>
        <w:tc>
          <w:tcPr>
            <w:tcW w:w="0" w:type="dxa"/>
            <w:vAlign w:val="bottom"/>
          </w:tcPr>
          <w:p>
            <w:pPr>
              <w:spacing w:after="0"/>
              <w:rPr>
                <w:sz w:val="1"/>
                <w:szCs w:val="1"/>
                <w:color w:val="auto"/>
              </w:rPr>
            </w:pPr>
          </w:p>
        </w:tc>
      </w:tr>
      <w:tr>
        <w:trPr>
          <w:trHeight w:val="209"/>
        </w:trPr>
        <w:tc>
          <w:tcPr>
            <w:tcW w:w="47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At January 1, 2019 – Audited</w:t>
            </w:r>
          </w:p>
        </w:tc>
        <w:tc>
          <w:tcPr>
            <w:tcW w:w="400" w:type="dxa"/>
            <w:vAlign w:val="bottom"/>
            <w:tcBorders>
              <w:top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w w:val="96"/>
              </w:rPr>
              <w:t>214</w:t>
            </w:r>
          </w:p>
        </w:tc>
        <w:tc>
          <w:tcPr>
            <w:tcW w:w="16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118,492</w:t>
            </w:r>
          </w:p>
        </w:tc>
        <w:tc>
          <w:tcPr>
            <w:tcW w:w="2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18,593</w:t>
            </w:r>
          </w:p>
        </w:tc>
        <w:tc>
          <w:tcPr>
            <w:tcW w:w="2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w w:val="93"/>
              </w:rPr>
              <w:t>7,000</w:t>
            </w:r>
          </w:p>
        </w:tc>
        <w:tc>
          <w:tcPr>
            <w:tcW w:w="1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(307)</w:t>
            </w:r>
          </w:p>
        </w:tc>
        <w:tc>
          <w:tcPr>
            <w:tcW w:w="2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(111,221)</w:t>
            </w:r>
          </w:p>
        </w:tc>
        <w:tc>
          <w:tcPr>
            <w:tcW w:w="2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ind w:left="40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32,771</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Loss for the period</w:t>
            </w:r>
          </w:p>
        </w:tc>
        <w:tc>
          <w:tcPr>
            <w:tcW w:w="5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(16,224)</w:t>
            </w:r>
          </w:p>
        </w:tc>
        <w:tc>
          <w:tcPr>
            <w:tcW w:w="88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(16,224)</w:t>
            </w: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5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88</w:t>
            </w:r>
          </w:p>
        </w:tc>
        <w:tc>
          <w:tcPr>
            <w:tcW w:w="88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711</w:t>
            </w: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799</w:t>
            </w: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Share-based payments – share options</w:t>
            </w:r>
          </w:p>
        </w:tc>
        <w:tc>
          <w:tcPr>
            <w:tcW w:w="5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354</w:t>
            </w:r>
          </w:p>
        </w:tc>
        <w:tc>
          <w:tcPr>
            <w:tcW w:w="6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354</w:t>
            </w: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payments – LTIPS</w:t>
            </w:r>
          </w:p>
        </w:tc>
        <w:tc>
          <w:tcPr>
            <w:tcW w:w="5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139</w:t>
            </w:r>
          </w:p>
        </w:tc>
        <w:tc>
          <w:tcPr>
            <w:tcW w:w="6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139</w:t>
            </w:r>
          </w:p>
        </w:tc>
        <w:tc>
          <w:tcPr>
            <w:tcW w:w="0" w:type="dxa"/>
            <w:vAlign w:val="bottom"/>
          </w:tcPr>
          <w:p>
            <w:pPr>
              <w:spacing w:after="0"/>
              <w:rPr>
                <w:sz w:val="1"/>
                <w:szCs w:val="1"/>
                <w:color w:val="auto"/>
              </w:rPr>
            </w:pPr>
          </w:p>
        </w:tc>
      </w:tr>
      <w:tr>
        <w:trPr>
          <w:trHeight w:val="198"/>
        </w:trPr>
        <w:tc>
          <w:tcPr>
            <w:tcW w:w="47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Issue of share capital on April 23, 2019 for acquisition of</w:t>
            </w: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OncoMed Pharmaceuticals Inc</w:t>
            </w: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74</w:t>
            </w:r>
          </w:p>
        </w:tc>
        <w:tc>
          <w:tcPr>
            <w:tcW w:w="86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40,818</w:t>
            </w:r>
          </w:p>
        </w:tc>
        <w:tc>
          <w:tcPr>
            <w:tcW w:w="6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40,892</w:t>
            </w: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Issue of share capital on conversion of loan note</w:t>
            </w: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w:t>
            </w: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2,364</w:t>
            </w:r>
          </w:p>
        </w:tc>
        <w:tc>
          <w:tcPr>
            <w:tcW w:w="78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2,367</w:t>
            </w: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Issue of share capital for Novartis bonus shares</w:t>
            </w: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w:t>
            </w: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1,589</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(1,592)</w:t>
            </w:r>
          </w:p>
        </w:tc>
        <w:tc>
          <w:tcPr>
            <w:tcW w:w="6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Transaction costs on issuance of share capital</w:t>
            </w:r>
          </w:p>
        </w:tc>
        <w:tc>
          <w:tcPr>
            <w:tcW w:w="5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(761)</w:t>
            </w:r>
          </w:p>
        </w:tc>
        <w:tc>
          <w:tcPr>
            <w:tcW w:w="78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(761)</w:t>
            </w: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Equity element of convertible loan</w:t>
            </w:r>
          </w:p>
        </w:tc>
        <w:tc>
          <w:tcPr>
            <w:tcW w:w="5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(308)</w:t>
            </w:r>
          </w:p>
        </w:tc>
        <w:tc>
          <w:tcPr>
            <w:tcW w:w="6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(308)</w:t>
            </w: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 of treasury shares</w:t>
            </w:r>
          </w:p>
        </w:tc>
        <w:tc>
          <w:tcPr>
            <w:tcW w:w="5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(998)</w:t>
            </w:r>
          </w:p>
        </w:tc>
        <w:tc>
          <w:tcPr>
            <w:tcW w:w="9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(998)</w:t>
            </w:r>
          </w:p>
        </w:tc>
        <w:tc>
          <w:tcPr>
            <w:tcW w:w="0" w:type="dxa"/>
            <w:vAlign w:val="bottom"/>
          </w:tcPr>
          <w:p>
            <w:pPr>
              <w:spacing w:after="0"/>
              <w:rPr>
                <w:sz w:val="1"/>
                <w:szCs w:val="1"/>
                <w:color w:val="auto"/>
              </w:rPr>
            </w:pPr>
          </w:p>
        </w:tc>
      </w:tr>
      <w:tr>
        <w:trPr>
          <w:trHeight w:val="230"/>
        </w:trPr>
        <w:tc>
          <w:tcPr>
            <w:tcW w:w="4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At June 30, 2019 – Unaudited</w:t>
            </w:r>
          </w:p>
        </w:tc>
        <w:tc>
          <w:tcPr>
            <w:tcW w:w="400" w:type="dxa"/>
            <w:vAlign w:val="bottom"/>
            <w:tcBorders>
              <w:top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w w:val="96"/>
              </w:rPr>
              <w:t>294</w:t>
            </w:r>
          </w:p>
        </w:tc>
        <w:tc>
          <w:tcPr>
            <w:tcW w:w="160" w:type="dxa"/>
            <w:vAlign w:val="bottom"/>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121,684</w:t>
            </w:r>
          </w:p>
        </w:tc>
        <w:tc>
          <w:tcPr>
            <w:tcW w:w="220" w:type="dxa"/>
            <w:vAlign w:val="bottom"/>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58,004</w:t>
            </w:r>
          </w:p>
        </w:tc>
        <w:tc>
          <w:tcPr>
            <w:tcW w:w="220" w:type="dxa"/>
            <w:vAlign w:val="bottom"/>
          </w:tcPr>
          <w:p>
            <w:pPr>
              <w:spacing w:after="0"/>
              <w:rPr>
                <w:sz w:val="20"/>
                <w:szCs w:val="20"/>
                <w:color w:val="auto"/>
              </w:rPr>
            </w:pPr>
          </w:p>
        </w:tc>
        <w:tc>
          <w:tcPr>
            <w:tcW w:w="46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w w:val="93"/>
              </w:rPr>
              <w:t>7,000</w:t>
            </w:r>
          </w:p>
        </w:tc>
        <w:tc>
          <w:tcPr>
            <w:tcW w:w="160" w:type="dxa"/>
            <w:vAlign w:val="bottom"/>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(1,305)</w:t>
            </w:r>
          </w:p>
        </w:tc>
        <w:tc>
          <w:tcPr>
            <w:tcW w:w="220" w:type="dxa"/>
            <w:vAlign w:val="bottom"/>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(127,357)</w:t>
            </w:r>
          </w:p>
        </w:tc>
        <w:tc>
          <w:tcPr>
            <w:tcW w:w="220" w:type="dxa"/>
            <w:vAlign w:val="bottom"/>
          </w:tcPr>
          <w:p>
            <w:pPr>
              <w:spacing w:after="0"/>
              <w:rPr>
                <w:sz w:val="20"/>
                <w:szCs w:val="20"/>
                <w:color w:val="auto"/>
              </w:rPr>
            </w:pPr>
          </w:p>
        </w:tc>
        <w:tc>
          <w:tcPr>
            <w:tcW w:w="660" w:type="dxa"/>
            <w:vAlign w:val="bottom"/>
            <w:tcBorders>
              <w:top w:val="single" w:sz="8" w:color="auto"/>
              <w:bottom w:val="single" w:sz="8" w:color="auto"/>
            </w:tcBorders>
          </w:tcPr>
          <w:p>
            <w:pPr>
              <w:ind w:left="400"/>
              <w:spacing w:after="0"/>
              <w:rPr>
                <w:sz w:val="20"/>
                <w:szCs w:val="20"/>
                <w:color w:val="auto"/>
              </w:rPr>
            </w:pPr>
            <w:r>
              <w:rPr>
                <w:rFonts w:ascii="Times New Roman" w:cs="Times New Roman" w:eastAsia="Times New Roman" w:hAnsi="Times New Roman"/>
                <w:sz w:val="18"/>
                <w:szCs w:val="18"/>
                <w:b w:val="1"/>
                <w:bCs w:val="1"/>
                <w:color w:val="auto"/>
                <w:w w:val="88"/>
              </w:rPr>
              <w:t>711</w:t>
            </w:r>
          </w:p>
        </w:tc>
        <w:tc>
          <w:tcPr>
            <w:tcW w:w="220" w:type="dxa"/>
            <w:vAlign w:val="bottom"/>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59,031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for the period</w:t>
            </w:r>
          </w:p>
        </w:tc>
        <w:tc>
          <w:tcPr>
            <w:tcW w:w="5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(18,620)</w:t>
            </w:r>
          </w:p>
        </w:tc>
        <w:tc>
          <w:tcPr>
            <w:tcW w:w="88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(18,620)</w:t>
            </w: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5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(88)</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(1,210)</w:t>
            </w: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(1,298)</w:t>
            </w: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payments – share options</w:t>
            </w:r>
          </w:p>
        </w:tc>
        <w:tc>
          <w:tcPr>
            <w:tcW w:w="5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1,189</w:t>
            </w:r>
          </w:p>
        </w:tc>
        <w:tc>
          <w:tcPr>
            <w:tcW w:w="6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1,189</w:t>
            </w: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Share-based payments – LTIPS</w:t>
            </w:r>
          </w:p>
        </w:tc>
        <w:tc>
          <w:tcPr>
            <w:tcW w:w="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6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(46)</w:t>
            </w:r>
          </w:p>
        </w:tc>
        <w:tc>
          <w:tcPr>
            <w:tcW w:w="6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At December 31, 2019 – Audited</w:t>
            </w:r>
          </w:p>
        </w:tc>
        <w:tc>
          <w:tcPr>
            <w:tcW w:w="4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w w:val="96"/>
              </w:rPr>
              <w:t>294</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121,684</w:t>
            </w: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59,147</w:t>
            </w:r>
          </w:p>
        </w:tc>
        <w:tc>
          <w:tcPr>
            <w:tcW w:w="6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7,000</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(1,305)</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(146,065)</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(499)</w:t>
            </w: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40,256</w:t>
            </w:r>
          </w:p>
        </w:tc>
        <w:tc>
          <w:tcPr>
            <w:tcW w:w="0" w:type="dxa"/>
            <w:vAlign w:val="bottom"/>
          </w:tcPr>
          <w:p>
            <w:pPr>
              <w:spacing w:after="0"/>
              <w:rPr>
                <w:sz w:val="1"/>
                <w:szCs w:val="1"/>
                <w:color w:val="auto"/>
              </w:rPr>
            </w:pPr>
          </w:p>
        </w:tc>
      </w:tr>
      <w:tr>
        <w:trPr>
          <w:trHeight w:val="223"/>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Loss for the period</w:t>
            </w:r>
          </w:p>
        </w:tc>
        <w:tc>
          <w:tcPr>
            <w:tcW w:w="40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640" w:type="dxa"/>
            <w:vAlign w:val="bottom"/>
            <w:tcBorders>
              <w:top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560" w:type="dxa"/>
            <w:vAlign w:val="bottom"/>
            <w:tcBorders>
              <w:top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460" w:type="dxa"/>
            <w:vAlign w:val="bottom"/>
            <w:tcBorders>
              <w:top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(124,619)</w:t>
            </w:r>
          </w:p>
        </w:tc>
        <w:tc>
          <w:tcPr>
            <w:tcW w:w="220" w:type="dxa"/>
            <w:vAlign w:val="bottom"/>
          </w:tcPr>
          <w:p>
            <w:pPr>
              <w:spacing w:after="0"/>
              <w:rPr>
                <w:sz w:val="19"/>
                <w:szCs w:val="19"/>
                <w:color w:val="auto"/>
              </w:rPr>
            </w:pPr>
          </w:p>
        </w:tc>
        <w:tc>
          <w:tcPr>
            <w:tcW w:w="660" w:type="dxa"/>
            <w:vAlign w:val="bottom"/>
            <w:tcBorders>
              <w:top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(124,619)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5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1,324</w:t>
            </w: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1,327</w:t>
            </w: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Share-based payments – share options</w:t>
            </w:r>
          </w:p>
        </w:tc>
        <w:tc>
          <w:tcPr>
            <w:tcW w:w="5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1,061</w:t>
            </w:r>
          </w:p>
        </w:tc>
        <w:tc>
          <w:tcPr>
            <w:tcW w:w="6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1,061</w:t>
            </w: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payments – LTIPS</w:t>
            </w:r>
          </w:p>
        </w:tc>
        <w:tc>
          <w:tcPr>
            <w:tcW w:w="5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(150)</w:t>
            </w:r>
          </w:p>
        </w:tc>
        <w:tc>
          <w:tcPr>
            <w:tcW w:w="6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(150)</w:t>
            </w:r>
          </w:p>
        </w:tc>
        <w:tc>
          <w:tcPr>
            <w:tcW w:w="0" w:type="dxa"/>
            <w:vAlign w:val="bottom"/>
          </w:tcPr>
          <w:p>
            <w:pPr>
              <w:spacing w:after="0"/>
              <w:rPr>
                <w:sz w:val="1"/>
                <w:szCs w:val="1"/>
                <w:color w:val="auto"/>
              </w:rPr>
            </w:pPr>
          </w:p>
        </w:tc>
      </w:tr>
      <w:tr>
        <w:trPr>
          <w:trHeight w:val="198"/>
        </w:trPr>
        <w:tc>
          <w:tcPr>
            <w:tcW w:w="47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Issued on February 11, 2020 for Securities Purchase Agreement</w:t>
            </w: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with Aspire Capital</w:t>
            </w: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34</w:t>
            </w: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2,287</w:t>
            </w:r>
          </w:p>
        </w:tc>
        <w:tc>
          <w:tcPr>
            <w:tcW w:w="7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2,321</w:t>
            </w:r>
          </w:p>
        </w:tc>
        <w:tc>
          <w:tcPr>
            <w:tcW w:w="0" w:type="dxa"/>
            <w:vAlign w:val="bottom"/>
          </w:tcPr>
          <w:p>
            <w:pPr>
              <w:spacing w:after="0"/>
              <w:rPr>
                <w:sz w:val="1"/>
                <w:szCs w:val="1"/>
                <w:color w:val="auto"/>
              </w:rPr>
            </w:pPr>
          </w:p>
        </w:tc>
      </w:tr>
      <w:tr>
        <w:trPr>
          <w:trHeight w:val="198"/>
        </w:trPr>
        <w:tc>
          <w:tcPr>
            <w:tcW w:w="47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Issued on February 11, 2020 for Securities Purchase Agreement</w:t>
            </w:r>
          </w:p>
        </w:tc>
        <w:tc>
          <w:tcPr>
            <w:tcW w:w="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with Aspire Capital</w:t>
            </w: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w:t>
            </w:r>
          </w:p>
        </w:tc>
        <w:tc>
          <w:tcPr>
            <w:tcW w:w="86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224</w:t>
            </w:r>
          </w:p>
        </w:tc>
        <w:tc>
          <w:tcPr>
            <w:tcW w:w="78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233</w:t>
            </w: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Transaction costs on issuance of share capital</w:t>
            </w:r>
          </w:p>
        </w:tc>
        <w:tc>
          <w:tcPr>
            <w:tcW w:w="5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(147)</w:t>
            </w:r>
          </w:p>
        </w:tc>
        <w:tc>
          <w:tcPr>
            <w:tcW w:w="7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(147)</w:t>
            </w:r>
          </w:p>
        </w:tc>
        <w:tc>
          <w:tcPr>
            <w:tcW w:w="0" w:type="dxa"/>
            <w:vAlign w:val="bottom"/>
          </w:tcPr>
          <w:p>
            <w:pPr>
              <w:spacing w:after="0"/>
              <w:rPr>
                <w:sz w:val="1"/>
                <w:szCs w:val="1"/>
                <w:color w:val="auto"/>
              </w:rPr>
            </w:pPr>
          </w:p>
        </w:tc>
      </w:tr>
      <w:tr>
        <w:trPr>
          <w:trHeight w:val="198"/>
        </w:trPr>
        <w:tc>
          <w:tcPr>
            <w:tcW w:w="47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Issued on February 20, 2020 for Securities Purchase Agreement</w:t>
            </w:r>
          </w:p>
        </w:tc>
        <w:tc>
          <w:tcPr>
            <w:tcW w:w="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with Boxer Capital</w:t>
            </w: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37</w:t>
            </w: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2,267</w:t>
            </w:r>
          </w:p>
        </w:tc>
        <w:tc>
          <w:tcPr>
            <w:tcW w:w="78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2,304</w:t>
            </w:r>
          </w:p>
        </w:tc>
        <w:tc>
          <w:tcPr>
            <w:tcW w:w="0" w:type="dxa"/>
            <w:vAlign w:val="bottom"/>
          </w:tcPr>
          <w:p>
            <w:pPr>
              <w:spacing w:after="0"/>
              <w:rPr>
                <w:sz w:val="1"/>
                <w:szCs w:val="1"/>
                <w:color w:val="auto"/>
              </w:rPr>
            </w:pPr>
          </w:p>
        </w:tc>
      </w:tr>
      <w:tr>
        <w:trPr>
          <w:trHeight w:val="365"/>
        </w:trPr>
        <w:tc>
          <w:tcPr>
            <w:tcW w:w="47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15</w:t>
            </w: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66" w:right="439" w:bottom="1440" w:gutter="0" w:footer="0" w:header="0"/>
        </w:sectPr>
      </w:pPr>
    </w:p>
    <w:bookmarkStart w:id="23" w:name="page24"/>
    <w:bookmarkEnd w:id="2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Transaction costs on issuance of share capital</w:t>
            </w:r>
          </w:p>
        </w:tc>
        <w:tc>
          <w:tcPr>
            <w:tcW w:w="6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(31)</w:t>
            </w:r>
          </w:p>
        </w:tc>
        <w:tc>
          <w:tcPr>
            <w:tcW w:w="8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(31)</w:t>
            </w:r>
          </w:p>
        </w:tc>
      </w:tr>
      <w:tr>
        <w:trPr>
          <w:trHeight w:val="216"/>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Issued on June 4, 2020 private placement of ordinary shares</w:t>
            </w:r>
          </w:p>
        </w:tc>
        <w:tc>
          <w:tcPr>
            <w:tcW w:w="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267</w:t>
            </w: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15,244</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(2,125)</w:t>
            </w:r>
          </w:p>
        </w:tc>
        <w:tc>
          <w:tcPr>
            <w:tcW w:w="6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13,386</w:t>
            </w:r>
          </w:p>
        </w:tc>
      </w:tr>
      <w:tr>
        <w:trPr>
          <w:trHeight w:val="216"/>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Transaction costs on issuance of share capital</w:t>
            </w:r>
          </w:p>
        </w:tc>
        <w:tc>
          <w:tcPr>
            <w:tcW w:w="6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(1,129)</w:t>
            </w:r>
          </w:p>
        </w:tc>
        <w:tc>
          <w:tcPr>
            <w:tcW w:w="8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(1,129)</w:t>
            </w:r>
          </w:p>
        </w:tc>
      </w:tr>
      <w:tr>
        <w:trPr>
          <w:trHeight w:val="216"/>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Issued on June 30, 2020 for conversion of loan notes</w:t>
            </w:r>
          </w:p>
        </w:tc>
        <w:tc>
          <w:tcPr>
            <w:tcW w:w="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375</w:t>
            </w: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21,386</w:t>
            </w: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33,104</w:t>
            </w:r>
          </w:p>
        </w:tc>
        <w:tc>
          <w:tcPr>
            <w:tcW w:w="6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54,865</w:t>
            </w:r>
          </w:p>
        </w:tc>
      </w:tr>
      <w:tr>
        <w:trPr>
          <w:trHeight w:val="198"/>
        </w:trPr>
        <w:tc>
          <w:tcPr>
            <w:tcW w:w="52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Equity component of Novartis convertible loan instrument and related</w:t>
            </w: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4"/>
        </w:trPr>
        <w:tc>
          <w:tcPr>
            <w:tcW w:w="5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warrants</w:t>
            </w:r>
          </w:p>
        </w:tc>
        <w:tc>
          <w:tcPr>
            <w:tcW w:w="6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1,084</w:t>
            </w:r>
          </w:p>
        </w:tc>
        <w:tc>
          <w:tcPr>
            <w:tcW w:w="6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1,084</w:t>
            </w:r>
          </w:p>
        </w:tc>
      </w:tr>
      <w:tr>
        <w:trPr>
          <w:trHeight w:val="198"/>
        </w:trPr>
        <w:tc>
          <w:tcPr>
            <w:tcW w:w="52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Reclassification of the remaining Loan Note embedded derivative</w:t>
            </w: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4"/>
        </w:trPr>
        <w:tc>
          <w:tcPr>
            <w:tcW w:w="5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following the Resolutions passing</w:t>
            </w:r>
          </w:p>
        </w:tc>
        <w:tc>
          <w:tcPr>
            <w:tcW w:w="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33,481</w:t>
            </w:r>
          </w:p>
        </w:tc>
        <w:tc>
          <w:tcPr>
            <w:tcW w:w="6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33,481</w:t>
            </w:r>
          </w:p>
        </w:tc>
      </w:tr>
      <w:tr>
        <w:trPr>
          <w:trHeight w:val="27"/>
        </w:trPr>
        <w:tc>
          <w:tcPr>
            <w:tcW w:w="524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At June 20, 2020 – Unaudited</w:t>
            </w:r>
          </w:p>
        </w:tc>
        <w:tc>
          <w:tcPr>
            <w:tcW w:w="4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w w:val="98"/>
              </w:rPr>
              <w:t>1,016</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161,785</w:t>
            </w: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127,727</w:t>
            </w:r>
          </w:p>
        </w:tc>
        <w:tc>
          <w:tcPr>
            <w:tcW w:w="6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4,875</w:t>
            </w:r>
          </w:p>
        </w:tc>
        <w:tc>
          <w:tcPr>
            <w:tcW w:w="7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(1,305)</w:t>
            </w:r>
          </w:p>
        </w:tc>
        <w:tc>
          <w:tcPr>
            <w:tcW w:w="9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(270,681)</w:t>
            </w:r>
          </w:p>
        </w:tc>
        <w:tc>
          <w:tcPr>
            <w:tcW w:w="5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825</w:t>
            </w: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24,242</w:t>
            </w:r>
          </w:p>
        </w:tc>
      </w:tr>
      <w:tr>
        <w:trPr>
          <w:trHeight w:val="372"/>
        </w:trPr>
        <w:tc>
          <w:tcPr>
            <w:tcW w:w="5240" w:type="dxa"/>
            <w:vAlign w:val="bottom"/>
          </w:tcPr>
          <w:p>
            <w:pPr>
              <w:spacing w:after="0"/>
              <w:rPr>
                <w:sz w:val="24"/>
                <w:szCs w:val="24"/>
                <w:color w:val="auto"/>
              </w:rPr>
            </w:pPr>
          </w:p>
        </w:tc>
        <w:tc>
          <w:tcPr>
            <w:tcW w:w="460" w:type="dxa"/>
            <w:vAlign w:val="bottom"/>
            <w:tcBorders>
              <w:top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16</w:t>
            </w:r>
          </w:p>
        </w:tc>
        <w:tc>
          <w:tcPr>
            <w:tcW w:w="160" w:type="dxa"/>
            <w:vAlign w:val="bottom"/>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020"/>
          </w:cols>
          <w:pgMar w:left="440" w:top="288" w:right="4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Notes to the interim report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Corporate information</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These financial statements are the unaudited condensed interim consolidated financial statements of Mereo BioPharma Group plc and its subsidiaries (collectively, the “Group”) for the six months ended June 30, 2020 were authorised for issue by the Directors on September 28, 2020. Mereo BioPharma Group plc (the “Company” or the “parent”) is a public limited company incorporated and domiciled in the United Kingdom and whose shares are publicly traded on the AIM Market of the London Stock Exchange with a secondary listing of its American Depositary Receipts (ADR’s) on the Nasdaq Global Market.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registered office is located at Fourth Floor, 1 Cavendish Place, London W1G 0QF.</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Group is principally engaged in the research and development of novel pharmaceuticals.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Basis of preparation</w:t>
      </w:r>
    </w:p>
    <w:p>
      <w:pPr>
        <w:spacing w:after="0" w:line="121"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 xml:space="preserve">The interim condensed consolidated financial statements for the six-month period ended June 30, 2020 have been prepared in accordance with International Accounting Standards (IAS) 34 </w:t>
      </w:r>
      <w:r>
        <w:rPr>
          <w:rFonts w:ascii="Times New Roman" w:cs="Times New Roman" w:eastAsia="Times New Roman" w:hAnsi="Times New Roman"/>
          <w:sz w:val="18"/>
          <w:szCs w:val="18"/>
          <w:i w:val="1"/>
          <w:iCs w:val="1"/>
          <w:color w:val="auto"/>
        </w:rPr>
        <w:t>Interim Financial Reporting</w:t>
      </w:r>
      <w:r>
        <w:rPr>
          <w:rFonts w:ascii="Times New Roman" w:cs="Times New Roman" w:eastAsia="Times New Roman" w:hAnsi="Times New Roman"/>
          <w:sz w:val="18"/>
          <w:szCs w:val="18"/>
          <w:color w:val="auto"/>
        </w:rPr>
        <w:t>. They do not include all the information required for a complete set of IFRS financial statements. However, selected explanatory notes are included to explain events and transactions that are significant to an understanding of the changes in the Group since the most recent annual financial statements (December 31, 2019). For comparative purposes a consolidated balance sheet as at June 30, 2019 has also been presented. The financial information is presented in Sterling.</w:t>
      </w:r>
    </w:p>
    <w:p>
      <w:pPr>
        <w:spacing w:after="0" w:line="183"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The accounting policies adopted in the preparation of the interim condensed consolidated financial statements are consistent with those followed in the preparation of the Group’s consolidated financial statements for the year ended December 31, 2019. As a result of a new transaction during the period additional accounting policies have been applied and are disclosed below.</w:t>
      </w:r>
    </w:p>
    <w:p>
      <w:pPr>
        <w:spacing w:after="0" w:line="176"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These condensed interim financial statements are unaudited and do not constitute statutory accounts of the Group as defined in section 434 of the Companies Act 2006.</w:t>
      </w:r>
    </w:p>
    <w:p>
      <w:pPr>
        <w:spacing w:after="0" w:line="16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financial information for the year ended December 31, 2019 has been extracted from the Group’s published financial statements for that year, and a copy of the statutory accounts for that financial year has been delivered to the Registrar of Companies. The auditors reported on those accounts and their report was unqualified, did not draw attention to any matters by way of emphasis and did not contain a statement under section 498(2) or (3) of the Companies Act 2006.</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Classification as debt or equity</w:t>
      </w:r>
    </w:p>
    <w:p>
      <w:pPr>
        <w:spacing w:after="0" w:line="11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Debt and equity instruments are classified as either financial liabilities or as equity in accordance with the substance of the contractual arrangements and the definitions of a financial liability and an equity instrument.</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Embedded derivatives</w:t>
      </w:r>
    </w:p>
    <w:p>
      <w:pPr>
        <w:spacing w:after="0" w:line="11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An embedded derivative is a component of a hybrid contract that also includes a non-derivative host with the effect that some of the cash flows of the combined instrument vary in a way similar to a stand-alone derivative. Derivatives embedded in hybrid contracts with hosts that are not financial assets within the scope of IFRS 9 (e.g. financial liabilities) are treated as separate derivatives when they meet the definition of a derivative, their risks and characteristics are not closely related to those of the host contracts and the host contracts are not measured at FVTPL.</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Revision of previously issued financial statements</w:t>
      </w:r>
    </w:p>
    <w:p>
      <w:pPr>
        <w:spacing w:after="0" w:line="12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We have identified a classification error in our unaudited interim statement of comprehensive loss for the period ended June 30, 2019 related to loan modification gain. In correcting the error, administrative expenses increased by £0.5 million and finance charges decreased by an equivalent amount. There was no impact on net loss. We evaluated the materiality of the error quantitatively and qualitatively and concluded it was not material to our previously issued interim condensed consolidated financial statements as a whole for the period ended and as of June 30, 2019. Please refer to Financial statement note 6b.</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Segmental information</w:t>
      </w:r>
    </w:p>
    <w:p>
      <w:pPr>
        <w:spacing w:after="0" w:line="121"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Management views the business as a single portfolio of product candidates. Only R&amp;D expenses are monitored at a product candidate level, however, the Chief Operating Decision Maker (CODM) makes decisions over resource allocation at an overall portfolio level. The Group’s financing is managed and monitored on a consolidated basis. All non-current assets held by the Group are located in the U.K. and U.S.</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980"/>
          </w:cols>
          <w:pgMar w:left="440" w:top="266" w:right="479" w:bottom="1440" w:gutter="0" w:footer="0" w:header="0"/>
        </w:sectPr>
      </w:pPr>
    </w:p>
    <w:bookmarkStart w:id="25" w:name="page26"/>
    <w:bookmarkEnd w:id="25"/>
    <w:p>
      <w:pPr>
        <w:ind w:right="6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Group’s CODM is the executive management team (comprised of the Chief Executive Officer, Interim Chief Financial Officer, Chief Medical Officer, General Counsel, the Head of Corporate Development and the Head of Patient Access and Commercial Planning) which manages the operating results of the business.</w:t>
      </w:r>
    </w:p>
    <w:p>
      <w:pPr>
        <w:spacing w:after="0" w:line="176"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The operations of the Group are not prone to seasonal or cyclical variations. The operations of the Group are mostly influenced by the timing of progression on underlying clinical development programmes across product candidates which remain under development.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Going Concern</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These consolidated condensed interim financial statements have been prepared on a going concern basis, which contemplates the realisation of assets and the payment of liabilities in the ordinary course of business. The Group incurred net losses of £124.6 million and £16.2 million for the six month period ended 30 June 2020 and 30 June 2019 respectively. As at 30 June 2020, the Group had total cash resources of £56.8 million and net current assets of £44.4 million.</w:t>
      </w:r>
    </w:p>
    <w:p>
      <w:pPr>
        <w:spacing w:after="0" w:line="180"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As part of the going concern review, the Directors have considered the funding requirements of the Group through consideration of the Group’s current business plan and the preparation of detailed cash flow forecasts. The going concern review prepared by the Directors extends through to 2022 from the date of approval of these consolidated interim financial statements.</w:t>
      </w:r>
    </w:p>
    <w:p>
      <w:pPr>
        <w:spacing w:after="0" w:line="176"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In preparing these forecasts the Directors have considered the impact of COVID-19 and in particular the unprecedented burden on health systems in impacted countries around the world. As a result, clinical centres have diverted resources away from the performance of clinical trials and because of that and the vulnerability of patients in the Company’s setrusumab clinical development program for osteogenesis imperfecta (OI) and its Phase 2 alvelestat program for patients with alpha-1 antitrypsin deficiency (AATD), the Company’s clinical activities will face some delays. AATD patients, in particular, are at greater risk from COVID-19 given that the condition is a respiratory and lung condition, for this reason, our Phase 2 alvelestat trial will be delayed with topline data now expected in the second half of 2021. We are also currently planning to initiate a Phase 3 study in children with OI once a partnership has been concluded.</w:t>
      </w:r>
    </w:p>
    <w:p>
      <w:pPr>
        <w:spacing w:after="0" w:line="18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In addition, the Directors have considered a downside scenario involving an increase in operating overheads, an increase in the costs of setting up and running the planned Phase 1b study for etiligimab when this study is contracted out to third parties and increased investment in manufacturing development costs for setrusumab. In addition, in this scenario the forecasts also indicate that the Group will have sufficient funds to meet its liabilities as they fall due for at least the next 12 months.</w:t>
      </w:r>
    </w:p>
    <w:p>
      <w:pPr>
        <w:spacing w:after="0" w:line="180"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In both scenarios the Directors have not taken into account potential income from partnering one or more of its assets which would increase the cash resources available to the Group.</w:t>
      </w:r>
    </w:p>
    <w:p>
      <w:pPr>
        <w:spacing w:after="0" w:line="162"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In conclusion, although the Group continues to make losses, the directors believe it is appropriate to prepare the financial information on the going concern basis. This is because the Group’s development into new products continues to progress according to plan and the funding secured to date will allow it to meet its liabilities as they fall due for at least 12 months from the date of authorization for the issue of these consolidated condensed interim financial statements.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Significant accounting estimates and judgments</w:t>
      </w:r>
    </w:p>
    <w:p>
      <w:pPr>
        <w:spacing w:after="0" w:line="121"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The preparation of these financial statements requires the management of the Company to make estimates and judgments that affect the reported amounts of assets, liabilities, revenues and expenses. The Company bases its estimates and judgments on historical experience and on various other assumptions that it considers to be reasonable. Actual results may differ from these estimates under different assumptions or conditions.</w:t>
      </w:r>
    </w:p>
    <w:p>
      <w:pPr>
        <w:spacing w:after="0" w:line="176"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significant accounting estimates and judgments adopted in the preparation of the interim condensed consolidated financial statements are consistent with those followed in the preparation of the Company’s consolidated financial statements for the year ended December 31, 2019, with the addition of those disclosed below as a result of the private placement detailed in Note 5.</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Judgments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Identification and classification of financial instruments from the private placement</w:t>
      </w:r>
    </w:p>
    <w:p>
      <w:pPr>
        <w:spacing w:after="0" w:line="11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On June 3, 2020 (the transaction date), the Company completed a private placement (Note 5) which comprised the issue of Ordinary Shares, Loan Notes and Warrants. Judgment is applied under IAS 32 (Financial instruments: Presentation) in determining the features of the identified financial instruments on both the transaction date and the date of the General Meeting at which Resolutions relating to the private placement were voted on by the Shareholders, to determine the appropriate recognition in accordance with IAS 32. In applying this judgment, Management considered the probability of passing the Resolutions at the General Meeting and the likelihood of a change of control prior to the passing of the Resolutions, which impact the settlement terms of the financial instruments, and the classification of the financial instruments as liabilities or equity. Management concluded that a change of control event is uncertain and outside of the Company’s control, and therefore the conversion feature on the Loan Notes at transaction date represents a financial liability with an embedded derivative for the conversion option. On the passing of the Resolutions, judgment was applied to determine that the effective terms of the Loans Notes changed, and Management elected to reclassify the embedded derivative financial liability representing the conversion option to equity at its fair value, with no gain or loss in profit or loss at the date of reclassification.</w:t>
      </w:r>
    </w:p>
    <w:p>
      <w:pPr>
        <w:sectPr>
          <w:pgSz w:w="11900" w:h="16838" w:orient="portrait"/>
          <w:cols w:equalWidth="0" w:num="1">
            <w:col w:w="10980"/>
          </w:cols>
          <w:pgMar w:left="440" w:top="270" w:right="479" w:bottom="1440" w:gutter="0" w:footer="0" w:header="0"/>
        </w:sectPr>
      </w:pPr>
    </w:p>
    <w:p>
      <w:pPr>
        <w:spacing w:after="0" w:line="1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0980"/>
          </w:cols>
          <w:pgMar w:left="440" w:top="270" w:right="479" w:bottom="1440" w:gutter="0" w:footer="0" w:header="0"/>
          <w:type w:val="continuous"/>
        </w:sectPr>
      </w:pPr>
    </w:p>
    <w:bookmarkStart w:id="26" w:name="page27"/>
    <w:bookmarkEnd w:id="26"/>
    <w:p>
      <w:pPr>
        <w:spacing w:after="0"/>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Estimates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Fair value of private placement financial instruments</w:t>
      </w:r>
    </w:p>
    <w:p>
      <w:pPr>
        <w:spacing w:after="0" w:line="11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As part of the private placement (Note 5) the Group performed a valuation of the fair value of the identified financial instruments on the transaction date and the General Meeting date. For qualifying instruments, the fair value is reassessed at each balance sheet date. Specific consideration was applied to the estimation of implied share price on the transaction date, the volatility, credit spread and discount rate.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Finance charges and fair value movement on financial instruments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Finance charges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1400" w:type="dxa"/>
            <w:vAlign w:val="bottom"/>
            <w:gridSpan w:val="3"/>
          </w:tcPr>
          <w:p>
            <w:pPr>
              <w:ind w:left="460"/>
              <w:spacing w:after="0"/>
              <w:rPr>
                <w:sz w:val="20"/>
                <w:szCs w:val="20"/>
                <w:color w:val="auto"/>
              </w:rPr>
            </w:pPr>
            <w:r>
              <w:rPr>
                <w:rFonts w:ascii="Times New Roman" w:cs="Times New Roman" w:eastAsia="Times New Roman" w:hAnsi="Times New Roman"/>
                <w:sz w:val="14"/>
                <w:szCs w:val="14"/>
                <w:b w:val="1"/>
                <w:bCs w:val="1"/>
                <w:color w:val="auto"/>
              </w:rPr>
              <w:t>Six months</w:t>
            </w:r>
          </w:p>
        </w:tc>
        <w:tc>
          <w:tcPr>
            <w:tcW w:w="1280" w:type="dxa"/>
            <w:vAlign w:val="bottom"/>
            <w:gridSpan w:val="6"/>
          </w:tcPr>
          <w:p>
            <w:pPr>
              <w:jc w:val="center"/>
              <w:ind w:right="260"/>
              <w:spacing w:after="0"/>
              <w:rPr>
                <w:sz w:val="20"/>
                <w:szCs w:val="20"/>
                <w:color w:val="auto"/>
              </w:rPr>
            </w:pPr>
            <w:r>
              <w:rPr>
                <w:rFonts w:ascii="Times New Roman" w:cs="Times New Roman" w:eastAsia="Times New Roman" w:hAnsi="Times New Roman"/>
                <w:sz w:val="14"/>
                <w:szCs w:val="14"/>
                <w:color w:val="auto"/>
              </w:rPr>
              <w:t>Six months</w:t>
            </w:r>
          </w:p>
        </w:tc>
        <w:tc>
          <w:tcPr>
            <w:tcW w:w="40" w:type="dxa"/>
            <w:vAlign w:val="bottom"/>
          </w:tcPr>
          <w:p>
            <w:pPr>
              <w:spacing w:after="0"/>
              <w:rPr>
                <w:sz w:val="13"/>
                <w:szCs w:val="13"/>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Year ended</w:t>
            </w:r>
          </w:p>
        </w:tc>
        <w:tc>
          <w:tcPr>
            <w:tcW w:w="0" w:type="dxa"/>
            <w:vAlign w:val="bottom"/>
          </w:tcPr>
          <w:p>
            <w:pPr>
              <w:spacing w:after="0"/>
              <w:rPr>
                <w:sz w:val="1"/>
                <w:szCs w:val="1"/>
                <w:color w:val="auto"/>
              </w:rPr>
            </w:pPr>
          </w:p>
        </w:tc>
      </w:tr>
      <w:tr>
        <w:trPr>
          <w:trHeight w:val="148"/>
        </w:trPr>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to June 30,</w:t>
            </w:r>
          </w:p>
        </w:tc>
        <w:tc>
          <w:tcPr>
            <w:tcW w:w="180" w:type="dxa"/>
            <w:vAlign w:val="bottom"/>
          </w:tcPr>
          <w:p>
            <w:pPr>
              <w:spacing w:after="0"/>
              <w:rPr>
                <w:sz w:val="12"/>
                <w:szCs w:val="12"/>
                <w:color w:val="auto"/>
              </w:rPr>
            </w:pPr>
          </w:p>
        </w:tc>
        <w:tc>
          <w:tcPr>
            <w:tcW w:w="1100" w:type="dxa"/>
            <w:vAlign w:val="bottom"/>
            <w:gridSpan w:val="5"/>
          </w:tcPr>
          <w:p>
            <w:pPr>
              <w:jc w:val="center"/>
              <w:ind w:right="440"/>
              <w:spacing w:after="0" w:line="149" w:lineRule="exact"/>
              <w:rPr>
                <w:sz w:val="20"/>
                <w:szCs w:val="20"/>
                <w:color w:val="auto"/>
              </w:rPr>
            </w:pPr>
            <w:r>
              <w:rPr>
                <w:rFonts w:ascii="Times New Roman" w:cs="Times New Roman" w:eastAsia="Times New Roman" w:hAnsi="Times New Roman"/>
                <w:sz w:val="14"/>
                <w:szCs w:val="14"/>
                <w:color w:val="auto"/>
              </w:rPr>
              <w:t>to June 30,</w:t>
            </w:r>
          </w:p>
        </w:tc>
        <w:tc>
          <w:tcPr>
            <w:tcW w:w="940" w:type="dxa"/>
            <w:vAlign w:val="bottom"/>
            <w:gridSpan w:val="3"/>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December 31,</w:t>
            </w:r>
          </w:p>
        </w:tc>
        <w:tc>
          <w:tcPr>
            <w:tcW w:w="0" w:type="dxa"/>
            <w:vAlign w:val="bottom"/>
          </w:tcPr>
          <w:p>
            <w:pPr>
              <w:spacing w:after="0"/>
              <w:rPr>
                <w:sz w:val="1"/>
                <w:szCs w:val="1"/>
                <w:color w:val="auto"/>
              </w:rPr>
            </w:pPr>
          </w:p>
        </w:tc>
      </w:tr>
      <w:tr>
        <w:trPr>
          <w:trHeight w:val="148"/>
        </w:trPr>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1140" w:type="dxa"/>
            <w:vAlign w:val="bottom"/>
            <w:gridSpan w:val="2"/>
          </w:tcPr>
          <w:p>
            <w:pPr>
              <w:jc w:val="right"/>
              <w:ind w:right="118"/>
              <w:spacing w:after="0" w:line="149" w:lineRule="exact"/>
              <w:rPr>
                <w:sz w:val="20"/>
                <w:szCs w:val="20"/>
                <w:color w:val="auto"/>
              </w:rPr>
            </w:pPr>
            <w:r>
              <w:rPr>
                <w:rFonts w:ascii="Times New Roman" w:cs="Times New Roman" w:eastAsia="Times New Roman" w:hAnsi="Times New Roman"/>
                <w:sz w:val="14"/>
                <w:szCs w:val="14"/>
                <w:b w:val="1"/>
                <w:bCs w:val="1"/>
                <w:color w:val="auto"/>
              </w:rPr>
              <w:t>2020</w:t>
            </w:r>
          </w:p>
        </w:tc>
        <w:tc>
          <w:tcPr>
            <w:tcW w:w="260" w:type="dxa"/>
            <w:vAlign w:val="bottom"/>
          </w:tcPr>
          <w:p>
            <w:pPr>
              <w:spacing w:after="0"/>
              <w:rPr>
                <w:sz w:val="12"/>
                <w:szCs w:val="12"/>
                <w:color w:val="auto"/>
              </w:rPr>
            </w:pPr>
          </w:p>
        </w:tc>
        <w:tc>
          <w:tcPr>
            <w:tcW w:w="860" w:type="dxa"/>
            <w:vAlign w:val="bottom"/>
            <w:gridSpan w:val="3"/>
          </w:tcPr>
          <w:p>
            <w:pPr>
              <w:jc w:val="right"/>
              <w:ind w:right="115"/>
              <w:spacing w:after="0" w:line="149" w:lineRule="exact"/>
              <w:rPr>
                <w:sz w:val="20"/>
                <w:szCs w:val="20"/>
                <w:color w:val="auto"/>
              </w:rPr>
            </w:pPr>
            <w:r>
              <w:rPr>
                <w:rFonts w:ascii="Times New Roman" w:cs="Times New Roman" w:eastAsia="Times New Roman" w:hAnsi="Times New Roman"/>
                <w:sz w:val="14"/>
                <w:szCs w:val="14"/>
                <w:color w:val="auto"/>
              </w:rPr>
              <w:t>2019</w:t>
            </w: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gridSpan w:val="2"/>
          </w:tcPr>
          <w:p>
            <w:pPr>
              <w:jc w:val="right"/>
              <w:ind w:right="177"/>
              <w:spacing w:after="0" w:line="149" w:lineRule="exact"/>
              <w:rPr>
                <w:sz w:val="20"/>
                <w:szCs w:val="20"/>
                <w:color w:val="auto"/>
              </w:rPr>
            </w:pPr>
            <w:r>
              <w:rPr>
                <w:rFonts w:ascii="Times New Roman" w:cs="Times New Roman" w:eastAsia="Times New Roman" w:hAnsi="Times New Roman"/>
                <w:sz w:val="14"/>
                <w:szCs w:val="14"/>
                <w:color w:val="auto"/>
              </w:rPr>
              <w:t>2019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180" w:type="dxa"/>
            <w:vAlign w:val="bottom"/>
          </w:tcPr>
          <w:p>
            <w:pPr>
              <w:spacing w:after="0"/>
              <w:rPr>
                <w:sz w:val="12"/>
                <w:szCs w:val="12"/>
                <w:color w:val="auto"/>
              </w:rPr>
            </w:pPr>
          </w:p>
        </w:tc>
        <w:tc>
          <w:tcPr>
            <w:tcW w:w="1100" w:type="dxa"/>
            <w:vAlign w:val="bottom"/>
            <w:gridSpan w:val="5"/>
          </w:tcPr>
          <w:p>
            <w:pPr>
              <w:jc w:val="center"/>
              <w:ind w:right="420"/>
              <w:spacing w:after="0" w:line="149" w:lineRule="exact"/>
              <w:rPr>
                <w:sz w:val="20"/>
                <w:szCs w:val="20"/>
                <w:color w:val="auto"/>
              </w:rPr>
            </w:pPr>
            <w:r>
              <w:rPr>
                <w:rFonts w:ascii="Times New Roman" w:cs="Times New Roman" w:eastAsia="Times New Roman" w:hAnsi="Times New Roman"/>
                <w:sz w:val="14"/>
                <w:szCs w:val="14"/>
                <w:color w:val="auto"/>
              </w:rPr>
              <w:t>Unaudited</w:t>
            </w:r>
          </w:p>
        </w:tc>
        <w:tc>
          <w:tcPr>
            <w:tcW w:w="40" w:type="dxa"/>
            <w:vAlign w:val="bottom"/>
          </w:tcPr>
          <w:p>
            <w:pPr>
              <w:spacing w:after="0"/>
              <w:rPr>
                <w:sz w:val="12"/>
                <w:szCs w:val="12"/>
                <w:color w:val="auto"/>
              </w:rPr>
            </w:pPr>
          </w:p>
        </w:tc>
        <w:tc>
          <w:tcPr>
            <w:tcW w:w="90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Audited</w:t>
            </w:r>
          </w:p>
        </w:tc>
        <w:tc>
          <w:tcPr>
            <w:tcW w:w="0" w:type="dxa"/>
            <w:vAlign w:val="bottom"/>
          </w:tcPr>
          <w:p>
            <w:pPr>
              <w:spacing w:after="0"/>
              <w:rPr>
                <w:sz w:val="1"/>
                <w:szCs w:val="1"/>
                <w:color w:val="auto"/>
              </w:rPr>
            </w:pPr>
          </w:p>
        </w:tc>
      </w:tr>
      <w:tr>
        <w:trPr>
          <w:trHeight w:val="173"/>
        </w:trPr>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27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£’000</w:t>
            </w:r>
          </w:p>
        </w:tc>
        <w:tc>
          <w:tcPr>
            <w:tcW w:w="180" w:type="dxa"/>
            <w:vAlign w:val="bottom"/>
          </w:tcPr>
          <w:p>
            <w:pPr>
              <w:spacing w:after="0"/>
              <w:rPr>
                <w:sz w:val="15"/>
                <w:szCs w:val="15"/>
                <w:color w:val="auto"/>
              </w:rPr>
            </w:pPr>
          </w:p>
        </w:tc>
        <w:tc>
          <w:tcPr>
            <w:tcW w:w="1100" w:type="dxa"/>
            <w:vAlign w:val="bottom"/>
            <w:gridSpan w:val="5"/>
          </w:tcPr>
          <w:p>
            <w:pPr>
              <w:jc w:val="center"/>
              <w:ind w:right="440"/>
              <w:spacing w:after="0"/>
              <w:rPr>
                <w:sz w:val="20"/>
                <w:szCs w:val="20"/>
                <w:color w:val="auto"/>
              </w:rPr>
            </w:pPr>
            <w:r>
              <w:rPr>
                <w:rFonts w:ascii="Times New Roman" w:cs="Times New Roman" w:eastAsia="Times New Roman" w:hAnsi="Times New Roman"/>
                <w:sz w:val="14"/>
                <w:szCs w:val="14"/>
                <w:color w:val="auto"/>
              </w:rPr>
              <w:t>£’000</w:t>
            </w:r>
          </w:p>
        </w:tc>
        <w:tc>
          <w:tcPr>
            <w:tcW w:w="40" w:type="dxa"/>
            <w:vAlign w:val="bottom"/>
          </w:tcPr>
          <w:p>
            <w:pPr>
              <w:spacing w:after="0"/>
              <w:rPr>
                <w:sz w:val="15"/>
                <w:szCs w:val="15"/>
                <w:color w:val="auto"/>
              </w:rPr>
            </w:pPr>
          </w:p>
        </w:tc>
        <w:tc>
          <w:tcPr>
            <w:tcW w:w="9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color w:val="auto"/>
              </w:rPr>
              <w:t>£’000</w:t>
            </w:r>
          </w:p>
        </w:tc>
        <w:tc>
          <w:tcPr>
            <w:tcW w:w="0" w:type="dxa"/>
            <w:vAlign w:val="bottom"/>
          </w:tcPr>
          <w:p>
            <w:pPr>
              <w:spacing w:after="0"/>
              <w:rPr>
                <w:sz w:val="1"/>
                <w:szCs w:val="1"/>
                <w:color w:val="auto"/>
              </w:rPr>
            </w:pPr>
          </w:p>
        </w:tc>
      </w:tr>
      <w:tr>
        <w:trPr>
          <w:trHeight w:val="210"/>
        </w:trPr>
        <w:tc>
          <w:tcPr>
            <w:tcW w:w="880" w:type="dxa"/>
            <w:vAlign w:val="bottom"/>
          </w:tcPr>
          <w:p>
            <w:pPr>
              <w:spacing w:after="0"/>
              <w:rPr>
                <w:sz w:val="18"/>
                <w:szCs w:val="18"/>
                <w:color w:val="auto"/>
              </w:rPr>
            </w:pPr>
          </w:p>
        </w:tc>
        <w:tc>
          <w:tcPr>
            <w:tcW w:w="5640" w:type="dxa"/>
            <w:vAlign w:val="bottom"/>
            <w:tcBorders>
              <w:top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on convertible loan</w:t>
            </w:r>
          </w:p>
        </w:tc>
        <w:tc>
          <w:tcPr>
            <w:tcW w:w="4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(183)</w:t>
            </w:r>
          </w:p>
        </w:tc>
        <w:tc>
          <w:tcPr>
            <w:tcW w:w="2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3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right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6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Interest on private placement loan note</w:t>
            </w:r>
          </w:p>
        </w:tc>
        <w:tc>
          <w:tcPr>
            <w:tcW w:w="14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(423)</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6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on TAP funding</w:t>
            </w:r>
          </w:p>
        </w:tc>
        <w:tc>
          <w:tcPr>
            <w:tcW w:w="4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6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Interest on bank loan</w:t>
            </w:r>
          </w:p>
        </w:tc>
        <w:tc>
          <w:tcPr>
            <w:tcW w:w="14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(581)</w:t>
            </w:r>
          </w:p>
        </w:tc>
        <w:tc>
          <w:tcPr>
            <w:tcW w:w="1220" w:type="dxa"/>
            <w:vAlign w:val="bottom"/>
            <w:gridSpan w:val="4"/>
          </w:tcPr>
          <w:p>
            <w:pPr>
              <w:jc w:val="right"/>
              <w:ind w:right="320"/>
              <w:spacing w:after="0"/>
              <w:rPr>
                <w:sz w:val="20"/>
                <w:szCs w:val="20"/>
                <w:color w:val="auto"/>
              </w:rPr>
            </w:pPr>
            <w:r>
              <w:rPr>
                <w:rFonts w:ascii="Times New Roman" w:cs="Times New Roman" w:eastAsia="Times New Roman" w:hAnsi="Times New Roman"/>
                <w:sz w:val="18"/>
                <w:szCs w:val="18"/>
                <w:color w:val="auto"/>
              </w:rPr>
              <w:t>(1,607)</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(1,739)</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6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on lease liabilities</w:t>
            </w:r>
          </w:p>
        </w:tc>
        <w:tc>
          <w:tcPr>
            <w:tcW w:w="14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(873)</w:t>
            </w:r>
          </w:p>
        </w:tc>
        <w:tc>
          <w:tcPr>
            <w:tcW w:w="1220" w:type="dxa"/>
            <w:vAlign w:val="bottom"/>
            <w:gridSpan w:val="4"/>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(428)</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(1,314)</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6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Accreted interest on bank loan</w:t>
            </w:r>
          </w:p>
        </w:tc>
        <w:tc>
          <w:tcPr>
            <w:tcW w:w="14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(753)</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(1,523)</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6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Modification gain on bank loan</w:t>
            </w:r>
          </w:p>
        </w:tc>
        <w:tc>
          <w:tcPr>
            <w:tcW w:w="4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w:t>
            </w: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6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Discounting of provision for deferred cash consideration</w:t>
            </w:r>
          </w:p>
        </w:tc>
        <w:tc>
          <w:tcPr>
            <w:tcW w:w="14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(111)</w:t>
            </w:r>
          </w:p>
        </w:tc>
        <w:tc>
          <w:tcPr>
            <w:tcW w:w="1220" w:type="dxa"/>
            <w:vAlign w:val="bottom"/>
            <w:gridSpan w:val="4"/>
          </w:tcPr>
          <w:p>
            <w:pPr>
              <w:jc w:val="right"/>
              <w:ind w:right="320"/>
              <w:spacing w:after="0"/>
              <w:rPr>
                <w:sz w:val="20"/>
                <w:szCs w:val="20"/>
                <w:color w:val="auto"/>
              </w:rPr>
            </w:pPr>
            <w:r>
              <w:rPr>
                <w:rFonts w:ascii="Times New Roman" w:cs="Times New Roman" w:eastAsia="Times New Roman" w:hAnsi="Times New Roman"/>
                <w:sz w:val="18"/>
                <w:szCs w:val="18"/>
                <w:color w:val="auto"/>
              </w:rPr>
              <w:t>(179)</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(221)</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6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warrant fair value</w:t>
            </w:r>
          </w:p>
        </w:tc>
        <w:tc>
          <w:tcPr>
            <w:tcW w:w="14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(53)</w:t>
            </w:r>
          </w:p>
        </w:tc>
        <w:tc>
          <w:tcPr>
            <w:tcW w:w="8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w:t>
            </w: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6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Changes in the fair value of the embedded derivative</w:t>
            </w:r>
          </w:p>
        </w:tc>
        <w:tc>
          <w:tcPr>
            <w:tcW w:w="14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(63,158)</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6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the fair value of warrants in connection to private placement</w:t>
            </w:r>
          </w:p>
        </w:tc>
        <w:tc>
          <w:tcPr>
            <w:tcW w:w="14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(31,493)</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right w:val="single" w:sz="8" w:color="CCEEFF"/>
            </w:tcBorders>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6520" w:type="dxa"/>
            <w:vAlign w:val="bottom"/>
            <w:gridSpan w:val="4"/>
          </w:tcPr>
          <w:p>
            <w:pPr>
              <w:ind w:left="880"/>
              <w:spacing w:after="0"/>
              <w:rPr>
                <w:sz w:val="20"/>
                <w:szCs w:val="20"/>
                <w:color w:val="auto"/>
              </w:rPr>
            </w:pPr>
            <w:r>
              <w:rPr>
                <w:rFonts w:ascii="Times New Roman" w:cs="Times New Roman" w:eastAsia="Times New Roman" w:hAnsi="Times New Roman"/>
                <w:sz w:val="18"/>
                <w:szCs w:val="18"/>
                <w:color w:val="auto"/>
              </w:rPr>
              <w:t>Total finance charge</w:t>
            </w:r>
          </w:p>
        </w:tc>
        <w:tc>
          <w:tcPr>
            <w:tcW w:w="46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(97,628)</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(998)</w:t>
            </w: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(3,496)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2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b w:val="1"/>
                <w:bCs w:val="1"/>
                <w:color w:val="auto"/>
              </w:rPr>
              <w:t>4. Intangible assets</w:t>
            </w:r>
          </w:p>
        </w:tc>
        <w:tc>
          <w:tcPr>
            <w:tcW w:w="4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6520" w:type="dxa"/>
            <w:vAlign w:val="bottom"/>
            <w:gridSpan w:val="4"/>
            <w:vMerge w:val="continue"/>
          </w:tcPr>
          <w:p>
            <w:pPr>
              <w:spacing w:after="0"/>
              <w:rPr>
                <w:sz w:val="24"/>
                <w:szCs w:val="24"/>
                <w:color w:val="auto"/>
              </w:rPr>
            </w:pPr>
          </w:p>
        </w:tc>
        <w:tc>
          <w:tcPr>
            <w:tcW w:w="4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8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gridSpan w:val="4"/>
          </w:tcPr>
          <w:p>
            <w:pPr>
              <w:ind w:left="100"/>
              <w:spacing w:after="0"/>
              <w:rPr>
                <w:sz w:val="20"/>
                <w:szCs w:val="20"/>
                <w:color w:val="auto"/>
              </w:rPr>
            </w:pPr>
            <w:r>
              <w:rPr>
                <w:rFonts w:ascii="Times New Roman" w:cs="Times New Roman" w:eastAsia="Times New Roman" w:hAnsi="Times New Roman"/>
                <w:sz w:val="14"/>
                <w:szCs w:val="14"/>
                <w:color w:val="auto"/>
              </w:rPr>
              <w:t>Acquired</w:t>
            </w: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gridSpan w:val="4"/>
          </w:tcPr>
          <w:p>
            <w:pPr>
              <w:spacing w:after="0" w:line="149" w:lineRule="exact"/>
              <w:rPr>
                <w:sz w:val="20"/>
                <w:szCs w:val="20"/>
                <w:color w:val="auto"/>
              </w:rPr>
            </w:pPr>
            <w:r>
              <w:rPr>
                <w:rFonts w:ascii="Times New Roman" w:cs="Times New Roman" w:eastAsia="Times New Roman" w:hAnsi="Times New Roman"/>
                <w:sz w:val="14"/>
                <w:szCs w:val="14"/>
                <w:color w:val="auto"/>
              </w:rPr>
              <w:t>development</w:t>
            </w: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880" w:type="dxa"/>
            <w:vAlign w:val="bottom"/>
            <w:vMerge w:val="restart"/>
          </w:tcPr>
          <w:p>
            <w:pPr>
              <w:spacing w:after="0"/>
              <w:rPr>
                <w:sz w:val="12"/>
                <w:szCs w:val="12"/>
                <w:color w:val="auto"/>
              </w:rPr>
            </w:pPr>
          </w:p>
        </w:tc>
        <w:tc>
          <w:tcPr>
            <w:tcW w:w="20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At December 31, 2019 – Audited</w:t>
            </w:r>
          </w:p>
        </w:tc>
        <w:tc>
          <w:tcPr>
            <w:tcW w:w="2760" w:type="dxa"/>
            <w:vAlign w:val="bottom"/>
            <w:vMerge w:val="restart"/>
          </w:tcPr>
          <w:p>
            <w:pPr>
              <w:spacing w:after="0"/>
              <w:rPr>
                <w:sz w:val="12"/>
                <w:szCs w:val="12"/>
                <w:color w:val="auto"/>
              </w:rPr>
            </w:pPr>
          </w:p>
        </w:tc>
        <w:tc>
          <w:tcPr>
            <w:tcW w:w="4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gridSpan w:val="4"/>
          </w:tcPr>
          <w:p>
            <w:pPr>
              <w:ind w:left="100"/>
              <w:spacing w:after="0" w:line="149" w:lineRule="exact"/>
              <w:rPr>
                <w:sz w:val="20"/>
                <w:szCs w:val="20"/>
                <w:color w:val="auto"/>
              </w:rPr>
            </w:pPr>
            <w:r>
              <w:rPr>
                <w:rFonts w:ascii="Times New Roman" w:cs="Times New Roman" w:eastAsia="Times New Roman" w:hAnsi="Times New Roman"/>
                <w:sz w:val="14"/>
                <w:szCs w:val="14"/>
                <w:color w:val="auto"/>
              </w:rPr>
              <w:t>programs</w:t>
            </w: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88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2000" w:type="dxa"/>
            <w:vAlign w:val="bottom"/>
            <w:tcBorders>
              <w:bottom w:val="single" w:sz="8" w:color="auto"/>
            </w:tcBorders>
            <w:vMerge w:val="continue"/>
          </w:tcPr>
          <w:p>
            <w:pPr>
              <w:spacing w:after="0"/>
              <w:rPr>
                <w:sz w:val="15"/>
                <w:szCs w:val="15"/>
                <w:color w:val="auto"/>
              </w:rPr>
            </w:pPr>
          </w:p>
        </w:tc>
        <w:tc>
          <w:tcPr>
            <w:tcW w:w="2760" w:type="dxa"/>
            <w:vAlign w:val="bottom"/>
            <w:vMerge w:val="continue"/>
          </w:tcPr>
          <w:p>
            <w:pPr>
              <w:spacing w:after="0"/>
              <w:rPr>
                <w:sz w:val="15"/>
                <w:szCs w:val="15"/>
                <w:color w:val="auto"/>
              </w:rPr>
            </w:pPr>
          </w:p>
        </w:tc>
        <w:tc>
          <w:tcPr>
            <w:tcW w:w="4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gridSpan w:val="4"/>
          </w:tcPr>
          <w:p>
            <w:pPr>
              <w:ind w:left="200"/>
              <w:spacing w:after="0" w:line="158" w:lineRule="exact"/>
              <w:rPr>
                <w:sz w:val="20"/>
                <w:szCs w:val="20"/>
                <w:color w:val="auto"/>
              </w:rPr>
            </w:pPr>
            <w:r>
              <w:rPr>
                <w:rFonts w:ascii="Times New Roman" w:cs="Times New Roman" w:eastAsia="Times New Roman" w:hAnsi="Times New Roman"/>
                <w:sz w:val="14"/>
                <w:szCs w:val="14"/>
                <w:color w:val="auto"/>
              </w:rPr>
              <w:t>£’000</w:t>
            </w: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8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76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Cost</w:t>
            </w:r>
          </w:p>
        </w:tc>
        <w:tc>
          <w:tcPr>
            <w:tcW w:w="46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CCEEFF"/>
            </w:tcBorders>
            <w:gridSpan w:val="2"/>
            <w:shd w:val="clear" w:color="auto" w:fill="CCEEFF"/>
          </w:tcPr>
          <w:p>
            <w:pPr>
              <w:spacing w:after="0"/>
              <w:rPr>
                <w:sz w:val="17"/>
                <w:szCs w:val="17"/>
                <w:color w:val="auto"/>
              </w:rPr>
            </w:pPr>
          </w:p>
        </w:tc>
        <w:tc>
          <w:tcPr>
            <w:tcW w:w="76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45,527</w:t>
            </w:r>
          </w:p>
        </w:tc>
        <w:tc>
          <w:tcPr>
            <w:tcW w:w="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right w:val="single" w:sz="8" w:color="CCEEFF"/>
            </w:tcBorders>
            <w:shd w:val="clear" w:color="auto" w:fill="CCEEFF"/>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8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Accumulated revision to estimated value</w:t>
            </w:r>
          </w:p>
        </w:tc>
        <w:tc>
          <w:tcPr>
            <w:tcW w:w="4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60" w:type="dxa"/>
            <w:vAlign w:val="bottom"/>
            <w:gridSpan w:val="2"/>
          </w:tcPr>
          <w:p>
            <w:pPr>
              <w:spacing w:after="0"/>
              <w:rPr>
                <w:sz w:val="19"/>
                <w:szCs w:val="19"/>
                <w:color w:val="auto"/>
              </w:rPr>
            </w:pPr>
          </w:p>
        </w:tc>
        <w:tc>
          <w:tcPr>
            <w:tcW w:w="8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(1,071)</w:t>
            </w: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book amount</w:t>
            </w:r>
          </w:p>
        </w:tc>
        <w:tc>
          <w:tcPr>
            <w:tcW w:w="4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60" w:type="dxa"/>
            <w:vAlign w:val="bottom"/>
            <w:gridSpan w:val="2"/>
            <w:shd w:val="clear" w:color="auto" w:fill="CCEEFF"/>
          </w:tcPr>
          <w:p>
            <w:pPr>
              <w:spacing w:after="0"/>
              <w:rPr>
                <w:sz w:val="18"/>
                <w:szCs w:val="18"/>
                <w:color w:val="auto"/>
              </w:rPr>
            </w:pPr>
          </w:p>
        </w:tc>
        <w:tc>
          <w:tcPr>
            <w:tcW w:w="7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44,456</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tcBorders>
              <w:right w:val="single" w:sz="8" w:color="CCEEFF"/>
            </w:tcBorders>
            <w:shd w:val="clear" w:color="auto" w:fill="CCEEFF"/>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5640" w:type="dxa"/>
            <w:vAlign w:val="bottom"/>
            <w:gridSpan w:val="3"/>
            <w:vMerge w:val="restart"/>
          </w:tcPr>
          <w:p>
            <w:pPr>
              <w:ind w:left="880"/>
              <w:spacing w:after="0"/>
              <w:rPr>
                <w:sz w:val="20"/>
                <w:szCs w:val="20"/>
                <w:color w:val="auto"/>
              </w:rPr>
            </w:pPr>
            <w:r>
              <w:rPr>
                <w:rFonts w:ascii="Times New Roman" w:cs="Times New Roman" w:eastAsia="Times New Roman" w:hAnsi="Times New Roman"/>
                <w:sz w:val="18"/>
                <w:szCs w:val="18"/>
                <w:b w:val="1"/>
                <w:bCs w:val="1"/>
                <w:color w:val="auto"/>
              </w:rPr>
              <w:t>Six months ended June 30, 2020 – Unaudited</w:t>
            </w:r>
          </w:p>
        </w:tc>
        <w:tc>
          <w:tcPr>
            <w:tcW w:w="4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80" w:type="dxa"/>
            <w:vAlign w:val="bottom"/>
          </w:tcPr>
          <w:p>
            <w:pPr>
              <w:spacing w:after="0"/>
              <w:rPr>
                <w:sz w:val="18"/>
                <w:szCs w:val="18"/>
                <w:color w:val="auto"/>
              </w:rPr>
            </w:pPr>
          </w:p>
        </w:tc>
        <w:tc>
          <w:tcPr>
            <w:tcW w:w="5640" w:type="dxa"/>
            <w:vAlign w:val="bottom"/>
            <w:gridSpan w:val="3"/>
            <w:vMerge w:val="continue"/>
          </w:tcPr>
          <w:p>
            <w:pPr>
              <w:spacing w:after="0"/>
              <w:rPr>
                <w:sz w:val="18"/>
                <w:szCs w:val="18"/>
                <w:color w:val="auto"/>
              </w:rPr>
            </w:pPr>
          </w:p>
        </w:tc>
        <w:tc>
          <w:tcPr>
            <w:tcW w:w="4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At January 1, 2020</w:t>
            </w:r>
          </w:p>
        </w:tc>
        <w:tc>
          <w:tcPr>
            <w:tcW w:w="4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gridSpan w:val="5"/>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44,456</w:t>
            </w:r>
          </w:p>
        </w:tc>
        <w:tc>
          <w:tcPr>
            <w:tcW w:w="40" w:type="dxa"/>
            <w:vAlign w:val="bottom"/>
            <w:shd w:val="clear" w:color="auto" w:fill="CCEEFF"/>
          </w:tcPr>
          <w:p>
            <w:pPr>
              <w:spacing w:after="0"/>
              <w:rPr>
                <w:sz w:val="18"/>
                <w:szCs w:val="18"/>
                <w:color w:val="auto"/>
              </w:rPr>
            </w:pPr>
          </w:p>
        </w:tc>
        <w:tc>
          <w:tcPr>
            <w:tcW w:w="40" w:type="dxa"/>
            <w:vAlign w:val="bottom"/>
            <w:tcBorders>
              <w:right w:val="single" w:sz="8" w:color="CCEEFF"/>
            </w:tcBorders>
            <w:shd w:val="clear" w:color="auto" w:fill="CCEEFF"/>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Sale of Navi</w:t>
            </w:r>
          </w:p>
        </w:tc>
        <w:tc>
          <w:tcPr>
            <w:tcW w:w="4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auto"/>
              </w:rPr>
              <w:t>(13,386)</w:t>
            </w: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Revision to estimated value</w:t>
            </w:r>
          </w:p>
        </w:tc>
        <w:tc>
          <w:tcPr>
            <w:tcW w:w="4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gridSpan w:val="5"/>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806</w:t>
            </w:r>
          </w:p>
        </w:tc>
        <w:tc>
          <w:tcPr>
            <w:tcW w:w="40" w:type="dxa"/>
            <w:vAlign w:val="bottom"/>
            <w:shd w:val="clear" w:color="auto" w:fill="CCEEFF"/>
          </w:tcPr>
          <w:p>
            <w:pPr>
              <w:spacing w:after="0"/>
              <w:rPr>
                <w:sz w:val="18"/>
                <w:szCs w:val="18"/>
                <w:color w:val="auto"/>
              </w:rPr>
            </w:pPr>
          </w:p>
        </w:tc>
        <w:tc>
          <w:tcPr>
            <w:tcW w:w="40" w:type="dxa"/>
            <w:vAlign w:val="bottom"/>
            <w:tcBorders>
              <w:right w:val="single" w:sz="8" w:color="CCEEFF"/>
            </w:tcBorders>
            <w:shd w:val="clear" w:color="auto" w:fill="CCEEFF"/>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80" w:type="dxa"/>
            <w:vAlign w:val="bottom"/>
          </w:tcPr>
          <w:p>
            <w:pPr>
              <w:spacing w:after="0"/>
              <w:rPr>
                <w:sz w:val="19"/>
                <w:szCs w:val="19"/>
                <w:color w:val="auto"/>
              </w:rPr>
            </w:pPr>
          </w:p>
        </w:tc>
        <w:tc>
          <w:tcPr>
            <w:tcW w:w="5640" w:type="dxa"/>
            <w:vAlign w:val="bottom"/>
            <w:gridSpan w:val="3"/>
          </w:tcPr>
          <w:p>
            <w:pPr>
              <w:ind w:left="880"/>
              <w:spacing w:after="0"/>
              <w:rPr>
                <w:sz w:val="20"/>
                <w:szCs w:val="20"/>
                <w:color w:val="auto"/>
              </w:rPr>
            </w:pPr>
            <w:r>
              <w:rPr>
                <w:rFonts w:ascii="Times New Roman" w:cs="Times New Roman" w:eastAsia="Times New Roman" w:hAnsi="Times New Roman"/>
                <w:sz w:val="18"/>
                <w:szCs w:val="18"/>
                <w:b w:val="1"/>
                <w:bCs w:val="1"/>
                <w:color w:val="auto"/>
              </w:rPr>
              <w:t>At June 30, 2020</w:t>
            </w:r>
          </w:p>
        </w:tc>
        <w:tc>
          <w:tcPr>
            <w:tcW w:w="4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60" w:type="dxa"/>
            <w:vAlign w:val="bottom"/>
            <w:gridSpan w:val="2"/>
          </w:tcPr>
          <w:p>
            <w:pPr>
              <w:spacing w:after="0"/>
              <w:rPr>
                <w:sz w:val="19"/>
                <w:szCs w:val="19"/>
                <w:color w:val="auto"/>
              </w:rPr>
            </w:pPr>
          </w:p>
        </w:tc>
        <w:tc>
          <w:tcPr>
            <w:tcW w:w="7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31,876</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At June 30, 2020 – Unaudited</w:t>
            </w:r>
          </w:p>
        </w:tc>
        <w:tc>
          <w:tcPr>
            <w:tcW w:w="4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tcBorders>
              <w:right w:val="single" w:sz="8" w:color="CCEEFF"/>
            </w:tcBorders>
            <w:shd w:val="clear" w:color="auto" w:fill="CCEEFF"/>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w:t>
            </w:r>
          </w:p>
        </w:tc>
        <w:tc>
          <w:tcPr>
            <w:tcW w:w="4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auto"/>
              </w:rPr>
              <w:t>32,141</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revision to estimated value</w:t>
            </w:r>
          </w:p>
        </w:tc>
        <w:tc>
          <w:tcPr>
            <w:tcW w:w="4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gridSpan w:val="6"/>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40" w:type="dxa"/>
            <w:vAlign w:val="bottom"/>
            <w:tcBorders>
              <w:right w:val="single" w:sz="8" w:color="CCEEFF"/>
            </w:tcBorders>
            <w:shd w:val="clear" w:color="auto" w:fill="CCEEFF"/>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80" w:type="dxa"/>
            <w:vAlign w:val="bottom"/>
          </w:tcPr>
          <w:p>
            <w:pPr>
              <w:spacing w:after="0"/>
              <w:rPr>
                <w:sz w:val="19"/>
                <w:szCs w:val="19"/>
                <w:color w:val="auto"/>
              </w:rPr>
            </w:pPr>
          </w:p>
        </w:tc>
        <w:tc>
          <w:tcPr>
            <w:tcW w:w="5640" w:type="dxa"/>
            <w:vAlign w:val="bottom"/>
            <w:gridSpan w:val="3"/>
          </w:tcPr>
          <w:p>
            <w:pPr>
              <w:ind w:left="880"/>
              <w:spacing w:after="0"/>
              <w:rPr>
                <w:sz w:val="20"/>
                <w:szCs w:val="20"/>
                <w:color w:val="auto"/>
              </w:rPr>
            </w:pPr>
            <w:r>
              <w:rPr>
                <w:rFonts w:ascii="Times New Roman" w:cs="Times New Roman" w:eastAsia="Times New Roman" w:hAnsi="Times New Roman"/>
                <w:sz w:val="18"/>
                <w:szCs w:val="18"/>
                <w:b w:val="1"/>
                <w:bCs w:val="1"/>
                <w:color w:val="auto"/>
              </w:rPr>
              <w:t>Net book amount</w:t>
            </w:r>
          </w:p>
        </w:tc>
        <w:tc>
          <w:tcPr>
            <w:tcW w:w="4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60" w:type="dxa"/>
            <w:vAlign w:val="bottom"/>
            <w:gridSpan w:val="2"/>
          </w:tcPr>
          <w:p>
            <w:pPr>
              <w:spacing w:after="0"/>
              <w:rPr>
                <w:sz w:val="19"/>
                <w:szCs w:val="19"/>
                <w:color w:val="auto"/>
              </w:rPr>
            </w:pPr>
          </w:p>
        </w:tc>
        <w:tc>
          <w:tcPr>
            <w:tcW w:w="7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31,876</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 present value of the provision for deferred cash consideration relating to the agreement with AstraZeneca was reviewed at June 30, 2020 (see Note 8). The decrease in present value due to changes in timelines and probability of contractual milestones being achieved was £67,000 (2019: £169,000) and is recognized as a reduction of the intangible asset in line with our accounting policies.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period the Group did not revise the value of any other intangible assets (2019: £nil). As the intangible assets remain under development, no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amortisation charge has been recognised (2019: £nil).</w:t>
      </w:r>
    </w:p>
    <w:p>
      <w:pPr>
        <w:spacing w:after="0" w:line="13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0980"/>
          </w:cols>
          <w:pgMar w:left="440" w:top="268" w:right="479" w:bottom="1440" w:gutter="0" w:footer="0" w:header="0"/>
        </w:sectPr>
      </w:pPr>
    </w:p>
    <w:bookmarkStart w:id="27" w:name="page28"/>
    <w:bookmarkEnd w:id="27"/>
    <w:p>
      <w:pPr>
        <w:ind w:right="22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On January 13, 2020, the Company entered into a License Agreement with OncXerna for the development and commercialisation of Navi. Under the terms of the License Agreement, the Company received an upfront gross payment of £3.2 million ($4 million). Additionally, the Company will be eligible to receive up to $302 million in future milestones and royalties.</w:t>
      </w:r>
    </w:p>
    <w:p>
      <w:pPr>
        <w:spacing w:after="0" w:line="176"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Company’s wholly owned subsidiary, Oncomed Pharmaceuticals, Inc. has granted an exclusive worldwide licence to OncXerna in respect of intellectual property rights for Navi (“IP”). The transaction was recorded as a disposal and IP with a carrying value of £13.4 million ($16.5 million) was derecognised as a result of the License Agreement. Although pursuant to the License Agreement Mereo is entitled to additional payments of up to $302 million as at the current time no reliable estimate can be made of the future amounts to be received as the amounts are contingent on future events that are uncertain, the restrictive nature of IFRS 15 resulted in none of the milestone payments being recognised upfront in the half year ended 30 June 2020. Consequently, Mereo recognised a loss on disposal in the amount of £11.3 million ($13.9 million) (net of transaction costs) in the half year ended 30 June 2020.</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Private Placement and Securities Purchase Agreement</w:t>
      </w:r>
    </w:p>
    <w:p>
      <w:pPr>
        <w:spacing w:after="0" w:line="121"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On June 3, 2020, the Company completed a £56 million ($70 million) private placement (the “Transaction”). The Transaction comprised of the issue of 89.1 million new ordinary shares of £0.003 each in the Company at a price of 17.4 pence per share for total proceeds of £15.5 million ($19.4 million) and the issue of convertible notes (the “Loan Notes”) for total proceeds of £40.5 million ($50.6 million). The investors also received conditional warrants to subscribe for further ordinary shares (the “Warrants”).</w:t>
      </w:r>
    </w:p>
    <w:p>
      <w:pPr>
        <w:spacing w:after="0" w:line="180"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The terms of the Loan Notes and Warrants, and, in particular, their ability to be converted into ordinary shares was conditional on the passing of certain resolutions (the “Resolutions”) at a subsequent general meeting of shareholders (the “General Meeting”) held on 30 June 2020, and there being no change of control before the resolutions were passed. At that date the Resolutions were passed and the Loan Notes became convertible into Ordinary Shares at 17.4p. Had the resolutions not passed on or before August 7, 2020, the Loan Notes would not convert into Ordinary Shares, the Warrants would not have become capable of exercise and the holders of the Loan Notes and Warrants would have become entitled to certain additional amounts up to £137 million.</w:t>
      </w:r>
    </w:p>
    <w:p>
      <w:pPr>
        <w:spacing w:after="0" w:line="187"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The Loan Notes are constituted by the Note Instrument, details of which are set out below. The Warrants are constituted by the Warrant Instrument, details of which are also set out below.</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Note Instrument</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Note Instrument constitutes three potential tranches of Loan Note:</w:t>
      </w:r>
    </w:p>
    <w:p>
      <w:pPr>
        <w:spacing w:after="0" w:line="131" w:lineRule="exact"/>
        <w:rPr>
          <w:sz w:val="20"/>
          <w:szCs w:val="20"/>
          <w:color w:val="auto"/>
        </w:rPr>
      </w:pPr>
    </w:p>
    <w:p>
      <w:pPr>
        <w:ind w:left="960" w:hanging="424"/>
        <w:spacing w:after="0"/>
        <w:tabs>
          <w:tab w:leader="none" w:pos="9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initial tranche of 40,533,671 Tranche 1 Notes (the Loan Notes) representing £40.5 million ($50.6 million) issued to all Purchasers;</w:t>
      </w:r>
    </w:p>
    <w:p>
      <w:pPr>
        <w:spacing w:after="0" w:line="130" w:lineRule="exact"/>
        <w:rPr>
          <w:rFonts w:ascii="Times New Roman" w:cs="Times New Roman" w:eastAsia="Times New Roman" w:hAnsi="Times New Roman"/>
          <w:sz w:val="18"/>
          <w:szCs w:val="18"/>
          <w:color w:val="auto"/>
        </w:rPr>
      </w:pPr>
    </w:p>
    <w:p>
      <w:pPr>
        <w:ind w:left="960" w:hanging="424"/>
        <w:spacing w:after="0" w:line="261" w:lineRule="auto"/>
        <w:tabs>
          <w:tab w:leader="none" w:pos="9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second tranche of up to £40.0 million Tranche 2 Notes representing approximately 115,034,554 ordinary shares which may be issued following the third anniversary of the date on which the Resolutions are passed to certain holders of Tranche 1 Notes in lieu of the holder exercising its subscription rights under the Warrants and in return for payment by that holder of the aggregate exercise price of the relevant Warrants; and</w:t>
      </w:r>
    </w:p>
    <w:p>
      <w:pPr>
        <w:spacing w:after="0" w:line="85"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third tranche of up to £56.0 million Tranche 3 Notes, which was not issued as the Resolutions were passed at the General Meeting.</w:t>
      </w:r>
    </w:p>
    <w:p>
      <w:pPr>
        <w:spacing w:after="0" w:line="225"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The Loan Notes have a maturity date of June 2023 unless otherwise extended, converted or accelerated. The Tranche 2 Notes have a maturity date of three years from their date of issue (i.e. such that they would be anticipated as becoming due in 2026) unless otherwise extended, converted or accelerated. The Tranche 3 Notes have a maturity date of August 2025 unless otherwise extended, converted or accelerated. The Loan Notes and Tranche 2 Notes may be extended by certain holders beyond the initial maturity date to have a longstop maturity date of 10 years from the date of the Note Instrument.</w:t>
      </w:r>
    </w:p>
    <w:p>
      <w:pPr>
        <w:spacing w:after="0" w:line="183"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Loan Notes initially bore interest at a fixed rate of 10 per cent. per annum, which was retroactively reduced to a rate of 6 per cent. per annum to the date of issue as the Resolutions were passed. If the Loan Notes are extended, they cease to bear interest from that extension. Tranche 2 Notes do not accrue interest (unless default interest applies). Following an event of default by the Company, default interest will accrue on all Loan Notes at 2 per cent. above the applicable interest rate in force at that time for the relevant Loan Notes.</w:t>
      </w:r>
    </w:p>
    <w:p>
      <w:pPr>
        <w:spacing w:after="0" w:line="180" w:lineRule="exact"/>
        <w:rPr>
          <w:sz w:val="20"/>
          <w:szCs w:val="20"/>
          <w:color w:val="auto"/>
        </w:rPr>
      </w:pPr>
    </w:p>
    <w:p>
      <w:pPr>
        <w:ind w:right="900"/>
        <w:spacing w:after="0" w:line="282" w:lineRule="auto"/>
        <w:rPr>
          <w:sz w:val="20"/>
          <w:szCs w:val="20"/>
          <w:color w:val="auto"/>
        </w:rPr>
      </w:pPr>
      <w:r>
        <w:rPr>
          <w:rFonts w:ascii="Times New Roman" w:cs="Times New Roman" w:eastAsia="Times New Roman" w:hAnsi="Times New Roman"/>
          <w:sz w:val="18"/>
          <w:szCs w:val="18"/>
          <w:color w:val="auto"/>
        </w:rPr>
        <w:t>The Loan Notes are unsecured and were contractually subordinated to the Company’s existing senior debt facility pursuant to the terms of a Subordination Agreement</w:t>
      </w:r>
    </w:p>
    <w:p>
      <w:pPr>
        <w:spacing w:after="0" w:line="162"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If the Resolutions had not been passed before August 7, 2020 the holders of Loan Notes would have been entitled to certain additional fees and an original holder of the Warrants could have elected without payment to convert its Warrants into fully paid Tranche 3 Notes with a principal amount equal to the aggregate exercise price (being 34.8 pence per Warrant Share) of those Warrants, in compensation for the right to exercise those Warrants not having arisen. If the Resolutions had not been passed at a time when the Company underwent a change of control, each Noteholder would have had certain right to further payments.</w:t>
      </w:r>
    </w:p>
    <w:p>
      <w:pPr>
        <w:sectPr>
          <w:pgSz w:w="11900" w:h="16838" w:orient="portrait"/>
          <w:cols w:equalWidth="0" w:num="1">
            <w:col w:w="10960"/>
          </w:cols>
          <w:pgMar w:left="440" w:top="270" w:right="499" w:bottom="1440" w:gutter="0" w:footer="0" w:header="0"/>
        </w:sectPr>
      </w:pPr>
    </w:p>
    <w:p>
      <w:pPr>
        <w:spacing w:after="0" w:line="11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0960"/>
          </w:cols>
          <w:pgMar w:left="440" w:top="270" w:right="499" w:bottom="1440" w:gutter="0" w:footer="0" w:header="0"/>
          <w:type w:val="continuous"/>
        </w:sectPr>
      </w:pPr>
    </w:p>
    <w:bookmarkStart w:id="28" w:name="page29"/>
    <w:bookmarkEnd w:id="28"/>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Until the Resolutions had passed, no Loan Notes were capable of conversion.</w:t>
      </w:r>
    </w:p>
    <w:p>
      <w:pPr>
        <w:spacing w:after="0" w:line="225" w:lineRule="exact"/>
        <w:rPr>
          <w:sz w:val="20"/>
          <w:szCs w:val="20"/>
          <w:color w:val="auto"/>
        </w:rPr>
      </w:pPr>
    </w:p>
    <w:p>
      <w:pPr>
        <w:ind w:right="520"/>
        <w:spacing w:after="0" w:line="266" w:lineRule="auto"/>
        <w:rPr>
          <w:sz w:val="20"/>
          <w:szCs w:val="20"/>
          <w:color w:val="auto"/>
        </w:rPr>
      </w:pPr>
      <w:r>
        <w:rPr>
          <w:rFonts w:ascii="Times New Roman" w:cs="Times New Roman" w:eastAsia="Times New Roman" w:hAnsi="Times New Roman"/>
          <w:sz w:val="18"/>
          <w:szCs w:val="18"/>
          <w:color w:val="auto"/>
        </w:rPr>
        <w:t>The Loan Notes are required to be repaid on the earlier of (i) the applicable maturity date; (ii) a change of control taking place in respect of the Company, or (iii) if accelerated following an event of default, and are otherwise not able to be prepaid other than with the consent of a noteholder majority.</w:t>
      </w:r>
    </w:p>
    <w:p>
      <w:pPr>
        <w:spacing w:after="0" w:line="176"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The Loan Notes are subject to customary events of default (for example, insolvency events in respect of the Company and default under the Company’s material contracts, amongst others) and any principal amount and interest outstanding is capable of being accelerated following the occurrence of such an event of default and the expiry of any cure periods applicable thereto.</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Warrants</w:t>
      </w:r>
    </w:p>
    <w:p>
      <w:pPr>
        <w:spacing w:after="0" w:line="119"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All the participants in the Fundraising received conditional warrants to subscribe for further Ordinary Shares in an aggregate number equal to 50 per cent. of both the Ordinary Shares purchased in the Fundraising and the Ordinary Shares issuable upon conversion of the Loan Notes. A total of 161,048,366 Warrants were issued.</w:t>
      </w:r>
    </w:p>
    <w:p>
      <w:pPr>
        <w:spacing w:after="0" w:line="176"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The Warrants have an exercise price of 34.8 pence per Ordinary Share, which is equal to 200 per cent. of the Fundraising issue price and are capable of being exercised at any time from and after the date the Resolutions were passed at the General Meeting and ending on the third anniversary of the date of passing of the Resolutions. The Warrants can be exercised for cash or on a cashless basis.</w:t>
      </w:r>
    </w:p>
    <w:p>
      <w:pPr>
        <w:spacing w:after="0" w:line="176" w:lineRule="exact"/>
        <w:rPr>
          <w:sz w:val="20"/>
          <w:szCs w:val="20"/>
          <w:color w:val="auto"/>
        </w:rPr>
      </w:pPr>
    </w:p>
    <w:p>
      <w:pPr>
        <w:ind w:right="1100"/>
        <w:spacing w:after="0" w:line="282" w:lineRule="auto"/>
        <w:rPr>
          <w:sz w:val="20"/>
          <w:szCs w:val="20"/>
          <w:color w:val="auto"/>
        </w:rPr>
      </w:pPr>
      <w:r>
        <w:rPr>
          <w:rFonts w:ascii="Times New Roman" w:cs="Times New Roman" w:eastAsia="Times New Roman" w:hAnsi="Times New Roman"/>
          <w:sz w:val="18"/>
          <w:szCs w:val="18"/>
          <w:color w:val="auto"/>
        </w:rPr>
        <w:t>If the Resolutions had not been passed at the General Meeting (or at any subsequent general meeting), the Warrants would have remained non-exercisable but would, until August 8, 2025, continue to benefit from rights to participate in certain transactions.</w:t>
      </w:r>
    </w:p>
    <w:p>
      <w:pPr>
        <w:spacing w:after="0" w:line="162"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The Warrant exercise price and the number of shares issuable upon exercise of the Warrants will be adjusted in certain circumstances, including if the Company effects a subdivision or consolidation of its Ordinary Shares, declares a dividend or distribution, or there is a reorganisation of its Ordinary Shares.</w:t>
      </w:r>
    </w:p>
    <w:p>
      <w:pPr>
        <w:spacing w:after="0" w:line="176" w:lineRule="exact"/>
        <w:rPr>
          <w:sz w:val="20"/>
          <w:szCs w:val="20"/>
          <w:color w:val="auto"/>
        </w:rPr>
      </w:pPr>
    </w:p>
    <w:p>
      <w:pPr>
        <w:jc w:val="both"/>
        <w:ind w:right="240"/>
        <w:spacing w:after="0" w:line="261" w:lineRule="auto"/>
        <w:rPr>
          <w:sz w:val="20"/>
          <w:szCs w:val="20"/>
          <w:color w:val="auto"/>
        </w:rPr>
      </w:pPr>
      <w:r>
        <w:rPr>
          <w:rFonts w:ascii="Times New Roman" w:cs="Times New Roman" w:eastAsia="Times New Roman" w:hAnsi="Times New Roman"/>
          <w:sz w:val="18"/>
          <w:szCs w:val="18"/>
          <w:color w:val="auto"/>
        </w:rPr>
        <w:t>The General Meeting was held on June 30, 2020, when the Resolutions were passed. As a result, the Loan Notes in an aggregate principal amount of £21,660,999 (together with accrued interest) were automatically converted into 125,061,475 new ordinary shares, and the Loan Notes in an aggregate principal amount of £18,872,672 remain outstanding and convertible into new ordinary shares in accordance with their terms. If not converted, these will be redeemed in June 2023 at par and accrue interest at 6% until maturity, unless extended at the option of the holder.</w:t>
      </w:r>
    </w:p>
    <w:p>
      <w:pPr>
        <w:spacing w:after="0" w:line="180"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For accounting purposes, the Company first assessed that the Loan Notes and Warrants represented separate financial instruments. Transaction costs directly attributable to the private placement were apportioned across the Ordinary Shares, Loan Notes and Warrants.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Initial recognition on Transaction Date</w:t>
      </w:r>
    </w:p>
    <w:p>
      <w:pPr>
        <w:spacing w:after="0" w:line="11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Under the terms of the Loan Notes, the Company had an obligation to pay in cash a Change of Control Payment if a change of control event happened prior to the Resolutions being passed. Given both events (the Resolutions being passed and a change of control event) were uncertain future events which were outside of the Company’s control, the Company would not always deliver a fixed amount of equity for receipt of a fixed amount of cash. As a result, management concluded that the Loan Notes represented a financial liability in their entirety, i.e. it is a hybrid instrument with an embedded derivative for the conversion option. The Loan Notes were initially recognised at their fair value of £38.6 million (i.e. debt host instrument in the amount of £26.7 million plus the embedded derivative in the amount of £11.9 million, before transaction costs).</w:t>
      </w:r>
    </w:p>
    <w:p>
      <w:pPr>
        <w:spacing w:after="0" w:line="187"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As of the issuance date, the Company did not have an unconditional right to avoid a cash settlement of the Warrants. As a result, management concluded that the Warrants would be classified as a financial liability. Given the Warrants met the definition of a derivative, management concluded that the Warrants would be accounted for at fair value through profit or loss on issuance date. The initial fair value of the Warrants was £4.1 million.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Subsequent accounting for these financial instruments is detailed in note 6C.</w:t>
      </w:r>
    </w:p>
    <w:p>
      <w:pPr>
        <w:spacing w:after="0" w:line="225" w:lineRule="exact"/>
        <w:rPr>
          <w:sz w:val="20"/>
          <w:szCs w:val="20"/>
          <w:color w:val="auto"/>
        </w:rPr>
      </w:pPr>
    </w:p>
    <w:p>
      <w:pPr>
        <w:ind w:right="380"/>
        <w:spacing w:after="0" w:line="289" w:lineRule="auto"/>
        <w:rPr>
          <w:sz w:val="20"/>
          <w:szCs w:val="20"/>
          <w:color w:val="auto"/>
        </w:rPr>
      </w:pPr>
      <w:r>
        <w:rPr>
          <w:rFonts w:ascii="Times New Roman" w:cs="Times New Roman" w:eastAsia="Times New Roman" w:hAnsi="Times New Roman"/>
          <w:sz w:val="17"/>
          <w:szCs w:val="17"/>
          <w:color w:val="auto"/>
        </w:rPr>
        <w:t>The issue of 89.1 million new ordinary shares at a price of 17.4 pence per share was recorded in share capital and share premium, net of transaction costs, in accordance with UK Company law as described in Note 6. From the valuation performed it was determined that the ordinary shares in substance were issued at a discount to the legal proceeds received, and the discount was recognised as an unrealized loss in retained earnings.</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000"/>
          </w:cols>
          <w:pgMar w:left="440" w:top="270" w:right="4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Securities Purchase Agreement</w:t>
      </w:r>
      <w:r>
        <w:rPr>
          <w:rFonts w:ascii="Times New Roman" w:cs="Times New Roman" w:eastAsia="Times New Roman" w:hAnsi="Times New Roman"/>
          <w:sz w:val="18"/>
          <w:szCs w:val="18"/>
          <w:color w:val="auto"/>
        </w:rPr>
        <w: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Aspire Capital Fund, LLC</w:t>
      </w:r>
    </w:p>
    <w:p>
      <w:pPr>
        <w:spacing w:after="0" w:line="119"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On February 10, 2020, the Company entered into a Securities Purchase Agreement (the “Agreement”) to issue up to $28 million of the Company’s ordinary shares exchangeable for American Depositary Shares (“ADSs”), with Aspire Capital Fund, LLC (“Aspire Capital”), a Chicago-based institutional investor.</w:t>
      </w:r>
    </w:p>
    <w:p>
      <w:pPr>
        <w:spacing w:after="0" w:line="176"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Under the terms of the Agreement, Aspire Capital made an initial investment of £2.3 million ($3 million) to purchase 11,432,925 of the Company’s ordinary shares (equivalent to 2,286,585 ADSs) at a price equivalent to $1.31 per ADS, which represents a 16% discount over Mereo’s ADS closing stock price of $1.56 on February 8, 2020. In addition, the Company issued Aspire Capital Fund, LLC £0.2 million ($0.3 million) in the form of 2,862,595 ordinary shares (equivalent to 572,519 ADSs) to settle the commission payable.</w:t>
      </w:r>
    </w:p>
    <w:p>
      <w:pPr>
        <w:spacing w:after="0" w:line="180"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Under the terms of the Agreement, Aspire Capital has also committed to subscribe for up to an additional $25 million of Mereo’s ordinary shares exchangeable for ADSs from time to time during a 30-month period at Mereo’s request. In consideration for Aspire Capital’s commitment to funding, Mereo paid Aspire Capital a commission satisfied wholly by the issue to Aspire Capital of a further 2,862,595 of the Company’s ordinary shares (equivalent to 572,519 ADSs).</w:t>
      </w:r>
    </w:p>
    <w:p>
      <w:pPr>
        <w:spacing w:after="0" w:line="180"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To date, Mereo has not exercised its option to require Aspire Capital to subscribe for additional shares. This option is accounted for as a derivative financial instrument in accordance with IFRS 9, which has been valued at £nil at the reporting date.</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Boxer Capital, LLC</w:t>
      </w:r>
    </w:p>
    <w:p>
      <w:pPr>
        <w:spacing w:after="0" w:line="11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On February 19, 2020, the Company entered into a Securities Purchase Agreement with Boxer Capital, LLC to make an investment of £2.3 million ($3 million) to purchase 12,252,715 of the Company’s ordinary shares (equivalent to 2,450,543 ADSs).</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0880"/>
          </w:cols>
          <w:pgMar w:left="440" w:top="266" w:right="57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6. Interest bearing loans and borrowings</w:t>
      </w:r>
    </w:p>
    <w:p>
      <w:pPr>
        <w:spacing w:after="0" w:line="237" w:lineRule="exact"/>
        <w:rPr>
          <w:sz w:val="20"/>
          <w:szCs w:val="20"/>
          <w:color w:val="auto"/>
        </w:rPr>
      </w:pPr>
    </w:p>
    <w:tbl>
      <w:tblPr>
        <w:tblLayout w:type="fixed"/>
        <w:tblInd w:w="880" w:type="dxa"/>
        <w:tblCellMar>
          <w:top w:w="0" w:type="dxa"/>
          <w:left w:w="0" w:type="dxa"/>
          <w:bottom w:w="0" w:type="dxa"/>
          <w:right w:w="0" w:type="dxa"/>
        </w:tblCellMar>
      </w:tblPr>
      <w:tr>
        <w:trPr>
          <w:trHeight w:val="161"/>
        </w:trPr>
        <w:tc>
          <w:tcPr>
            <w:tcW w:w="414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Six months</w:t>
            </w:r>
          </w:p>
        </w:tc>
        <w:tc>
          <w:tcPr>
            <w:tcW w:w="540" w:type="dxa"/>
            <w:vAlign w:val="bottom"/>
          </w:tcPr>
          <w:p>
            <w:pPr>
              <w:spacing w:after="0"/>
              <w:rPr>
                <w:sz w:val="13"/>
                <w:szCs w:val="13"/>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Six months</w:t>
            </w:r>
          </w:p>
        </w:tc>
        <w:tc>
          <w:tcPr>
            <w:tcW w:w="540" w:type="dxa"/>
            <w:vAlign w:val="bottom"/>
          </w:tcPr>
          <w:p>
            <w:pPr>
              <w:spacing w:after="0"/>
              <w:rPr>
                <w:sz w:val="13"/>
                <w:szCs w:val="13"/>
                <w:color w:val="auto"/>
              </w:rPr>
            </w:pPr>
          </w:p>
        </w:tc>
        <w:tc>
          <w:tcPr>
            <w:tcW w:w="8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color w:val="auto"/>
              </w:rPr>
              <w:t>Year ended</w:t>
            </w:r>
          </w:p>
        </w:tc>
        <w:tc>
          <w:tcPr>
            <w:tcW w:w="0" w:type="dxa"/>
            <w:vAlign w:val="bottom"/>
          </w:tcPr>
          <w:p>
            <w:pPr>
              <w:spacing w:after="0"/>
              <w:rPr>
                <w:sz w:val="1"/>
                <w:szCs w:val="1"/>
                <w:color w:val="auto"/>
              </w:rPr>
            </w:pPr>
          </w:p>
        </w:tc>
      </w:tr>
      <w:tr>
        <w:trPr>
          <w:trHeight w:val="148"/>
        </w:trPr>
        <w:tc>
          <w:tcPr>
            <w:tcW w:w="414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54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ended</w:t>
            </w:r>
          </w:p>
        </w:tc>
        <w:tc>
          <w:tcPr>
            <w:tcW w:w="54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140" w:type="dxa"/>
            <w:vAlign w:val="bottom"/>
          </w:tcPr>
          <w:p>
            <w:pPr>
              <w:spacing w:after="0"/>
              <w:rPr>
                <w:sz w:val="12"/>
                <w:szCs w:val="12"/>
                <w:color w:val="auto"/>
              </w:rPr>
            </w:pPr>
          </w:p>
        </w:tc>
        <w:tc>
          <w:tcPr>
            <w:tcW w:w="2360" w:type="dxa"/>
            <w:vAlign w:val="bottom"/>
            <w:gridSpan w:val="2"/>
          </w:tcPr>
          <w:p>
            <w:pPr>
              <w:jc w:val="center"/>
              <w:ind w:left="1437"/>
              <w:spacing w:after="0" w:line="149" w:lineRule="exact"/>
              <w:rPr>
                <w:sz w:val="20"/>
                <w:szCs w:val="20"/>
                <w:color w:val="auto"/>
              </w:rPr>
            </w:pPr>
            <w:r>
              <w:rPr>
                <w:rFonts w:ascii="Times New Roman" w:cs="Times New Roman" w:eastAsia="Times New Roman" w:hAnsi="Times New Roman"/>
                <w:sz w:val="14"/>
                <w:szCs w:val="14"/>
                <w:b w:val="1"/>
                <w:bCs w:val="1"/>
                <w:color w:val="auto"/>
              </w:rPr>
              <w:t>June 30, 2020</w:t>
            </w:r>
          </w:p>
        </w:tc>
        <w:tc>
          <w:tcPr>
            <w:tcW w:w="1360" w:type="dxa"/>
            <w:vAlign w:val="bottom"/>
            <w:gridSpan w:val="2"/>
          </w:tcPr>
          <w:p>
            <w:pPr>
              <w:jc w:val="center"/>
              <w:ind w:left="439"/>
              <w:spacing w:after="0" w:line="149" w:lineRule="exact"/>
              <w:rPr>
                <w:sz w:val="20"/>
                <w:szCs w:val="20"/>
                <w:color w:val="auto"/>
              </w:rPr>
            </w:pPr>
            <w:r>
              <w:rPr>
                <w:rFonts w:ascii="Times New Roman" w:cs="Times New Roman" w:eastAsia="Times New Roman" w:hAnsi="Times New Roman"/>
                <w:sz w:val="14"/>
                <w:szCs w:val="14"/>
                <w:color w:val="auto"/>
              </w:rPr>
              <w:t>June 30, 2019</w:t>
            </w:r>
          </w:p>
        </w:tc>
        <w:tc>
          <w:tcPr>
            <w:tcW w:w="1400" w:type="dxa"/>
            <w:vAlign w:val="bottom"/>
            <w:gridSpan w:val="3"/>
          </w:tcPr>
          <w:p>
            <w:pPr>
              <w:jc w:val="center"/>
              <w:ind w:left="379"/>
              <w:spacing w:after="0" w:line="149" w:lineRule="exact"/>
              <w:rPr>
                <w:sz w:val="20"/>
                <w:szCs w:val="20"/>
                <w:color w:val="auto"/>
              </w:rPr>
            </w:pPr>
            <w:r>
              <w:rPr>
                <w:rFonts w:ascii="Times New Roman" w:cs="Times New Roman" w:eastAsia="Times New Roman" w:hAnsi="Times New Roman"/>
                <w:sz w:val="14"/>
                <w:szCs w:val="14"/>
                <w:color w:val="auto"/>
              </w:rPr>
              <w:t>December 31,</w:t>
            </w:r>
          </w:p>
        </w:tc>
        <w:tc>
          <w:tcPr>
            <w:tcW w:w="0" w:type="dxa"/>
            <w:vAlign w:val="bottom"/>
          </w:tcPr>
          <w:p>
            <w:pPr>
              <w:spacing w:after="0"/>
              <w:rPr>
                <w:sz w:val="1"/>
                <w:szCs w:val="1"/>
                <w:color w:val="auto"/>
              </w:rPr>
            </w:pPr>
          </w:p>
        </w:tc>
      </w:tr>
      <w:tr>
        <w:trPr>
          <w:trHeight w:val="149"/>
        </w:trPr>
        <w:tc>
          <w:tcPr>
            <w:tcW w:w="414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54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Unaudited</w:t>
            </w:r>
          </w:p>
        </w:tc>
        <w:tc>
          <w:tcPr>
            <w:tcW w:w="540" w:type="dxa"/>
            <w:vAlign w:val="bottom"/>
          </w:tcPr>
          <w:p>
            <w:pPr>
              <w:spacing w:after="0"/>
              <w:rPr>
                <w:sz w:val="12"/>
                <w:szCs w:val="12"/>
                <w:color w:val="auto"/>
              </w:rPr>
            </w:pPr>
          </w:p>
        </w:tc>
        <w:tc>
          <w:tcPr>
            <w:tcW w:w="86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color w:val="auto"/>
              </w:rPr>
              <w:t>2019 Audited</w:t>
            </w:r>
          </w:p>
        </w:tc>
        <w:tc>
          <w:tcPr>
            <w:tcW w:w="0" w:type="dxa"/>
            <w:vAlign w:val="bottom"/>
          </w:tcPr>
          <w:p>
            <w:pPr>
              <w:spacing w:after="0"/>
              <w:rPr>
                <w:sz w:val="1"/>
                <w:szCs w:val="1"/>
                <w:color w:val="auto"/>
              </w:rPr>
            </w:pPr>
          </w:p>
        </w:tc>
      </w:tr>
      <w:tr>
        <w:trPr>
          <w:trHeight w:val="173"/>
        </w:trPr>
        <w:tc>
          <w:tcPr>
            <w:tcW w:w="4140" w:type="dxa"/>
            <w:vAlign w:val="bottom"/>
          </w:tcPr>
          <w:p>
            <w:pPr>
              <w:spacing w:after="0"/>
              <w:rPr>
                <w:sz w:val="15"/>
                <w:szCs w:val="15"/>
                <w:color w:val="auto"/>
              </w:rPr>
            </w:pPr>
          </w:p>
        </w:tc>
        <w:tc>
          <w:tcPr>
            <w:tcW w:w="23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1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Convertible loan notes (see Note 6a)</w:t>
            </w:r>
          </w:p>
        </w:tc>
        <w:tc>
          <w:tcPr>
            <w:tcW w:w="15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2,941</w:t>
            </w:r>
          </w:p>
        </w:tc>
        <w:tc>
          <w:tcPr>
            <w:tcW w:w="54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Bank loan (see Note 6b)</w:t>
            </w:r>
          </w:p>
        </w:tc>
        <w:tc>
          <w:tcPr>
            <w:tcW w:w="23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13,254</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19,732</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20,512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Debt host instrument (see Note 6c)</w:t>
            </w:r>
          </w:p>
        </w:tc>
        <w:tc>
          <w:tcPr>
            <w:tcW w:w="2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11,565</w:t>
            </w:r>
          </w:p>
        </w:tc>
        <w:tc>
          <w:tcPr>
            <w:tcW w:w="5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At end of year/period</w:t>
            </w:r>
          </w:p>
        </w:tc>
        <w:tc>
          <w:tcPr>
            <w:tcW w:w="152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27,760</w:t>
            </w:r>
          </w:p>
        </w:tc>
        <w:tc>
          <w:tcPr>
            <w:tcW w:w="54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19,732</w:t>
            </w:r>
          </w:p>
        </w:tc>
        <w:tc>
          <w:tcPr>
            <w:tcW w:w="54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20,512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w:t>
            </w:r>
          </w:p>
        </w:tc>
        <w:tc>
          <w:tcPr>
            <w:tcW w:w="2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13,254</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8,011</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15,139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Non-current</w:t>
            </w:r>
          </w:p>
        </w:tc>
        <w:tc>
          <w:tcPr>
            <w:tcW w:w="1520" w:type="dxa"/>
            <w:vAlign w:val="bottom"/>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14,506</w:t>
            </w:r>
          </w:p>
        </w:tc>
        <w:tc>
          <w:tcPr>
            <w:tcW w:w="540" w:type="dxa"/>
            <w:vAlign w:val="bottom"/>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11,721</w:t>
            </w:r>
          </w:p>
        </w:tc>
        <w:tc>
          <w:tcPr>
            <w:tcW w:w="540" w:type="dxa"/>
            <w:vAlign w:val="bottom"/>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5,373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6a. Novartis Convertible loan note</w:t>
      </w:r>
    </w:p>
    <w:p>
      <w:pPr>
        <w:spacing w:after="0" w:line="121"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On February 10, 2020, the Company entered into a £3.8 million convertible equity financing with Novartis Pharma (AG) (“Novartis”). Under the terms of the convertible equity financing, Novartis will purchase £3.8 million in a convertible loan note (the “ Novartis Loan Note”).</w:t>
      </w:r>
    </w:p>
    <w:p>
      <w:pPr>
        <w:spacing w:after="0" w:line="16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Novartis Loan Note is convertible at any time at the option of the holder, at a fixed price of £0.265 per ordinary share. The maturity of the Novartis Loan Note is three years from issuance, and it bears an interest rate of 6% per annum.</w:t>
      </w:r>
    </w:p>
    <w:p>
      <w:pPr>
        <w:spacing w:after="0" w:line="162"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In connection with the Novartis Loan Note, the Group issued 1,449,614 warrants to Novartis (the “Novartis Warrants”). These warrants will be capable of exercise until February 10, 2025 at an exercise price of £0.265.</w:t>
      </w:r>
    </w:p>
    <w:p>
      <w:pPr>
        <w:spacing w:after="0" w:line="162"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The fair value of the equity components of the Novartis Loan Note at June 30, 2020 was calculated as £1.1 million which includes the conversion feature and the warrants.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6b. Bank loan</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On April 23, 2019, following completion of the acquisition of OncoMed Pharmaceuticals, Inc. the Group agreed an amendment to the terms of its bank loan with the lenders. The new terms extended the interest-only period to December 31, 2019 followed by a 15-month capital and interest repayment period. The Group has undertaken an assessment under IFRS 9 and believe that the change in terms should not be accounted for as a modification under IFRS 9, but instead as a change in expected cash flows. The cash flows under the bank loan were revised from May 1, 2019.</w:t>
      </w:r>
    </w:p>
    <w:p>
      <w:pPr>
        <w:spacing w:after="0" w:line="180"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Management estimated the revised carrying value of the loan on May 1, 2019 to be £19.9 million by discounting the revised cash flows at the original discount rate of 18%. The difference between the previous and revised carrying value of the loan on May 1, 2019 was £0.5 million. The gain as a result of the changes in estimated cash flows is recognized as a true-up in total finance cost (i.e. together with interest expense). Following the re-estimation, the financial liability continues to be accounted for at amortized cost using the original effective interest rate</w:t>
      </w:r>
    </w:p>
    <w:p>
      <w:pPr>
        <w:spacing w:after="0" w:line="180"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On May 3, 2019, under the terms of the loan agreement, the Company issued 321,444 additional warrants (the “Bank Loan Warrants”) to its lenders giving them the right to subscribe for ordinary shares at an exercise price of £2.95. The fair value of the additional warrants as of their grant date (May 3, 2019) was £131,150.</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total carrying value of the loan at June 30, 2020 was £13,254,414 (2019: £19,732,236). The total carrying value of the loan is a current liability. 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of £753,242 (2019: £742,909) of non-cash interest has been charged to the statement of comprehensive loss in the period.</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6c. The Loan Notes</w:t>
      </w:r>
    </w:p>
    <w:p>
      <w:pPr>
        <w:spacing w:after="0" w:line="121" w:lineRule="exact"/>
        <w:rPr>
          <w:sz w:val="20"/>
          <w:szCs w:val="20"/>
          <w:color w:val="auto"/>
        </w:rPr>
      </w:pPr>
    </w:p>
    <w:p>
      <w:pPr>
        <w:jc w:val="both"/>
        <w:ind w:right="420"/>
        <w:spacing w:after="0" w:line="266" w:lineRule="auto"/>
        <w:rPr>
          <w:sz w:val="20"/>
          <w:szCs w:val="20"/>
          <w:color w:val="auto"/>
        </w:rPr>
      </w:pPr>
      <w:r>
        <w:rPr>
          <w:rFonts w:ascii="Times New Roman" w:cs="Times New Roman" w:eastAsia="Times New Roman" w:hAnsi="Times New Roman"/>
          <w:sz w:val="18"/>
          <w:szCs w:val="18"/>
          <w:color w:val="auto"/>
        </w:rPr>
        <w:t>The Loan Notes were classified as a financial liability on initial recognition. Non-closely related embedded derivatives relating to the conversion feature, term-extension and change of control features were bifurcated and accounted for at FVTPL, with the debt host contract being measured at amortised cost.</w:t>
      </w:r>
    </w:p>
    <w:p>
      <w:pPr>
        <w:spacing w:after="0" w:line="176"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fair value of the embedded derivative liability was £11,913,213 on initial recognition. During the period, changes in the fair value of the embedded derivative totalling £63,157,926 were recognised as an expense in profit or loss. £422,528 non-cash interest has been charged to the statement of comprehensive loss in the period. The fair value of the embedded derivative relating to the term extension feature and change of control feature is £Nil at June 30, 2020.</w:t>
      </w:r>
    </w:p>
    <w:p>
      <w:pPr>
        <w:spacing w:after="0" w:line="35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0940"/>
          </w:cols>
          <w:pgMar w:left="440" w:top="266" w:right="519" w:bottom="1440" w:gutter="0" w:footer="0" w:header="0"/>
        </w:sectPr>
      </w:pPr>
    </w:p>
    <w:bookmarkStart w:id="31" w:name="page32"/>
    <w:bookmarkEnd w:id="31"/>
    <w:p>
      <w:pPr>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Loan Notes were not convertible until certain resolutions were passed at the Company’s General Meeting dated June 30, 2020, following which Loan Notes in an aggregate principal amount of £21,660,999 (together with accrued interest) were automatically converted into 125,061,475 new ordinary shares. This has been recorded as a £13,274,129 reduction in interest bearing loans together with the derecognition of the embedded derivative relating to the conversion feature (£41,590,307). A corresponding entry was made to equity with no gain or loss recognised on conversion. The remaining portion of the embedded derivative relating to the conversion feature attributable to the Loan Notes remaining in issue was reclassified to equity to reflect the effective change in the terms of the feature following the passing of the Resolutions.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movements in the carrying value of the liability component of the Loan Notes is included in the table below:</w:t>
      </w:r>
    </w:p>
    <w:p>
      <w:pPr>
        <w:spacing w:after="0" w:line="233" w:lineRule="exact"/>
        <w:rPr>
          <w:sz w:val="20"/>
          <w:szCs w:val="20"/>
          <w:color w:val="auto"/>
        </w:rPr>
      </w:pPr>
    </w:p>
    <w:tbl>
      <w:tblPr>
        <w:tblLayout w:type="fixed"/>
        <w:tblInd w:w="880" w:type="dxa"/>
        <w:tblCellMar>
          <w:top w:w="0" w:type="dxa"/>
          <w:left w:w="0" w:type="dxa"/>
          <w:bottom w:w="0" w:type="dxa"/>
          <w:right w:w="0" w:type="dxa"/>
        </w:tblCellMar>
      </w:tblPr>
      <w:tr>
        <w:trPr>
          <w:trHeight w:val="161"/>
        </w:trPr>
        <w:tc>
          <w:tcPr>
            <w:tcW w:w="49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80" w:type="dxa"/>
            <w:vAlign w:val="bottom"/>
            <w:gridSpan w:val="2"/>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Six months</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Six months</w:t>
            </w:r>
          </w:p>
        </w:tc>
        <w:tc>
          <w:tcPr>
            <w:tcW w:w="660" w:type="dxa"/>
            <w:vAlign w:val="bottom"/>
          </w:tcPr>
          <w:p>
            <w:pPr>
              <w:spacing w:after="0"/>
              <w:rPr>
                <w:sz w:val="13"/>
                <w:szCs w:val="13"/>
                <w:color w:val="auto"/>
              </w:rPr>
            </w:pPr>
          </w:p>
        </w:tc>
        <w:tc>
          <w:tcPr>
            <w:tcW w:w="8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Year ended</w:t>
            </w:r>
          </w:p>
        </w:tc>
        <w:tc>
          <w:tcPr>
            <w:tcW w:w="0" w:type="dxa"/>
            <w:vAlign w:val="bottom"/>
          </w:tcPr>
          <w:p>
            <w:pPr>
              <w:spacing w:after="0"/>
              <w:rPr>
                <w:sz w:val="1"/>
                <w:szCs w:val="1"/>
                <w:color w:val="auto"/>
              </w:rPr>
            </w:pPr>
          </w:p>
        </w:tc>
      </w:tr>
      <w:tr>
        <w:trPr>
          <w:trHeight w:val="149"/>
        </w:trPr>
        <w:tc>
          <w:tcPr>
            <w:tcW w:w="49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80" w:type="dxa"/>
            <w:vAlign w:val="bottom"/>
            <w:gridSpan w:val="2"/>
          </w:tcPr>
          <w:p>
            <w:pPr>
              <w:jc w:val="right"/>
              <w:ind w:right="64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ended</w:t>
            </w:r>
          </w:p>
        </w:tc>
        <w:tc>
          <w:tcPr>
            <w:tcW w:w="66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920" w:type="dxa"/>
            <w:vAlign w:val="bottom"/>
          </w:tcPr>
          <w:p>
            <w:pPr>
              <w:spacing w:after="0"/>
              <w:rPr>
                <w:sz w:val="12"/>
                <w:szCs w:val="12"/>
                <w:color w:val="auto"/>
              </w:rPr>
            </w:pPr>
          </w:p>
        </w:tc>
        <w:tc>
          <w:tcPr>
            <w:tcW w:w="2020" w:type="dxa"/>
            <w:vAlign w:val="bottom"/>
            <w:gridSpan w:val="3"/>
          </w:tcPr>
          <w:p>
            <w:pPr>
              <w:jc w:val="right"/>
              <w:ind w:right="640"/>
              <w:spacing w:after="0" w:line="149" w:lineRule="exact"/>
              <w:rPr>
                <w:sz w:val="20"/>
                <w:szCs w:val="20"/>
                <w:color w:val="auto"/>
              </w:rPr>
            </w:pPr>
            <w:r>
              <w:rPr>
                <w:rFonts w:ascii="Times New Roman" w:cs="Times New Roman" w:eastAsia="Times New Roman" w:hAnsi="Times New Roman"/>
                <w:sz w:val="14"/>
                <w:szCs w:val="14"/>
                <w:b w:val="1"/>
                <w:bCs w:val="1"/>
                <w:color w:val="auto"/>
              </w:rPr>
              <w:t>June 30, 2020</w:t>
            </w: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99"/>
              </w:rPr>
              <w:t>June 30, 2019</w:t>
            </w:r>
          </w:p>
        </w:tc>
        <w:tc>
          <w:tcPr>
            <w:tcW w:w="1520" w:type="dxa"/>
            <w:vAlign w:val="bottom"/>
            <w:gridSpan w:val="3"/>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December 31,</w:t>
            </w:r>
          </w:p>
        </w:tc>
        <w:tc>
          <w:tcPr>
            <w:tcW w:w="0" w:type="dxa"/>
            <w:vAlign w:val="bottom"/>
          </w:tcPr>
          <w:p>
            <w:pPr>
              <w:spacing w:after="0"/>
              <w:rPr>
                <w:sz w:val="1"/>
                <w:szCs w:val="1"/>
                <w:color w:val="auto"/>
              </w:rPr>
            </w:pPr>
          </w:p>
        </w:tc>
      </w:tr>
      <w:tr>
        <w:trPr>
          <w:trHeight w:val="148"/>
        </w:trPr>
        <w:tc>
          <w:tcPr>
            <w:tcW w:w="49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80" w:type="dxa"/>
            <w:vAlign w:val="bottom"/>
            <w:gridSpan w:val="2"/>
          </w:tcPr>
          <w:p>
            <w:pPr>
              <w:jc w:val="right"/>
              <w:ind w:right="640"/>
              <w:spacing w:after="0" w:line="149"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Unaudited</w:t>
            </w:r>
          </w:p>
        </w:tc>
        <w:tc>
          <w:tcPr>
            <w:tcW w:w="660" w:type="dxa"/>
            <w:vAlign w:val="bottom"/>
          </w:tcPr>
          <w:p>
            <w:pPr>
              <w:spacing w:after="0"/>
              <w:rPr>
                <w:sz w:val="12"/>
                <w:szCs w:val="12"/>
                <w:color w:val="auto"/>
              </w:rPr>
            </w:pPr>
          </w:p>
        </w:tc>
        <w:tc>
          <w:tcPr>
            <w:tcW w:w="8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2019 Audited</w:t>
            </w:r>
          </w:p>
        </w:tc>
        <w:tc>
          <w:tcPr>
            <w:tcW w:w="0" w:type="dxa"/>
            <w:vAlign w:val="bottom"/>
          </w:tcPr>
          <w:p>
            <w:pPr>
              <w:spacing w:after="0"/>
              <w:rPr>
                <w:sz w:val="1"/>
                <w:szCs w:val="1"/>
                <w:color w:val="auto"/>
              </w:rPr>
            </w:pPr>
          </w:p>
        </w:tc>
      </w:tr>
      <w:tr>
        <w:trPr>
          <w:trHeight w:val="173"/>
        </w:trPr>
        <w:tc>
          <w:tcPr>
            <w:tcW w:w="4920" w:type="dxa"/>
            <w:vAlign w:val="bottom"/>
          </w:tcPr>
          <w:p>
            <w:pPr>
              <w:spacing w:after="0"/>
              <w:rPr>
                <w:sz w:val="15"/>
                <w:szCs w:val="15"/>
                <w:color w:val="auto"/>
              </w:rPr>
            </w:pP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9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Liability component at date of issue (net of transaction costs)</w:t>
            </w:r>
          </w:p>
        </w:tc>
        <w:tc>
          <w:tcPr>
            <w:tcW w:w="54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24,417</w:t>
            </w:r>
          </w:p>
        </w:tc>
        <w:tc>
          <w:tcPr>
            <w:tcW w:w="6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Interest charged (using effective interest rate)</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422</w:t>
            </w:r>
          </w:p>
        </w:tc>
        <w:tc>
          <w:tcPr>
            <w:tcW w:w="640" w:type="dxa"/>
            <w:vAlign w:val="bottom"/>
          </w:tcPr>
          <w:p>
            <w:pPr>
              <w:spacing w:after="0"/>
              <w:rPr>
                <w:sz w:val="18"/>
                <w:szCs w:val="18"/>
                <w:color w:val="auto"/>
              </w:rPr>
            </w:pPr>
          </w:p>
        </w:tc>
        <w:tc>
          <w:tcPr>
            <w:tcW w:w="800" w:type="dxa"/>
            <w:vAlign w:val="bottom"/>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Reclassified to equity</w:t>
            </w:r>
          </w:p>
        </w:tc>
        <w:tc>
          <w:tcPr>
            <w:tcW w:w="2020" w:type="dxa"/>
            <w:vAlign w:val="bottom"/>
            <w:gridSpan w:val="3"/>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(13,274)</w:t>
            </w:r>
          </w:p>
        </w:tc>
        <w:tc>
          <w:tcPr>
            <w:tcW w:w="80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Carrying amount of liability component</w:t>
            </w:r>
          </w:p>
        </w:tc>
        <w:tc>
          <w:tcPr>
            <w:tcW w:w="54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11,565</w:t>
            </w:r>
          </w:p>
        </w:tc>
        <w:tc>
          <w:tcPr>
            <w:tcW w:w="64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movements in the carrying value of the embedded derivative relating to the conversion feature is included in the table below:</w:t>
      </w:r>
    </w:p>
    <w:p>
      <w:pPr>
        <w:spacing w:after="0" w:line="233" w:lineRule="exact"/>
        <w:rPr>
          <w:sz w:val="20"/>
          <w:szCs w:val="20"/>
          <w:color w:val="auto"/>
        </w:rPr>
      </w:pPr>
    </w:p>
    <w:tbl>
      <w:tblPr>
        <w:tblLayout w:type="fixed"/>
        <w:tblInd w:w="880" w:type="dxa"/>
        <w:tblCellMar>
          <w:top w:w="0" w:type="dxa"/>
          <w:left w:w="0" w:type="dxa"/>
          <w:bottom w:w="0" w:type="dxa"/>
          <w:right w:w="0" w:type="dxa"/>
        </w:tblCellMar>
      </w:tblPr>
      <w:tr>
        <w:trPr>
          <w:trHeight w:val="161"/>
        </w:trPr>
        <w:tc>
          <w:tcPr>
            <w:tcW w:w="408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460" w:type="dxa"/>
            <w:vAlign w:val="bottom"/>
            <w:gridSpan w:val="2"/>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Six months</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Six months</w:t>
            </w:r>
          </w:p>
        </w:tc>
        <w:tc>
          <w:tcPr>
            <w:tcW w:w="660" w:type="dxa"/>
            <w:vAlign w:val="bottom"/>
          </w:tcPr>
          <w:p>
            <w:pPr>
              <w:spacing w:after="0"/>
              <w:rPr>
                <w:sz w:val="13"/>
                <w:szCs w:val="13"/>
                <w:color w:val="auto"/>
              </w:rPr>
            </w:pPr>
          </w:p>
        </w:tc>
        <w:tc>
          <w:tcPr>
            <w:tcW w:w="8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Year ended</w:t>
            </w:r>
          </w:p>
        </w:tc>
        <w:tc>
          <w:tcPr>
            <w:tcW w:w="0" w:type="dxa"/>
            <w:vAlign w:val="bottom"/>
          </w:tcPr>
          <w:p>
            <w:pPr>
              <w:spacing w:after="0"/>
              <w:rPr>
                <w:sz w:val="1"/>
                <w:szCs w:val="1"/>
                <w:color w:val="auto"/>
              </w:rPr>
            </w:pPr>
          </w:p>
        </w:tc>
      </w:tr>
      <w:tr>
        <w:trPr>
          <w:trHeight w:val="148"/>
        </w:trPr>
        <w:tc>
          <w:tcPr>
            <w:tcW w:w="408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460" w:type="dxa"/>
            <w:vAlign w:val="bottom"/>
            <w:gridSpan w:val="2"/>
          </w:tcPr>
          <w:p>
            <w:pPr>
              <w:jc w:val="right"/>
              <w:ind w:right="64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ended</w:t>
            </w:r>
          </w:p>
        </w:tc>
        <w:tc>
          <w:tcPr>
            <w:tcW w:w="66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80" w:type="dxa"/>
            <w:vAlign w:val="bottom"/>
          </w:tcPr>
          <w:p>
            <w:pPr>
              <w:spacing w:after="0"/>
              <w:rPr>
                <w:sz w:val="12"/>
                <w:szCs w:val="12"/>
                <w:color w:val="auto"/>
              </w:rPr>
            </w:pPr>
          </w:p>
        </w:tc>
        <w:tc>
          <w:tcPr>
            <w:tcW w:w="2860" w:type="dxa"/>
            <w:vAlign w:val="bottom"/>
            <w:gridSpan w:val="3"/>
          </w:tcPr>
          <w:p>
            <w:pPr>
              <w:jc w:val="right"/>
              <w:ind w:right="640"/>
              <w:spacing w:after="0" w:line="149" w:lineRule="exact"/>
              <w:rPr>
                <w:sz w:val="20"/>
                <w:szCs w:val="20"/>
                <w:color w:val="auto"/>
              </w:rPr>
            </w:pPr>
            <w:r>
              <w:rPr>
                <w:rFonts w:ascii="Times New Roman" w:cs="Times New Roman" w:eastAsia="Times New Roman" w:hAnsi="Times New Roman"/>
                <w:sz w:val="14"/>
                <w:szCs w:val="14"/>
                <w:b w:val="1"/>
                <w:bCs w:val="1"/>
                <w:color w:val="auto"/>
              </w:rPr>
              <w:t>June 30, 2020</w:t>
            </w: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99"/>
              </w:rPr>
              <w:t>June 30, 2019</w:t>
            </w:r>
          </w:p>
        </w:tc>
        <w:tc>
          <w:tcPr>
            <w:tcW w:w="1520" w:type="dxa"/>
            <w:vAlign w:val="bottom"/>
            <w:gridSpan w:val="3"/>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December 31,</w:t>
            </w:r>
          </w:p>
        </w:tc>
        <w:tc>
          <w:tcPr>
            <w:tcW w:w="0" w:type="dxa"/>
            <w:vAlign w:val="bottom"/>
          </w:tcPr>
          <w:p>
            <w:pPr>
              <w:spacing w:after="0"/>
              <w:rPr>
                <w:sz w:val="1"/>
                <w:szCs w:val="1"/>
                <w:color w:val="auto"/>
              </w:rPr>
            </w:pPr>
          </w:p>
        </w:tc>
      </w:tr>
      <w:tr>
        <w:trPr>
          <w:trHeight w:val="148"/>
        </w:trPr>
        <w:tc>
          <w:tcPr>
            <w:tcW w:w="408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460" w:type="dxa"/>
            <w:vAlign w:val="bottom"/>
            <w:gridSpan w:val="2"/>
          </w:tcPr>
          <w:p>
            <w:pPr>
              <w:jc w:val="right"/>
              <w:ind w:right="640"/>
              <w:spacing w:after="0" w:line="149"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Unaudited</w:t>
            </w:r>
          </w:p>
        </w:tc>
        <w:tc>
          <w:tcPr>
            <w:tcW w:w="660" w:type="dxa"/>
            <w:vAlign w:val="bottom"/>
          </w:tcPr>
          <w:p>
            <w:pPr>
              <w:spacing w:after="0"/>
              <w:rPr>
                <w:sz w:val="12"/>
                <w:szCs w:val="12"/>
                <w:color w:val="auto"/>
              </w:rPr>
            </w:pPr>
          </w:p>
        </w:tc>
        <w:tc>
          <w:tcPr>
            <w:tcW w:w="8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2019 Audited</w:t>
            </w:r>
          </w:p>
        </w:tc>
        <w:tc>
          <w:tcPr>
            <w:tcW w:w="0" w:type="dxa"/>
            <w:vAlign w:val="bottom"/>
          </w:tcPr>
          <w:p>
            <w:pPr>
              <w:spacing w:after="0"/>
              <w:rPr>
                <w:sz w:val="1"/>
                <w:szCs w:val="1"/>
                <w:color w:val="auto"/>
              </w:rPr>
            </w:pPr>
          </w:p>
        </w:tc>
      </w:tr>
      <w:tr>
        <w:trPr>
          <w:trHeight w:val="173"/>
        </w:trPr>
        <w:tc>
          <w:tcPr>
            <w:tcW w:w="4080" w:type="dxa"/>
            <w:vAlign w:val="bottom"/>
          </w:tcPr>
          <w:p>
            <w:pPr>
              <w:spacing w:after="0"/>
              <w:rPr>
                <w:sz w:val="15"/>
                <w:szCs w:val="15"/>
                <w:color w:val="auto"/>
              </w:rPr>
            </w:pPr>
          </w:p>
        </w:tc>
        <w:tc>
          <w:tcPr>
            <w:tcW w:w="22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0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At the beginning of the year/period</w:t>
            </w:r>
          </w:p>
        </w:tc>
        <w:tc>
          <w:tcPr>
            <w:tcW w:w="14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Arising during the year/period</w:t>
            </w:r>
          </w:p>
        </w:tc>
        <w:tc>
          <w:tcPr>
            <w:tcW w:w="22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11,913</w:t>
            </w:r>
          </w:p>
        </w:tc>
        <w:tc>
          <w:tcPr>
            <w:tcW w:w="620" w:type="dxa"/>
            <w:vAlign w:val="bottom"/>
          </w:tcPr>
          <w:p>
            <w:pPr>
              <w:spacing w:after="0"/>
              <w:rPr>
                <w:sz w:val="18"/>
                <w:szCs w:val="18"/>
                <w:color w:val="auto"/>
              </w:rPr>
            </w:pPr>
          </w:p>
        </w:tc>
        <w:tc>
          <w:tcPr>
            <w:tcW w:w="800" w:type="dxa"/>
            <w:vAlign w:val="bottom"/>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Movement during the year/period</w:t>
            </w:r>
          </w:p>
        </w:tc>
        <w:tc>
          <w:tcPr>
            <w:tcW w:w="14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ind w:left="1420" w:right="5180" w:hanging="180"/>
        <w:spacing w:after="0" w:line="265" w:lineRule="auto"/>
        <w:tabs>
          <w:tab w:leader="none" w:pos="1345"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Fair value movements recorded in profit or loss (recognised within ‘FV changes on derivative financial instruments held</w:t>
      </w:r>
    </w:p>
    <w:tbl>
      <w:tblPr>
        <w:tblLayout w:type="fixed"/>
        <w:tblInd w:w="880" w:type="dxa"/>
        <w:tblCellMar>
          <w:top w:w="0" w:type="dxa"/>
          <w:left w:w="0" w:type="dxa"/>
          <w:bottom w:w="0" w:type="dxa"/>
          <w:right w:w="0" w:type="dxa"/>
        </w:tblCellMar>
      </w:tblPr>
      <w:tr>
        <w:trPr>
          <w:trHeight w:val="216"/>
        </w:trPr>
        <w:tc>
          <w:tcPr>
            <w:tcW w:w="54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at FVTPL’)</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63,158</w:t>
            </w:r>
          </w:p>
        </w:tc>
        <w:tc>
          <w:tcPr>
            <w:tcW w:w="620" w:type="dxa"/>
            <w:vAlign w:val="bottom"/>
          </w:tcPr>
          <w:p>
            <w:pPr>
              <w:spacing w:after="0"/>
              <w:rPr>
                <w:sz w:val="18"/>
                <w:szCs w:val="18"/>
                <w:color w:val="auto"/>
              </w:rPr>
            </w:pPr>
          </w:p>
        </w:tc>
        <w:tc>
          <w:tcPr>
            <w:tcW w:w="8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spacing w:after="0"/>
              <w:rPr>
                <w:sz w:val="18"/>
                <w:szCs w:val="18"/>
                <w:color w:val="auto"/>
              </w:rPr>
            </w:pPr>
          </w:p>
        </w:tc>
        <w:tc>
          <w:tcPr>
            <w:tcW w:w="86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Reclassified to equity</w:t>
            </w:r>
          </w:p>
        </w:tc>
        <w:tc>
          <w:tcPr>
            <w:tcW w:w="146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(75,071)</w:t>
            </w:r>
          </w:p>
        </w:tc>
        <w:tc>
          <w:tcPr>
            <w:tcW w:w="8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At the end of the year/period</w:t>
            </w:r>
          </w:p>
        </w:tc>
        <w:tc>
          <w:tcPr>
            <w:tcW w:w="84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spacing w:after="0"/>
              <w:rPr>
                <w:sz w:val="19"/>
                <w:szCs w:val="19"/>
                <w:color w:val="auto"/>
              </w:rPr>
            </w:pPr>
          </w:p>
        </w:tc>
        <w:tc>
          <w:tcPr>
            <w:tcW w:w="800" w:type="dxa"/>
            <w:vAlign w:val="bottom"/>
            <w:tcBorders>
              <w:top w:val="single" w:sz="8" w:color="auto"/>
              <w:bottom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spacing w:after="0"/>
              <w:rPr>
                <w:sz w:val="19"/>
                <w:szCs w:val="19"/>
                <w:color w:val="auto"/>
              </w:rPr>
            </w:pPr>
          </w:p>
        </w:tc>
        <w:tc>
          <w:tcPr>
            <w:tcW w:w="800" w:type="dxa"/>
            <w:vAlign w:val="bottom"/>
            <w:tcBorders>
              <w:top w:val="single" w:sz="8" w:color="auto"/>
              <w:bottom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r>
      <w:tr>
        <w:trPr>
          <w:trHeight w:val="20"/>
        </w:trPr>
        <w:tc>
          <w:tcPr>
            <w:tcW w:w="54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change in fair value of the embedded derivative liability above represents an unrealised loss.</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fair value of the embedded derivative was calculated by comparing the fair value of the hybrid instrument and the fair value of the host debt, which excludes the conversion features, using a discounted cash flow model as well as Black Scholes model for the hybrid contract.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lists the inputs into the model used to fair value the embedded derivative at inception and at the balance sheet date:</w:t>
      </w:r>
    </w:p>
    <w:p>
      <w:pPr>
        <w:spacing w:after="0" w:line="233" w:lineRule="exact"/>
        <w:rPr>
          <w:sz w:val="20"/>
          <w:szCs w:val="20"/>
          <w:color w:val="auto"/>
        </w:rPr>
      </w:pPr>
    </w:p>
    <w:tbl>
      <w:tblPr>
        <w:tblLayout w:type="fixed"/>
        <w:tblInd w:w="1320" w:type="dxa"/>
        <w:tblCellMar>
          <w:top w:w="0" w:type="dxa"/>
          <w:left w:w="0" w:type="dxa"/>
          <w:bottom w:w="0" w:type="dxa"/>
          <w:right w:w="0" w:type="dxa"/>
        </w:tblCellMar>
      </w:tblPr>
      <w:tr>
        <w:trPr>
          <w:trHeight w:val="161"/>
        </w:trPr>
        <w:tc>
          <w:tcPr>
            <w:tcW w:w="5420" w:type="dxa"/>
            <w:vAlign w:val="bottom"/>
          </w:tcPr>
          <w:p>
            <w:pPr>
              <w:spacing w:after="0"/>
              <w:rPr>
                <w:sz w:val="13"/>
                <w:szCs w:val="13"/>
                <w:color w:val="auto"/>
              </w:rPr>
            </w:pPr>
          </w:p>
        </w:tc>
        <w:tc>
          <w:tcPr>
            <w:tcW w:w="158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color w:val="auto"/>
              </w:rPr>
              <w:t>June 3, 2020</w:t>
            </w:r>
          </w:p>
        </w:tc>
        <w:tc>
          <w:tcPr>
            <w:tcW w:w="136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June 30, 2020</w:t>
            </w:r>
          </w:p>
        </w:tc>
      </w:tr>
      <w:tr>
        <w:trPr>
          <w:trHeight w:val="173"/>
        </w:trPr>
        <w:tc>
          <w:tcPr>
            <w:tcW w:w="5420" w:type="dxa"/>
            <w:vAlign w:val="bottom"/>
          </w:tcPr>
          <w:p>
            <w:pPr>
              <w:spacing w:after="0"/>
              <w:rPr>
                <w:sz w:val="15"/>
                <w:szCs w:val="15"/>
                <w:color w:val="auto"/>
              </w:rPr>
            </w:pPr>
          </w:p>
        </w:tc>
        <w:tc>
          <w:tcPr>
            <w:tcW w:w="1580" w:type="dxa"/>
            <w:vAlign w:val="bottom"/>
            <w:gridSpan w:val="2"/>
          </w:tcPr>
          <w:p>
            <w:pPr>
              <w:jc w:val="right"/>
              <w:ind w:right="640"/>
              <w:spacing w:after="0"/>
              <w:rPr>
                <w:sz w:val="20"/>
                <w:szCs w:val="20"/>
                <w:color w:val="auto"/>
              </w:rPr>
            </w:pPr>
            <w:r>
              <w:rPr>
                <w:rFonts w:ascii="Times New Roman" w:cs="Times New Roman" w:eastAsia="Times New Roman" w:hAnsi="Times New Roman"/>
                <w:sz w:val="14"/>
                <w:szCs w:val="14"/>
                <w:color w:val="auto"/>
              </w:rPr>
              <w:t>Unaudited</w:t>
            </w:r>
          </w:p>
        </w:tc>
        <w:tc>
          <w:tcPr>
            <w:tcW w:w="136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Unaudited</w:t>
            </w:r>
          </w:p>
        </w:tc>
      </w:tr>
      <w:tr>
        <w:trPr>
          <w:trHeight w:val="210"/>
        </w:trPr>
        <w:tc>
          <w:tcPr>
            <w:tcW w:w="54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volatility (%)</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30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 (%)</w:t>
            </w:r>
          </w:p>
        </w:tc>
        <w:tc>
          <w:tcPr>
            <w:tcW w:w="15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0.27</w:t>
            </w:r>
          </w:p>
        </w:tc>
        <w:tc>
          <w:tcPr>
            <w:tcW w:w="1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0.19</w:t>
            </w:r>
          </w:p>
        </w:tc>
      </w:tr>
      <w:tr>
        <w:trPr>
          <w:trHeight w:val="216"/>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Credit spread %</w:t>
            </w:r>
          </w:p>
        </w:tc>
        <w:tc>
          <w:tcPr>
            <w:tcW w:w="15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2014.5bps</w:t>
            </w:r>
          </w:p>
        </w:tc>
        <w:tc>
          <w:tcPr>
            <w:tcW w:w="13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1858.5bps</w:t>
            </w:r>
          </w:p>
        </w:tc>
      </w:tr>
      <w:tr>
        <w:trPr>
          <w:trHeight w:val="216"/>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Expected life of share options (years)</w:t>
            </w:r>
          </w:p>
        </w:tc>
        <w:tc>
          <w:tcPr>
            <w:tcW w:w="15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3</w:t>
            </w:r>
          </w:p>
        </w:tc>
        <w:tc>
          <w:tcPr>
            <w:tcW w:w="1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Market price of ordinary shares (£)</w:t>
            </w:r>
          </w:p>
        </w:tc>
        <w:tc>
          <w:tcPr>
            <w:tcW w:w="15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0.19</w:t>
            </w:r>
          </w:p>
        </w:tc>
        <w:tc>
          <w:tcPr>
            <w:tcW w:w="13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0.46</w:t>
            </w:r>
          </w:p>
        </w:tc>
      </w:tr>
      <w:tr>
        <w:trPr>
          <w:trHeight w:val="216"/>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Probability of resolutions passing (%)</w:t>
            </w:r>
          </w:p>
        </w:tc>
        <w:tc>
          <w:tcPr>
            <w:tcW w:w="15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90</w:t>
            </w:r>
          </w:p>
        </w:tc>
        <w:tc>
          <w:tcPr>
            <w:tcW w:w="1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r>
      <w:tr>
        <w:trPr>
          <w:trHeight w:val="198"/>
        </w:trPr>
        <w:tc>
          <w:tcPr>
            <w:tcW w:w="54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Model used</w:t>
            </w:r>
          </w:p>
        </w:tc>
        <w:tc>
          <w:tcPr>
            <w:tcW w:w="1580" w:type="dxa"/>
            <w:vAlign w:val="bottom"/>
            <w:gridSpan w:val="2"/>
            <w:shd w:val="clear" w:color="auto" w:fill="CCEEFF"/>
          </w:tcPr>
          <w:p>
            <w:pPr>
              <w:jc w:val="right"/>
              <w:ind w:right="300"/>
              <w:spacing w:after="0" w:line="198" w:lineRule="exact"/>
              <w:rPr>
                <w:sz w:val="20"/>
                <w:szCs w:val="20"/>
                <w:color w:val="auto"/>
              </w:rPr>
            </w:pPr>
            <w:r>
              <w:rPr>
                <w:rFonts w:ascii="Times New Roman" w:cs="Times New Roman" w:eastAsia="Times New Roman" w:hAnsi="Times New Roman"/>
                <w:sz w:val="18"/>
                <w:szCs w:val="18"/>
                <w:color w:val="auto"/>
              </w:rPr>
              <w:t>Discounted Cash</w:t>
            </w:r>
          </w:p>
        </w:tc>
        <w:tc>
          <w:tcPr>
            <w:tcW w:w="1360" w:type="dxa"/>
            <w:vAlign w:val="bottom"/>
            <w:gridSpan w:val="2"/>
            <w:shd w:val="clear" w:color="auto" w:fill="CCEEFF"/>
          </w:tcPr>
          <w:p>
            <w:pPr>
              <w:jc w:val="right"/>
              <w:ind w:right="60"/>
              <w:spacing w:after="0" w:line="198" w:lineRule="exact"/>
              <w:rPr>
                <w:sz w:val="20"/>
                <w:szCs w:val="20"/>
                <w:color w:val="auto"/>
              </w:rPr>
            </w:pPr>
            <w:r>
              <w:rPr>
                <w:rFonts w:ascii="Times New Roman" w:cs="Times New Roman" w:eastAsia="Times New Roman" w:hAnsi="Times New Roman"/>
                <w:sz w:val="18"/>
                <w:szCs w:val="18"/>
                <w:color w:val="auto"/>
              </w:rPr>
              <w:t>Discounted Cash</w:t>
            </w:r>
          </w:p>
        </w:tc>
      </w:tr>
      <w:tr>
        <w:trPr>
          <w:trHeight w:val="216"/>
        </w:trPr>
        <w:tc>
          <w:tcPr>
            <w:tcW w:w="542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flow/Black</w:t>
            </w:r>
          </w:p>
        </w:tc>
        <w:tc>
          <w:tcPr>
            <w:tcW w:w="13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flow/Black</w:t>
            </w:r>
          </w:p>
        </w:tc>
      </w:tr>
      <w:tr>
        <w:trPr>
          <w:trHeight w:val="234"/>
        </w:trPr>
        <w:tc>
          <w:tcPr>
            <w:tcW w:w="5420" w:type="dxa"/>
            <w:vAlign w:val="bottom"/>
            <w:shd w:val="clear" w:color="auto" w:fill="CCEEFF"/>
          </w:tcPr>
          <w:p>
            <w:pPr>
              <w:spacing w:after="0"/>
              <w:rPr>
                <w:sz w:val="20"/>
                <w:szCs w:val="20"/>
                <w:color w:val="auto"/>
              </w:rPr>
            </w:pPr>
          </w:p>
        </w:tc>
        <w:tc>
          <w:tcPr>
            <w:tcW w:w="15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Scholes model</w:t>
            </w:r>
          </w:p>
        </w:tc>
        <w:tc>
          <w:tcPr>
            <w:tcW w:w="13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Scholes model</w:t>
            </w:r>
          </w:p>
        </w:tc>
      </w:tr>
      <w:tr>
        <w:trPr>
          <w:trHeight w:val="20"/>
        </w:trPr>
        <w:tc>
          <w:tcPr>
            <w:tcW w:w="542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1"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Volatility was estimated by reference to the 30-day historical volatility of the share price of the company. Credit spread was determined based on the estimate of an implied credit rating of the Group between B and C. The volatility and credit spread are key unobservable inputs that require significant judgment and, therefore, the embedded derivatives were categorised within level 3 of the fair value hierarchy. If the</w:t>
      </w:r>
    </w:p>
    <w:p>
      <w:pPr>
        <w:spacing w:after="0" w:line="10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0920"/>
          </w:cols>
          <w:pgMar w:left="440" w:top="270" w:right="539" w:bottom="1440" w:gutter="0" w:footer="0" w:header="0"/>
        </w:sectPr>
      </w:pPr>
    </w:p>
    <w:bookmarkStart w:id="32" w:name="page33"/>
    <w:bookmarkEnd w:id="32"/>
    <w:p>
      <w:pPr>
        <w:ind w:right="8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volatility is increased to 66%, while holding the credit spread constant, the carrying value of the embedded derivative as of 30 June 2020 (immediately prior to the reclassification to equity) would increase to £77,619,283. If the credit spread is increased by 500bps to 2,358.50bps, while holding the volatility constant, the carrying value of the embedded derivative as of 30 June 2020 (immediately prior to the reclassification to equity) would increase to £78,636,053.</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Issued capital and reserves</w:t>
      </w:r>
    </w:p>
    <w:p>
      <w:pPr>
        <w:spacing w:after="0" w:line="237" w:lineRule="exact"/>
        <w:rPr>
          <w:sz w:val="20"/>
          <w:szCs w:val="20"/>
          <w:color w:val="auto"/>
        </w:rPr>
      </w:pPr>
    </w:p>
    <w:tbl>
      <w:tblPr>
        <w:tblLayout w:type="fixed"/>
        <w:tblInd w:w="88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080" w:type="dxa"/>
            <w:vAlign w:val="bottom"/>
          </w:tcPr>
          <w:p>
            <w:pPr>
              <w:spacing w:after="0"/>
              <w:rPr>
                <w:sz w:val="13"/>
                <w:szCs w:val="13"/>
                <w:color w:val="auto"/>
              </w:rPr>
            </w:pPr>
          </w:p>
        </w:tc>
        <w:tc>
          <w:tcPr>
            <w:tcW w:w="8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to</w:t>
            </w:r>
          </w:p>
        </w:tc>
        <w:tc>
          <w:tcPr>
            <w:tcW w:w="700" w:type="dxa"/>
            <w:vAlign w:val="bottom"/>
          </w:tcPr>
          <w:p>
            <w:pPr>
              <w:spacing w:after="0"/>
              <w:rPr>
                <w:sz w:val="13"/>
                <w:szCs w:val="13"/>
                <w:color w:val="auto"/>
              </w:rPr>
            </w:pPr>
          </w:p>
        </w:tc>
        <w:tc>
          <w:tcPr>
            <w:tcW w:w="8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to</w:t>
            </w: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08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70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December</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080" w:type="dxa"/>
            <w:vAlign w:val="bottom"/>
          </w:tcPr>
          <w:p>
            <w:pPr>
              <w:spacing w:after="0"/>
              <w:rPr>
                <w:sz w:val="12"/>
                <w:szCs w:val="12"/>
                <w:color w:val="auto"/>
              </w:rPr>
            </w:pPr>
          </w:p>
        </w:tc>
        <w:tc>
          <w:tcPr>
            <w:tcW w:w="8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June 30, 2020</w:t>
            </w:r>
          </w:p>
        </w:tc>
        <w:tc>
          <w:tcPr>
            <w:tcW w:w="700" w:type="dxa"/>
            <w:vAlign w:val="bottom"/>
          </w:tcPr>
          <w:p>
            <w:pPr>
              <w:spacing w:after="0"/>
              <w:rPr>
                <w:sz w:val="12"/>
                <w:szCs w:val="12"/>
                <w:color w:val="auto"/>
              </w:rPr>
            </w:pPr>
          </w:p>
        </w:tc>
        <w:tc>
          <w:tcPr>
            <w:tcW w:w="8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June 30, 2019</w:t>
            </w: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31, 2019</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Audited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7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7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Ordinary share capital</w:t>
            </w: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beginning of year/period</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294</w:t>
            </w: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Issuances in the period</w:t>
            </w:r>
          </w:p>
        </w:tc>
        <w:tc>
          <w:tcPr>
            <w:tcW w:w="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722</w:t>
            </w:r>
          </w:p>
        </w:tc>
        <w:tc>
          <w:tcPr>
            <w:tcW w:w="7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7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Nominal share capital at end of year/period</w:t>
            </w: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1,016</w:t>
            </w:r>
          </w:p>
        </w:tc>
        <w:tc>
          <w:tcPr>
            <w:tcW w:w="7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7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40" w:type="dxa"/>
            <w:vAlign w:val="bottom"/>
            <w:gridSpan w:val="3"/>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Ordinary shares issued and fully paid</w:t>
            </w:r>
          </w:p>
        </w:tc>
        <w:tc>
          <w:tcPr>
            <w:tcW w:w="14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At January 1, 2020</w:t>
            </w:r>
          </w:p>
        </w:tc>
        <w:tc>
          <w:tcPr>
            <w:tcW w:w="7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97,959,622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22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Issued on February 11, 2020 for Securities Purchase</w:t>
            </w:r>
          </w:p>
        </w:tc>
        <w:tc>
          <w:tcPr>
            <w:tcW w:w="7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11,432,925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2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Agreement with Aspire Capital</w:t>
            </w:r>
          </w:p>
        </w:tc>
        <w:tc>
          <w:tcPr>
            <w:tcW w:w="7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22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Issued on February 11, 2020 for Securities Purchase</w:t>
            </w:r>
          </w:p>
        </w:tc>
        <w:tc>
          <w:tcPr>
            <w:tcW w:w="7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2,862,595</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2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Agreement with Aspire Capital</w:t>
            </w:r>
          </w:p>
        </w:tc>
        <w:tc>
          <w:tcPr>
            <w:tcW w:w="7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20" w:type="dxa"/>
            <w:vAlign w:val="bottom"/>
            <w:vMerge w:val="continue"/>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22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Issued on February 20, 2020 for Securities Purchase</w:t>
            </w:r>
          </w:p>
        </w:tc>
        <w:tc>
          <w:tcPr>
            <w:tcW w:w="7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12,252,715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2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Agreement with Boxer Capital</w:t>
            </w:r>
          </w:p>
        </w:tc>
        <w:tc>
          <w:tcPr>
            <w:tcW w:w="7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22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Issued on June 4, 2020 for private placement of ordinary</w:t>
            </w:r>
          </w:p>
        </w:tc>
        <w:tc>
          <w:tcPr>
            <w:tcW w:w="7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89,144,630</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2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shares</w:t>
            </w:r>
          </w:p>
        </w:tc>
        <w:tc>
          <w:tcPr>
            <w:tcW w:w="7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20" w:type="dxa"/>
            <w:vAlign w:val="bottom"/>
            <w:vMerge w:val="continue"/>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Issued on June 30, 2020 for conversion of loan notes</w:t>
            </w:r>
          </w:p>
        </w:tc>
        <w:tc>
          <w:tcPr>
            <w:tcW w:w="7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125,061,475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At June 30, 2020</w:t>
            </w:r>
          </w:p>
        </w:tc>
        <w:tc>
          <w:tcPr>
            <w:tcW w:w="7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338,713,962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4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Nominal value at June 30, 2020 (£)</w:t>
            </w:r>
          </w:p>
        </w:tc>
        <w:tc>
          <w:tcPr>
            <w:tcW w:w="7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40" w:type="dxa"/>
            <w:vAlign w:val="bottom"/>
            <w:gridSpan w:val="3"/>
            <w:vMerge w:val="continue"/>
          </w:tcPr>
          <w:p>
            <w:pPr>
              <w:spacing w:after="0"/>
              <w:rPr>
                <w:sz w:val="18"/>
                <w:szCs w:val="18"/>
                <w:color w:val="auto"/>
              </w:rPr>
            </w:pPr>
          </w:p>
        </w:tc>
        <w:tc>
          <w:tcPr>
            <w:tcW w:w="7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0.003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Issued capital at June 30, 2020 (£)</w:t>
            </w:r>
          </w:p>
        </w:tc>
        <w:tc>
          <w:tcPr>
            <w:tcW w:w="7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1,016,142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020"/>
          </w:cols>
          <w:pgMar w:left="440" w:top="270" w:right="439" w:bottom="1440" w:gutter="0" w:footer="0" w:header="0"/>
        </w:sectPr>
      </w:pPr>
    </w:p>
    <w:p>
      <w:pPr>
        <w:spacing w:after="0" w:line="34"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b w:val="1"/>
          <w:bCs w:val="1"/>
          <w:color w:val="auto"/>
        </w:rPr>
        <w:t>Ordinary shares issued and fully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1120140</wp:posOffset>
            </wp:positionH>
            <wp:positionV relativeFrom="paragraph">
              <wp:posOffset>-116840</wp:posOffset>
            </wp:positionV>
            <wp:extent cx="4749165" cy="13716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4749165" cy="137160"/>
                    </a:xfrm>
                    <a:prstGeom prst="rect">
                      <a:avLst/>
                    </a:prstGeom>
                    <a:noFill/>
                  </pic:spPr>
                </pic:pic>
              </a:graphicData>
            </a:graphic>
          </wp:anchor>
        </w:drawing>
      </w:r>
    </w:p>
    <w:p>
      <w:pPr>
        <w:spacing w:after="0" w:line="11"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At January 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1120140</wp:posOffset>
            </wp:positionH>
            <wp:positionV relativeFrom="paragraph">
              <wp:posOffset>5715</wp:posOffset>
            </wp:positionV>
            <wp:extent cx="4749165" cy="13716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4749165" cy="137160"/>
                    </a:xfrm>
                    <a:prstGeom prst="rect">
                      <a:avLst/>
                    </a:prstGeom>
                    <a:noFill/>
                  </pic:spPr>
                </pic:pic>
              </a:graphicData>
            </a:graphic>
          </wp:anchor>
        </w:drawing>
      </w:r>
    </w:p>
    <w:p>
      <w:pPr>
        <w:ind w:left="1760"/>
        <w:spacing w:after="0"/>
        <w:rPr>
          <w:sz w:val="20"/>
          <w:szCs w:val="20"/>
          <w:color w:val="auto"/>
        </w:rPr>
      </w:pPr>
      <w:r>
        <w:rPr>
          <w:rFonts w:ascii="Times New Roman" w:cs="Times New Roman" w:eastAsia="Times New Roman" w:hAnsi="Times New Roman"/>
          <w:sz w:val="18"/>
          <w:szCs w:val="18"/>
          <w:color w:val="auto"/>
        </w:rPr>
        <w:t>Issued on April 23, 2019 for OncoMed acquisition</w:t>
      </w:r>
    </w:p>
    <w:p>
      <w:pPr>
        <w:spacing w:after="0" w:line="9"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Issued on June 21, 2019 for conversion of loan note</w:t>
      </w:r>
    </w:p>
    <w:p>
      <w:pPr>
        <w:spacing w:after="0" w:line="18"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At June 30,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1120140</wp:posOffset>
            </wp:positionH>
            <wp:positionV relativeFrom="paragraph">
              <wp:posOffset>-119380</wp:posOffset>
            </wp:positionV>
            <wp:extent cx="4749165" cy="13716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4749165" cy="137160"/>
                    </a:xfrm>
                    <a:prstGeom prst="rect">
                      <a:avLst/>
                    </a:prstGeom>
                    <a:noFill/>
                  </pic:spPr>
                </pic:pic>
              </a:graphicData>
            </a:graphic>
          </wp:anchor>
        </w:drawing>
      </w:r>
    </w:p>
    <w:p>
      <w:pPr>
        <w:spacing w:after="0" w:line="16"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Nominal value at June 30, 2019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1120140</wp:posOffset>
            </wp:positionH>
            <wp:positionV relativeFrom="paragraph">
              <wp:posOffset>17145</wp:posOffset>
            </wp:positionV>
            <wp:extent cx="4749165" cy="13716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4749165" cy="137160"/>
                    </a:xfrm>
                    <a:prstGeom prst="rect">
                      <a:avLst/>
                    </a:prstGeom>
                    <a:noFill/>
                  </pic:spPr>
                </pic:pic>
              </a:graphicData>
            </a:graphic>
          </wp:anchor>
        </w:drawing>
      </w:r>
    </w:p>
    <w:p>
      <w:pPr>
        <w:spacing w:after="0" w:line="7"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Issued capital at June 30, 2019 (£)</w:t>
      </w:r>
    </w:p>
    <w:p>
      <w:pPr>
        <w:spacing w:after="0" w:line="284"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b w:val="1"/>
          <w:bCs w:val="1"/>
          <w:color w:val="auto"/>
        </w:rPr>
        <w:t>Ordinary shares issued and fully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1120140</wp:posOffset>
            </wp:positionH>
            <wp:positionV relativeFrom="paragraph">
              <wp:posOffset>-116840</wp:posOffset>
            </wp:positionV>
            <wp:extent cx="4749165" cy="13716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4749165" cy="137160"/>
                    </a:xfrm>
                    <a:prstGeom prst="rect">
                      <a:avLst/>
                    </a:prstGeom>
                    <a:noFill/>
                  </pic:spPr>
                </pic:pic>
              </a:graphicData>
            </a:graphic>
          </wp:anchor>
        </w:drawing>
      </w:r>
    </w:p>
    <w:p>
      <w:pPr>
        <w:spacing w:after="0" w:line="11"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At July 1, 2019</w:t>
      </w:r>
    </w:p>
    <w:p>
      <w:pPr>
        <w:spacing w:after="0" w:line="18"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At 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1120140</wp:posOffset>
            </wp:positionH>
            <wp:positionV relativeFrom="paragraph">
              <wp:posOffset>-119380</wp:posOffset>
            </wp:positionV>
            <wp:extent cx="4749165" cy="13716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4749165" cy="137160"/>
                    </a:xfrm>
                    <a:prstGeom prst="rect">
                      <a:avLst/>
                    </a:prstGeom>
                    <a:noFill/>
                  </pic:spPr>
                </pic:pic>
              </a:graphicData>
            </a:graphic>
          </wp:anchor>
        </w:drawing>
      </w:r>
    </w:p>
    <w:p>
      <w:pPr>
        <w:spacing w:after="0" w:line="16"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Nominal value at December 31, 2019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1120140</wp:posOffset>
            </wp:positionH>
            <wp:positionV relativeFrom="paragraph">
              <wp:posOffset>17145</wp:posOffset>
            </wp:positionV>
            <wp:extent cx="4749165" cy="13716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4749165" cy="137160"/>
                    </a:xfrm>
                    <a:prstGeom prst="rect">
                      <a:avLst/>
                    </a:prstGeom>
                    <a:noFill/>
                  </pic:spPr>
                </pic:pic>
              </a:graphicData>
            </a:graphic>
          </wp:anchor>
        </w:drawing>
      </w:r>
    </w:p>
    <w:p>
      <w:pPr>
        <w:spacing w:after="0" w:line="7"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Issued capital at December 31, 2019 (£)</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jc w:val="right"/>
        <w:ind w:right="1840"/>
        <w:spacing w:after="0"/>
        <w:rPr>
          <w:sz w:val="20"/>
          <w:szCs w:val="20"/>
          <w:color w:val="auto"/>
        </w:rPr>
      </w:pPr>
      <w:r>
        <w:rPr>
          <w:rFonts w:ascii="Times New Roman" w:cs="Times New Roman" w:eastAsia="Times New Roman" w:hAnsi="Times New Roman"/>
          <w:sz w:val="17"/>
          <w:szCs w:val="17"/>
          <w:color w:val="auto"/>
        </w:rPr>
        <w:t>71,240,272</w:t>
      </w:r>
    </w:p>
    <w:p>
      <w:pPr>
        <w:spacing w:after="0" w:line="39" w:lineRule="exact"/>
        <w:rPr>
          <w:sz w:val="20"/>
          <w:szCs w:val="20"/>
          <w:color w:val="auto"/>
        </w:rPr>
      </w:pPr>
    </w:p>
    <w:p>
      <w:pPr>
        <w:jc w:val="right"/>
        <w:ind w:right="1840"/>
        <w:spacing w:after="0"/>
        <w:rPr>
          <w:sz w:val="20"/>
          <w:szCs w:val="20"/>
          <w:color w:val="auto"/>
        </w:rPr>
      </w:pPr>
      <w:r>
        <w:rPr>
          <w:rFonts w:ascii="Times New Roman" w:cs="Times New Roman" w:eastAsia="Times New Roman" w:hAnsi="Times New Roman"/>
          <w:sz w:val="17"/>
          <w:szCs w:val="17"/>
          <w:color w:val="auto"/>
        </w:rPr>
        <w:t>24,783,320</w:t>
      </w:r>
    </w:p>
    <w:p>
      <w:pPr>
        <w:spacing w:after="0" w:line="21" w:lineRule="exact"/>
        <w:rPr>
          <w:sz w:val="20"/>
          <w:szCs w:val="20"/>
          <w:color w:val="auto"/>
        </w:rPr>
      </w:pPr>
    </w:p>
    <w:p>
      <w:pPr>
        <w:jc w:val="right"/>
        <w:ind w:right="1840"/>
        <w:spacing w:after="0"/>
        <w:rPr>
          <w:sz w:val="20"/>
          <w:szCs w:val="20"/>
          <w:color w:val="auto"/>
        </w:rPr>
      </w:pPr>
      <w:r>
        <w:rPr>
          <w:rFonts w:ascii="Times New Roman" w:cs="Times New Roman" w:eastAsia="Times New Roman" w:hAnsi="Times New Roman"/>
          <w:sz w:val="18"/>
          <w:szCs w:val="18"/>
          <w:color w:val="auto"/>
        </w:rPr>
        <w:t>1,936,030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5715</wp:posOffset>
            </wp:positionV>
            <wp:extent cx="54864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48640" cy="889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7"/>
          <w:szCs w:val="17"/>
          <w:u w:val="single" w:color="auto"/>
          <w:color w:val="auto"/>
        </w:rPr>
        <w:t>97,959,622</w:t>
      </w:r>
    </w:p>
    <w:p>
      <w:pPr>
        <w:spacing w:after="0" w:line="48" w:lineRule="exact"/>
        <w:rPr>
          <w:sz w:val="20"/>
          <w:szCs w:val="20"/>
          <w:color w:val="auto"/>
        </w:rPr>
      </w:pPr>
    </w:p>
    <w:p>
      <w:pPr>
        <w:jc w:val="right"/>
        <w:ind w:right="1840"/>
        <w:spacing w:after="0"/>
        <w:rPr>
          <w:sz w:val="20"/>
          <w:szCs w:val="20"/>
          <w:color w:val="auto"/>
        </w:rPr>
      </w:pPr>
      <w:r>
        <w:rPr>
          <w:rFonts w:ascii="Times New Roman" w:cs="Times New Roman" w:eastAsia="Times New Roman" w:hAnsi="Times New Roman"/>
          <w:sz w:val="18"/>
          <w:szCs w:val="18"/>
          <w:color w:val="auto"/>
        </w:rPr>
        <w:t>0.003</w:t>
      </w:r>
    </w:p>
    <w:p>
      <w:pPr>
        <w:spacing w:after="0" w:line="27" w:lineRule="exact"/>
        <w:rPr>
          <w:sz w:val="20"/>
          <w:szCs w:val="20"/>
          <w:color w:val="auto"/>
        </w:rPr>
      </w:pPr>
    </w:p>
    <w:p>
      <w:pPr>
        <w:jc w:val="right"/>
        <w:ind w:right="1840"/>
        <w:spacing w:after="0"/>
        <w:rPr>
          <w:sz w:val="20"/>
          <w:szCs w:val="20"/>
          <w:color w:val="auto"/>
        </w:rPr>
      </w:pPr>
      <w:r>
        <w:rPr>
          <w:rFonts w:ascii="Times New Roman" w:cs="Times New Roman" w:eastAsia="Times New Roman" w:hAnsi="Times New Roman"/>
          <w:sz w:val="18"/>
          <w:szCs w:val="18"/>
          <w:color w:val="auto"/>
        </w:rPr>
        <w:t>293,879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5715</wp:posOffset>
            </wp:positionV>
            <wp:extent cx="54864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48640" cy="8255"/>
                    </a:xfrm>
                    <a:prstGeom prst="rect">
                      <a:avLst/>
                    </a:prstGeom>
                    <a:noFill/>
                  </pic:spPr>
                </pic:pic>
              </a:graphicData>
            </a:graphic>
          </wp:anchor>
        </w:drawing>
        <w:drawing>
          <wp:anchor simplePos="0" relativeHeight="251657728" behindDoc="1" locked="0" layoutInCell="0" allowOverlap="1">
            <wp:simplePos x="0" y="0"/>
            <wp:positionH relativeFrom="column">
              <wp:posOffset>-34290</wp:posOffset>
            </wp:positionH>
            <wp:positionV relativeFrom="paragraph">
              <wp:posOffset>22860</wp:posOffset>
            </wp:positionV>
            <wp:extent cx="54864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48640" cy="8255"/>
                    </a:xfrm>
                    <a:prstGeom prst="rect">
                      <a:avLst/>
                    </a:prstGeom>
                    <a:noFill/>
                  </pic:spPr>
                </pic:pic>
              </a:graphicData>
            </a:graphic>
          </wp:anchor>
        </w:drawing>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97,959,622</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97,959,622</w:t>
      </w:r>
    </w:p>
    <w:p>
      <w:pPr>
        <w:spacing w:after="0" w:line="48" w:lineRule="exact"/>
        <w:rPr>
          <w:sz w:val="20"/>
          <w:szCs w:val="20"/>
          <w:color w:val="auto"/>
        </w:rPr>
      </w:pPr>
    </w:p>
    <w:p>
      <w:pPr>
        <w:jc w:val="right"/>
        <w:ind w:right="1840"/>
        <w:spacing w:after="0"/>
        <w:rPr>
          <w:sz w:val="20"/>
          <w:szCs w:val="20"/>
          <w:color w:val="auto"/>
        </w:rPr>
      </w:pPr>
      <w:r>
        <w:rPr>
          <w:rFonts w:ascii="Times New Roman" w:cs="Times New Roman" w:eastAsia="Times New Roman" w:hAnsi="Times New Roman"/>
          <w:sz w:val="18"/>
          <w:szCs w:val="18"/>
          <w:color w:val="auto"/>
        </w:rPr>
        <w:t>0.003</w:t>
      </w:r>
    </w:p>
    <w:p>
      <w:pPr>
        <w:spacing w:after="0" w:line="27" w:lineRule="exact"/>
        <w:rPr>
          <w:sz w:val="20"/>
          <w:szCs w:val="20"/>
          <w:color w:val="auto"/>
        </w:rPr>
      </w:pPr>
    </w:p>
    <w:p>
      <w:pPr>
        <w:jc w:val="right"/>
        <w:ind w:right="1840"/>
        <w:spacing w:after="0"/>
        <w:rPr>
          <w:sz w:val="20"/>
          <w:szCs w:val="20"/>
          <w:color w:val="auto"/>
        </w:rPr>
      </w:pPr>
      <w:r>
        <w:rPr>
          <w:rFonts w:ascii="Times New Roman" w:cs="Times New Roman" w:eastAsia="Times New Roman" w:hAnsi="Times New Roman"/>
          <w:sz w:val="18"/>
          <w:szCs w:val="18"/>
          <w:color w:val="auto"/>
        </w:rPr>
        <w:t>293,879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5715</wp:posOffset>
            </wp:positionV>
            <wp:extent cx="54864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48640" cy="8890"/>
                    </a:xfrm>
                    <a:prstGeom prst="rect">
                      <a:avLst/>
                    </a:prstGeom>
                    <a:noFill/>
                  </pic:spPr>
                </pic:pic>
              </a:graphicData>
            </a:graphic>
          </wp:anchor>
        </w:drawing>
        <w:drawing>
          <wp:anchor simplePos="0" relativeHeight="251657728" behindDoc="1" locked="0" layoutInCell="0" allowOverlap="1">
            <wp:simplePos x="0" y="0"/>
            <wp:positionH relativeFrom="column">
              <wp:posOffset>-34290</wp:posOffset>
            </wp:positionH>
            <wp:positionV relativeFrom="paragraph">
              <wp:posOffset>22860</wp:posOffset>
            </wp:positionV>
            <wp:extent cx="54864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4864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660" w:space="720"/>
            <w:col w:w="2640"/>
          </w:cols>
          <w:pgMar w:left="440" w:top="270" w:right="439" w:bottom="1440" w:gutter="0" w:footer="0" w:header="0"/>
          <w:type w:val="continuous"/>
        </w:sectPr>
      </w:pP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Since January 1, 2020, the following alterations to the Company’s share capital have been made:</w:t>
      </w:r>
    </w:p>
    <w:p>
      <w:pPr>
        <w:spacing w:after="0" w:line="131" w:lineRule="exact"/>
        <w:rPr>
          <w:sz w:val="20"/>
          <w:szCs w:val="20"/>
          <w:color w:val="auto"/>
        </w:rPr>
      </w:pPr>
    </w:p>
    <w:p>
      <w:pPr>
        <w:ind w:left="960" w:right="660" w:hanging="532"/>
        <w:spacing w:after="0" w:line="282" w:lineRule="auto"/>
        <w:tabs>
          <w:tab w:leader="none" w:pos="9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February 11, 2020 the Company issued and allotted 11,432,925 ordinary shares of £0.003 in nominal value in the capital of the Company at a price of £0.20 per share to investors. Gross cash received was £2,321,738;</w:t>
      </w:r>
    </w:p>
    <w:p>
      <w:pPr>
        <w:spacing w:after="0" w:line="67" w:lineRule="exact"/>
        <w:rPr>
          <w:rFonts w:ascii="Times New Roman" w:cs="Times New Roman" w:eastAsia="Times New Roman" w:hAnsi="Times New Roman"/>
          <w:sz w:val="18"/>
          <w:szCs w:val="18"/>
          <w:color w:val="auto"/>
        </w:rPr>
      </w:pPr>
    </w:p>
    <w:p>
      <w:pPr>
        <w:ind w:left="960" w:right="740" w:hanging="532"/>
        <w:spacing w:after="0" w:line="282" w:lineRule="auto"/>
        <w:tabs>
          <w:tab w:leader="none" w:pos="9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February 11, 2020 the Company issued and allotted 2,862,595 ordinary shares of £0.003 in nominal value in the capital of the Company at a price of £0.08 to settle the commission on the Aspire fund raise;</w:t>
      </w:r>
    </w:p>
    <w:p>
      <w:pPr>
        <w:spacing w:after="0" w:line="67" w:lineRule="exact"/>
        <w:rPr>
          <w:rFonts w:ascii="Times New Roman" w:cs="Times New Roman" w:eastAsia="Times New Roman" w:hAnsi="Times New Roman"/>
          <w:sz w:val="18"/>
          <w:szCs w:val="18"/>
          <w:color w:val="auto"/>
        </w:rPr>
      </w:pPr>
    </w:p>
    <w:p>
      <w:pPr>
        <w:ind w:left="960" w:right="640" w:hanging="532"/>
        <w:spacing w:after="0" w:line="282" w:lineRule="auto"/>
        <w:tabs>
          <w:tab w:leader="none" w:pos="9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February 20, 2020 the Company issued and allotted 12,252,715 ordinary shares of £0.003 in nominal value in the capital of the Company at a price of £0.19 per share to investors. Gross cash received was £2,303,510;</w:t>
      </w:r>
    </w:p>
    <w:p>
      <w:pPr>
        <w:spacing w:after="0" w:line="67" w:lineRule="exact"/>
        <w:rPr>
          <w:rFonts w:ascii="Times New Roman" w:cs="Times New Roman" w:eastAsia="Times New Roman" w:hAnsi="Times New Roman"/>
          <w:sz w:val="18"/>
          <w:szCs w:val="18"/>
          <w:color w:val="auto"/>
        </w:rPr>
      </w:pPr>
    </w:p>
    <w:p>
      <w:pPr>
        <w:ind w:left="960" w:hanging="532"/>
        <w:spacing w:after="0" w:line="255" w:lineRule="auto"/>
        <w:tabs>
          <w:tab w:leader="none" w:pos="9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June 4, 2020 the Company issued and allotted 89,144,630 ordinary shares of £0.003 in nominal value in the capital of the Company at a price of £0.17 per share to investors. Gross cash received was £15,511,166. The ordinary shares were in substance issued at a discount to the Gross cash received. The fair value of the consideration of the ordinary shares was determined to be £13,385,976 and therefore the ordinary shares were in substance issued at a discount of £2,125,190, which was recorded as a reduction to other reserves (other reserves represent amounts that relate to changes to the Company’s paid up equity and which are not capital reserves) in the Statement of changes in equity. The incremental directly attributable transaction costs in relation to the issue of the ordinary shares were included within share premium;</w:t>
      </w:r>
    </w:p>
    <w:p>
      <w:pPr>
        <w:sectPr>
          <w:pgSz w:w="11900" w:h="16838" w:orient="portrait"/>
          <w:cols w:equalWidth="0" w:num="1">
            <w:col w:w="11020"/>
          </w:cols>
          <w:pgMar w:left="440" w:top="270" w:right="439" w:bottom="1440" w:gutter="0" w:footer="0" w:header="0"/>
          <w:type w:val="continuous"/>
        </w:sectPr>
      </w:pP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020"/>
          </w:cols>
          <w:pgMar w:left="440" w:top="270" w:right="439" w:bottom="1440" w:gutter="0" w:footer="0" w:header="0"/>
          <w:type w:val="continuous"/>
        </w:sectPr>
      </w:pPr>
    </w:p>
    <w:bookmarkStart w:id="33" w:name="page34"/>
    <w:bookmarkEnd w:id="33"/>
    <w:p>
      <w:pPr>
        <w:ind w:left="960" w:right="120" w:hanging="532"/>
        <w:spacing w:after="0" w:line="282" w:lineRule="auto"/>
        <w:tabs>
          <w:tab w:leader="none" w:pos="9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On June 30, 2020 the Company issued and allotted 125,061,475 ordinary shares of £0.003 in nominal value in the capital of the Company at a price of £0.17 per share to investors. On conversion of the loan notes the legal proceeds were £21,760,697;</w:t>
      </w:r>
    </w:p>
    <w:p>
      <w:pPr>
        <w:spacing w:after="0" w:line="6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vi)</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2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6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£’000</w:t>
            </w:r>
          </w:p>
        </w:tc>
        <w:tc>
          <w:tcPr>
            <w:tcW w:w="0" w:type="dxa"/>
            <w:vAlign w:val="bottom"/>
          </w:tcPr>
          <w:p>
            <w:pPr>
              <w:spacing w:after="0"/>
              <w:rPr>
                <w:sz w:val="1"/>
                <w:szCs w:val="1"/>
                <w:color w:val="auto"/>
              </w:rPr>
            </w:pPr>
          </w:p>
        </w:tc>
      </w:tr>
      <w:tr>
        <w:trPr>
          <w:trHeight w:val="196"/>
        </w:trPr>
        <w:tc>
          <w:tcPr>
            <w:tcW w:w="528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Share premium</w:t>
            </w:r>
          </w:p>
        </w:tc>
        <w:tc>
          <w:tcPr>
            <w:tcW w:w="5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right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At January 1, 2020 – Audited</w:t>
            </w: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121,684</w:t>
            </w:r>
          </w:p>
        </w:tc>
        <w:tc>
          <w:tcPr>
            <w:tcW w:w="0" w:type="dxa"/>
            <w:vAlign w:val="bottom"/>
          </w:tcPr>
          <w:p>
            <w:pPr>
              <w:spacing w:after="0"/>
              <w:rPr>
                <w:sz w:val="1"/>
                <w:szCs w:val="1"/>
                <w:color w:val="auto"/>
              </w:rPr>
            </w:pPr>
          </w:p>
        </w:tc>
      </w:tr>
      <w:tr>
        <w:trPr>
          <w:trHeight w:val="216"/>
        </w:trPr>
        <w:tc>
          <w:tcPr>
            <w:tcW w:w="60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Issued on February 11, 2020 for Securities Purchase Agreement with Aspire Capital</w:t>
            </w: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tcBorders>
              <w:right w:val="single" w:sz="8" w:color="CCEEFF"/>
            </w:tcBorders>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2,287</w:t>
            </w:r>
          </w:p>
        </w:tc>
        <w:tc>
          <w:tcPr>
            <w:tcW w:w="0" w:type="dxa"/>
            <w:vAlign w:val="bottom"/>
          </w:tcPr>
          <w:p>
            <w:pPr>
              <w:spacing w:after="0"/>
              <w:rPr>
                <w:sz w:val="1"/>
                <w:szCs w:val="1"/>
                <w:color w:val="auto"/>
              </w:rPr>
            </w:pPr>
          </w:p>
        </w:tc>
      </w:tr>
      <w:tr>
        <w:trPr>
          <w:trHeight w:val="216"/>
        </w:trPr>
        <w:tc>
          <w:tcPr>
            <w:tcW w:w="6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Issued on February 11, 2020 for Securities Purchase Agreement with Aspire Capital</w:t>
            </w: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224</w:t>
            </w: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Transaction costs for issued share capital</w:t>
            </w: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tcBorders>
              <w:right w:val="single" w:sz="8" w:color="CCEEFF"/>
            </w:tcBorders>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(147)</w:t>
            </w:r>
          </w:p>
        </w:tc>
        <w:tc>
          <w:tcPr>
            <w:tcW w:w="0" w:type="dxa"/>
            <w:vAlign w:val="bottom"/>
          </w:tcPr>
          <w:p>
            <w:pPr>
              <w:spacing w:after="0"/>
              <w:rPr>
                <w:sz w:val="1"/>
                <w:szCs w:val="1"/>
                <w:color w:val="auto"/>
              </w:rPr>
            </w:pPr>
          </w:p>
        </w:tc>
      </w:tr>
      <w:tr>
        <w:trPr>
          <w:trHeight w:val="216"/>
        </w:trPr>
        <w:tc>
          <w:tcPr>
            <w:tcW w:w="6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Issued on February 20, 2020 for Securities Purchase Agreement with Boxer Capital</w:t>
            </w: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2,267</w:t>
            </w: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Transaction costs for issued share capital</w:t>
            </w: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tcBorders>
              <w:right w:val="single" w:sz="8" w:color="CCEEFF"/>
            </w:tcBorders>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16"/>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Issued on June 4, 2020 for private placement of ordinary shares</w:t>
            </w: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15,244</w:t>
            </w: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Transaction costs for issued share capital</w:t>
            </w: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tcBorders>
              <w:right w:val="single" w:sz="8" w:color="CCEEFF"/>
            </w:tcBorders>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(1,129)</w:t>
            </w:r>
          </w:p>
        </w:tc>
        <w:tc>
          <w:tcPr>
            <w:tcW w:w="0" w:type="dxa"/>
            <w:vAlign w:val="bottom"/>
          </w:tcPr>
          <w:p>
            <w:pPr>
              <w:spacing w:after="0"/>
              <w:rPr>
                <w:sz w:val="1"/>
                <w:szCs w:val="1"/>
                <w:color w:val="auto"/>
              </w:rPr>
            </w:pPr>
          </w:p>
        </w:tc>
      </w:tr>
      <w:tr>
        <w:trPr>
          <w:trHeight w:val="216"/>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Issued on June 30, 2020 for conversion of the Loan Notes</w:t>
            </w: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21,386</w:t>
            </w: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At June 30, 2020 – Unaudited</w:t>
            </w: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tcBorders>
              <w:right w:val="single" w:sz="8" w:color="CCEEFF"/>
            </w:tcBorders>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161,785</w:t>
            </w:r>
          </w:p>
        </w:tc>
        <w:tc>
          <w:tcPr>
            <w:tcW w:w="0" w:type="dxa"/>
            <w:vAlign w:val="bottom"/>
          </w:tcPr>
          <w:p>
            <w:pPr>
              <w:spacing w:after="0"/>
              <w:rPr>
                <w:sz w:val="1"/>
                <w:szCs w:val="1"/>
                <w:color w:val="auto"/>
              </w:rPr>
            </w:pPr>
          </w:p>
        </w:tc>
      </w:tr>
      <w:tr>
        <w:trPr>
          <w:trHeight w:val="20"/>
        </w:trPr>
        <w:tc>
          <w:tcPr>
            <w:tcW w:w="52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Share premium</w:t>
            </w: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80" w:type="dxa"/>
            <w:vAlign w:val="bottom"/>
            <w:vMerge w:val="continue"/>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At January 1, 2019 – Audited</w:t>
            </w: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tcBorders>
              <w:right w:val="single" w:sz="8" w:color="CCEEFF"/>
            </w:tcBorders>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118,492</w:t>
            </w:r>
          </w:p>
        </w:tc>
        <w:tc>
          <w:tcPr>
            <w:tcW w:w="0" w:type="dxa"/>
            <w:vAlign w:val="bottom"/>
          </w:tcPr>
          <w:p>
            <w:pPr>
              <w:spacing w:after="0"/>
              <w:rPr>
                <w:sz w:val="1"/>
                <w:szCs w:val="1"/>
                <w:color w:val="auto"/>
              </w:rPr>
            </w:pPr>
          </w:p>
        </w:tc>
      </w:tr>
      <w:tr>
        <w:trPr>
          <w:trHeight w:val="216"/>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Issued on June 21, 2019 for conversion of Novartis loan note</w:t>
            </w: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3,953</w:t>
            </w: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Transaction costs for issued share capital</w:t>
            </w: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tcBorders>
              <w:right w:val="single" w:sz="8" w:color="CCEEFF"/>
            </w:tcBorders>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(761)</w:t>
            </w:r>
          </w:p>
        </w:tc>
        <w:tc>
          <w:tcPr>
            <w:tcW w:w="0" w:type="dxa"/>
            <w:vAlign w:val="bottom"/>
          </w:tcPr>
          <w:p>
            <w:pPr>
              <w:spacing w:after="0"/>
              <w:rPr>
                <w:sz w:val="1"/>
                <w:szCs w:val="1"/>
                <w:color w:val="auto"/>
              </w:rPr>
            </w:pPr>
          </w:p>
        </w:tc>
      </w:tr>
      <w:tr>
        <w:trPr>
          <w:trHeight w:val="223"/>
        </w:trPr>
        <w:tc>
          <w:tcPr>
            <w:tcW w:w="5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At June 30, 2019 – Unaudited</w:t>
            </w: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121,684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At December 31, 2019 – Audited</w:t>
            </w: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tcBorders>
              <w:right w:val="single" w:sz="8" w:color="CCEEFF"/>
            </w:tcBorders>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121,684</w:t>
            </w:r>
          </w:p>
        </w:tc>
        <w:tc>
          <w:tcPr>
            <w:tcW w:w="0" w:type="dxa"/>
            <w:vAlign w:val="bottom"/>
          </w:tcPr>
          <w:p>
            <w:pPr>
              <w:spacing w:after="0"/>
              <w:rPr>
                <w:sz w:val="1"/>
                <w:szCs w:val="1"/>
                <w:color w:val="auto"/>
              </w:rPr>
            </w:pPr>
          </w:p>
        </w:tc>
      </w:tr>
      <w:tr>
        <w:trPr>
          <w:trHeight w:val="20"/>
        </w:trPr>
        <w:tc>
          <w:tcPr>
            <w:tcW w:w="52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Other capital reserves</w:t>
            </w: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gridSpan w:val="2"/>
            <w:vMerge w:val="restart"/>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Share-</w:t>
            </w:r>
          </w:p>
        </w:tc>
        <w:tc>
          <w:tcPr>
            <w:tcW w:w="11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10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Warrants</w:t>
            </w: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5280" w:type="dxa"/>
            <w:vAlign w:val="bottom"/>
            <w:vMerge w:val="continue"/>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gridSpan w:val="2"/>
            <w:vMerge w:val="continue"/>
          </w:tcPr>
          <w:p>
            <w:pPr>
              <w:spacing w:after="0"/>
              <w:rPr>
                <w:sz w:val="24"/>
                <w:szCs w:val="24"/>
                <w:color w:val="auto"/>
              </w:rPr>
            </w:pPr>
          </w:p>
        </w:tc>
        <w:tc>
          <w:tcPr>
            <w:tcW w:w="1100" w:type="dxa"/>
            <w:vAlign w:val="bottom"/>
            <w:gridSpan w:val="2"/>
            <w:vMerge w:val="continue"/>
          </w:tcPr>
          <w:p>
            <w:pPr>
              <w:spacing w:after="0"/>
              <w:rPr>
                <w:sz w:val="24"/>
                <w:szCs w:val="24"/>
                <w:color w:val="auto"/>
              </w:rPr>
            </w:pPr>
          </w:p>
        </w:tc>
        <w:tc>
          <w:tcPr>
            <w:tcW w:w="1060" w:type="dxa"/>
            <w:vAlign w:val="bottom"/>
            <w:gridSpan w:val="2"/>
            <w:vMerge w:val="continue"/>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4"/>
        </w:trPr>
        <w:tc>
          <w:tcPr>
            <w:tcW w:w="5280" w:type="dxa"/>
            <w:vAlign w:val="bottom"/>
          </w:tcPr>
          <w:p>
            <w:pPr>
              <w:spacing w:after="0"/>
              <w:rPr>
                <w:sz w:val="10"/>
                <w:szCs w:val="10"/>
                <w:color w:val="auto"/>
              </w:rPr>
            </w:pPr>
          </w:p>
        </w:tc>
        <w:tc>
          <w:tcPr>
            <w:tcW w:w="80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900" w:type="dxa"/>
            <w:vAlign w:val="bottom"/>
            <w:gridSpan w:val="2"/>
            <w:vMerge w:val="continue"/>
          </w:tcPr>
          <w:p>
            <w:pPr>
              <w:spacing w:after="0"/>
              <w:rPr>
                <w:sz w:val="10"/>
                <w:szCs w:val="10"/>
                <w:color w:val="auto"/>
              </w:rPr>
            </w:pPr>
          </w:p>
        </w:tc>
        <w:tc>
          <w:tcPr>
            <w:tcW w:w="1100" w:type="dxa"/>
            <w:vAlign w:val="bottom"/>
            <w:gridSpan w:val="2"/>
            <w:vMerge w:val="continue"/>
          </w:tcPr>
          <w:p>
            <w:pPr>
              <w:spacing w:after="0"/>
              <w:rPr>
                <w:sz w:val="10"/>
                <w:szCs w:val="10"/>
                <w:color w:val="auto"/>
              </w:rPr>
            </w:pPr>
          </w:p>
        </w:tc>
        <w:tc>
          <w:tcPr>
            <w:tcW w:w="1060" w:type="dxa"/>
            <w:vAlign w:val="bottom"/>
            <w:gridSpan w:val="2"/>
            <w:vMerge w:val="continue"/>
          </w:tcPr>
          <w:p>
            <w:pPr>
              <w:spacing w:after="0"/>
              <w:rPr>
                <w:sz w:val="10"/>
                <w:szCs w:val="10"/>
                <w:color w:val="auto"/>
              </w:rPr>
            </w:pPr>
          </w:p>
        </w:tc>
        <w:tc>
          <w:tcPr>
            <w:tcW w:w="8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528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90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based</w:t>
            </w:r>
          </w:p>
        </w:tc>
        <w:tc>
          <w:tcPr>
            <w:tcW w:w="11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component of</w:t>
            </w:r>
          </w:p>
        </w:tc>
        <w:tc>
          <w:tcPr>
            <w:tcW w:w="10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issued for</w:t>
            </w:r>
          </w:p>
        </w:tc>
        <w:tc>
          <w:tcPr>
            <w:tcW w:w="112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Merger</w:t>
            </w: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280" w:type="dxa"/>
            <w:vAlign w:val="bottom"/>
          </w:tcPr>
          <w:p>
            <w:pPr>
              <w:spacing w:after="0"/>
              <w:rPr>
                <w:sz w:val="12"/>
                <w:szCs w:val="12"/>
                <w:color w:val="auto"/>
              </w:rPr>
            </w:pPr>
          </w:p>
        </w:tc>
        <w:tc>
          <w:tcPr>
            <w:tcW w:w="80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b w:val="1"/>
                <w:bCs w:val="1"/>
                <w:color w:val="auto"/>
                <w:w w:val="98"/>
              </w:rPr>
              <w:t>Reserves</w:t>
            </w:r>
          </w:p>
        </w:tc>
        <w:tc>
          <w:tcPr>
            <w:tcW w:w="90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payments</w:t>
            </w:r>
          </w:p>
        </w:tc>
        <w:tc>
          <w:tcPr>
            <w:tcW w:w="11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convertible</w:t>
            </w:r>
          </w:p>
        </w:tc>
        <w:tc>
          <w:tcPr>
            <w:tcW w:w="10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TAP funding</w:t>
            </w:r>
          </w:p>
        </w:tc>
        <w:tc>
          <w:tcPr>
            <w:tcW w:w="1120" w:type="dxa"/>
            <w:vAlign w:val="bottom"/>
            <w:gridSpan w:val="2"/>
            <w:vMerge w:val="continue"/>
          </w:tcPr>
          <w:p>
            <w:pPr>
              <w:spacing w:after="0"/>
              <w:rPr>
                <w:sz w:val="12"/>
                <w:szCs w:val="12"/>
                <w:color w:val="auto"/>
              </w:rPr>
            </w:pPr>
          </w:p>
        </w:tc>
        <w:tc>
          <w:tcPr>
            <w:tcW w:w="7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w w:val="91"/>
              </w:rPr>
              <w:t xml:space="preserve">Total </w:t>
            </w:r>
            <w:r>
              <w:rPr>
                <w:rFonts w:ascii="Times New Roman" w:cs="Times New Roman" w:eastAsia="Times New Roman" w:hAnsi="Times New Roman"/>
                <w:sz w:val="14"/>
                <w:szCs w:val="14"/>
                <w:b w:val="1"/>
                <w:bCs w:val="1"/>
                <w:u w:val="single" w:color="auto"/>
                <w:color w:val="auto"/>
                <w:w w:val="91"/>
              </w:rPr>
              <w:t>£</w:t>
            </w:r>
            <w:r>
              <w:rPr>
                <w:rFonts w:ascii="Times New Roman" w:cs="Times New Roman" w:eastAsia="Times New Roman" w:hAnsi="Times New Roman"/>
                <w:sz w:val="14"/>
                <w:szCs w:val="14"/>
                <w:b w:val="1"/>
                <w:bCs w:val="1"/>
                <w:color w:val="auto"/>
                <w:w w:val="91"/>
              </w:rPr>
              <w:t>’000</w:t>
            </w:r>
          </w:p>
        </w:tc>
        <w:tc>
          <w:tcPr>
            <w:tcW w:w="0" w:type="dxa"/>
            <w:vAlign w:val="bottom"/>
          </w:tcPr>
          <w:p>
            <w:pPr>
              <w:spacing w:after="0"/>
              <w:rPr>
                <w:sz w:val="1"/>
                <w:szCs w:val="1"/>
                <w:color w:val="auto"/>
              </w:rPr>
            </w:pPr>
          </w:p>
        </w:tc>
      </w:tr>
      <w:tr>
        <w:trPr>
          <w:trHeight w:val="173"/>
        </w:trPr>
        <w:tc>
          <w:tcPr>
            <w:tcW w:w="5280" w:type="dxa"/>
            <w:vAlign w:val="bottom"/>
          </w:tcPr>
          <w:p>
            <w:pPr>
              <w:spacing w:after="0"/>
              <w:rPr>
                <w:sz w:val="15"/>
                <w:szCs w:val="15"/>
                <w:color w:val="auto"/>
              </w:rPr>
            </w:pPr>
          </w:p>
        </w:tc>
        <w:tc>
          <w:tcPr>
            <w:tcW w:w="80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£’000</w:t>
            </w:r>
          </w:p>
        </w:tc>
        <w:tc>
          <w:tcPr>
            <w:tcW w:w="9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7"/>
              </w:rPr>
              <w:t>£’000</w:t>
            </w: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loan £’00</w:t>
            </w: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7"/>
              </w:rPr>
              <w:t>£’000</w:t>
            </w:r>
          </w:p>
        </w:tc>
        <w:tc>
          <w:tcPr>
            <w:tcW w:w="112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 xml:space="preserve">reserve </w:t>
            </w: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’000</w:t>
            </w:r>
          </w:p>
        </w:tc>
        <w:tc>
          <w:tcPr>
            <w:tcW w:w="7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5280" w:type="dxa"/>
            <w:vAlign w:val="bottom"/>
            <w:tcBorders>
              <w:top w:val="single" w:sz="8" w:color="CCEEFF"/>
            </w:tcBorders>
            <w:shd w:val="clear" w:color="auto" w:fill="CCEEFF"/>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At January 1, 2020</w:t>
            </w:r>
          </w:p>
        </w:tc>
        <w:tc>
          <w:tcPr>
            <w:tcW w:w="54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CCEEFF"/>
              <w:right w:val="single" w:sz="8" w:color="CCEEFF"/>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Audited</w:t>
            </w:r>
          </w:p>
        </w:tc>
        <w:tc>
          <w:tcPr>
            <w:tcW w:w="8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18,285</w:t>
            </w:r>
          </w:p>
        </w:tc>
        <w:tc>
          <w:tcPr>
            <w:tcW w:w="11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44</w:t>
            </w:r>
          </w:p>
        </w:tc>
        <w:tc>
          <w:tcPr>
            <w:tcW w:w="1120" w:type="dxa"/>
            <w:vAlign w:val="bottom"/>
            <w:tcBorders>
              <w:right w:val="single" w:sz="8" w:color="CCEEFF"/>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40,818</w:t>
            </w: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59,147</w:t>
            </w:r>
          </w:p>
        </w:tc>
        <w:tc>
          <w:tcPr>
            <w:tcW w:w="0" w:type="dxa"/>
            <w:vAlign w:val="bottom"/>
          </w:tcPr>
          <w:p>
            <w:pPr>
              <w:spacing w:after="0"/>
              <w:rPr>
                <w:sz w:val="1"/>
                <w:szCs w:val="1"/>
                <w:color w:val="auto"/>
              </w:rPr>
            </w:pPr>
          </w:p>
        </w:tc>
      </w:tr>
      <w:tr>
        <w:trPr>
          <w:trHeight w:val="216"/>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Share-based payments expense during the period</w:t>
            </w:r>
          </w:p>
        </w:tc>
        <w:tc>
          <w:tcPr>
            <w:tcW w:w="8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1,061</w:t>
            </w:r>
          </w:p>
        </w:tc>
        <w:tc>
          <w:tcPr>
            <w:tcW w:w="11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1,061</w:t>
            </w: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issued</w:t>
            </w:r>
          </w:p>
        </w:tc>
        <w:tc>
          <w:tcPr>
            <w:tcW w:w="8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(150)</w:t>
            </w:r>
          </w:p>
        </w:tc>
        <w:tc>
          <w:tcPr>
            <w:tcW w:w="11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right w:val="single" w:sz="8" w:color="CCEEFF"/>
            </w:tcBorders>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(150)</w:t>
            </w:r>
          </w:p>
        </w:tc>
        <w:tc>
          <w:tcPr>
            <w:tcW w:w="0" w:type="dxa"/>
            <w:vAlign w:val="bottom"/>
          </w:tcPr>
          <w:p>
            <w:pPr>
              <w:spacing w:after="0"/>
              <w:rPr>
                <w:sz w:val="1"/>
                <w:szCs w:val="1"/>
                <w:color w:val="auto"/>
              </w:rPr>
            </w:pPr>
          </w:p>
        </w:tc>
      </w:tr>
      <w:tr>
        <w:trPr>
          <w:trHeight w:val="198"/>
        </w:trPr>
        <w:tc>
          <w:tcPr>
            <w:tcW w:w="52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Equity component of the Novartis convertible loan instrument and</w:t>
            </w: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warrants</w:t>
            </w:r>
          </w:p>
        </w:tc>
        <w:tc>
          <w:tcPr>
            <w:tcW w:w="8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1,084</w:t>
            </w:r>
          </w:p>
        </w:tc>
        <w:tc>
          <w:tcPr>
            <w:tcW w:w="106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1,084</w:t>
            </w:r>
          </w:p>
        </w:tc>
        <w:tc>
          <w:tcPr>
            <w:tcW w:w="0" w:type="dxa"/>
            <w:vAlign w:val="bottom"/>
          </w:tcPr>
          <w:p>
            <w:pPr>
              <w:spacing w:after="0"/>
              <w:rPr>
                <w:sz w:val="1"/>
                <w:szCs w:val="1"/>
                <w:color w:val="auto"/>
              </w:rPr>
            </w:pPr>
          </w:p>
        </w:tc>
      </w:tr>
      <w:tr>
        <w:trPr>
          <w:trHeight w:val="198"/>
        </w:trPr>
        <w:tc>
          <w:tcPr>
            <w:tcW w:w="52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Conversion of the Loan Notes following the Resolutions passing on</w:t>
            </w:r>
          </w:p>
        </w:tc>
        <w:tc>
          <w:tcPr>
            <w:tcW w:w="5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00" w:type="dxa"/>
            <w:vAlign w:val="bottom"/>
            <w:tcBorders>
              <w:right w:val="single" w:sz="8" w:color="CCEEFF"/>
            </w:tcBorders>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30 June 2020</w:t>
            </w:r>
          </w:p>
        </w:tc>
        <w:tc>
          <w:tcPr>
            <w:tcW w:w="8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33,104</w:t>
            </w:r>
          </w:p>
        </w:tc>
        <w:tc>
          <w:tcPr>
            <w:tcW w:w="9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right w:val="single" w:sz="8" w:color="CCEEFF"/>
            </w:tcBorders>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33,104</w:t>
            </w:r>
          </w:p>
        </w:tc>
        <w:tc>
          <w:tcPr>
            <w:tcW w:w="0" w:type="dxa"/>
            <w:vAlign w:val="bottom"/>
          </w:tcPr>
          <w:p>
            <w:pPr>
              <w:spacing w:after="0"/>
              <w:rPr>
                <w:sz w:val="1"/>
                <w:szCs w:val="1"/>
                <w:color w:val="auto"/>
              </w:rPr>
            </w:pPr>
          </w:p>
        </w:tc>
      </w:tr>
      <w:tr>
        <w:trPr>
          <w:trHeight w:val="198"/>
        </w:trPr>
        <w:tc>
          <w:tcPr>
            <w:tcW w:w="52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Reclassification of the remaining embedded derivative following the</w:t>
            </w: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Resolutions passing</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60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33,481</w:t>
            </w:r>
          </w:p>
        </w:tc>
        <w:tc>
          <w:tcPr>
            <w:tcW w:w="106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33,481</w:t>
            </w: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00" w:type="dxa"/>
            <w:vAlign w:val="bottom"/>
            <w:tcBorders>
              <w:right w:val="single" w:sz="8" w:color="auto"/>
            </w:tcBorders>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At June 30, 2020 Unaudited</w:t>
            </w:r>
          </w:p>
        </w:tc>
        <w:tc>
          <w:tcPr>
            <w:tcW w:w="8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33,104</w:t>
            </w:r>
          </w:p>
        </w:tc>
        <w:tc>
          <w:tcPr>
            <w:tcW w:w="9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19,196</w:t>
            </w:r>
          </w:p>
        </w:tc>
        <w:tc>
          <w:tcPr>
            <w:tcW w:w="11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34,565</w:t>
            </w:r>
          </w:p>
        </w:tc>
        <w:tc>
          <w:tcPr>
            <w:tcW w:w="106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b w:val="1"/>
                <w:bCs w:val="1"/>
                <w:color w:val="auto"/>
              </w:rPr>
              <w:t>44</w:t>
            </w:r>
          </w:p>
        </w:tc>
        <w:tc>
          <w:tcPr>
            <w:tcW w:w="1120" w:type="dxa"/>
            <w:vAlign w:val="bottom"/>
            <w:tcBorders>
              <w:right w:val="single" w:sz="8" w:color="CCEEFF"/>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40,818</w:t>
            </w: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127,727</w:t>
            </w: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5280" w:type="dxa"/>
            <w:vAlign w:val="bottom"/>
          </w:tcPr>
          <w:p>
            <w:pPr>
              <w:spacing w:after="0"/>
              <w:rPr>
                <w:sz w:val="24"/>
                <w:szCs w:val="24"/>
                <w:color w:val="auto"/>
              </w:rPr>
            </w:pPr>
          </w:p>
        </w:tc>
        <w:tc>
          <w:tcPr>
            <w:tcW w:w="54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26</w:t>
            </w: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70" w:right="439" w:bottom="1440" w:gutter="0" w:footer="0" w:header="0"/>
        </w:sectPr>
      </w:pPr>
    </w:p>
    <w:bookmarkStart w:id="34" w:name="page35"/>
    <w:bookmarkEnd w:id="34"/>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46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Share-</w:t>
            </w:r>
          </w:p>
        </w:tc>
        <w:tc>
          <w:tcPr>
            <w:tcW w:w="120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11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Warrants</w:t>
            </w:r>
          </w:p>
        </w:tc>
        <w:tc>
          <w:tcPr>
            <w:tcW w:w="8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640" w:type="dxa"/>
            <w:vAlign w:val="bottom"/>
          </w:tcPr>
          <w:p>
            <w:pPr>
              <w:spacing w:after="0"/>
              <w:rPr>
                <w:sz w:val="12"/>
                <w:szCs w:val="12"/>
                <w:color w:val="auto"/>
              </w:rPr>
            </w:pPr>
          </w:p>
        </w:tc>
        <w:tc>
          <w:tcPr>
            <w:tcW w:w="114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Shares to be</w:t>
            </w:r>
          </w:p>
        </w:tc>
        <w:tc>
          <w:tcPr>
            <w:tcW w:w="92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w w:val="99"/>
              </w:rPr>
              <w:t>based</w:t>
            </w:r>
          </w:p>
        </w:tc>
        <w:tc>
          <w:tcPr>
            <w:tcW w:w="120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component of</w:t>
            </w:r>
          </w:p>
        </w:tc>
        <w:tc>
          <w:tcPr>
            <w:tcW w:w="112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issued for</w:t>
            </w:r>
          </w:p>
        </w:tc>
        <w:tc>
          <w:tcPr>
            <w:tcW w:w="120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Merger</w:t>
            </w: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64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920" w:type="dxa"/>
            <w:vAlign w:val="bottom"/>
            <w:gridSpan w:val="2"/>
          </w:tcPr>
          <w:p>
            <w:pPr>
              <w:jc w:val="right"/>
              <w:ind w:right="340"/>
              <w:spacing w:after="0" w:line="149" w:lineRule="exact"/>
              <w:rPr>
                <w:sz w:val="20"/>
                <w:szCs w:val="20"/>
                <w:color w:val="auto"/>
              </w:rPr>
            </w:pPr>
            <w:r>
              <w:rPr>
                <w:rFonts w:ascii="Times New Roman" w:cs="Times New Roman" w:eastAsia="Times New Roman" w:hAnsi="Times New Roman"/>
                <w:sz w:val="14"/>
                <w:szCs w:val="14"/>
                <w:b w:val="1"/>
                <w:bCs w:val="1"/>
                <w:color w:val="auto"/>
                <w:w w:val="97"/>
              </w:rPr>
              <w:t>payments</w:t>
            </w:r>
          </w:p>
        </w:tc>
        <w:tc>
          <w:tcPr>
            <w:tcW w:w="120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convertible</w:t>
            </w:r>
          </w:p>
        </w:tc>
        <w:tc>
          <w:tcPr>
            <w:tcW w:w="112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b w:val="1"/>
                <w:bCs w:val="1"/>
                <w:color w:val="auto"/>
                <w:w w:val="99"/>
              </w:rPr>
              <w:t>TAP funding</w:t>
            </w:r>
          </w:p>
        </w:tc>
        <w:tc>
          <w:tcPr>
            <w:tcW w:w="1200" w:type="dxa"/>
            <w:vAlign w:val="bottom"/>
            <w:gridSpan w:val="2"/>
            <w:vMerge w:val="continue"/>
          </w:tcPr>
          <w:p>
            <w:pPr>
              <w:spacing w:after="0"/>
              <w:rPr>
                <w:sz w:val="12"/>
                <w:szCs w:val="12"/>
                <w:color w:val="auto"/>
              </w:rPr>
            </w:pPr>
          </w:p>
        </w:tc>
        <w:tc>
          <w:tcPr>
            <w:tcW w:w="8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w w:val="96"/>
              </w:rPr>
              <w:t xml:space="preserve">Total </w:t>
            </w:r>
            <w:r>
              <w:rPr>
                <w:rFonts w:ascii="Times New Roman" w:cs="Times New Roman" w:eastAsia="Times New Roman" w:hAnsi="Times New Roman"/>
                <w:sz w:val="14"/>
                <w:szCs w:val="14"/>
                <w:b w:val="1"/>
                <w:bCs w:val="1"/>
                <w:u w:val="single" w:color="auto"/>
                <w:color w:val="auto"/>
                <w:w w:val="96"/>
              </w:rPr>
              <w:t>£</w:t>
            </w:r>
            <w:r>
              <w:rPr>
                <w:rFonts w:ascii="Times New Roman" w:cs="Times New Roman" w:eastAsia="Times New Roman" w:hAnsi="Times New Roman"/>
                <w:sz w:val="14"/>
                <w:szCs w:val="14"/>
                <w:b w:val="1"/>
                <w:bCs w:val="1"/>
                <w:color w:val="auto"/>
                <w:w w:val="96"/>
              </w:rPr>
              <w:t>’000</w:t>
            </w:r>
          </w:p>
        </w:tc>
        <w:tc>
          <w:tcPr>
            <w:tcW w:w="0" w:type="dxa"/>
            <w:vAlign w:val="bottom"/>
          </w:tcPr>
          <w:p>
            <w:pPr>
              <w:spacing w:after="0"/>
              <w:rPr>
                <w:sz w:val="1"/>
                <w:szCs w:val="1"/>
                <w:color w:val="auto"/>
              </w:rPr>
            </w:pPr>
          </w:p>
        </w:tc>
      </w:tr>
      <w:tr>
        <w:trPr>
          <w:trHeight w:val="173"/>
        </w:trPr>
        <w:tc>
          <w:tcPr>
            <w:tcW w:w="4640" w:type="dxa"/>
            <w:vAlign w:val="bottom"/>
          </w:tcPr>
          <w:p>
            <w:pPr>
              <w:spacing w:after="0"/>
              <w:rPr>
                <w:sz w:val="15"/>
                <w:szCs w:val="15"/>
                <w:color w:val="auto"/>
              </w:rPr>
            </w:pPr>
          </w:p>
        </w:tc>
        <w:tc>
          <w:tcPr>
            <w:tcW w:w="114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 xml:space="preserve">issued </w:t>
            </w: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’000</w:t>
            </w:r>
          </w:p>
        </w:tc>
        <w:tc>
          <w:tcPr>
            <w:tcW w:w="9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£’000</w:t>
            </w:r>
          </w:p>
        </w:tc>
        <w:tc>
          <w:tcPr>
            <w:tcW w:w="120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loan £’000</w:t>
            </w:r>
          </w:p>
        </w:tc>
        <w:tc>
          <w:tcPr>
            <w:tcW w:w="11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£’000</w:t>
            </w:r>
          </w:p>
        </w:tc>
        <w:tc>
          <w:tcPr>
            <w:tcW w:w="120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 xml:space="preserve">Reserve </w:t>
            </w: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’000</w:t>
            </w:r>
          </w:p>
        </w:tc>
        <w:tc>
          <w:tcPr>
            <w:tcW w:w="8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6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At January 1, 2019 Audited</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1,590</w:t>
            </w:r>
          </w:p>
        </w:tc>
        <w:tc>
          <w:tcPr>
            <w:tcW w:w="3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16,649</w:t>
            </w:r>
          </w:p>
        </w:tc>
        <w:tc>
          <w:tcPr>
            <w:tcW w:w="34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w w:val="88"/>
              </w:rPr>
              <w:t>310</w:t>
            </w:r>
          </w:p>
        </w:tc>
        <w:tc>
          <w:tcPr>
            <w:tcW w:w="38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3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18,593</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Share-based payments expense during the period</w:t>
            </w:r>
          </w:p>
        </w:tc>
        <w:tc>
          <w:tcPr>
            <w:tcW w:w="11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493</w:t>
            </w:r>
          </w:p>
        </w:tc>
        <w:tc>
          <w:tcPr>
            <w:tcW w:w="120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493</w:t>
            </w: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issued</w:t>
            </w:r>
          </w:p>
        </w:tc>
        <w:tc>
          <w:tcPr>
            <w:tcW w:w="11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(1,590)</w:t>
            </w: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(1,590)</w:t>
            </w:r>
          </w:p>
        </w:tc>
        <w:tc>
          <w:tcPr>
            <w:tcW w:w="0" w:type="dxa"/>
            <w:vAlign w:val="bottom"/>
          </w:tcPr>
          <w:p>
            <w:pPr>
              <w:spacing w:after="0"/>
              <w:rPr>
                <w:sz w:val="1"/>
                <w:szCs w:val="1"/>
                <w:color w:val="auto"/>
              </w:rPr>
            </w:pPr>
          </w:p>
        </w:tc>
      </w:tr>
      <w:tr>
        <w:trPr>
          <w:trHeight w:val="216"/>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Equity component of convertible loan instrument</w:t>
            </w:r>
          </w:p>
        </w:tc>
        <w:tc>
          <w:tcPr>
            <w:tcW w:w="11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(310)</w:t>
            </w:r>
          </w:p>
        </w:tc>
        <w:tc>
          <w:tcPr>
            <w:tcW w:w="112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(310)</w:t>
            </w:r>
          </w:p>
        </w:tc>
        <w:tc>
          <w:tcPr>
            <w:tcW w:w="0" w:type="dxa"/>
            <w:vAlign w:val="bottom"/>
          </w:tcPr>
          <w:p>
            <w:pPr>
              <w:spacing w:after="0"/>
              <w:rPr>
                <w:sz w:val="1"/>
                <w:szCs w:val="1"/>
                <w:color w:val="auto"/>
              </w:rPr>
            </w:pPr>
          </w:p>
        </w:tc>
      </w:tr>
      <w:tr>
        <w:trPr>
          <w:trHeight w:val="198"/>
        </w:trPr>
        <w:tc>
          <w:tcPr>
            <w:tcW w:w="46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Issue of share capital on April 23, 2019 for acquisition of</w:t>
            </w:r>
          </w:p>
        </w:tc>
        <w:tc>
          <w:tcPr>
            <w:tcW w:w="7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OncoMed</w:t>
            </w:r>
          </w:p>
        </w:tc>
        <w:tc>
          <w:tcPr>
            <w:tcW w:w="11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40,818</w:t>
            </w: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40,818</w:t>
            </w:r>
          </w:p>
        </w:tc>
        <w:tc>
          <w:tcPr>
            <w:tcW w:w="0" w:type="dxa"/>
            <w:vAlign w:val="bottom"/>
          </w:tcPr>
          <w:p>
            <w:pPr>
              <w:spacing w:after="0"/>
              <w:rPr>
                <w:sz w:val="1"/>
                <w:szCs w:val="1"/>
                <w:color w:val="auto"/>
              </w:rPr>
            </w:pPr>
          </w:p>
        </w:tc>
      </w:tr>
      <w:tr>
        <w:trPr>
          <w:trHeight w:val="223"/>
        </w:trPr>
        <w:tc>
          <w:tcPr>
            <w:tcW w:w="4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At June 30, 2019 Unaudited</w:t>
            </w:r>
          </w:p>
        </w:tc>
        <w:tc>
          <w:tcPr>
            <w:tcW w:w="76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17,142</w:t>
            </w:r>
          </w:p>
        </w:tc>
        <w:tc>
          <w:tcPr>
            <w:tcW w:w="340" w:type="dxa"/>
            <w:vAlign w:val="bottom"/>
          </w:tcPr>
          <w:p>
            <w:pPr>
              <w:spacing w:after="0"/>
              <w:rPr>
                <w:sz w:val="19"/>
                <w:szCs w:val="19"/>
                <w:color w:val="auto"/>
              </w:rPr>
            </w:pPr>
          </w:p>
        </w:tc>
        <w:tc>
          <w:tcPr>
            <w:tcW w:w="820" w:type="dxa"/>
            <w:vAlign w:val="bottom"/>
            <w:tcBorders>
              <w:top w:val="single" w:sz="8" w:color="auto"/>
              <w:bottom w:val="single" w:sz="8" w:color="auto"/>
            </w:tcBorders>
          </w:tcPr>
          <w:p>
            <w:pPr>
              <w:ind w:left="560"/>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44</w:t>
            </w:r>
          </w:p>
        </w:tc>
        <w:tc>
          <w:tcPr>
            <w:tcW w:w="32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40,818</w:t>
            </w:r>
          </w:p>
        </w:tc>
        <w:tc>
          <w:tcPr>
            <w:tcW w:w="32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58,004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payments expense during the period</w:t>
            </w:r>
          </w:p>
        </w:tc>
        <w:tc>
          <w:tcPr>
            <w:tcW w:w="11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1,143</w:t>
            </w:r>
          </w:p>
        </w:tc>
        <w:tc>
          <w:tcPr>
            <w:tcW w:w="120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1,143</w:t>
            </w:r>
          </w:p>
        </w:tc>
        <w:tc>
          <w:tcPr>
            <w:tcW w:w="0" w:type="dxa"/>
            <w:vAlign w:val="bottom"/>
          </w:tcPr>
          <w:p>
            <w:pPr>
              <w:spacing w:after="0"/>
              <w:rPr>
                <w:sz w:val="1"/>
                <w:szCs w:val="1"/>
                <w:color w:val="auto"/>
              </w:rPr>
            </w:pPr>
          </w:p>
        </w:tc>
      </w:tr>
      <w:tr>
        <w:trPr>
          <w:trHeight w:val="223"/>
        </w:trPr>
        <w:tc>
          <w:tcPr>
            <w:tcW w:w="4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At December 31, 2019 Audited</w:t>
            </w:r>
          </w:p>
        </w:tc>
        <w:tc>
          <w:tcPr>
            <w:tcW w:w="76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18,285</w:t>
            </w:r>
          </w:p>
        </w:tc>
        <w:tc>
          <w:tcPr>
            <w:tcW w:w="340" w:type="dxa"/>
            <w:vAlign w:val="bottom"/>
          </w:tcPr>
          <w:p>
            <w:pPr>
              <w:spacing w:after="0"/>
              <w:rPr>
                <w:sz w:val="19"/>
                <w:szCs w:val="19"/>
                <w:color w:val="auto"/>
              </w:rPr>
            </w:pPr>
          </w:p>
        </w:tc>
        <w:tc>
          <w:tcPr>
            <w:tcW w:w="820" w:type="dxa"/>
            <w:vAlign w:val="bottom"/>
            <w:tcBorders>
              <w:top w:val="single" w:sz="8" w:color="auto"/>
              <w:bottom w:val="single" w:sz="8" w:color="auto"/>
            </w:tcBorders>
          </w:tcPr>
          <w:p>
            <w:pPr>
              <w:ind w:left="560"/>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44</w:t>
            </w:r>
          </w:p>
        </w:tc>
        <w:tc>
          <w:tcPr>
            <w:tcW w:w="32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40,818</w:t>
            </w:r>
          </w:p>
        </w:tc>
        <w:tc>
          <w:tcPr>
            <w:tcW w:w="32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59,147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reserves</w:t>
      </w:r>
    </w:p>
    <w:p>
      <w:pPr>
        <w:spacing w:after="0" w:line="121"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On June 30, 2020 the Company issued and allotted 125,061,475 ordinary shares of £0.003 in nominal value in the capital of the Company at a price of £0.17 per share to investors following the partial conversion of the Loan Notes. The legal proceeds were £21,760,697. This resulted in £33,103,739 recognised in other reserves as a difference between the carrying value of the financial liability extinguished and the legal proceeds.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Shares to be issued</w:t>
      </w:r>
    </w:p>
    <w:p>
      <w:pPr>
        <w:spacing w:after="0" w:line="121" w:lineRule="exact"/>
        <w:rPr>
          <w:sz w:val="20"/>
          <w:szCs w:val="20"/>
          <w:color w:val="auto"/>
        </w:rPr>
      </w:pPr>
    </w:p>
    <w:p>
      <w:pPr>
        <w:ind w:right="780"/>
        <w:spacing w:after="0" w:line="282" w:lineRule="auto"/>
        <w:rPr>
          <w:sz w:val="20"/>
          <w:szCs w:val="20"/>
          <w:color w:val="auto"/>
        </w:rPr>
      </w:pPr>
      <w:r>
        <w:rPr>
          <w:rFonts w:ascii="Times New Roman" w:cs="Times New Roman" w:eastAsia="Times New Roman" w:hAnsi="Times New Roman"/>
          <w:sz w:val="18"/>
          <w:szCs w:val="18"/>
          <w:color w:val="auto"/>
        </w:rPr>
        <w:t>At January 1, 2017, £2,674,477 representing a maximum of 1,453,520 shares at £1.84 were remaining to be issued to Novartis pro rata to their percentage shareholding as and when the Company issues further ordinary shares.</w:t>
      </w:r>
    </w:p>
    <w:p>
      <w:pPr>
        <w:spacing w:after="0" w:line="16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Of the 1,221,361 ordinary shares issued on April 26, 2017, 588,532 shares were issued to Novartis as fully paid up bonus shares (for £nil consideration), the number of which was calculated to maintain its shareholding at 19.5%. The fair value of these shares was £1.84 per share. At December 31, 2018, £1,591,578 representing a maximum of 864,988 shares at £1.84 were remaining to be issued to Novartis pro rata to their percentage shareholding as and when the Company issues further ordinary shares</w:t>
      </w:r>
    </w:p>
    <w:p>
      <w:pPr>
        <w:spacing w:after="0" w:line="180"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Of the 1,936,030 ordinary shares issued to Novartis on June 21, 2019, the remaining 864,988 shares were issued to Novartis as fully paid up bonus shares (for £nil consideration). The fair value of these shares was £1.84 per share.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Share-based payments</w:t>
      </w:r>
    </w:p>
    <w:p>
      <w:pPr>
        <w:spacing w:after="0" w:line="121"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Group has a share option scheme under which options to subscribe for the Group’s shares have been granted to certain Executives, Non-Executive Directors and employees.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share-based payment reserve is used to recognise:</w:t>
      </w:r>
    </w:p>
    <w:p>
      <w:pPr>
        <w:spacing w:after="0" w:line="131" w:lineRule="exact"/>
        <w:rPr>
          <w:sz w:val="20"/>
          <w:szCs w:val="20"/>
          <w:color w:val="auto"/>
        </w:rPr>
      </w:pPr>
    </w:p>
    <w:p>
      <w:pPr>
        <w:ind w:left="960" w:right="940" w:hanging="532"/>
        <w:spacing w:after="0" w:line="282" w:lineRule="auto"/>
        <w:tabs>
          <w:tab w:leader="none" w:pos="9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value of equity-settled share-based payments provided to employees, including key management personnel, as part of their remuneration; and</w:t>
      </w:r>
    </w:p>
    <w:p>
      <w:pPr>
        <w:spacing w:after="0" w:line="67"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deferred equity consideration.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total charge for the six months to June 30, 2020 in respect of all share option schemes was £0.9 million (June 30, 2019: £0.5 million).</w:t>
      </w:r>
    </w:p>
    <w:p>
      <w:pPr>
        <w:spacing w:after="0" w:line="225"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On February 20, 2020, the Company granted 962,836 market value options over ADS under the Mereo 2019 Equity Incentive Plan to certain executives and other employees. The weighted average fair value of options granted was £0.21. The exercise price is $1.84. On the same date, the Company granted 77,000 market value options over ADS under the Mereo 2019 NED Equity Incentive Plan to certain non-executives. The weighted average fair value of options granted was £0.21. The exercise price is $1.84.</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020"/>
          </w:cols>
          <w:pgMar w:left="440" w:top="251" w:right="4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Equity component of convertible loan instruments</w:t>
      </w:r>
    </w:p>
    <w:p>
      <w:pPr>
        <w:spacing w:after="0" w:line="121" w:lineRule="exact"/>
        <w:rPr>
          <w:sz w:val="20"/>
          <w:szCs w:val="20"/>
          <w:color w:val="auto"/>
        </w:rPr>
      </w:pPr>
    </w:p>
    <w:p>
      <w:pPr>
        <w:jc w:val="both"/>
        <w:ind w:right="380"/>
        <w:spacing w:after="0" w:line="266" w:lineRule="auto"/>
        <w:rPr>
          <w:sz w:val="20"/>
          <w:szCs w:val="20"/>
          <w:color w:val="auto"/>
        </w:rPr>
      </w:pPr>
      <w:r>
        <w:rPr>
          <w:rFonts w:ascii="Times New Roman" w:cs="Times New Roman" w:eastAsia="Times New Roman" w:hAnsi="Times New Roman"/>
          <w:sz w:val="18"/>
          <w:szCs w:val="18"/>
          <w:color w:val="auto"/>
        </w:rPr>
        <w:t>The convertible loan notes issued to Novartis are a compound instrument consisting of a liability and an equity component. The value of the equity component (cost of the conversion option) as at June 30, 2020 is £1.1 million (June 30, 2019: £nil). The value of the equity component (cost of the conversion option) as at December 31, 2019 was £nil.</w:t>
      </w:r>
    </w:p>
    <w:p>
      <w:pPr>
        <w:spacing w:after="0" w:line="17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On 30 June 2020 the Loan Notes in an aggregate principal amount of £21,660,999 (together with accrued interest) were automatically converted into 125,061,475 new ordinary shares. This resulted in £33,480,833 recognised in other reserves in equity as a difference between the share capital and share premium recognised on conversion and the carrying value of the financial liability extinguished.</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Merger reserve</w:t>
      </w:r>
    </w:p>
    <w:p>
      <w:pPr>
        <w:spacing w:after="0" w:line="121"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The consideration paid to acquire OncoMed in 2019 was 24,783,320 ordinary shares with an acquisition date fair value of £40.9 million, based on the Group’s quoted share price. The nominal value of the issued capital was £0.1 million with the excess, £40.8 million, classified within other capital reserves as a ‘Merger reserve’.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Provisions</w:t>
      </w:r>
    </w:p>
    <w:p>
      <w:pPr>
        <w:spacing w:after="0" w:line="237" w:lineRule="exact"/>
        <w:rPr>
          <w:sz w:val="20"/>
          <w:szCs w:val="20"/>
          <w:color w:val="auto"/>
        </w:rPr>
      </w:pPr>
    </w:p>
    <w:tbl>
      <w:tblPr>
        <w:tblLayout w:type="fixed"/>
        <w:tblInd w:w="88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72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2300" w:type="dxa"/>
            <w:vAlign w:val="bottom"/>
            <w:gridSpan w:val="5"/>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Six months</w:t>
            </w:r>
          </w:p>
        </w:tc>
        <w:tc>
          <w:tcPr>
            <w:tcW w:w="1020" w:type="dxa"/>
            <w:vAlign w:val="bottom"/>
            <w:gridSpan w:val="4"/>
          </w:tcPr>
          <w:p>
            <w:pPr>
              <w:jc w:val="center"/>
              <w:ind w:left="101"/>
              <w:spacing w:after="0"/>
              <w:rPr>
                <w:sz w:val="20"/>
                <w:szCs w:val="20"/>
                <w:color w:val="auto"/>
              </w:rPr>
            </w:pPr>
            <w:r>
              <w:rPr>
                <w:rFonts w:ascii="Times New Roman" w:cs="Times New Roman" w:eastAsia="Times New Roman" w:hAnsi="Times New Roman"/>
                <w:sz w:val="14"/>
                <w:szCs w:val="14"/>
                <w:color w:val="auto"/>
              </w:rPr>
              <w:t>Six months to</w:t>
            </w: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color w:val="auto"/>
              </w:rPr>
              <w:t>Year ended</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20" w:type="dxa"/>
            <w:vAlign w:val="bottom"/>
            <w:gridSpan w:val="4"/>
          </w:tcPr>
          <w:p>
            <w:pPr>
              <w:jc w:val="right"/>
              <w:ind w:right="360"/>
              <w:spacing w:after="0" w:line="149" w:lineRule="exact"/>
              <w:rPr>
                <w:sz w:val="20"/>
                <w:szCs w:val="20"/>
                <w:color w:val="auto"/>
              </w:rPr>
            </w:pPr>
            <w:r>
              <w:rPr>
                <w:rFonts w:ascii="Times New Roman" w:cs="Times New Roman" w:eastAsia="Times New Roman" w:hAnsi="Times New Roman"/>
                <w:sz w:val="14"/>
                <w:szCs w:val="14"/>
                <w:b w:val="1"/>
                <w:bCs w:val="1"/>
                <w:color w:val="auto"/>
                <w:w w:val="98"/>
              </w:rPr>
              <w:t>to June 30,</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color w:val="auto"/>
              </w:rPr>
              <w:t>June 30,</w:t>
            </w:r>
          </w:p>
        </w:tc>
        <w:tc>
          <w:tcPr>
            <w:tcW w:w="480" w:type="dxa"/>
            <w:vAlign w:val="bottom"/>
          </w:tcPr>
          <w:p>
            <w:pPr>
              <w:spacing w:after="0"/>
              <w:rPr>
                <w:sz w:val="12"/>
                <w:szCs w:val="12"/>
                <w:color w:val="auto"/>
              </w:rPr>
            </w:pPr>
          </w:p>
        </w:tc>
        <w:tc>
          <w:tcPr>
            <w:tcW w:w="920" w:type="dxa"/>
            <w:vAlign w:val="bottom"/>
            <w:gridSpan w:val="4"/>
          </w:tcPr>
          <w:p>
            <w:pPr>
              <w:jc w:val="center"/>
              <w:ind w:right="20"/>
              <w:spacing w:after="0" w:line="149" w:lineRule="exact"/>
              <w:rPr>
                <w:sz w:val="20"/>
                <w:szCs w:val="20"/>
                <w:color w:val="auto"/>
              </w:rPr>
            </w:pPr>
            <w:r>
              <w:rPr>
                <w:rFonts w:ascii="Times New Roman" w:cs="Times New Roman" w:eastAsia="Times New Roman" w:hAnsi="Times New Roman"/>
                <w:sz w:val="14"/>
                <w:szCs w:val="14"/>
                <w:color w:val="auto"/>
              </w:rPr>
              <w:t>December 31,</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960" w:type="dxa"/>
            <w:vAlign w:val="bottom"/>
            <w:gridSpan w:val="3"/>
          </w:tcPr>
          <w:p>
            <w:pPr>
              <w:jc w:val="right"/>
              <w:ind w:right="118"/>
              <w:spacing w:after="0" w:line="149" w:lineRule="exact"/>
              <w:rPr>
                <w:sz w:val="20"/>
                <w:szCs w:val="20"/>
                <w:color w:val="auto"/>
              </w:rPr>
            </w:pPr>
            <w:r>
              <w:rPr>
                <w:rFonts w:ascii="Times New Roman" w:cs="Times New Roman" w:eastAsia="Times New Roman" w:hAnsi="Times New Roman"/>
                <w:sz w:val="14"/>
                <w:szCs w:val="14"/>
                <w:b w:val="1"/>
                <w:bCs w:val="1"/>
                <w:color w:val="auto"/>
              </w:rPr>
              <w:t>2020</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gridSpan w:val="3"/>
          </w:tcPr>
          <w:p>
            <w:pPr>
              <w:jc w:val="center"/>
              <w:ind w:left="181"/>
              <w:spacing w:after="0" w:line="149" w:lineRule="exact"/>
              <w:rPr>
                <w:sz w:val="20"/>
                <w:szCs w:val="20"/>
                <w:color w:val="auto"/>
              </w:rPr>
            </w:pPr>
            <w:r>
              <w:rPr>
                <w:rFonts w:ascii="Times New Roman" w:cs="Times New Roman" w:eastAsia="Times New Roman" w:hAnsi="Times New Roman"/>
                <w:sz w:val="14"/>
                <w:szCs w:val="14"/>
                <w:color w:val="auto"/>
                <w:w w:val="99"/>
              </w:rPr>
              <w:t>2019</w:t>
            </w:r>
          </w:p>
        </w:tc>
        <w:tc>
          <w:tcPr>
            <w:tcW w:w="80" w:type="dxa"/>
            <w:vAlign w:val="bottom"/>
          </w:tcPr>
          <w:p>
            <w:pPr>
              <w:spacing w:after="0"/>
              <w:rPr>
                <w:sz w:val="12"/>
                <w:szCs w:val="12"/>
                <w:color w:val="auto"/>
              </w:rPr>
            </w:pPr>
          </w:p>
        </w:tc>
        <w:tc>
          <w:tcPr>
            <w:tcW w:w="1280" w:type="dxa"/>
            <w:vAlign w:val="bottom"/>
            <w:gridSpan w:val="3"/>
          </w:tcPr>
          <w:p>
            <w:pPr>
              <w:jc w:val="right"/>
              <w:ind w:right="119"/>
              <w:spacing w:after="0" w:line="149" w:lineRule="exact"/>
              <w:rPr>
                <w:sz w:val="20"/>
                <w:szCs w:val="20"/>
                <w:color w:val="auto"/>
              </w:rPr>
            </w:pPr>
            <w:r>
              <w:rPr>
                <w:rFonts w:ascii="Times New Roman" w:cs="Times New Roman" w:eastAsia="Times New Roman" w:hAnsi="Times New Roman"/>
                <w:sz w:val="14"/>
                <w:szCs w:val="14"/>
                <w:color w:val="auto"/>
              </w:rPr>
              <w:t>2019</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20" w:type="dxa"/>
            <w:vAlign w:val="bottom"/>
            <w:gridSpan w:val="4"/>
          </w:tcPr>
          <w:p>
            <w:pPr>
              <w:jc w:val="right"/>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color w:val="auto"/>
              </w:rPr>
              <w:t>Unaudited</w:t>
            </w: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gridSpan w:val="3"/>
          </w:tcPr>
          <w:p>
            <w:pPr>
              <w:jc w:val="center"/>
              <w:ind w:right="80"/>
              <w:spacing w:after="0" w:line="149" w:lineRule="exact"/>
              <w:rPr>
                <w:sz w:val="20"/>
                <w:szCs w:val="20"/>
                <w:color w:val="auto"/>
              </w:rPr>
            </w:pPr>
            <w:r>
              <w:rPr>
                <w:rFonts w:ascii="Times New Roman" w:cs="Times New Roman" w:eastAsia="Times New Roman" w:hAnsi="Times New Roman"/>
                <w:sz w:val="14"/>
                <w:szCs w:val="14"/>
                <w:color w:val="auto"/>
              </w:rPr>
              <w:t>Audited</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72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gridSpan w:val="3"/>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£’000</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7"/>
              </w:rPr>
              <w:t>£’000</w:t>
            </w:r>
          </w:p>
        </w:tc>
        <w:tc>
          <w:tcPr>
            <w:tcW w:w="4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6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color w:val="auto"/>
              </w:rPr>
              <w:t>£’000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52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Social security contributions on share options</w:t>
            </w:r>
          </w:p>
        </w:tc>
        <w:tc>
          <w:tcPr>
            <w:tcW w:w="12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w:t>
            </w: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120</w:t>
            </w:r>
          </w:p>
        </w:tc>
        <w:tc>
          <w:tcPr>
            <w:tcW w:w="4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Provision for deferred cash consideration</w:t>
            </w:r>
          </w:p>
        </w:tc>
        <w:tc>
          <w:tcPr>
            <w:tcW w:w="1280" w:type="dxa"/>
            <w:vAlign w:val="bottom"/>
          </w:tcPr>
          <w:p>
            <w:pPr>
              <w:spacing w:after="0"/>
              <w:rPr>
                <w:sz w:val="19"/>
                <w:szCs w:val="19"/>
                <w:color w:val="auto"/>
              </w:rPr>
            </w:pPr>
          </w:p>
        </w:tc>
        <w:tc>
          <w:tcPr>
            <w:tcW w:w="6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1,698</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Borders>
              <w:bottom w:val="single" w:sz="8" w:color="auto"/>
            </w:tcBorders>
            <w:gridSpan w:val="3"/>
          </w:tcPr>
          <w:p>
            <w:pPr>
              <w:jc w:val="center"/>
              <w:ind w:left="293"/>
              <w:spacing w:after="0"/>
              <w:rPr>
                <w:sz w:val="20"/>
                <w:szCs w:val="20"/>
                <w:color w:val="auto"/>
              </w:rPr>
            </w:pPr>
            <w:r>
              <w:rPr>
                <w:rFonts w:ascii="Times New Roman" w:cs="Times New Roman" w:eastAsia="Times New Roman" w:hAnsi="Times New Roman"/>
                <w:sz w:val="18"/>
                <w:szCs w:val="18"/>
                <w:color w:val="auto"/>
                <w:w w:val="98"/>
              </w:rPr>
              <w:t>2,141</w:t>
            </w:r>
          </w:p>
        </w:tc>
        <w:tc>
          <w:tcPr>
            <w:tcW w:w="540" w:type="dxa"/>
            <w:vAlign w:val="bottom"/>
            <w:gridSpan w:val="2"/>
          </w:tcPr>
          <w:p>
            <w:pPr>
              <w:spacing w:after="0"/>
              <w:rPr>
                <w:sz w:val="19"/>
                <w:szCs w:val="19"/>
                <w:color w:val="auto"/>
              </w:rPr>
            </w:pPr>
          </w:p>
        </w:tc>
        <w:tc>
          <w:tcPr>
            <w:tcW w:w="8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1,654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At end of year/period</w:t>
            </w:r>
          </w:p>
        </w:tc>
        <w:tc>
          <w:tcPr>
            <w:tcW w:w="1280" w:type="dxa"/>
            <w:vAlign w:val="bottom"/>
            <w:shd w:val="clear" w:color="auto" w:fill="CCEEFF"/>
          </w:tcPr>
          <w:p>
            <w:pPr>
              <w:spacing w:after="0"/>
              <w:rPr>
                <w:sz w:val="18"/>
                <w:szCs w:val="18"/>
                <w:color w:val="auto"/>
              </w:rPr>
            </w:pPr>
          </w:p>
        </w:tc>
        <w:tc>
          <w:tcPr>
            <w:tcW w:w="6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1,729</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tcBorders>
              <w:bottom w:val="single" w:sz="8" w:color="auto"/>
            </w:tcBorders>
            <w:gridSpan w:val="3"/>
            <w:shd w:val="clear" w:color="auto" w:fill="CCEEFF"/>
          </w:tcPr>
          <w:p>
            <w:pPr>
              <w:jc w:val="center"/>
              <w:ind w:left="293"/>
              <w:spacing w:after="0"/>
              <w:rPr>
                <w:sz w:val="20"/>
                <w:szCs w:val="20"/>
                <w:color w:val="auto"/>
              </w:rPr>
            </w:pPr>
            <w:r>
              <w:rPr>
                <w:rFonts w:ascii="Times New Roman" w:cs="Times New Roman" w:eastAsia="Times New Roman" w:hAnsi="Times New Roman"/>
                <w:sz w:val="18"/>
                <w:szCs w:val="18"/>
                <w:color w:val="auto"/>
                <w:w w:val="98"/>
              </w:rPr>
              <w:t>2,261</w:t>
            </w:r>
          </w:p>
        </w:tc>
        <w:tc>
          <w:tcPr>
            <w:tcW w:w="540" w:type="dxa"/>
            <w:vAlign w:val="bottom"/>
            <w:gridSpan w:val="2"/>
            <w:shd w:val="clear" w:color="auto" w:fill="CCEEFF"/>
          </w:tcPr>
          <w:p>
            <w:pPr>
              <w:spacing w:after="0"/>
              <w:rPr>
                <w:sz w:val="18"/>
                <w:szCs w:val="18"/>
                <w:color w:val="auto"/>
              </w:rPr>
            </w:pPr>
          </w:p>
        </w:tc>
        <w:tc>
          <w:tcPr>
            <w:tcW w:w="8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4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Current</w:t>
            </w:r>
          </w:p>
        </w:tc>
        <w:tc>
          <w:tcPr>
            <w:tcW w:w="136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540" w:type="dxa"/>
            <w:vAlign w:val="bottom"/>
            <w:gridSpan w:val="3"/>
            <w:vMerge w:val="continue"/>
          </w:tcPr>
          <w:p>
            <w:pPr>
              <w:spacing w:after="0"/>
              <w:rPr>
                <w:sz w:val="18"/>
                <w:szCs w:val="18"/>
                <w:color w:val="auto"/>
              </w:rPr>
            </w:pPr>
          </w:p>
        </w:tc>
        <w:tc>
          <w:tcPr>
            <w:tcW w:w="1280" w:type="dxa"/>
            <w:vAlign w:val="bottom"/>
          </w:tcPr>
          <w:p>
            <w:pPr>
              <w:spacing w:after="0"/>
              <w:rPr>
                <w:sz w:val="18"/>
                <w:szCs w:val="18"/>
                <w:color w:val="auto"/>
              </w:rPr>
            </w:pPr>
          </w:p>
        </w:tc>
        <w:tc>
          <w:tcPr>
            <w:tcW w:w="68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31</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Borders>
              <w:top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334</w:t>
            </w: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Non-current</w:t>
            </w:r>
          </w:p>
        </w:tc>
        <w:tc>
          <w:tcPr>
            <w:tcW w:w="1280" w:type="dxa"/>
            <w:vAlign w:val="bottom"/>
            <w:shd w:val="clear" w:color="auto" w:fill="CCEEFF"/>
          </w:tcPr>
          <w:p>
            <w:pPr>
              <w:spacing w:after="0"/>
              <w:rPr>
                <w:sz w:val="18"/>
                <w:szCs w:val="18"/>
                <w:color w:val="auto"/>
              </w:rPr>
            </w:pPr>
          </w:p>
        </w:tc>
        <w:tc>
          <w:tcPr>
            <w:tcW w:w="6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1,698</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tcBorders>
              <w:bottom w:val="single" w:sz="8" w:color="auto"/>
            </w:tcBorders>
            <w:gridSpan w:val="3"/>
            <w:shd w:val="clear" w:color="auto" w:fill="CCEEFF"/>
          </w:tcPr>
          <w:p>
            <w:pPr>
              <w:jc w:val="center"/>
              <w:ind w:left="293"/>
              <w:spacing w:after="0"/>
              <w:rPr>
                <w:sz w:val="20"/>
                <w:szCs w:val="20"/>
                <w:color w:val="auto"/>
              </w:rPr>
            </w:pPr>
            <w:r>
              <w:rPr>
                <w:rFonts w:ascii="Times New Roman" w:cs="Times New Roman" w:eastAsia="Times New Roman" w:hAnsi="Times New Roman"/>
                <w:sz w:val="18"/>
                <w:szCs w:val="18"/>
                <w:color w:val="auto"/>
                <w:w w:val="98"/>
              </w:rPr>
              <w:t>1,927</w:t>
            </w:r>
          </w:p>
        </w:tc>
        <w:tc>
          <w:tcPr>
            <w:tcW w:w="540" w:type="dxa"/>
            <w:vAlign w:val="bottom"/>
            <w:gridSpan w:val="2"/>
            <w:shd w:val="clear" w:color="auto" w:fill="CCEEFF"/>
          </w:tcPr>
          <w:p>
            <w:pPr>
              <w:spacing w:after="0"/>
              <w:rPr>
                <w:sz w:val="18"/>
                <w:szCs w:val="18"/>
                <w:color w:val="auto"/>
              </w:rPr>
            </w:pPr>
          </w:p>
        </w:tc>
        <w:tc>
          <w:tcPr>
            <w:tcW w:w="8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0"/>
        </w:trPr>
        <w:tc>
          <w:tcPr>
            <w:tcW w:w="2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20" w:type="dxa"/>
            <w:vAlign w:val="bottom"/>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Six months</w:t>
            </w:r>
          </w:p>
        </w:tc>
        <w:tc>
          <w:tcPr>
            <w:tcW w:w="200" w:type="dxa"/>
            <w:vAlign w:val="bottom"/>
          </w:tcPr>
          <w:p>
            <w:pPr>
              <w:spacing w:after="0"/>
              <w:rPr>
                <w:sz w:val="24"/>
                <w:szCs w:val="24"/>
                <w:color w:val="auto"/>
              </w:rPr>
            </w:pPr>
          </w:p>
        </w:tc>
        <w:tc>
          <w:tcPr>
            <w:tcW w:w="820" w:type="dxa"/>
            <w:vAlign w:val="bottom"/>
            <w:gridSpan w:val="3"/>
          </w:tcPr>
          <w:p>
            <w:pPr>
              <w:jc w:val="center"/>
              <w:spacing w:after="0"/>
              <w:rPr>
                <w:sz w:val="20"/>
                <w:szCs w:val="20"/>
                <w:color w:val="auto"/>
              </w:rPr>
            </w:pPr>
            <w:r>
              <w:rPr>
                <w:rFonts w:ascii="Times New Roman" w:cs="Times New Roman" w:eastAsia="Times New Roman" w:hAnsi="Times New Roman"/>
                <w:sz w:val="14"/>
                <w:szCs w:val="14"/>
                <w:color w:val="auto"/>
              </w:rPr>
              <w:t>Six months</w:t>
            </w: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6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color w:val="auto"/>
                <w:w w:val="99"/>
              </w:rPr>
              <w:t>Year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to June 30,</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color w:val="auto"/>
              </w:rPr>
              <w:t>to June 30,</w:t>
            </w:r>
          </w:p>
        </w:tc>
        <w:tc>
          <w:tcPr>
            <w:tcW w:w="1400" w:type="dxa"/>
            <w:vAlign w:val="bottom"/>
            <w:gridSpan w:val="5"/>
          </w:tcPr>
          <w:p>
            <w:pPr>
              <w:jc w:val="center"/>
              <w:ind w:left="281"/>
              <w:spacing w:after="0" w:line="149" w:lineRule="exact"/>
              <w:rPr>
                <w:sz w:val="20"/>
                <w:szCs w:val="20"/>
                <w:color w:val="auto"/>
              </w:rPr>
            </w:pPr>
            <w:r>
              <w:rPr>
                <w:rFonts w:ascii="Times New Roman" w:cs="Times New Roman" w:eastAsia="Times New Roman" w:hAnsi="Times New Roman"/>
                <w:sz w:val="14"/>
                <w:szCs w:val="14"/>
                <w:color w:val="auto"/>
              </w:rPr>
              <w:t>December 31,</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960" w:type="dxa"/>
            <w:vAlign w:val="bottom"/>
            <w:gridSpan w:val="3"/>
          </w:tcPr>
          <w:p>
            <w:pPr>
              <w:jc w:val="right"/>
              <w:ind w:right="38"/>
              <w:spacing w:after="0" w:line="149" w:lineRule="exact"/>
              <w:rPr>
                <w:sz w:val="20"/>
                <w:szCs w:val="20"/>
                <w:color w:val="auto"/>
              </w:rPr>
            </w:pPr>
            <w:r>
              <w:rPr>
                <w:rFonts w:ascii="Times New Roman" w:cs="Times New Roman" w:eastAsia="Times New Roman" w:hAnsi="Times New Roman"/>
                <w:sz w:val="14"/>
                <w:szCs w:val="14"/>
                <w:b w:val="1"/>
                <w:bCs w:val="1"/>
                <w:color w:val="auto"/>
              </w:rPr>
              <w:t>2020</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gridSpan w:val="3"/>
          </w:tcPr>
          <w:p>
            <w:pPr>
              <w:jc w:val="center"/>
              <w:ind w:left="181"/>
              <w:spacing w:after="0" w:line="149" w:lineRule="exact"/>
              <w:rPr>
                <w:sz w:val="20"/>
                <w:szCs w:val="20"/>
                <w:color w:val="auto"/>
              </w:rPr>
            </w:pPr>
            <w:r>
              <w:rPr>
                <w:rFonts w:ascii="Times New Roman" w:cs="Times New Roman" w:eastAsia="Times New Roman" w:hAnsi="Times New Roman"/>
                <w:sz w:val="14"/>
                <w:szCs w:val="14"/>
                <w:color w:val="auto"/>
                <w:w w:val="99"/>
              </w:rPr>
              <w:t>2019</w:t>
            </w:r>
          </w:p>
        </w:tc>
        <w:tc>
          <w:tcPr>
            <w:tcW w:w="80" w:type="dxa"/>
            <w:vAlign w:val="bottom"/>
          </w:tcPr>
          <w:p>
            <w:pPr>
              <w:spacing w:after="0"/>
              <w:rPr>
                <w:sz w:val="12"/>
                <w:szCs w:val="12"/>
                <w:color w:val="auto"/>
              </w:rPr>
            </w:pPr>
          </w:p>
        </w:tc>
        <w:tc>
          <w:tcPr>
            <w:tcW w:w="1280" w:type="dxa"/>
            <w:vAlign w:val="bottom"/>
            <w:gridSpan w:val="3"/>
          </w:tcPr>
          <w:p>
            <w:pPr>
              <w:jc w:val="right"/>
              <w:ind w:right="179"/>
              <w:spacing w:after="0" w:line="149" w:lineRule="exact"/>
              <w:rPr>
                <w:sz w:val="20"/>
                <w:szCs w:val="20"/>
                <w:color w:val="auto"/>
              </w:rPr>
            </w:pPr>
            <w:r>
              <w:rPr>
                <w:rFonts w:ascii="Times New Roman" w:cs="Times New Roman" w:eastAsia="Times New Roman" w:hAnsi="Times New Roman"/>
                <w:sz w:val="14"/>
                <w:szCs w:val="14"/>
                <w:color w:val="auto"/>
              </w:rPr>
              <w:t>2019</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5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Social security contributions on share options</w:t>
            </w:r>
          </w:p>
        </w:tc>
        <w:tc>
          <w:tcPr>
            <w:tcW w:w="1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color w:val="auto"/>
              </w:rPr>
              <w:t>Unaudited</w:t>
            </w: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gridSpan w:val="3"/>
          </w:tcPr>
          <w:p>
            <w:pPr>
              <w:jc w:val="center"/>
              <w:ind w:right="200"/>
              <w:spacing w:after="0" w:line="149" w:lineRule="exact"/>
              <w:rPr>
                <w:sz w:val="20"/>
                <w:szCs w:val="20"/>
                <w:color w:val="auto"/>
              </w:rPr>
            </w:pPr>
            <w:r>
              <w:rPr>
                <w:rFonts w:ascii="Times New Roman" w:cs="Times New Roman" w:eastAsia="Times New Roman" w:hAnsi="Times New Roman"/>
                <w:sz w:val="14"/>
                <w:szCs w:val="14"/>
                <w:color w:val="auto"/>
              </w:rPr>
              <w:t>Audited</w:t>
            </w:r>
          </w:p>
        </w:tc>
        <w:tc>
          <w:tcPr>
            <w:tcW w:w="0" w:type="dxa"/>
            <w:vAlign w:val="bottom"/>
          </w:tcPr>
          <w:p>
            <w:pPr>
              <w:spacing w:after="0"/>
              <w:rPr>
                <w:sz w:val="1"/>
                <w:szCs w:val="1"/>
                <w:color w:val="auto"/>
              </w:rPr>
            </w:pPr>
          </w:p>
        </w:tc>
      </w:tr>
      <w:tr>
        <w:trPr>
          <w:trHeight w:val="180"/>
        </w:trPr>
        <w:tc>
          <w:tcPr>
            <w:tcW w:w="4540" w:type="dxa"/>
            <w:vAlign w:val="bottom"/>
            <w:gridSpan w:val="3"/>
            <w:vMerge w:val="continue"/>
          </w:tcPr>
          <w:p>
            <w:pPr>
              <w:spacing w:after="0"/>
              <w:rPr>
                <w:sz w:val="15"/>
                <w:szCs w:val="15"/>
                <w:color w:val="auto"/>
              </w:rPr>
            </w:pPr>
          </w:p>
        </w:tc>
        <w:tc>
          <w:tcPr>
            <w:tcW w:w="1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gridSpan w:val="3"/>
          </w:tcPr>
          <w:p>
            <w:pPr>
              <w:jc w:val="center"/>
              <w:ind w:right="280"/>
              <w:spacing w:after="0" w:line="160" w:lineRule="exact"/>
              <w:rPr>
                <w:sz w:val="20"/>
                <w:szCs w:val="20"/>
                <w:color w:val="auto"/>
              </w:rPr>
            </w:pPr>
            <w:r>
              <w:rPr>
                <w:rFonts w:ascii="Times New Roman" w:cs="Times New Roman" w:eastAsia="Times New Roman" w:hAnsi="Times New Roman"/>
                <w:sz w:val="14"/>
                <w:szCs w:val="14"/>
                <w:b w:val="1"/>
                <w:bCs w:val="1"/>
                <w:color w:val="auto"/>
              </w:rPr>
              <w:t>£’000</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gridSpan w:val="2"/>
          </w:tcPr>
          <w:p>
            <w:pPr>
              <w:jc w:val="center"/>
              <w:ind w:right="80"/>
              <w:spacing w:after="0" w:line="160" w:lineRule="exact"/>
              <w:rPr>
                <w:sz w:val="20"/>
                <w:szCs w:val="20"/>
                <w:color w:val="auto"/>
              </w:rPr>
            </w:pPr>
            <w:r>
              <w:rPr>
                <w:rFonts w:ascii="Times New Roman" w:cs="Times New Roman" w:eastAsia="Times New Roman" w:hAnsi="Times New Roman"/>
                <w:sz w:val="14"/>
                <w:szCs w:val="14"/>
                <w:color w:val="auto"/>
              </w:rPr>
              <w:t>£’000</w:t>
            </w:r>
          </w:p>
        </w:tc>
        <w:tc>
          <w:tcPr>
            <w:tcW w:w="4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60" w:type="dxa"/>
            <w:vAlign w:val="bottom"/>
            <w:gridSpan w:val="3"/>
          </w:tcPr>
          <w:p>
            <w:pPr>
              <w:jc w:val="center"/>
              <w:ind w:right="200"/>
              <w:spacing w:after="0" w:line="160" w:lineRule="exact"/>
              <w:rPr>
                <w:sz w:val="20"/>
                <w:szCs w:val="20"/>
                <w:color w:val="auto"/>
              </w:rPr>
            </w:pPr>
            <w:r>
              <w:rPr>
                <w:rFonts w:ascii="Times New Roman" w:cs="Times New Roman" w:eastAsia="Times New Roman" w:hAnsi="Times New Roman"/>
                <w:sz w:val="14"/>
                <w:szCs w:val="14"/>
                <w:color w:val="auto"/>
              </w:rPr>
              <w:t>£’000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72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At beginning of year/period</w:t>
            </w:r>
          </w:p>
        </w:tc>
        <w:tc>
          <w:tcPr>
            <w:tcW w:w="1800" w:type="dxa"/>
            <w:vAlign w:val="bottom"/>
            <w:tcBorders>
              <w:top w:val="single" w:sz="8" w:color="CCEEFF"/>
            </w:tcBorders>
            <w:shd w:val="clear" w:color="auto" w:fill="CCEEFF"/>
          </w:tcPr>
          <w:p>
            <w:pPr>
              <w:spacing w:after="0"/>
              <w:rPr>
                <w:sz w:val="17"/>
                <w:szCs w:val="17"/>
                <w:color w:val="auto"/>
              </w:rPr>
            </w:pPr>
          </w:p>
        </w:tc>
        <w:tc>
          <w:tcPr>
            <w:tcW w:w="1360" w:type="dxa"/>
            <w:vAlign w:val="bottom"/>
            <w:tcBorders>
              <w:top w:val="single" w:sz="8" w:color="CCEEFF"/>
            </w:tcBorders>
            <w:gridSpan w:val="2"/>
            <w:shd w:val="clear" w:color="auto" w:fill="CCEEFF"/>
          </w:tcPr>
          <w:p>
            <w:pPr>
              <w:spacing w:after="0"/>
              <w:rPr>
                <w:sz w:val="17"/>
                <w:szCs w:val="17"/>
                <w:color w:val="auto"/>
              </w:rPr>
            </w:pPr>
          </w:p>
        </w:tc>
        <w:tc>
          <w:tcPr>
            <w:tcW w:w="68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104</w:t>
            </w:r>
          </w:p>
        </w:tc>
        <w:tc>
          <w:tcPr>
            <w:tcW w:w="26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gridSpan w:val="2"/>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center"/>
              <w:ind w:left="302"/>
              <w:spacing w:after="0" w:line="203" w:lineRule="exact"/>
              <w:rPr>
                <w:sz w:val="20"/>
                <w:szCs w:val="20"/>
                <w:color w:val="auto"/>
              </w:rPr>
            </w:pPr>
            <w:r>
              <w:rPr>
                <w:rFonts w:ascii="Times New Roman" w:cs="Times New Roman" w:eastAsia="Times New Roman" w:hAnsi="Times New Roman"/>
                <w:sz w:val="18"/>
                <w:szCs w:val="18"/>
                <w:color w:val="auto"/>
              </w:rPr>
              <w:t>842</w:t>
            </w:r>
          </w:p>
        </w:tc>
        <w:tc>
          <w:tcPr>
            <w:tcW w:w="8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842</w:t>
            </w:r>
          </w:p>
        </w:tc>
        <w:tc>
          <w:tcPr>
            <w:tcW w:w="6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Released during the year/period</w:t>
            </w:r>
          </w:p>
        </w:tc>
        <w:tc>
          <w:tcPr>
            <w:tcW w:w="1360" w:type="dxa"/>
            <w:vAlign w:val="bottom"/>
            <w:gridSpan w:val="2"/>
          </w:tcPr>
          <w:p>
            <w:pPr>
              <w:spacing w:after="0"/>
              <w:rPr>
                <w:sz w:val="19"/>
                <w:szCs w:val="19"/>
                <w:color w:val="auto"/>
              </w:rPr>
            </w:pPr>
          </w:p>
        </w:tc>
        <w:tc>
          <w:tcPr>
            <w:tcW w:w="94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(73)</w:t>
            </w:r>
          </w:p>
        </w:tc>
        <w:tc>
          <w:tcPr>
            <w:tcW w:w="1020" w:type="dxa"/>
            <w:vAlign w:val="bottom"/>
            <w:gridSpan w:val="4"/>
          </w:tcPr>
          <w:p>
            <w:pPr>
              <w:jc w:val="center"/>
              <w:ind w:left="501"/>
              <w:spacing w:after="0"/>
              <w:rPr>
                <w:sz w:val="20"/>
                <w:szCs w:val="20"/>
                <w:color w:val="auto"/>
              </w:rPr>
            </w:pPr>
            <w:r>
              <w:rPr>
                <w:rFonts w:ascii="Times New Roman" w:cs="Times New Roman" w:eastAsia="Times New Roman" w:hAnsi="Times New Roman"/>
                <w:sz w:val="18"/>
                <w:szCs w:val="18"/>
                <w:color w:val="auto"/>
              </w:rPr>
              <w:t>(722)</w:t>
            </w:r>
          </w:p>
        </w:tc>
        <w:tc>
          <w:tcPr>
            <w:tcW w:w="13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(738)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At end of year/period</w:t>
            </w:r>
          </w:p>
        </w:tc>
        <w:tc>
          <w:tcPr>
            <w:tcW w:w="1360" w:type="dxa"/>
            <w:vAlign w:val="bottom"/>
            <w:gridSpan w:val="2"/>
            <w:shd w:val="clear" w:color="auto" w:fill="CCEEFF"/>
          </w:tcPr>
          <w:p>
            <w:pPr>
              <w:spacing w:after="0"/>
              <w:rPr>
                <w:sz w:val="18"/>
                <w:szCs w:val="18"/>
                <w:color w:val="auto"/>
              </w:rPr>
            </w:pPr>
          </w:p>
        </w:tc>
        <w:tc>
          <w:tcPr>
            <w:tcW w:w="6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center"/>
              <w:ind w:left="302"/>
              <w:spacing w:after="0"/>
              <w:rPr>
                <w:sz w:val="20"/>
                <w:szCs w:val="20"/>
                <w:color w:val="auto"/>
              </w:rPr>
            </w:pPr>
            <w:r>
              <w:rPr>
                <w:rFonts w:ascii="Times New Roman" w:cs="Times New Roman" w:eastAsia="Times New Roman" w:hAnsi="Times New Roman"/>
                <w:sz w:val="18"/>
                <w:szCs w:val="18"/>
                <w:color w:val="auto"/>
              </w:rPr>
              <w:t>120</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4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Current</w:t>
            </w:r>
          </w:p>
        </w:tc>
        <w:tc>
          <w:tcPr>
            <w:tcW w:w="2040" w:type="dxa"/>
            <w:vAlign w:val="bottom"/>
            <w:gridSpan w:val="4"/>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540" w:type="dxa"/>
            <w:vAlign w:val="bottom"/>
            <w:gridSpan w:val="3"/>
            <w:vMerge w:val="continue"/>
          </w:tcPr>
          <w:p>
            <w:pPr>
              <w:spacing w:after="0"/>
              <w:rPr>
                <w:sz w:val="18"/>
                <w:szCs w:val="18"/>
                <w:color w:val="auto"/>
              </w:rPr>
            </w:pPr>
          </w:p>
        </w:tc>
        <w:tc>
          <w:tcPr>
            <w:tcW w:w="1360" w:type="dxa"/>
            <w:vAlign w:val="bottom"/>
            <w:gridSpan w:val="2"/>
          </w:tcPr>
          <w:p>
            <w:pPr>
              <w:spacing w:after="0"/>
              <w:rPr>
                <w:sz w:val="18"/>
                <w:szCs w:val="18"/>
                <w:color w:val="auto"/>
              </w:rPr>
            </w:pPr>
          </w:p>
        </w:tc>
        <w:tc>
          <w:tcPr>
            <w:tcW w:w="68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31</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Borders>
              <w:top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Non-current</w:t>
            </w:r>
          </w:p>
        </w:tc>
        <w:tc>
          <w:tcPr>
            <w:tcW w:w="1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3"/>
            <w:shd w:val="clear" w:color="auto" w:fill="CCEEFF"/>
          </w:tcPr>
          <w:p>
            <w:pPr>
              <w:jc w:val="center"/>
              <w:ind w:left="581"/>
              <w:spacing w:after="0"/>
              <w:rPr>
                <w:sz w:val="20"/>
                <w:szCs w:val="20"/>
                <w:color w:val="auto"/>
              </w:rPr>
            </w:pPr>
            <w:r>
              <w:rPr>
                <w:rFonts w:ascii="Times New Roman" w:cs="Times New Roman" w:eastAsia="Times New Roman" w:hAnsi="Times New Roman"/>
                <w:sz w:val="18"/>
                <w:szCs w:val="18"/>
                <w:color w:val="auto"/>
              </w:rPr>
              <w:t>120</w:t>
            </w:r>
          </w:p>
        </w:tc>
        <w:tc>
          <w:tcPr>
            <w:tcW w:w="8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2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The provision for social security contributions on share options is calculated based on the number of options outstanding at the reporting date that are expected to be exercised. The provision is based on the estimated gain arising on exercise of the share options, using the best estimate of the market price at the balance sheet date. Since the Directors assume the options will be held for their full contractual life of ten years, the liability has been classified as non-current. The provision has been discounted.</w:t>
      </w:r>
    </w:p>
    <w:p>
      <w:pPr>
        <w:spacing w:after="0" w:line="190" w:lineRule="exact"/>
        <w:rPr>
          <w:sz w:val="20"/>
          <w:szCs w:val="20"/>
          <w:color w:val="auto"/>
        </w:rPr>
      </w:pPr>
    </w:p>
    <w:tbl>
      <w:tblPr>
        <w:tblLayout w:type="fixed"/>
        <w:tblInd w:w="880" w:type="dxa"/>
        <w:tblCellMar>
          <w:top w:w="0" w:type="dxa"/>
          <w:left w:w="0" w:type="dxa"/>
          <w:bottom w:w="0" w:type="dxa"/>
          <w:right w:w="0" w:type="dxa"/>
        </w:tblCellMar>
      </w:tblPr>
      <w:tr>
        <w:trPr>
          <w:trHeight w:val="161"/>
        </w:trPr>
        <w:tc>
          <w:tcPr>
            <w:tcW w:w="2480" w:type="dxa"/>
            <w:vAlign w:val="bottom"/>
          </w:tcPr>
          <w:p>
            <w:pPr>
              <w:spacing w:after="0"/>
              <w:rPr>
                <w:sz w:val="13"/>
                <w:szCs w:val="13"/>
                <w:color w:val="auto"/>
              </w:rPr>
            </w:pPr>
          </w:p>
        </w:tc>
        <w:tc>
          <w:tcPr>
            <w:tcW w:w="2860" w:type="dxa"/>
            <w:vAlign w:val="bottom"/>
          </w:tcPr>
          <w:p>
            <w:pPr>
              <w:spacing w:after="0"/>
              <w:rPr>
                <w:sz w:val="13"/>
                <w:szCs w:val="13"/>
                <w:color w:val="auto"/>
              </w:rPr>
            </w:pPr>
          </w:p>
        </w:tc>
        <w:tc>
          <w:tcPr>
            <w:tcW w:w="1400" w:type="dxa"/>
            <w:vAlign w:val="bottom"/>
            <w:gridSpan w:val="3"/>
            <w:vMerge w:val="restart"/>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Six months to</w:t>
            </w:r>
          </w:p>
        </w:tc>
        <w:tc>
          <w:tcPr>
            <w:tcW w:w="136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4"/>
                <w:szCs w:val="14"/>
                <w:color w:val="auto"/>
              </w:rPr>
              <w:t>Six months to</w:t>
            </w:r>
          </w:p>
        </w:tc>
        <w:tc>
          <w:tcPr>
            <w:tcW w:w="240" w:type="dxa"/>
            <w:vAlign w:val="bottom"/>
          </w:tcPr>
          <w:p>
            <w:pPr>
              <w:spacing w:after="0"/>
              <w:rPr>
                <w:sz w:val="13"/>
                <w:szCs w:val="13"/>
                <w:color w:val="auto"/>
              </w:rPr>
            </w:pPr>
          </w:p>
        </w:tc>
        <w:tc>
          <w:tcPr>
            <w:tcW w:w="9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w w:val="99"/>
              </w:rPr>
              <w:t>Year ended</w:t>
            </w:r>
          </w:p>
        </w:tc>
        <w:tc>
          <w:tcPr>
            <w:tcW w:w="0" w:type="dxa"/>
            <w:vAlign w:val="bottom"/>
          </w:tcPr>
          <w:p>
            <w:pPr>
              <w:spacing w:after="0"/>
              <w:rPr>
                <w:sz w:val="1"/>
                <w:szCs w:val="1"/>
                <w:color w:val="auto"/>
              </w:rPr>
            </w:pPr>
          </w:p>
        </w:tc>
      </w:tr>
      <w:tr>
        <w:trPr>
          <w:trHeight w:val="146"/>
        </w:trPr>
        <w:tc>
          <w:tcPr>
            <w:tcW w:w="248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1400" w:type="dxa"/>
            <w:vAlign w:val="bottom"/>
            <w:gridSpan w:val="3"/>
            <w:vMerge w:val="continue"/>
          </w:tcPr>
          <w:p>
            <w:pPr>
              <w:spacing w:after="0"/>
              <w:rPr>
                <w:sz w:val="12"/>
                <w:szCs w:val="12"/>
                <w:color w:val="auto"/>
              </w:rPr>
            </w:pPr>
          </w:p>
        </w:tc>
        <w:tc>
          <w:tcPr>
            <w:tcW w:w="1360" w:type="dxa"/>
            <w:vAlign w:val="bottom"/>
            <w:gridSpan w:val="3"/>
            <w:vMerge w:val="continue"/>
          </w:tcPr>
          <w:p>
            <w:pPr>
              <w:spacing w:after="0"/>
              <w:rPr>
                <w:sz w:val="12"/>
                <w:szCs w:val="12"/>
                <w:color w:val="auto"/>
              </w:rPr>
            </w:pPr>
          </w:p>
        </w:tc>
        <w:tc>
          <w:tcPr>
            <w:tcW w:w="1160" w:type="dxa"/>
            <w:vAlign w:val="bottom"/>
            <w:gridSpan w:val="3"/>
          </w:tcPr>
          <w:p>
            <w:pPr>
              <w:jc w:val="center"/>
              <w:ind w:left="36"/>
              <w:spacing w:after="0" w:line="147" w:lineRule="exact"/>
              <w:rPr>
                <w:sz w:val="20"/>
                <w:szCs w:val="20"/>
                <w:color w:val="auto"/>
              </w:rPr>
            </w:pPr>
            <w:r>
              <w:rPr>
                <w:rFonts w:ascii="Times New Roman" w:cs="Times New Roman" w:eastAsia="Times New Roman" w:hAnsi="Times New Roman"/>
                <w:sz w:val="14"/>
                <w:szCs w:val="14"/>
                <w:color w:val="auto"/>
              </w:rPr>
              <w:t>December 31,</w:t>
            </w:r>
          </w:p>
        </w:tc>
        <w:tc>
          <w:tcPr>
            <w:tcW w:w="0" w:type="dxa"/>
            <w:vAlign w:val="bottom"/>
          </w:tcPr>
          <w:p>
            <w:pPr>
              <w:spacing w:after="0"/>
              <w:rPr>
                <w:sz w:val="1"/>
                <w:szCs w:val="1"/>
                <w:color w:val="auto"/>
              </w:rPr>
            </w:pPr>
          </w:p>
        </w:tc>
      </w:tr>
      <w:tr>
        <w:trPr>
          <w:trHeight w:val="149"/>
        </w:trPr>
        <w:tc>
          <w:tcPr>
            <w:tcW w:w="248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June 30, 2020</w:t>
            </w:r>
          </w:p>
        </w:tc>
        <w:tc>
          <w:tcPr>
            <w:tcW w:w="1360" w:type="dxa"/>
            <w:vAlign w:val="bottom"/>
            <w:gridSpan w:val="3"/>
          </w:tcPr>
          <w:p>
            <w:pPr>
              <w:jc w:val="center"/>
              <w:ind w:right="80"/>
              <w:spacing w:after="0" w:line="149" w:lineRule="exact"/>
              <w:rPr>
                <w:sz w:val="20"/>
                <w:szCs w:val="20"/>
                <w:color w:val="auto"/>
              </w:rPr>
            </w:pPr>
            <w:r>
              <w:rPr>
                <w:rFonts w:ascii="Times New Roman" w:cs="Times New Roman" w:eastAsia="Times New Roman" w:hAnsi="Times New Roman"/>
                <w:sz w:val="14"/>
                <w:szCs w:val="14"/>
                <w:color w:val="auto"/>
              </w:rPr>
              <w:t>June 30, 2019</w:t>
            </w:r>
          </w:p>
        </w:tc>
        <w:tc>
          <w:tcPr>
            <w:tcW w:w="1040" w:type="dxa"/>
            <w:vAlign w:val="bottom"/>
            <w:gridSpan w:val="2"/>
          </w:tcPr>
          <w:p>
            <w:pPr>
              <w:jc w:val="right"/>
              <w:ind w:right="181"/>
              <w:spacing w:after="0" w:line="149" w:lineRule="exact"/>
              <w:rPr>
                <w:sz w:val="20"/>
                <w:szCs w:val="20"/>
                <w:color w:val="auto"/>
              </w:rPr>
            </w:pPr>
            <w:r>
              <w:rPr>
                <w:rFonts w:ascii="Times New Roman" w:cs="Times New Roman" w:eastAsia="Times New Roman" w:hAnsi="Times New Roman"/>
                <w:sz w:val="14"/>
                <w:szCs w:val="14"/>
                <w:color w:val="auto"/>
              </w:rPr>
              <w:t>2019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Provision for deferred cash consideration</w:t>
            </w:r>
          </w:p>
        </w:tc>
        <w:tc>
          <w:tcPr>
            <w:tcW w:w="2860" w:type="dxa"/>
            <w:vAlign w:val="bottom"/>
            <w:vMerge w:val="restart"/>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240" w:type="dxa"/>
            <w:vAlign w:val="bottom"/>
          </w:tcPr>
          <w:p>
            <w:pPr>
              <w:spacing w:after="0"/>
              <w:rPr>
                <w:sz w:val="12"/>
                <w:szCs w:val="12"/>
                <w:color w:val="auto"/>
              </w:rPr>
            </w:pPr>
          </w:p>
        </w:tc>
        <w:tc>
          <w:tcPr>
            <w:tcW w:w="112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color w:val="auto"/>
              </w:rPr>
              <w:t>Unaudited</w:t>
            </w:r>
          </w:p>
        </w:tc>
        <w:tc>
          <w:tcPr>
            <w:tcW w:w="240" w:type="dxa"/>
            <w:vAlign w:val="bottom"/>
          </w:tcPr>
          <w:p>
            <w:pPr>
              <w:spacing w:after="0"/>
              <w:rPr>
                <w:sz w:val="12"/>
                <w:szCs w:val="12"/>
                <w:color w:val="auto"/>
              </w:rPr>
            </w:pPr>
          </w:p>
        </w:tc>
        <w:tc>
          <w:tcPr>
            <w:tcW w:w="92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color w:val="auto"/>
              </w:rPr>
              <w:t>Audited</w:t>
            </w:r>
          </w:p>
        </w:tc>
        <w:tc>
          <w:tcPr>
            <w:tcW w:w="0" w:type="dxa"/>
            <w:vAlign w:val="bottom"/>
          </w:tcPr>
          <w:p>
            <w:pPr>
              <w:spacing w:after="0"/>
              <w:rPr>
                <w:sz w:val="1"/>
                <w:szCs w:val="1"/>
                <w:color w:val="auto"/>
              </w:rPr>
            </w:pPr>
          </w:p>
        </w:tc>
      </w:tr>
      <w:tr>
        <w:trPr>
          <w:trHeight w:val="180"/>
        </w:trPr>
        <w:tc>
          <w:tcPr>
            <w:tcW w:w="2480" w:type="dxa"/>
            <w:vAlign w:val="bottom"/>
            <w:tcBorders>
              <w:bottom w:val="single" w:sz="8" w:color="auto"/>
            </w:tcBorders>
            <w:vMerge w:val="continue"/>
          </w:tcPr>
          <w:p>
            <w:pPr>
              <w:spacing w:after="0"/>
              <w:rPr>
                <w:sz w:val="15"/>
                <w:szCs w:val="15"/>
                <w:color w:val="auto"/>
              </w:rPr>
            </w:pPr>
          </w:p>
        </w:tc>
        <w:tc>
          <w:tcPr>
            <w:tcW w:w="286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1140" w:type="dxa"/>
            <w:vAlign w:val="bottom"/>
            <w:gridSpan w:val="2"/>
          </w:tcPr>
          <w:p>
            <w:pPr>
              <w:jc w:val="center"/>
              <w:ind w:right="320"/>
              <w:spacing w:after="0" w:line="160" w:lineRule="exact"/>
              <w:rPr>
                <w:sz w:val="20"/>
                <w:szCs w:val="20"/>
                <w:color w:val="auto"/>
              </w:rPr>
            </w:pPr>
            <w:r>
              <w:rPr>
                <w:rFonts w:ascii="Times New Roman" w:cs="Times New Roman" w:eastAsia="Times New Roman" w:hAnsi="Times New Roman"/>
                <w:sz w:val="14"/>
                <w:szCs w:val="14"/>
                <w:b w:val="1"/>
                <w:bCs w:val="1"/>
                <w:color w:val="auto"/>
              </w:rPr>
              <w:t>£’000</w:t>
            </w:r>
          </w:p>
        </w:tc>
        <w:tc>
          <w:tcPr>
            <w:tcW w:w="240" w:type="dxa"/>
            <w:vAlign w:val="bottom"/>
          </w:tcPr>
          <w:p>
            <w:pPr>
              <w:spacing w:after="0"/>
              <w:rPr>
                <w:sz w:val="15"/>
                <w:szCs w:val="15"/>
                <w:color w:val="auto"/>
              </w:rPr>
            </w:pPr>
          </w:p>
        </w:tc>
        <w:tc>
          <w:tcPr>
            <w:tcW w:w="1120" w:type="dxa"/>
            <w:vAlign w:val="bottom"/>
            <w:gridSpan w:val="2"/>
          </w:tcPr>
          <w:p>
            <w:pPr>
              <w:jc w:val="center"/>
              <w:ind w:right="300"/>
              <w:spacing w:after="0" w:line="160" w:lineRule="exact"/>
              <w:rPr>
                <w:sz w:val="20"/>
                <w:szCs w:val="20"/>
                <w:color w:val="auto"/>
              </w:rPr>
            </w:pPr>
            <w:r>
              <w:rPr>
                <w:rFonts w:ascii="Times New Roman" w:cs="Times New Roman" w:eastAsia="Times New Roman" w:hAnsi="Times New Roman"/>
                <w:sz w:val="14"/>
                <w:szCs w:val="14"/>
                <w:color w:val="auto"/>
              </w:rPr>
              <w:t>£’000</w:t>
            </w:r>
          </w:p>
        </w:tc>
        <w:tc>
          <w:tcPr>
            <w:tcW w:w="240" w:type="dxa"/>
            <w:vAlign w:val="bottom"/>
          </w:tcPr>
          <w:p>
            <w:pPr>
              <w:spacing w:after="0"/>
              <w:rPr>
                <w:sz w:val="15"/>
                <w:szCs w:val="15"/>
                <w:color w:val="auto"/>
              </w:rPr>
            </w:pPr>
          </w:p>
        </w:tc>
        <w:tc>
          <w:tcPr>
            <w:tcW w:w="920" w:type="dxa"/>
            <w:vAlign w:val="bottom"/>
            <w:gridSpan w:val="2"/>
          </w:tcPr>
          <w:p>
            <w:pPr>
              <w:jc w:val="center"/>
              <w:ind w:right="140"/>
              <w:spacing w:after="0" w:line="160" w:lineRule="exact"/>
              <w:rPr>
                <w:sz w:val="20"/>
                <w:szCs w:val="20"/>
                <w:color w:val="auto"/>
              </w:rPr>
            </w:pPr>
            <w:r>
              <w:rPr>
                <w:rFonts w:ascii="Times New Roman" w:cs="Times New Roman" w:eastAsia="Times New Roman" w:hAnsi="Times New Roman"/>
                <w:sz w:val="14"/>
                <w:szCs w:val="14"/>
                <w:color w:val="auto"/>
              </w:rPr>
              <w:t>£’000</w:t>
            </w:r>
          </w:p>
        </w:tc>
        <w:tc>
          <w:tcPr>
            <w:tcW w:w="0" w:type="dxa"/>
            <w:vAlign w:val="bottom"/>
          </w:tcPr>
          <w:p>
            <w:pPr>
              <w:spacing w:after="0"/>
              <w:rPr>
                <w:sz w:val="1"/>
                <w:szCs w:val="1"/>
                <w:color w:val="auto"/>
              </w:rPr>
            </w:pPr>
          </w:p>
        </w:tc>
      </w:tr>
      <w:tr>
        <w:trPr>
          <w:trHeight w:val="203"/>
        </w:trPr>
        <w:tc>
          <w:tcPr>
            <w:tcW w:w="534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At beginning of year/period</w:t>
            </w:r>
          </w:p>
        </w:tc>
        <w:tc>
          <w:tcPr>
            <w:tcW w:w="26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1,654</w:t>
            </w:r>
          </w:p>
        </w:tc>
        <w:tc>
          <w:tcPr>
            <w:tcW w:w="3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2,131</w:t>
            </w:r>
          </w:p>
        </w:tc>
        <w:tc>
          <w:tcPr>
            <w:tcW w:w="3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2,131</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Increase in provision due to the unwinding of the time value of money</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111</w:t>
            </w:r>
          </w:p>
        </w:tc>
        <w:tc>
          <w:tcPr>
            <w:tcW w:w="30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30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34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Decrease in provision due to a change in estimates relating to</w:t>
            </w: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3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timelines and probabilities of contractual milestones being achieved</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3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(see Note 10)</w:t>
            </w:r>
          </w:p>
        </w:tc>
        <w:tc>
          <w:tcPr>
            <w:tcW w:w="140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(67)</w:t>
            </w:r>
          </w:p>
        </w:tc>
        <w:tc>
          <w:tcPr>
            <w:tcW w:w="136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(169)</w:t>
            </w:r>
          </w:p>
        </w:tc>
        <w:tc>
          <w:tcPr>
            <w:tcW w:w="11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(698)</w:t>
            </w:r>
          </w:p>
        </w:tc>
        <w:tc>
          <w:tcPr>
            <w:tcW w:w="0" w:type="dxa"/>
            <w:vAlign w:val="bottom"/>
          </w:tcPr>
          <w:p>
            <w:pPr>
              <w:spacing w:after="0"/>
              <w:rPr>
                <w:sz w:val="1"/>
                <w:szCs w:val="1"/>
                <w:color w:val="auto"/>
              </w:rPr>
            </w:pPr>
          </w:p>
        </w:tc>
      </w:tr>
      <w:tr>
        <w:trPr>
          <w:trHeight w:val="223"/>
        </w:trPr>
        <w:tc>
          <w:tcPr>
            <w:tcW w:w="5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At end of year/period</w:t>
            </w:r>
          </w:p>
        </w:tc>
        <w:tc>
          <w:tcPr>
            <w:tcW w:w="26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1,698</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2,141</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w:t>
            </w: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Non-current</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1,698</w:t>
            </w:r>
          </w:p>
        </w:tc>
        <w:tc>
          <w:tcPr>
            <w:tcW w:w="30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1,807</w:t>
            </w:r>
          </w:p>
        </w:tc>
        <w:tc>
          <w:tcPr>
            <w:tcW w:w="30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1,345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40" w:type="dxa"/>
            <w:vAlign w:val="bottom"/>
            <w:gridSpan w:val="2"/>
            <w:vMerge w:val="restart"/>
          </w:tcPr>
          <w:p>
            <w:pPr>
              <w:ind w:left="4540"/>
              <w:spacing w:after="0"/>
              <w:rPr>
                <w:sz w:val="20"/>
                <w:szCs w:val="20"/>
                <w:color w:val="auto"/>
              </w:rPr>
            </w:pPr>
            <w:r>
              <w:rPr>
                <w:rFonts w:ascii="Times New Roman" w:cs="Times New Roman" w:eastAsia="Times New Roman" w:hAnsi="Times New Roman"/>
                <w:sz w:val="18"/>
                <w:szCs w:val="18"/>
                <w:color w:val="auto"/>
              </w:rPr>
              <w:t>28</w:t>
            </w:r>
          </w:p>
        </w:tc>
        <w:tc>
          <w:tcPr>
            <w:tcW w:w="2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5340" w:type="dxa"/>
            <w:vAlign w:val="bottom"/>
            <w:gridSpan w:val="2"/>
            <w:vMerge w:val="continue"/>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60"/>
          </w:cols>
          <w:pgMar w:left="440" w:top="266" w:right="499" w:bottom="1440" w:gutter="0" w:footer="0" w:header="0"/>
        </w:sectPr>
      </w:pPr>
    </w:p>
    <w:bookmarkStart w:id="36" w:name="page37"/>
    <w:bookmarkEnd w:id="36"/>
    <w:p>
      <w:pPr>
        <w:ind w:right="2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deferred cash consideration is the estimate of the quantifiable but not certain future cash payment obligations due to AstraZeneca for the acquisition of certain assets. This liability is calculated as the risk adjusted net present value of future cash payments to be made by the Group. The payments are dependent on reaching certain milestones based on the commencement and outcome of clinical trials. The likelihood of achieving such milestones is reviewed at the balance sheet date and increased or decreased as appropriate (see Note 4).</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Warrant liability</w:t>
      </w:r>
    </w:p>
    <w:p>
      <w:pPr>
        <w:spacing w:after="0" w:line="118" w:lineRule="exact"/>
        <w:rPr>
          <w:sz w:val="20"/>
          <w:szCs w:val="20"/>
          <w:color w:val="auto"/>
        </w:rPr>
      </w:pPr>
    </w:p>
    <w:tbl>
      <w:tblPr>
        <w:tblLayout w:type="fixed"/>
        <w:tblInd w:w="880" w:type="dxa"/>
        <w:tblCellMar>
          <w:top w:w="0" w:type="dxa"/>
          <w:left w:w="0" w:type="dxa"/>
          <w:bottom w:w="0" w:type="dxa"/>
          <w:right w:w="0" w:type="dxa"/>
        </w:tblCellMar>
      </w:tblPr>
      <w:tr>
        <w:trPr>
          <w:trHeight w:val="161"/>
        </w:trPr>
        <w:tc>
          <w:tcPr>
            <w:tcW w:w="4020" w:type="dxa"/>
            <w:vAlign w:val="bottom"/>
          </w:tcPr>
          <w:p>
            <w:pPr>
              <w:spacing w:after="0"/>
              <w:rPr>
                <w:sz w:val="13"/>
                <w:szCs w:val="13"/>
                <w:color w:val="auto"/>
              </w:rPr>
            </w:pPr>
          </w:p>
        </w:tc>
        <w:tc>
          <w:tcPr>
            <w:tcW w:w="2460" w:type="dxa"/>
            <w:vAlign w:val="bottom"/>
            <w:gridSpan w:val="2"/>
            <w:vMerge w:val="restart"/>
          </w:tcPr>
          <w:p>
            <w:pPr>
              <w:jc w:val="center"/>
              <w:ind w:left="1536"/>
              <w:spacing w:after="0"/>
              <w:rPr>
                <w:sz w:val="20"/>
                <w:szCs w:val="20"/>
                <w:color w:val="auto"/>
              </w:rPr>
            </w:pPr>
            <w:r>
              <w:rPr>
                <w:rFonts w:ascii="Times New Roman" w:cs="Times New Roman" w:eastAsia="Times New Roman" w:hAnsi="Times New Roman"/>
                <w:sz w:val="14"/>
                <w:szCs w:val="14"/>
                <w:b w:val="1"/>
                <w:bCs w:val="1"/>
                <w:color w:val="auto"/>
              </w:rPr>
              <w:t>Six months to</w:t>
            </w:r>
          </w:p>
        </w:tc>
        <w:tc>
          <w:tcPr>
            <w:tcW w:w="1620" w:type="dxa"/>
            <w:vAlign w:val="bottom"/>
            <w:gridSpan w:val="3"/>
          </w:tcPr>
          <w:p>
            <w:pPr>
              <w:jc w:val="center"/>
              <w:ind w:left="179"/>
              <w:spacing w:after="0"/>
              <w:rPr>
                <w:sz w:val="20"/>
                <w:szCs w:val="20"/>
                <w:color w:val="auto"/>
              </w:rPr>
            </w:pPr>
            <w:r>
              <w:rPr>
                <w:rFonts w:ascii="Times New Roman" w:cs="Times New Roman" w:eastAsia="Times New Roman" w:hAnsi="Times New Roman"/>
                <w:sz w:val="14"/>
                <w:szCs w:val="14"/>
                <w:color w:val="auto"/>
              </w:rPr>
              <w:t>Six months to</w:t>
            </w:r>
          </w:p>
        </w:tc>
        <w:tc>
          <w:tcPr>
            <w:tcW w:w="240" w:type="dxa"/>
            <w:vAlign w:val="bottom"/>
          </w:tcPr>
          <w:p>
            <w:pPr>
              <w:spacing w:after="0"/>
              <w:rPr>
                <w:sz w:val="13"/>
                <w:szCs w:val="13"/>
                <w:color w:val="auto"/>
              </w:rPr>
            </w:pPr>
          </w:p>
        </w:tc>
        <w:tc>
          <w:tcPr>
            <w:tcW w:w="9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w w:val="99"/>
              </w:rPr>
              <w:t>Year ended</w:t>
            </w:r>
          </w:p>
        </w:tc>
        <w:tc>
          <w:tcPr>
            <w:tcW w:w="0" w:type="dxa"/>
            <w:vAlign w:val="bottom"/>
          </w:tcPr>
          <w:p>
            <w:pPr>
              <w:spacing w:after="0"/>
              <w:rPr>
                <w:sz w:val="1"/>
                <w:szCs w:val="1"/>
                <w:color w:val="auto"/>
              </w:rPr>
            </w:pPr>
          </w:p>
        </w:tc>
      </w:tr>
      <w:tr>
        <w:trPr>
          <w:trHeight w:val="146"/>
        </w:trPr>
        <w:tc>
          <w:tcPr>
            <w:tcW w:w="4020" w:type="dxa"/>
            <w:vAlign w:val="bottom"/>
          </w:tcPr>
          <w:p>
            <w:pPr>
              <w:spacing w:after="0"/>
              <w:rPr>
                <w:sz w:val="12"/>
                <w:szCs w:val="12"/>
                <w:color w:val="auto"/>
              </w:rPr>
            </w:pPr>
          </w:p>
        </w:tc>
        <w:tc>
          <w:tcPr>
            <w:tcW w:w="2460" w:type="dxa"/>
            <w:vAlign w:val="bottom"/>
            <w:gridSpan w:val="2"/>
            <w:vMerge w:val="continue"/>
          </w:tcPr>
          <w:p>
            <w:pPr>
              <w:spacing w:after="0"/>
              <w:rPr>
                <w:sz w:val="12"/>
                <w:szCs w:val="12"/>
                <w:color w:val="auto"/>
              </w:rPr>
            </w:pPr>
          </w:p>
        </w:tc>
        <w:tc>
          <w:tcPr>
            <w:tcW w:w="540" w:type="dxa"/>
            <w:vAlign w:val="bottom"/>
          </w:tcPr>
          <w:p>
            <w:pPr>
              <w:spacing w:after="0"/>
              <w:rPr>
                <w:sz w:val="12"/>
                <w:szCs w:val="12"/>
                <w:color w:val="auto"/>
              </w:rPr>
            </w:pPr>
          </w:p>
        </w:tc>
        <w:tc>
          <w:tcPr>
            <w:tcW w:w="1080" w:type="dxa"/>
            <w:vAlign w:val="bottom"/>
            <w:gridSpan w:val="2"/>
          </w:tcPr>
          <w:p>
            <w:pPr>
              <w:jc w:val="center"/>
              <w:ind w:right="280"/>
              <w:spacing w:after="0" w:line="147" w:lineRule="exact"/>
              <w:rPr>
                <w:sz w:val="20"/>
                <w:szCs w:val="20"/>
                <w:color w:val="auto"/>
              </w:rPr>
            </w:pPr>
            <w:r>
              <w:rPr>
                <w:rFonts w:ascii="Times New Roman" w:cs="Times New Roman" w:eastAsia="Times New Roman" w:hAnsi="Times New Roman"/>
                <w:sz w:val="14"/>
                <w:szCs w:val="14"/>
                <w:color w:val="auto"/>
              </w:rPr>
              <w:t>June 30,</w:t>
            </w:r>
          </w:p>
        </w:tc>
        <w:tc>
          <w:tcPr>
            <w:tcW w:w="1160" w:type="dxa"/>
            <w:vAlign w:val="bottom"/>
            <w:gridSpan w:val="3"/>
          </w:tcPr>
          <w:p>
            <w:pPr>
              <w:jc w:val="center"/>
              <w:ind w:left="39"/>
              <w:spacing w:after="0" w:line="147" w:lineRule="exact"/>
              <w:rPr>
                <w:sz w:val="20"/>
                <w:szCs w:val="20"/>
                <w:color w:val="auto"/>
              </w:rPr>
            </w:pPr>
            <w:r>
              <w:rPr>
                <w:rFonts w:ascii="Times New Roman" w:cs="Times New Roman" w:eastAsia="Times New Roman" w:hAnsi="Times New Roman"/>
                <w:sz w:val="14"/>
                <w:szCs w:val="14"/>
                <w:color w:val="auto"/>
              </w:rPr>
              <w:t>December 31,</w:t>
            </w:r>
          </w:p>
        </w:tc>
        <w:tc>
          <w:tcPr>
            <w:tcW w:w="0" w:type="dxa"/>
            <w:vAlign w:val="bottom"/>
          </w:tcPr>
          <w:p>
            <w:pPr>
              <w:spacing w:after="0"/>
              <w:rPr>
                <w:sz w:val="1"/>
                <w:szCs w:val="1"/>
                <w:color w:val="auto"/>
              </w:rPr>
            </w:pPr>
          </w:p>
        </w:tc>
      </w:tr>
      <w:tr>
        <w:trPr>
          <w:trHeight w:val="148"/>
        </w:trPr>
        <w:tc>
          <w:tcPr>
            <w:tcW w:w="40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June 30, 2020</w:t>
            </w:r>
          </w:p>
        </w:tc>
        <w:tc>
          <w:tcPr>
            <w:tcW w:w="1340" w:type="dxa"/>
            <w:vAlign w:val="bottom"/>
            <w:gridSpan w:val="2"/>
          </w:tcPr>
          <w:p>
            <w:pPr>
              <w:jc w:val="right"/>
              <w:ind w:right="181"/>
              <w:spacing w:after="0" w:line="149" w:lineRule="exact"/>
              <w:rPr>
                <w:sz w:val="20"/>
                <w:szCs w:val="20"/>
                <w:color w:val="auto"/>
              </w:rPr>
            </w:pPr>
            <w:r>
              <w:rPr>
                <w:rFonts w:ascii="Times New Roman" w:cs="Times New Roman" w:eastAsia="Times New Roman" w:hAnsi="Times New Roman"/>
                <w:sz w:val="14"/>
                <w:szCs w:val="14"/>
                <w:color w:val="auto"/>
              </w:rPr>
              <w:t>2019</w:t>
            </w:r>
          </w:p>
        </w:tc>
        <w:tc>
          <w:tcPr>
            <w:tcW w:w="280" w:type="dxa"/>
            <w:vAlign w:val="bottom"/>
          </w:tcPr>
          <w:p>
            <w:pPr>
              <w:spacing w:after="0"/>
              <w:rPr>
                <w:sz w:val="12"/>
                <w:szCs w:val="12"/>
                <w:color w:val="auto"/>
              </w:rPr>
            </w:pPr>
          </w:p>
        </w:tc>
        <w:tc>
          <w:tcPr>
            <w:tcW w:w="1040" w:type="dxa"/>
            <w:vAlign w:val="bottom"/>
            <w:gridSpan w:val="2"/>
          </w:tcPr>
          <w:p>
            <w:pPr>
              <w:jc w:val="right"/>
              <w:ind w:right="181"/>
              <w:spacing w:after="0" w:line="149" w:lineRule="exact"/>
              <w:rPr>
                <w:sz w:val="20"/>
                <w:szCs w:val="20"/>
                <w:color w:val="auto"/>
              </w:rPr>
            </w:pPr>
            <w:r>
              <w:rPr>
                <w:rFonts w:ascii="Times New Roman" w:cs="Times New Roman" w:eastAsia="Times New Roman" w:hAnsi="Times New Roman"/>
                <w:sz w:val="14"/>
                <w:szCs w:val="14"/>
                <w:color w:val="auto"/>
              </w:rPr>
              <w:t>2019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540" w:type="dxa"/>
            <w:vAlign w:val="bottom"/>
          </w:tcPr>
          <w:p>
            <w:pPr>
              <w:spacing w:after="0"/>
              <w:rPr>
                <w:sz w:val="12"/>
                <w:szCs w:val="12"/>
                <w:color w:val="auto"/>
              </w:rPr>
            </w:pPr>
          </w:p>
        </w:tc>
        <w:tc>
          <w:tcPr>
            <w:tcW w:w="108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color w:val="auto"/>
              </w:rPr>
              <w:t>Unaudited</w:t>
            </w:r>
          </w:p>
        </w:tc>
        <w:tc>
          <w:tcPr>
            <w:tcW w:w="240" w:type="dxa"/>
            <w:vAlign w:val="bottom"/>
          </w:tcPr>
          <w:p>
            <w:pPr>
              <w:spacing w:after="0"/>
              <w:rPr>
                <w:sz w:val="12"/>
                <w:szCs w:val="12"/>
                <w:color w:val="auto"/>
              </w:rPr>
            </w:pPr>
          </w:p>
        </w:tc>
        <w:tc>
          <w:tcPr>
            <w:tcW w:w="92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color w:val="auto"/>
              </w:rPr>
              <w:t>Audited</w:t>
            </w:r>
          </w:p>
        </w:tc>
        <w:tc>
          <w:tcPr>
            <w:tcW w:w="0" w:type="dxa"/>
            <w:vAlign w:val="bottom"/>
          </w:tcPr>
          <w:p>
            <w:pPr>
              <w:spacing w:after="0"/>
              <w:rPr>
                <w:sz w:val="1"/>
                <w:szCs w:val="1"/>
                <w:color w:val="auto"/>
              </w:rPr>
            </w:pPr>
          </w:p>
        </w:tc>
      </w:tr>
      <w:tr>
        <w:trPr>
          <w:trHeight w:val="173"/>
        </w:trPr>
        <w:tc>
          <w:tcPr>
            <w:tcW w:w="402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£’000</w:t>
            </w:r>
          </w:p>
        </w:tc>
        <w:tc>
          <w:tcPr>
            <w:tcW w:w="540" w:type="dxa"/>
            <w:vAlign w:val="bottom"/>
          </w:tcPr>
          <w:p>
            <w:pPr>
              <w:spacing w:after="0"/>
              <w:rPr>
                <w:sz w:val="15"/>
                <w:szCs w:val="15"/>
                <w:color w:val="auto"/>
              </w:rPr>
            </w:pPr>
          </w:p>
        </w:tc>
        <w:tc>
          <w:tcPr>
            <w:tcW w:w="10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color w:val="auto"/>
              </w:rPr>
              <w:t>£’000</w:t>
            </w:r>
          </w:p>
        </w:tc>
        <w:tc>
          <w:tcPr>
            <w:tcW w:w="240" w:type="dxa"/>
            <w:vAlign w:val="bottom"/>
          </w:tcPr>
          <w:p>
            <w:pPr>
              <w:spacing w:after="0"/>
              <w:rPr>
                <w:sz w:val="15"/>
                <w:szCs w:val="15"/>
                <w:color w:val="auto"/>
              </w:rPr>
            </w:pPr>
          </w:p>
        </w:tc>
        <w:tc>
          <w:tcPr>
            <w:tcW w:w="9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color w:val="auto"/>
              </w:rPr>
              <w:t>£’000</w:t>
            </w:r>
          </w:p>
        </w:tc>
        <w:tc>
          <w:tcPr>
            <w:tcW w:w="0" w:type="dxa"/>
            <w:vAlign w:val="bottom"/>
          </w:tcPr>
          <w:p>
            <w:pPr>
              <w:spacing w:after="0"/>
              <w:rPr>
                <w:sz w:val="1"/>
                <w:szCs w:val="1"/>
                <w:color w:val="auto"/>
              </w:rPr>
            </w:pPr>
          </w:p>
        </w:tc>
      </w:tr>
      <w:tr>
        <w:trPr>
          <w:trHeight w:val="209"/>
        </w:trPr>
        <w:tc>
          <w:tcPr>
            <w:tcW w:w="40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At beginning of year/period</w:t>
            </w:r>
          </w:p>
        </w:tc>
        <w:tc>
          <w:tcPr>
            <w:tcW w:w="16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131</w:t>
            </w:r>
          </w:p>
        </w:tc>
        <w:tc>
          <w:tcPr>
            <w:tcW w:w="5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1,006</w:t>
            </w: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1,006</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Arising during the year/period</w:t>
            </w:r>
          </w:p>
        </w:tc>
        <w:tc>
          <w:tcPr>
            <w:tcW w:w="24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4,080</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28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Movement during the year/period</w:t>
            </w:r>
          </w:p>
        </w:tc>
        <w:tc>
          <w:tcPr>
            <w:tcW w:w="2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31,546</w:t>
            </w:r>
          </w:p>
        </w:tc>
        <w:tc>
          <w:tcPr>
            <w:tcW w:w="16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(911)</w:t>
            </w:r>
          </w:p>
        </w:tc>
        <w:tc>
          <w:tcPr>
            <w:tcW w:w="11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(1,006)</w:t>
            </w:r>
          </w:p>
        </w:tc>
        <w:tc>
          <w:tcPr>
            <w:tcW w:w="0" w:type="dxa"/>
            <w:vAlign w:val="bottom"/>
          </w:tcPr>
          <w:p>
            <w:pPr>
              <w:spacing w:after="0"/>
              <w:rPr>
                <w:sz w:val="1"/>
                <w:szCs w:val="1"/>
                <w:color w:val="auto"/>
              </w:rPr>
            </w:pPr>
          </w:p>
        </w:tc>
      </w:tr>
      <w:tr>
        <w:trPr>
          <w:trHeight w:val="223"/>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At end of year/period</w:t>
            </w:r>
          </w:p>
        </w:tc>
        <w:tc>
          <w:tcPr>
            <w:tcW w:w="162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35,757</w:t>
            </w:r>
          </w:p>
        </w:tc>
        <w:tc>
          <w:tcPr>
            <w:tcW w:w="54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change in fair value of the warrant liability disclosed above represents an unrealised loss.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Warrants in connection to private placement</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As a part of the private placement on 3 June 2020, the investors also received the Warrants entitling them to subscribe for an aggregate of 161,048,366 new Ordinary Shares. The Warrants were conditional on the Resolutions being passed at the General Meeting, which occurred on 30 June 2020. On the passing of the Resolutions, the Warrants entitle the investors to subscribe for further Ordinary Shares at an exercise price per Warrant Share of 34.8 pence, being 200 per cent of the share issue price. The Warrants are capable of being exercised at any time from the date the Resolutions are passed until the third anniversary of the date the Resolutions are passed. The Warrants are classified as liabilities as the Group does not have an unconditional right to avoid redeeming the instruments for cash. The fair value of the warrant liability was estimated to be £4,079,813 and £35,572,845 on initial recognition and as of 30 June 2020, respectively. The change in the fair value of £31,493,032 was recognised as an expense in profit or loss. There were no warrants exercised as at 30 June 2020.</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Warrants in connection to bank loan</w:t>
      </w:r>
    </w:p>
    <w:p>
      <w:pPr>
        <w:spacing w:after="0" w:line="121"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Pursuant to the terms of its loan facility with SVB/Kreos Capital, the Company issued Bank Loan Warrants to SVB and Kreos Capital constituted by Warrant Instruments dated 21 August 2017 and 1 October 2018 (the “Warrant Instruments”). The Warrant Instruments provide for ‘adjustment’ of the Warrants in the event that the Company takes certain corporate actions, for example issuing further equity securities or effecting a consolidation/subdivision of its shares.</w:t>
      </w:r>
    </w:p>
    <w:p>
      <w:pPr>
        <w:spacing w:after="0" w:line="180"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There have been several adjustments to the Bank Loan Warrants to date to address issuances of shares by the Company, and in each case the prior adjustment has taken the form of an issue of additional Warrants to SVB and Kreos. In the context of the most recent adjustment of the Warrants in response to the Company’s private placement and securities purchase agreements, SVB and Kreos have yet to agree the calculation methodology of the adjustment provision. As no agreement has yet been reached between the Company and its Lenders as to the appropriate manner of adjustment, no warrants have yet been issued and the adjustment remains uncertain.</w:t>
      </w:r>
    </w:p>
    <w:p>
      <w:pPr>
        <w:spacing w:after="0" w:line="183" w:lineRule="exact"/>
        <w:rPr>
          <w:sz w:val="20"/>
          <w:szCs w:val="20"/>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As at June 30, 2020 a total of 1,243,908 (June 30, 2019: 1,243,908) warrants are outstanding, held by lenders of the bank loan facility, which is equivalent to 0.32% of the ordinary share capital of the Company.</w:t>
      </w:r>
    </w:p>
    <w:p>
      <w:pPr>
        <w:spacing w:after="0" w:line="162"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The fair value of the warrants at grant was £1,798,502. At June 30, 2020 it was £184,531 (June 30, 2019: £225,473) and at December 31, 2019 it was £131,069.</w:t>
      </w:r>
    </w:p>
    <w:p>
      <w:pPr>
        <w:spacing w:after="0" w:line="16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terms of the Warrant Instrument allow for a cashless exercise. In line with IAS 32 (Financial Instruments: Presentation), the future number of shares to be issued to the warrant-holder under a cashless exercise can only be determined at that future date. At each balance sheet date, the fair value of the warrants will be assessed using the Black-Scholes model considering appropriate amendments to inputs in respect of volatility and remaining expected life of the warrants.</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0980"/>
          </w:cols>
          <w:pgMar w:left="440" w:top="270" w:right="479" w:bottom="1440" w:gutter="0" w:footer="0" w:header="0"/>
        </w:sectPr>
      </w:pPr>
    </w:p>
    <w:bookmarkStart w:id="37" w:name="page38"/>
    <w:bookmarkEnd w:id="37"/>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following table lists the weighted average inputs to the models used for the fair value of warrants:</w:t>
      </w:r>
    </w:p>
    <w:p>
      <w:pPr>
        <w:spacing w:after="0" w:line="235" w:lineRule="exact"/>
        <w:rPr>
          <w:sz w:val="20"/>
          <w:szCs w:val="20"/>
          <w:color w:val="auto"/>
        </w:rPr>
      </w:pPr>
    </w:p>
    <w:tbl>
      <w:tblPr>
        <w:tblLayout w:type="fixed"/>
        <w:tblInd w:w="884" w:type="dxa"/>
        <w:tblCellMar>
          <w:top w:w="0" w:type="dxa"/>
          <w:left w:w="0" w:type="dxa"/>
          <w:bottom w:w="0" w:type="dxa"/>
          <w:right w:w="0" w:type="dxa"/>
        </w:tblCellMar>
      </w:tblPr>
      <w:tr>
        <w:trPr>
          <w:trHeight w:val="161"/>
        </w:trPr>
        <w:tc>
          <w:tcPr>
            <w:tcW w:w="5440" w:type="dxa"/>
            <w:vAlign w:val="bottom"/>
          </w:tcPr>
          <w:p>
            <w:pPr>
              <w:spacing w:after="0"/>
              <w:rPr>
                <w:sz w:val="13"/>
                <w:szCs w:val="13"/>
                <w:color w:val="auto"/>
              </w:rPr>
            </w:pPr>
          </w:p>
        </w:tc>
        <w:tc>
          <w:tcPr>
            <w:tcW w:w="13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Six months to</w:t>
            </w:r>
          </w:p>
        </w:tc>
        <w:tc>
          <w:tcPr>
            <w:tcW w:w="13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color w:val="auto"/>
              </w:rPr>
              <w:t>Six months to</w:t>
            </w:r>
          </w:p>
        </w:tc>
        <w:tc>
          <w:tcPr>
            <w:tcW w:w="11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w w:val="99"/>
              </w:rPr>
              <w:t>Year ended</w:t>
            </w:r>
          </w:p>
        </w:tc>
        <w:tc>
          <w:tcPr>
            <w:tcW w:w="0" w:type="dxa"/>
            <w:vAlign w:val="bottom"/>
          </w:tcPr>
          <w:p>
            <w:pPr>
              <w:spacing w:after="0"/>
              <w:rPr>
                <w:sz w:val="1"/>
                <w:szCs w:val="1"/>
                <w:color w:val="auto"/>
              </w:rPr>
            </w:pPr>
          </w:p>
        </w:tc>
      </w:tr>
      <w:tr>
        <w:trPr>
          <w:trHeight w:val="146"/>
        </w:trPr>
        <w:tc>
          <w:tcPr>
            <w:tcW w:w="544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160" w:type="dxa"/>
            <w:vAlign w:val="bottom"/>
            <w:gridSpan w:val="2"/>
          </w:tcPr>
          <w:p>
            <w:pPr>
              <w:jc w:val="center"/>
              <w:ind w:right="80"/>
              <w:spacing w:after="0" w:line="147" w:lineRule="exact"/>
              <w:rPr>
                <w:sz w:val="20"/>
                <w:szCs w:val="20"/>
                <w:color w:val="auto"/>
              </w:rPr>
            </w:pPr>
            <w:r>
              <w:rPr>
                <w:rFonts w:ascii="Times New Roman" w:cs="Times New Roman" w:eastAsia="Times New Roman" w:hAnsi="Times New Roman"/>
                <w:sz w:val="14"/>
                <w:szCs w:val="14"/>
                <w:color w:val="auto"/>
              </w:rPr>
              <w:t>December 31,</w:t>
            </w:r>
          </w:p>
        </w:tc>
        <w:tc>
          <w:tcPr>
            <w:tcW w:w="0" w:type="dxa"/>
            <w:vAlign w:val="bottom"/>
          </w:tcPr>
          <w:p>
            <w:pPr>
              <w:spacing w:after="0"/>
              <w:rPr>
                <w:sz w:val="1"/>
                <w:szCs w:val="1"/>
                <w:color w:val="auto"/>
              </w:rPr>
            </w:pPr>
          </w:p>
        </w:tc>
      </w:tr>
      <w:tr>
        <w:trPr>
          <w:trHeight w:val="149"/>
        </w:trPr>
        <w:tc>
          <w:tcPr>
            <w:tcW w:w="5440" w:type="dxa"/>
            <w:vAlign w:val="bottom"/>
          </w:tcPr>
          <w:p>
            <w:pPr>
              <w:spacing w:after="0"/>
              <w:rPr>
                <w:sz w:val="12"/>
                <w:szCs w:val="12"/>
                <w:color w:val="auto"/>
              </w:rPr>
            </w:pPr>
          </w:p>
        </w:tc>
        <w:tc>
          <w:tcPr>
            <w:tcW w:w="13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June 30, 2020</w:t>
            </w:r>
          </w:p>
        </w:tc>
        <w:tc>
          <w:tcPr>
            <w:tcW w:w="13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color w:val="auto"/>
              </w:rPr>
              <w:t>June 30, 2019</w:t>
            </w:r>
          </w:p>
        </w:tc>
        <w:tc>
          <w:tcPr>
            <w:tcW w:w="10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99"/>
              </w:rPr>
              <w:t>2019</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440" w:type="dxa"/>
            <w:vAlign w:val="bottom"/>
          </w:tcPr>
          <w:p>
            <w:pPr>
              <w:spacing w:after="0"/>
              <w:rPr>
                <w:sz w:val="15"/>
                <w:szCs w:val="15"/>
                <w:color w:val="auto"/>
              </w:rPr>
            </w:pP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3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Unaudited</w:t>
            </w:r>
          </w:p>
        </w:tc>
        <w:tc>
          <w:tcPr>
            <w:tcW w:w="11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Audited</w:t>
            </w:r>
          </w:p>
        </w:tc>
        <w:tc>
          <w:tcPr>
            <w:tcW w:w="0" w:type="dxa"/>
            <w:vAlign w:val="bottom"/>
          </w:tcPr>
          <w:p>
            <w:pPr>
              <w:spacing w:after="0"/>
              <w:rPr>
                <w:sz w:val="1"/>
                <w:szCs w:val="1"/>
                <w:color w:val="auto"/>
              </w:rPr>
            </w:pPr>
          </w:p>
        </w:tc>
      </w:tr>
      <w:tr>
        <w:trPr>
          <w:trHeight w:val="209"/>
        </w:trPr>
        <w:tc>
          <w:tcPr>
            <w:tcW w:w="54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volatility (%)</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69</w:t>
            </w:r>
          </w:p>
        </w:tc>
        <w:tc>
          <w:tcPr>
            <w:tcW w:w="24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22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 (%)</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0.21</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life of share options (years)</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7.1-9.6</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Market price of ordinary shares (£)</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0.46</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0.83</w:t>
            </w: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Model used</w:t>
            </w:r>
          </w:p>
        </w:tc>
        <w:tc>
          <w:tcPr>
            <w:tcW w:w="13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Black Scholes</w:t>
            </w:r>
          </w:p>
        </w:tc>
        <w:tc>
          <w:tcPr>
            <w:tcW w:w="13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Black Scholes</w:t>
            </w:r>
          </w:p>
        </w:tc>
        <w:tc>
          <w:tcPr>
            <w:tcW w:w="11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Black Scholes</w:t>
            </w:r>
          </w:p>
        </w:tc>
        <w:tc>
          <w:tcPr>
            <w:tcW w:w="0" w:type="dxa"/>
            <w:vAlign w:val="bottom"/>
          </w:tcPr>
          <w:p>
            <w:pPr>
              <w:spacing w:after="0"/>
              <w:rPr>
                <w:sz w:val="1"/>
                <w:szCs w:val="1"/>
                <w:color w:val="auto"/>
              </w:rPr>
            </w:pPr>
          </w:p>
        </w:tc>
      </w:tr>
      <w:tr>
        <w:trPr>
          <w:trHeight w:val="20"/>
        </w:trPr>
        <w:tc>
          <w:tcPr>
            <w:tcW w:w="54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4" w:right="160"/>
        <w:spacing w:after="0" w:line="282" w:lineRule="auto"/>
        <w:rPr>
          <w:sz w:val="20"/>
          <w:szCs w:val="20"/>
          <w:color w:val="auto"/>
        </w:rPr>
      </w:pPr>
      <w:r>
        <w:rPr>
          <w:rFonts w:ascii="Times New Roman" w:cs="Times New Roman" w:eastAsia="Times New Roman" w:hAnsi="Times New Roman"/>
          <w:sz w:val="18"/>
          <w:szCs w:val="18"/>
          <w:color w:val="auto"/>
        </w:rPr>
        <w:t>Since there is no historical data in relation to the expected life of the warrants the contractual life of the options was used in calculating the expense for the year.</w:t>
      </w:r>
    </w:p>
    <w:p>
      <w:pPr>
        <w:spacing w:after="0" w:line="16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Volatility was estimated by reference to the 30-day historical volatility of the historical share price of the company.</w:t>
      </w:r>
    </w:p>
    <w:p>
      <w:pPr>
        <w:spacing w:after="0" w:line="329" w:lineRule="exact"/>
        <w:rPr>
          <w:sz w:val="20"/>
          <w:szCs w:val="20"/>
          <w:color w:val="auto"/>
        </w:rPr>
      </w:pPr>
    </w:p>
    <w:p>
      <w:pPr>
        <w:ind w:left="4" w:right="580" w:hanging="4"/>
        <w:spacing w:after="0" w:line="286" w:lineRule="auto"/>
        <w:tabs>
          <w:tab w:leader="none" w:pos="274"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Financial instruments fair value disclosures </w:t>
      </w:r>
      <w:r>
        <w:rPr>
          <w:rFonts w:ascii="Times New Roman" w:cs="Times New Roman" w:eastAsia="Times New Roman" w:hAnsi="Times New Roman"/>
          <w:sz w:val="18"/>
          <w:szCs w:val="18"/>
          <w:color w:val="auto"/>
        </w:rPr>
        <w:t>The Group held the following financial instruments at fair value at 30 June 2020. There are no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non-recurring fair value measurements.</w:t>
      </w:r>
    </w:p>
    <w:p>
      <w:pPr>
        <w:spacing w:after="0" w:line="167"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880" w:type="dxa"/>
            <w:vAlign w:val="bottom"/>
          </w:tcPr>
          <w:p>
            <w:pPr>
              <w:spacing w:after="0"/>
              <w:rPr>
                <w:sz w:val="13"/>
                <w:szCs w:val="13"/>
                <w:color w:val="auto"/>
              </w:rPr>
            </w:pPr>
          </w:p>
        </w:tc>
        <w:tc>
          <w:tcPr>
            <w:tcW w:w="260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640" w:type="dxa"/>
            <w:vAlign w:val="bottom"/>
          </w:tcPr>
          <w:p>
            <w:pPr>
              <w:spacing w:after="0"/>
              <w:rPr>
                <w:sz w:val="13"/>
                <w:szCs w:val="13"/>
                <w:color w:val="auto"/>
              </w:rPr>
            </w:pPr>
          </w:p>
        </w:tc>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620" w:type="dxa"/>
            <w:vAlign w:val="bottom"/>
          </w:tcPr>
          <w:p>
            <w:pPr>
              <w:spacing w:after="0"/>
              <w:rPr>
                <w:sz w:val="13"/>
                <w:szCs w:val="13"/>
                <w:color w:val="auto"/>
              </w:rPr>
            </w:pPr>
          </w:p>
        </w:tc>
        <w:tc>
          <w:tcPr>
            <w:tcW w:w="108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measurements</w:t>
            </w:r>
          </w:p>
        </w:tc>
        <w:tc>
          <w:tcPr>
            <w:tcW w:w="64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62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8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using quoted</w:t>
            </w:r>
          </w:p>
        </w:tc>
        <w:tc>
          <w:tcPr>
            <w:tcW w:w="64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measurements</w:t>
            </w:r>
          </w:p>
        </w:tc>
        <w:tc>
          <w:tcPr>
            <w:tcW w:w="620" w:type="dxa"/>
            <w:vAlign w:val="bottom"/>
          </w:tcPr>
          <w:p>
            <w:pPr>
              <w:spacing w:after="0"/>
              <w:rPr>
                <w:sz w:val="12"/>
                <w:szCs w:val="12"/>
                <w:color w:val="auto"/>
              </w:rPr>
            </w:pPr>
          </w:p>
        </w:tc>
        <w:tc>
          <w:tcPr>
            <w:tcW w:w="108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measurements</w:t>
            </w:r>
          </w:p>
        </w:tc>
        <w:tc>
          <w:tcPr>
            <w:tcW w:w="0" w:type="dxa"/>
            <w:vAlign w:val="bottom"/>
          </w:tcPr>
          <w:p>
            <w:pPr>
              <w:spacing w:after="0"/>
              <w:rPr>
                <w:sz w:val="1"/>
                <w:szCs w:val="1"/>
                <w:color w:val="auto"/>
              </w:rPr>
            </w:pPr>
          </w:p>
        </w:tc>
      </w:tr>
      <w:tr>
        <w:trPr>
          <w:trHeight w:val="148"/>
        </w:trPr>
        <w:tc>
          <w:tcPr>
            <w:tcW w:w="88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prices in</w:t>
            </w:r>
          </w:p>
        </w:tc>
        <w:tc>
          <w:tcPr>
            <w:tcW w:w="1660" w:type="dxa"/>
            <w:vAlign w:val="bottom"/>
            <w:gridSpan w:val="2"/>
          </w:tcPr>
          <w:p>
            <w:pPr>
              <w:jc w:val="center"/>
              <w:ind w:left="539"/>
              <w:spacing w:after="0" w:line="149" w:lineRule="exact"/>
              <w:rPr>
                <w:sz w:val="20"/>
                <w:szCs w:val="20"/>
                <w:color w:val="auto"/>
              </w:rPr>
            </w:pPr>
            <w:r>
              <w:rPr>
                <w:rFonts w:ascii="Times New Roman" w:cs="Times New Roman" w:eastAsia="Times New Roman" w:hAnsi="Times New Roman"/>
                <w:sz w:val="14"/>
                <w:szCs w:val="14"/>
                <w:b w:val="1"/>
                <w:bCs w:val="1"/>
                <w:color w:val="auto"/>
              </w:rPr>
              <w:t>using significant</w:t>
            </w:r>
          </w:p>
        </w:tc>
        <w:tc>
          <w:tcPr>
            <w:tcW w:w="1700" w:type="dxa"/>
            <w:vAlign w:val="bottom"/>
            <w:gridSpan w:val="3"/>
          </w:tcPr>
          <w:p>
            <w:pPr>
              <w:jc w:val="center"/>
              <w:ind w:left="459"/>
              <w:spacing w:after="0" w:line="149" w:lineRule="exact"/>
              <w:rPr>
                <w:sz w:val="20"/>
                <w:szCs w:val="20"/>
                <w:color w:val="auto"/>
              </w:rPr>
            </w:pPr>
            <w:r>
              <w:rPr>
                <w:rFonts w:ascii="Times New Roman" w:cs="Times New Roman" w:eastAsia="Times New Roman" w:hAnsi="Times New Roman"/>
                <w:sz w:val="14"/>
                <w:szCs w:val="14"/>
                <w:b w:val="1"/>
                <w:bCs w:val="1"/>
                <w:color w:val="auto"/>
              </w:rPr>
              <w:t>using significant</w:t>
            </w:r>
          </w:p>
        </w:tc>
        <w:tc>
          <w:tcPr>
            <w:tcW w:w="0" w:type="dxa"/>
            <w:vAlign w:val="bottom"/>
          </w:tcPr>
          <w:p>
            <w:pPr>
              <w:spacing w:after="0"/>
              <w:rPr>
                <w:sz w:val="1"/>
                <w:szCs w:val="1"/>
                <w:color w:val="auto"/>
              </w:rPr>
            </w:pPr>
          </w:p>
        </w:tc>
      </w:tr>
      <w:tr>
        <w:trPr>
          <w:trHeight w:val="148"/>
        </w:trPr>
        <w:tc>
          <w:tcPr>
            <w:tcW w:w="88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340" w:type="dxa"/>
            <w:vAlign w:val="bottom"/>
            <w:gridSpan w:val="2"/>
          </w:tcPr>
          <w:p>
            <w:pPr>
              <w:jc w:val="center"/>
              <w:ind w:left="368"/>
              <w:spacing w:after="0" w:line="149" w:lineRule="exact"/>
              <w:rPr>
                <w:sz w:val="20"/>
                <w:szCs w:val="20"/>
                <w:color w:val="auto"/>
              </w:rPr>
            </w:pPr>
            <w:r>
              <w:rPr>
                <w:rFonts w:ascii="Times New Roman" w:cs="Times New Roman" w:eastAsia="Times New Roman" w:hAnsi="Times New Roman"/>
                <w:sz w:val="14"/>
                <w:szCs w:val="14"/>
                <w:b w:val="1"/>
                <w:bCs w:val="1"/>
                <w:color w:val="auto"/>
              </w:rPr>
              <w:t>active markets</w:t>
            </w:r>
          </w:p>
        </w:tc>
        <w:tc>
          <w:tcPr>
            <w:tcW w:w="64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620" w:type="dxa"/>
            <w:vAlign w:val="bottom"/>
          </w:tcPr>
          <w:p>
            <w:pPr>
              <w:spacing w:after="0"/>
              <w:rPr>
                <w:sz w:val="12"/>
                <w:szCs w:val="12"/>
                <w:color w:val="auto"/>
              </w:rPr>
            </w:pPr>
          </w:p>
        </w:tc>
        <w:tc>
          <w:tcPr>
            <w:tcW w:w="108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0" w:type="dxa"/>
            <w:vAlign w:val="bottom"/>
          </w:tcPr>
          <w:p>
            <w:pPr>
              <w:spacing w:after="0"/>
              <w:rPr>
                <w:sz w:val="1"/>
                <w:szCs w:val="1"/>
                <w:color w:val="auto"/>
              </w:rPr>
            </w:pPr>
          </w:p>
        </w:tc>
      </w:tr>
      <w:tr>
        <w:trPr>
          <w:trHeight w:val="148"/>
        </w:trPr>
        <w:tc>
          <w:tcPr>
            <w:tcW w:w="880" w:type="dxa"/>
            <w:vAlign w:val="bottom"/>
            <w:vMerge w:val="restart"/>
          </w:tcPr>
          <w:p>
            <w:pPr>
              <w:spacing w:after="0"/>
              <w:rPr>
                <w:sz w:val="12"/>
                <w:szCs w:val="12"/>
                <w:color w:val="auto"/>
              </w:rPr>
            </w:pPr>
          </w:p>
        </w:tc>
        <w:tc>
          <w:tcPr>
            <w:tcW w:w="26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Financial liabilities measured at fair value</w:t>
            </w:r>
          </w:p>
        </w:tc>
        <w:tc>
          <w:tcPr>
            <w:tcW w:w="1960" w:type="dxa"/>
            <w:vAlign w:val="bottom"/>
            <w:vMerge w:val="restart"/>
          </w:tcPr>
          <w:p>
            <w:pPr>
              <w:spacing w:after="0"/>
              <w:rPr>
                <w:sz w:val="12"/>
                <w:szCs w:val="12"/>
                <w:color w:val="auto"/>
              </w:rPr>
            </w:pPr>
          </w:p>
        </w:tc>
        <w:tc>
          <w:tcPr>
            <w:tcW w:w="44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(Level 1)</w:t>
            </w:r>
          </w:p>
        </w:tc>
        <w:tc>
          <w:tcPr>
            <w:tcW w:w="64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inputs (Level 2)</w:t>
            </w:r>
          </w:p>
        </w:tc>
        <w:tc>
          <w:tcPr>
            <w:tcW w:w="620" w:type="dxa"/>
            <w:vAlign w:val="bottom"/>
          </w:tcPr>
          <w:p>
            <w:pPr>
              <w:spacing w:after="0"/>
              <w:rPr>
                <w:sz w:val="12"/>
                <w:szCs w:val="12"/>
                <w:color w:val="auto"/>
              </w:rPr>
            </w:pPr>
          </w:p>
        </w:tc>
        <w:tc>
          <w:tcPr>
            <w:tcW w:w="108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inputs (Level 3)</w:t>
            </w:r>
          </w:p>
        </w:tc>
        <w:tc>
          <w:tcPr>
            <w:tcW w:w="0" w:type="dxa"/>
            <w:vAlign w:val="bottom"/>
          </w:tcPr>
          <w:p>
            <w:pPr>
              <w:spacing w:after="0"/>
              <w:rPr>
                <w:sz w:val="1"/>
                <w:szCs w:val="1"/>
                <w:color w:val="auto"/>
              </w:rPr>
            </w:pPr>
          </w:p>
        </w:tc>
      </w:tr>
      <w:tr>
        <w:trPr>
          <w:trHeight w:val="180"/>
        </w:trPr>
        <w:tc>
          <w:tcPr>
            <w:tcW w:w="880" w:type="dxa"/>
            <w:vAlign w:val="bottom"/>
            <w:vMerge w:val="continue"/>
          </w:tcPr>
          <w:p>
            <w:pPr>
              <w:spacing w:after="0"/>
              <w:rPr>
                <w:sz w:val="15"/>
                <w:szCs w:val="15"/>
                <w:color w:val="auto"/>
              </w:rPr>
            </w:pPr>
          </w:p>
        </w:tc>
        <w:tc>
          <w:tcPr>
            <w:tcW w:w="2600" w:type="dxa"/>
            <w:vAlign w:val="bottom"/>
            <w:tcBorders>
              <w:bottom w:val="single" w:sz="8" w:color="auto"/>
            </w:tcBorders>
            <w:vMerge w:val="continue"/>
          </w:tcPr>
          <w:p>
            <w:pPr>
              <w:spacing w:after="0"/>
              <w:rPr>
                <w:sz w:val="15"/>
                <w:szCs w:val="15"/>
                <w:color w:val="auto"/>
              </w:rPr>
            </w:pPr>
          </w:p>
        </w:tc>
        <w:tc>
          <w:tcPr>
            <w:tcW w:w="1960" w:type="dxa"/>
            <w:vAlign w:val="bottom"/>
            <w:vMerge w:val="continue"/>
          </w:tcPr>
          <w:p>
            <w:pPr>
              <w:spacing w:after="0"/>
              <w:rPr>
                <w:sz w:val="15"/>
                <w:szCs w:val="15"/>
                <w:color w:val="auto"/>
              </w:rPr>
            </w:pPr>
          </w:p>
        </w:tc>
        <w:tc>
          <w:tcPr>
            <w:tcW w:w="440" w:type="dxa"/>
            <w:vAlign w:val="bottom"/>
          </w:tcPr>
          <w:p>
            <w:pPr>
              <w:spacing w:after="0"/>
              <w:rPr>
                <w:sz w:val="15"/>
                <w:szCs w:val="15"/>
                <w:color w:val="auto"/>
              </w:rPr>
            </w:pPr>
          </w:p>
        </w:tc>
        <w:tc>
          <w:tcPr>
            <w:tcW w:w="90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£’000</w:t>
            </w:r>
          </w:p>
        </w:tc>
        <w:tc>
          <w:tcPr>
            <w:tcW w:w="640" w:type="dxa"/>
            <w:vAlign w:val="bottom"/>
          </w:tcPr>
          <w:p>
            <w:pPr>
              <w:spacing w:after="0"/>
              <w:rPr>
                <w:sz w:val="15"/>
                <w:szCs w:val="15"/>
                <w:color w:val="auto"/>
              </w:rPr>
            </w:pPr>
          </w:p>
        </w:tc>
        <w:tc>
          <w:tcPr>
            <w:tcW w:w="102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w w:val="97"/>
              </w:rPr>
              <w:t>£’000</w:t>
            </w:r>
          </w:p>
        </w:tc>
        <w:tc>
          <w:tcPr>
            <w:tcW w:w="620" w:type="dxa"/>
            <w:vAlign w:val="bottom"/>
          </w:tcPr>
          <w:p>
            <w:pPr>
              <w:spacing w:after="0"/>
              <w:rPr>
                <w:sz w:val="15"/>
                <w:szCs w:val="15"/>
                <w:color w:val="auto"/>
              </w:rPr>
            </w:pPr>
          </w:p>
        </w:tc>
        <w:tc>
          <w:tcPr>
            <w:tcW w:w="1080" w:type="dxa"/>
            <w:vAlign w:val="bottom"/>
            <w:gridSpan w:val="2"/>
          </w:tcPr>
          <w:p>
            <w:pPr>
              <w:jc w:val="center"/>
              <w:ind w:right="60"/>
              <w:spacing w:after="0" w:line="160" w:lineRule="exact"/>
              <w:rPr>
                <w:sz w:val="20"/>
                <w:szCs w:val="20"/>
                <w:color w:val="auto"/>
              </w:rPr>
            </w:pPr>
            <w:r>
              <w:rPr>
                <w:rFonts w:ascii="Times New Roman" w:cs="Times New Roman" w:eastAsia="Times New Roman" w:hAnsi="Times New Roman"/>
                <w:sz w:val="14"/>
                <w:szCs w:val="14"/>
                <w:b w:val="1"/>
                <w:bCs w:val="1"/>
                <w:color w:val="auto"/>
              </w:rPr>
              <w:t>£’000</w:t>
            </w:r>
          </w:p>
        </w:tc>
        <w:tc>
          <w:tcPr>
            <w:tcW w:w="0" w:type="dxa"/>
            <w:vAlign w:val="bottom"/>
          </w:tcPr>
          <w:p>
            <w:pPr>
              <w:spacing w:after="0"/>
              <w:rPr>
                <w:sz w:val="1"/>
                <w:szCs w:val="1"/>
                <w:color w:val="auto"/>
              </w:rPr>
            </w:pPr>
          </w:p>
        </w:tc>
      </w:tr>
      <w:tr>
        <w:trPr>
          <w:trHeight w:val="203"/>
        </w:trPr>
        <w:tc>
          <w:tcPr>
            <w:tcW w:w="880" w:type="dxa"/>
            <w:vAlign w:val="bottom"/>
          </w:tcPr>
          <w:p>
            <w:pPr>
              <w:spacing w:after="0"/>
              <w:rPr>
                <w:sz w:val="17"/>
                <w:szCs w:val="17"/>
                <w:color w:val="auto"/>
              </w:rPr>
            </w:pPr>
          </w:p>
        </w:tc>
        <w:tc>
          <w:tcPr>
            <w:tcW w:w="456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Warrant liabilities (note 9)</w:t>
            </w:r>
          </w:p>
        </w:tc>
        <w:tc>
          <w:tcPr>
            <w:tcW w:w="44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ind w:left="640"/>
              <w:spacing w:after="0" w:line="203" w:lineRule="exact"/>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184</w:t>
            </w:r>
          </w:p>
        </w:tc>
        <w:tc>
          <w:tcPr>
            <w:tcW w:w="62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35,573</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Deferred consideration</w:t>
            </w:r>
          </w:p>
        </w:tc>
        <w:tc>
          <w:tcPr>
            <w:tcW w:w="440" w:type="dxa"/>
            <w:vAlign w:val="bottom"/>
          </w:tcPr>
          <w:p>
            <w:pPr>
              <w:spacing w:after="0"/>
              <w:rPr>
                <w:sz w:val="18"/>
                <w:szCs w:val="18"/>
                <w:color w:val="auto"/>
              </w:rPr>
            </w:pPr>
          </w:p>
        </w:tc>
        <w:tc>
          <w:tcPr>
            <w:tcW w:w="90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spacing w:after="0"/>
              <w:rPr>
                <w:sz w:val="18"/>
                <w:szCs w:val="18"/>
                <w:color w:val="auto"/>
              </w:rPr>
            </w:pPr>
          </w:p>
        </w:tc>
        <w:tc>
          <w:tcPr>
            <w:tcW w:w="1020" w:type="dxa"/>
            <w:vAlign w:val="bottom"/>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1,698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880" w:type="dxa"/>
            <w:vAlign w:val="bottom"/>
          </w:tcPr>
          <w:p>
            <w:pPr>
              <w:spacing w:after="0"/>
              <w:rPr>
                <w:sz w:val="16"/>
                <w:szCs w:val="16"/>
                <w:color w:val="auto"/>
              </w:rPr>
            </w:pPr>
          </w:p>
        </w:tc>
        <w:tc>
          <w:tcPr>
            <w:tcW w:w="4560" w:type="dxa"/>
            <w:vAlign w:val="bottom"/>
            <w:gridSpan w:val="2"/>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Financial liabilities for which fair values are disclosed</w:t>
            </w:r>
          </w:p>
        </w:tc>
        <w:tc>
          <w:tcPr>
            <w:tcW w:w="4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52"/>
        </w:trPr>
        <w:tc>
          <w:tcPr>
            <w:tcW w:w="880" w:type="dxa"/>
            <w:vAlign w:val="bottom"/>
          </w:tcPr>
          <w:p>
            <w:pPr>
              <w:spacing w:after="0"/>
              <w:rPr>
                <w:sz w:val="21"/>
                <w:szCs w:val="21"/>
                <w:color w:val="auto"/>
              </w:rPr>
            </w:pPr>
          </w:p>
        </w:tc>
        <w:tc>
          <w:tcPr>
            <w:tcW w:w="4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Bank loan with SVB/Kreos Capital</w:t>
            </w:r>
          </w:p>
        </w:tc>
        <w:tc>
          <w:tcPr>
            <w:tcW w:w="440" w:type="dxa"/>
            <w:vAlign w:val="bottom"/>
            <w:shd w:val="clear" w:color="auto" w:fill="CCEEFF"/>
          </w:tcPr>
          <w:p>
            <w:pPr>
              <w:spacing w:after="0"/>
              <w:rPr>
                <w:sz w:val="21"/>
                <w:szCs w:val="21"/>
                <w:color w:val="auto"/>
              </w:rPr>
            </w:pPr>
          </w:p>
        </w:tc>
        <w:tc>
          <w:tcPr>
            <w:tcW w:w="90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13,254</w:t>
            </w:r>
          </w:p>
        </w:tc>
        <w:tc>
          <w:tcPr>
            <w:tcW w:w="62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44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rPr>
              <w:t>Total</w:t>
            </w:r>
          </w:p>
        </w:tc>
        <w:tc>
          <w:tcPr>
            <w:tcW w:w="440" w:type="dxa"/>
            <w:vAlign w:val="bottom"/>
          </w:tcPr>
          <w:p>
            <w:pPr>
              <w:spacing w:after="0"/>
              <w:rPr>
                <w:sz w:val="19"/>
                <w:szCs w:val="19"/>
                <w:color w:val="auto"/>
              </w:rPr>
            </w:pPr>
          </w:p>
        </w:tc>
        <w:tc>
          <w:tcPr>
            <w:tcW w:w="900" w:type="dxa"/>
            <w:vAlign w:val="bottom"/>
            <w:tcBorders>
              <w:top w:val="single" w:sz="8" w:color="auto"/>
              <w:bottom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13,438</w:t>
            </w:r>
          </w:p>
        </w:tc>
        <w:tc>
          <w:tcPr>
            <w:tcW w:w="620" w:type="dxa"/>
            <w:vAlign w:val="bottom"/>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37,271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4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There were no transfers between Level 1 and Level 2 during 2020.</w:t>
            </w:r>
          </w:p>
        </w:tc>
        <w:tc>
          <w:tcPr>
            <w:tcW w:w="4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440" w:type="dxa"/>
            <w:vAlign w:val="bottom"/>
            <w:gridSpan w:val="3"/>
            <w:vMerge w:val="continue"/>
          </w:tcPr>
          <w:p>
            <w:pPr>
              <w:spacing w:after="0"/>
              <w:rPr>
                <w:sz w:val="24"/>
                <w:szCs w:val="24"/>
                <w:color w:val="auto"/>
              </w:rPr>
            </w:pPr>
          </w:p>
        </w:tc>
        <w:tc>
          <w:tcPr>
            <w:tcW w:w="4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4" w:right="40"/>
        <w:spacing w:after="0" w:line="312" w:lineRule="auto"/>
        <w:rPr>
          <w:sz w:val="20"/>
          <w:szCs w:val="20"/>
          <w:color w:val="auto"/>
        </w:rPr>
      </w:pPr>
      <w:r>
        <w:rPr>
          <w:rFonts w:ascii="Times New Roman" w:cs="Times New Roman" w:eastAsia="Times New Roman" w:hAnsi="Times New Roman"/>
          <w:sz w:val="17"/>
          <w:szCs w:val="17"/>
          <w:color w:val="auto"/>
        </w:rPr>
        <w:t>Except for the loan notes in the table below, the management of the Group assessed that the fair values of cash and short-term deposits, other receivables, trade payables, and other current liabilities approximate their carrying amounts largely due to the short-term maturities of these instruments.</w:t>
      </w:r>
    </w:p>
    <w:p>
      <w:pPr>
        <w:spacing w:after="0" w:line="148"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1180" w:type="dxa"/>
            <w:vAlign w:val="bottom"/>
          </w:tcPr>
          <w:p>
            <w:pPr>
              <w:spacing w:after="0"/>
              <w:rPr>
                <w:sz w:val="13"/>
                <w:szCs w:val="13"/>
                <w:color w:val="auto"/>
              </w:rPr>
            </w:pPr>
          </w:p>
        </w:tc>
        <w:tc>
          <w:tcPr>
            <w:tcW w:w="3740" w:type="dxa"/>
            <w:vAlign w:val="bottom"/>
          </w:tcPr>
          <w:p>
            <w:pPr>
              <w:spacing w:after="0"/>
              <w:rPr>
                <w:sz w:val="13"/>
                <w:szCs w:val="13"/>
                <w:color w:val="auto"/>
              </w:rPr>
            </w:pPr>
          </w:p>
        </w:tc>
        <w:tc>
          <w:tcPr>
            <w:tcW w:w="104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At Book</w:t>
            </w:r>
          </w:p>
        </w:tc>
        <w:tc>
          <w:tcPr>
            <w:tcW w:w="6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4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At Fair</w:t>
            </w:r>
          </w:p>
        </w:tc>
        <w:tc>
          <w:tcPr>
            <w:tcW w:w="6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180" w:type="dxa"/>
            <w:vAlign w:val="bottom"/>
          </w:tcPr>
          <w:p>
            <w:pPr>
              <w:spacing w:after="0"/>
              <w:rPr>
                <w:sz w:val="12"/>
                <w:szCs w:val="12"/>
                <w:color w:val="auto"/>
              </w:rPr>
            </w:pPr>
          </w:p>
        </w:tc>
        <w:tc>
          <w:tcPr>
            <w:tcW w:w="3740" w:type="dxa"/>
            <w:vAlign w:val="bottom"/>
          </w:tcPr>
          <w:p>
            <w:pPr>
              <w:spacing w:after="0"/>
              <w:rPr>
                <w:sz w:val="12"/>
                <w:szCs w:val="12"/>
                <w:color w:val="auto"/>
              </w:rPr>
            </w:pPr>
          </w:p>
        </w:tc>
        <w:tc>
          <w:tcPr>
            <w:tcW w:w="104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w w:val="95"/>
              </w:rPr>
              <w:t>Value:</w:t>
            </w:r>
          </w:p>
        </w:tc>
        <w:tc>
          <w:tcPr>
            <w:tcW w:w="6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4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Value:</w:t>
            </w:r>
          </w:p>
        </w:tc>
        <w:tc>
          <w:tcPr>
            <w:tcW w:w="94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color w:val="auto"/>
              </w:rPr>
              <w:t>Six</w:t>
            </w: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180" w:type="dxa"/>
            <w:vAlign w:val="bottom"/>
          </w:tcPr>
          <w:p>
            <w:pPr>
              <w:spacing w:after="0"/>
              <w:rPr>
                <w:sz w:val="12"/>
                <w:szCs w:val="12"/>
                <w:color w:val="auto"/>
              </w:rPr>
            </w:pPr>
          </w:p>
        </w:tc>
        <w:tc>
          <w:tcPr>
            <w:tcW w:w="3740" w:type="dxa"/>
            <w:vAlign w:val="bottom"/>
          </w:tcPr>
          <w:p>
            <w:pPr>
              <w:spacing w:after="0"/>
              <w:rPr>
                <w:sz w:val="12"/>
                <w:szCs w:val="12"/>
                <w:color w:val="auto"/>
              </w:rPr>
            </w:pPr>
          </w:p>
        </w:tc>
        <w:tc>
          <w:tcPr>
            <w:tcW w:w="104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w w:val="96"/>
              </w:rPr>
              <w:t>Six</w:t>
            </w:r>
          </w:p>
        </w:tc>
        <w:tc>
          <w:tcPr>
            <w:tcW w:w="1060" w:type="dxa"/>
            <w:vAlign w:val="bottom"/>
            <w:gridSpan w:val="2"/>
            <w:vMerge w:val="restart"/>
          </w:tcPr>
          <w:p>
            <w:pPr>
              <w:jc w:val="center"/>
              <w:ind w:right="400"/>
              <w:spacing w:after="0"/>
              <w:rPr>
                <w:sz w:val="20"/>
                <w:szCs w:val="20"/>
                <w:color w:val="auto"/>
              </w:rPr>
            </w:pPr>
            <w:r>
              <w:rPr>
                <w:rFonts w:ascii="Times New Roman" w:cs="Times New Roman" w:eastAsia="Times New Roman" w:hAnsi="Times New Roman"/>
                <w:sz w:val="14"/>
                <w:szCs w:val="14"/>
                <w:color w:val="auto"/>
              </w:rPr>
              <w:t>Six months</w:t>
            </w:r>
          </w:p>
        </w:tc>
        <w:tc>
          <w:tcPr>
            <w:tcW w:w="1200" w:type="dxa"/>
            <w:vAlign w:val="bottom"/>
            <w:gridSpan w:val="2"/>
            <w:vMerge w:val="restart"/>
          </w:tcPr>
          <w:p>
            <w:pPr>
              <w:jc w:val="center"/>
              <w:ind w:right="400"/>
              <w:spacing w:after="0"/>
              <w:rPr>
                <w:sz w:val="20"/>
                <w:szCs w:val="20"/>
                <w:color w:val="auto"/>
              </w:rPr>
            </w:pPr>
            <w:r>
              <w:rPr>
                <w:rFonts w:ascii="Times New Roman" w:cs="Times New Roman" w:eastAsia="Times New Roman" w:hAnsi="Times New Roman"/>
                <w:sz w:val="14"/>
                <w:szCs w:val="14"/>
                <w:color w:val="auto"/>
                <w:w w:val="99"/>
              </w:rPr>
              <w:t>Year ended</w:t>
            </w:r>
          </w:p>
        </w:tc>
        <w:tc>
          <w:tcPr>
            <w:tcW w:w="104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Six</w:t>
            </w:r>
          </w:p>
        </w:tc>
        <w:tc>
          <w:tcPr>
            <w:tcW w:w="940" w:type="dxa"/>
            <w:vAlign w:val="bottom"/>
            <w:gridSpan w:val="2"/>
            <w:vMerge w:val="continue"/>
          </w:tcPr>
          <w:p>
            <w:pPr>
              <w:spacing w:after="0"/>
              <w:rPr>
                <w:sz w:val="12"/>
                <w:szCs w:val="12"/>
                <w:color w:val="auto"/>
              </w:rPr>
            </w:pP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Year ended</w:t>
            </w:r>
          </w:p>
        </w:tc>
        <w:tc>
          <w:tcPr>
            <w:tcW w:w="0" w:type="dxa"/>
            <w:vAlign w:val="bottom"/>
          </w:tcPr>
          <w:p>
            <w:pPr>
              <w:spacing w:after="0"/>
              <w:rPr>
                <w:sz w:val="1"/>
                <w:szCs w:val="1"/>
                <w:color w:val="auto"/>
              </w:rPr>
            </w:pPr>
          </w:p>
        </w:tc>
      </w:tr>
      <w:tr>
        <w:trPr>
          <w:trHeight w:val="148"/>
        </w:trPr>
        <w:tc>
          <w:tcPr>
            <w:tcW w:w="1180" w:type="dxa"/>
            <w:vAlign w:val="bottom"/>
          </w:tcPr>
          <w:p>
            <w:pPr>
              <w:spacing w:after="0"/>
              <w:rPr>
                <w:sz w:val="12"/>
                <w:szCs w:val="12"/>
                <w:color w:val="auto"/>
              </w:rPr>
            </w:pPr>
          </w:p>
        </w:tc>
        <w:tc>
          <w:tcPr>
            <w:tcW w:w="3740" w:type="dxa"/>
            <w:vAlign w:val="bottom"/>
          </w:tcPr>
          <w:p>
            <w:pPr>
              <w:spacing w:after="0"/>
              <w:rPr>
                <w:sz w:val="12"/>
                <w:szCs w:val="12"/>
                <w:color w:val="auto"/>
              </w:rPr>
            </w:pPr>
          </w:p>
        </w:tc>
        <w:tc>
          <w:tcPr>
            <w:tcW w:w="104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months to</w:t>
            </w:r>
          </w:p>
        </w:tc>
        <w:tc>
          <w:tcPr>
            <w:tcW w:w="1060" w:type="dxa"/>
            <w:vAlign w:val="bottom"/>
            <w:gridSpan w:val="2"/>
            <w:vMerge w:val="continue"/>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04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months to</w:t>
            </w:r>
          </w:p>
        </w:tc>
        <w:tc>
          <w:tcPr>
            <w:tcW w:w="94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color w:val="auto"/>
              </w:rPr>
              <w:t>months to</w:t>
            </w:r>
          </w:p>
        </w:tc>
        <w:tc>
          <w:tcPr>
            <w:tcW w:w="8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80" w:type="dxa"/>
            <w:vAlign w:val="bottom"/>
          </w:tcPr>
          <w:p>
            <w:pPr>
              <w:spacing w:after="0"/>
              <w:rPr>
                <w:sz w:val="12"/>
                <w:szCs w:val="12"/>
                <w:color w:val="auto"/>
              </w:rPr>
            </w:pPr>
          </w:p>
        </w:tc>
        <w:tc>
          <w:tcPr>
            <w:tcW w:w="3740" w:type="dxa"/>
            <w:vAlign w:val="bottom"/>
          </w:tcPr>
          <w:p>
            <w:pPr>
              <w:spacing w:after="0"/>
              <w:rPr>
                <w:sz w:val="12"/>
                <w:szCs w:val="12"/>
                <w:color w:val="auto"/>
              </w:rPr>
            </w:pPr>
          </w:p>
        </w:tc>
        <w:tc>
          <w:tcPr>
            <w:tcW w:w="104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June 30,</w:t>
            </w:r>
          </w:p>
        </w:tc>
        <w:tc>
          <w:tcPr>
            <w:tcW w:w="106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color w:val="auto"/>
              </w:rPr>
              <w:t>to June 30,</w:t>
            </w:r>
          </w:p>
        </w:tc>
        <w:tc>
          <w:tcPr>
            <w:tcW w:w="120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color w:val="auto"/>
              </w:rPr>
              <w:t>December 31,</w:t>
            </w:r>
          </w:p>
        </w:tc>
        <w:tc>
          <w:tcPr>
            <w:tcW w:w="104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June 30,</w:t>
            </w:r>
          </w:p>
        </w:tc>
        <w:tc>
          <w:tcPr>
            <w:tcW w:w="94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color w:val="auto"/>
              </w:rPr>
              <w:t>June 30,</w:t>
            </w:r>
          </w:p>
        </w:tc>
        <w:tc>
          <w:tcPr>
            <w:tcW w:w="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December 31,</w:t>
            </w:r>
          </w:p>
        </w:tc>
        <w:tc>
          <w:tcPr>
            <w:tcW w:w="0" w:type="dxa"/>
            <w:vAlign w:val="bottom"/>
          </w:tcPr>
          <w:p>
            <w:pPr>
              <w:spacing w:after="0"/>
              <w:rPr>
                <w:sz w:val="1"/>
                <w:szCs w:val="1"/>
                <w:color w:val="auto"/>
              </w:rPr>
            </w:pPr>
          </w:p>
        </w:tc>
      </w:tr>
      <w:tr>
        <w:trPr>
          <w:trHeight w:val="148"/>
        </w:trPr>
        <w:tc>
          <w:tcPr>
            <w:tcW w:w="1180" w:type="dxa"/>
            <w:vAlign w:val="bottom"/>
          </w:tcPr>
          <w:p>
            <w:pPr>
              <w:spacing w:after="0"/>
              <w:rPr>
                <w:sz w:val="12"/>
                <w:szCs w:val="12"/>
                <w:color w:val="auto"/>
              </w:rPr>
            </w:pPr>
          </w:p>
        </w:tc>
        <w:tc>
          <w:tcPr>
            <w:tcW w:w="4400" w:type="dxa"/>
            <w:vAlign w:val="bottom"/>
            <w:gridSpan w:val="2"/>
          </w:tcPr>
          <w:p>
            <w:pPr>
              <w:jc w:val="right"/>
              <w:ind w:right="106"/>
              <w:spacing w:after="0" w:line="149" w:lineRule="exact"/>
              <w:rPr>
                <w:sz w:val="20"/>
                <w:szCs w:val="20"/>
                <w:color w:val="auto"/>
              </w:rPr>
            </w:pPr>
            <w:r>
              <w:rPr>
                <w:rFonts w:ascii="Times New Roman" w:cs="Times New Roman" w:eastAsia="Times New Roman" w:hAnsi="Times New Roman"/>
                <w:sz w:val="14"/>
                <w:szCs w:val="14"/>
                <w:b w:val="1"/>
                <w:bCs w:val="1"/>
                <w:color w:val="auto"/>
              </w:rPr>
              <w:t>2020</w:t>
            </w:r>
          </w:p>
        </w:tc>
        <w:tc>
          <w:tcPr>
            <w:tcW w:w="380" w:type="dxa"/>
            <w:vAlign w:val="bottom"/>
          </w:tcPr>
          <w:p>
            <w:pPr>
              <w:spacing w:after="0"/>
              <w:rPr>
                <w:sz w:val="12"/>
                <w:szCs w:val="12"/>
                <w:color w:val="auto"/>
              </w:rPr>
            </w:pPr>
          </w:p>
        </w:tc>
        <w:tc>
          <w:tcPr>
            <w:tcW w:w="660" w:type="dxa"/>
            <w:vAlign w:val="bottom"/>
          </w:tcPr>
          <w:p>
            <w:pPr>
              <w:jc w:val="right"/>
              <w:ind w:right="105"/>
              <w:spacing w:after="0" w:line="149" w:lineRule="exact"/>
              <w:rPr>
                <w:sz w:val="20"/>
                <w:szCs w:val="20"/>
                <w:color w:val="auto"/>
              </w:rPr>
            </w:pPr>
            <w:r>
              <w:rPr>
                <w:rFonts w:ascii="Times New Roman" w:cs="Times New Roman" w:eastAsia="Times New Roman" w:hAnsi="Times New Roman"/>
                <w:sz w:val="14"/>
                <w:szCs w:val="14"/>
                <w:color w:val="auto"/>
              </w:rPr>
              <w:t>2019</w:t>
            </w:r>
          </w:p>
        </w:tc>
        <w:tc>
          <w:tcPr>
            <w:tcW w:w="400" w:type="dxa"/>
            <w:vAlign w:val="bottom"/>
          </w:tcPr>
          <w:p>
            <w:pPr>
              <w:spacing w:after="0"/>
              <w:rPr>
                <w:sz w:val="12"/>
                <w:szCs w:val="12"/>
                <w:color w:val="auto"/>
              </w:rPr>
            </w:pPr>
          </w:p>
        </w:tc>
        <w:tc>
          <w:tcPr>
            <w:tcW w:w="800" w:type="dxa"/>
            <w:vAlign w:val="bottom"/>
          </w:tcPr>
          <w:p>
            <w:pPr>
              <w:jc w:val="right"/>
              <w:ind w:right="185"/>
              <w:spacing w:after="0" w:line="149" w:lineRule="exact"/>
              <w:rPr>
                <w:sz w:val="20"/>
                <w:szCs w:val="20"/>
                <w:color w:val="auto"/>
              </w:rPr>
            </w:pPr>
            <w:r>
              <w:rPr>
                <w:rFonts w:ascii="Times New Roman" w:cs="Times New Roman" w:eastAsia="Times New Roman" w:hAnsi="Times New Roman"/>
                <w:sz w:val="14"/>
                <w:szCs w:val="14"/>
                <w:color w:val="auto"/>
              </w:rPr>
              <w:t>2019</w:t>
            </w:r>
          </w:p>
        </w:tc>
        <w:tc>
          <w:tcPr>
            <w:tcW w:w="400" w:type="dxa"/>
            <w:vAlign w:val="bottom"/>
          </w:tcPr>
          <w:p>
            <w:pPr>
              <w:spacing w:after="0"/>
              <w:rPr>
                <w:sz w:val="12"/>
                <w:szCs w:val="12"/>
                <w:color w:val="auto"/>
              </w:rPr>
            </w:pPr>
          </w:p>
        </w:tc>
        <w:tc>
          <w:tcPr>
            <w:tcW w:w="640" w:type="dxa"/>
            <w:vAlign w:val="bottom"/>
          </w:tcPr>
          <w:p>
            <w:pPr>
              <w:jc w:val="right"/>
              <w:ind w:right="106"/>
              <w:spacing w:after="0" w:line="149" w:lineRule="exact"/>
              <w:rPr>
                <w:sz w:val="20"/>
                <w:szCs w:val="20"/>
                <w:color w:val="auto"/>
              </w:rPr>
            </w:pPr>
            <w:r>
              <w:rPr>
                <w:rFonts w:ascii="Times New Roman" w:cs="Times New Roman" w:eastAsia="Times New Roman" w:hAnsi="Times New Roman"/>
                <w:sz w:val="14"/>
                <w:szCs w:val="14"/>
                <w:b w:val="1"/>
                <w:bCs w:val="1"/>
                <w:color w:val="auto"/>
              </w:rPr>
              <w:t>2020</w:t>
            </w:r>
          </w:p>
        </w:tc>
        <w:tc>
          <w:tcPr>
            <w:tcW w:w="400" w:type="dxa"/>
            <w:vAlign w:val="bottom"/>
          </w:tcPr>
          <w:p>
            <w:pPr>
              <w:spacing w:after="0"/>
              <w:rPr>
                <w:sz w:val="12"/>
                <w:szCs w:val="12"/>
                <w:color w:val="auto"/>
              </w:rPr>
            </w:pPr>
          </w:p>
        </w:tc>
        <w:tc>
          <w:tcPr>
            <w:tcW w:w="600" w:type="dxa"/>
            <w:vAlign w:val="bottom"/>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2019</w:t>
            </w:r>
          </w:p>
        </w:tc>
        <w:tc>
          <w:tcPr>
            <w:tcW w:w="340" w:type="dxa"/>
            <w:vAlign w:val="bottom"/>
          </w:tcPr>
          <w:p>
            <w:pPr>
              <w:spacing w:after="0"/>
              <w:rPr>
                <w:sz w:val="12"/>
                <w:szCs w:val="12"/>
                <w:color w:val="auto"/>
              </w:rPr>
            </w:pPr>
          </w:p>
        </w:tc>
        <w:tc>
          <w:tcPr>
            <w:tcW w:w="820" w:type="dxa"/>
            <w:vAlign w:val="bottom"/>
          </w:tcPr>
          <w:p>
            <w:pPr>
              <w:jc w:val="right"/>
              <w:ind w:right="188"/>
              <w:spacing w:after="0" w:line="149" w:lineRule="exact"/>
              <w:rPr>
                <w:sz w:val="20"/>
                <w:szCs w:val="20"/>
                <w:color w:val="auto"/>
              </w:rPr>
            </w:pPr>
            <w:r>
              <w:rPr>
                <w:rFonts w:ascii="Times New Roman" w:cs="Times New Roman" w:eastAsia="Times New Roman" w:hAnsi="Times New Roman"/>
                <w:sz w:val="14"/>
                <w:szCs w:val="14"/>
                <w:color w:val="auto"/>
              </w:rPr>
              <w:t>2019</w:t>
            </w:r>
          </w:p>
        </w:tc>
        <w:tc>
          <w:tcPr>
            <w:tcW w:w="0" w:type="dxa"/>
            <w:vAlign w:val="bottom"/>
          </w:tcPr>
          <w:p>
            <w:pPr>
              <w:spacing w:after="0"/>
              <w:rPr>
                <w:sz w:val="1"/>
                <w:szCs w:val="1"/>
                <w:color w:val="auto"/>
              </w:rPr>
            </w:pPr>
          </w:p>
        </w:tc>
      </w:tr>
      <w:tr>
        <w:trPr>
          <w:trHeight w:val="148"/>
        </w:trPr>
        <w:tc>
          <w:tcPr>
            <w:tcW w:w="11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Financial liabilities</w:t>
            </w:r>
          </w:p>
        </w:tc>
        <w:tc>
          <w:tcPr>
            <w:tcW w:w="3740" w:type="dxa"/>
            <w:vAlign w:val="bottom"/>
          </w:tcPr>
          <w:p>
            <w:pPr>
              <w:spacing w:after="0"/>
              <w:rPr>
                <w:sz w:val="12"/>
                <w:szCs w:val="12"/>
                <w:color w:val="auto"/>
              </w:rPr>
            </w:pPr>
          </w:p>
        </w:tc>
        <w:tc>
          <w:tcPr>
            <w:tcW w:w="104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106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color w:val="auto"/>
              </w:rPr>
              <w:t>Unaudited</w:t>
            </w:r>
          </w:p>
        </w:tc>
        <w:tc>
          <w:tcPr>
            <w:tcW w:w="120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color w:val="auto"/>
              </w:rPr>
              <w:t>Audited</w:t>
            </w:r>
          </w:p>
        </w:tc>
        <w:tc>
          <w:tcPr>
            <w:tcW w:w="104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94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color w:val="auto"/>
              </w:rPr>
              <w:t>Unaudited</w:t>
            </w:r>
          </w:p>
        </w:tc>
        <w:tc>
          <w:tcPr>
            <w:tcW w:w="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Audited</w:t>
            </w:r>
          </w:p>
        </w:tc>
        <w:tc>
          <w:tcPr>
            <w:tcW w:w="0" w:type="dxa"/>
            <w:vAlign w:val="bottom"/>
          </w:tcPr>
          <w:p>
            <w:pPr>
              <w:spacing w:after="0"/>
              <w:rPr>
                <w:sz w:val="1"/>
                <w:szCs w:val="1"/>
                <w:color w:val="auto"/>
              </w:rPr>
            </w:pPr>
          </w:p>
        </w:tc>
      </w:tr>
      <w:tr>
        <w:trPr>
          <w:trHeight w:val="180"/>
        </w:trPr>
        <w:tc>
          <w:tcPr>
            <w:tcW w:w="1180" w:type="dxa"/>
            <w:vAlign w:val="bottom"/>
            <w:tcBorders>
              <w:bottom w:val="single" w:sz="8" w:color="auto"/>
            </w:tcBorders>
            <w:vMerge w:val="continue"/>
          </w:tcPr>
          <w:p>
            <w:pPr>
              <w:spacing w:after="0"/>
              <w:rPr>
                <w:sz w:val="15"/>
                <w:szCs w:val="15"/>
                <w:color w:val="auto"/>
              </w:rPr>
            </w:pPr>
          </w:p>
        </w:tc>
        <w:tc>
          <w:tcPr>
            <w:tcW w:w="3740" w:type="dxa"/>
            <w:vAlign w:val="bottom"/>
          </w:tcPr>
          <w:p>
            <w:pPr>
              <w:spacing w:after="0"/>
              <w:rPr>
                <w:sz w:val="15"/>
                <w:szCs w:val="15"/>
                <w:color w:val="auto"/>
              </w:rPr>
            </w:pPr>
          </w:p>
        </w:tc>
        <w:tc>
          <w:tcPr>
            <w:tcW w:w="1040" w:type="dxa"/>
            <w:vAlign w:val="bottom"/>
            <w:gridSpan w:val="2"/>
          </w:tcPr>
          <w:p>
            <w:pPr>
              <w:jc w:val="center"/>
              <w:ind w:right="380"/>
              <w:spacing w:after="0" w:line="160" w:lineRule="exact"/>
              <w:rPr>
                <w:sz w:val="20"/>
                <w:szCs w:val="20"/>
                <w:color w:val="auto"/>
              </w:rPr>
            </w:pPr>
            <w:r>
              <w:rPr>
                <w:rFonts w:ascii="Times New Roman" w:cs="Times New Roman" w:eastAsia="Times New Roman" w:hAnsi="Times New Roman"/>
                <w:sz w:val="14"/>
                <w:szCs w:val="14"/>
                <w:b w:val="1"/>
                <w:bCs w:val="1"/>
                <w:color w:val="auto"/>
              </w:rPr>
              <w:t>£’000</w:t>
            </w:r>
          </w:p>
        </w:tc>
        <w:tc>
          <w:tcPr>
            <w:tcW w:w="1060" w:type="dxa"/>
            <w:vAlign w:val="bottom"/>
            <w:gridSpan w:val="2"/>
          </w:tcPr>
          <w:p>
            <w:pPr>
              <w:jc w:val="center"/>
              <w:ind w:right="400"/>
              <w:spacing w:after="0" w:line="160" w:lineRule="exact"/>
              <w:rPr>
                <w:sz w:val="20"/>
                <w:szCs w:val="20"/>
                <w:color w:val="auto"/>
              </w:rPr>
            </w:pPr>
            <w:r>
              <w:rPr>
                <w:rFonts w:ascii="Times New Roman" w:cs="Times New Roman" w:eastAsia="Times New Roman" w:hAnsi="Times New Roman"/>
                <w:sz w:val="14"/>
                <w:szCs w:val="14"/>
                <w:color w:val="auto"/>
              </w:rPr>
              <w:t>£’000</w:t>
            </w:r>
          </w:p>
        </w:tc>
        <w:tc>
          <w:tcPr>
            <w:tcW w:w="1200" w:type="dxa"/>
            <w:vAlign w:val="bottom"/>
            <w:gridSpan w:val="2"/>
          </w:tcPr>
          <w:p>
            <w:pPr>
              <w:jc w:val="center"/>
              <w:ind w:right="400"/>
              <w:spacing w:after="0" w:line="160" w:lineRule="exact"/>
              <w:rPr>
                <w:sz w:val="20"/>
                <w:szCs w:val="20"/>
                <w:color w:val="auto"/>
              </w:rPr>
            </w:pPr>
            <w:r>
              <w:rPr>
                <w:rFonts w:ascii="Times New Roman" w:cs="Times New Roman" w:eastAsia="Times New Roman" w:hAnsi="Times New Roman"/>
                <w:sz w:val="14"/>
                <w:szCs w:val="14"/>
                <w:color w:val="auto"/>
                <w:w w:val="97"/>
              </w:rPr>
              <w:t>£’000</w:t>
            </w:r>
          </w:p>
        </w:tc>
        <w:tc>
          <w:tcPr>
            <w:tcW w:w="1040" w:type="dxa"/>
            <w:vAlign w:val="bottom"/>
            <w:gridSpan w:val="2"/>
          </w:tcPr>
          <w:p>
            <w:pPr>
              <w:jc w:val="center"/>
              <w:ind w:right="400"/>
              <w:spacing w:after="0" w:line="160" w:lineRule="exact"/>
              <w:rPr>
                <w:sz w:val="20"/>
                <w:szCs w:val="20"/>
                <w:color w:val="auto"/>
              </w:rPr>
            </w:pPr>
            <w:r>
              <w:rPr>
                <w:rFonts w:ascii="Times New Roman" w:cs="Times New Roman" w:eastAsia="Times New Roman" w:hAnsi="Times New Roman"/>
                <w:sz w:val="14"/>
                <w:szCs w:val="14"/>
                <w:b w:val="1"/>
                <w:bCs w:val="1"/>
                <w:color w:val="auto"/>
                <w:w w:val="97"/>
              </w:rPr>
              <w:t>£’000</w:t>
            </w:r>
          </w:p>
        </w:tc>
        <w:tc>
          <w:tcPr>
            <w:tcW w:w="940" w:type="dxa"/>
            <w:vAlign w:val="bottom"/>
            <w:gridSpan w:val="2"/>
          </w:tcPr>
          <w:p>
            <w:pPr>
              <w:jc w:val="center"/>
              <w:ind w:right="340"/>
              <w:spacing w:after="0" w:line="160" w:lineRule="exact"/>
              <w:rPr>
                <w:sz w:val="20"/>
                <w:szCs w:val="20"/>
                <w:color w:val="auto"/>
              </w:rPr>
            </w:pPr>
            <w:r>
              <w:rPr>
                <w:rFonts w:ascii="Times New Roman" w:cs="Times New Roman" w:eastAsia="Times New Roman" w:hAnsi="Times New Roman"/>
                <w:sz w:val="14"/>
                <w:szCs w:val="14"/>
                <w:color w:val="auto"/>
                <w:w w:val="97"/>
              </w:rPr>
              <w:t>£’000</w:t>
            </w:r>
          </w:p>
        </w:tc>
        <w:tc>
          <w:tcPr>
            <w:tcW w:w="82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color w:val="auto"/>
              </w:rPr>
              <w:t>£’000</w:t>
            </w:r>
          </w:p>
        </w:tc>
        <w:tc>
          <w:tcPr>
            <w:tcW w:w="0" w:type="dxa"/>
            <w:vAlign w:val="bottom"/>
          </w:tcPr>
          <w:p>
            <w:pPr>
              <w:spacing w:after="0"/>
              <w:rPr>
                <w:sz w:val="1"/>
                <w:szCs w:val="1"/>
                <w:color w:val="auto"/>
              </w:rPr>
            </w:pPr>
          </w:p>
        </w:tc>
      </w:tr>
      <w:tr>
        <w:trPr>
          <w:trHeight w:val="203"/>
        </w:trPr>
        <w:tc>
          <w:tcPr>
            <w:tcW w:w="1180" w:type="dxa"/>
            <w:vAlign w:val="bottom"/>
            <w:tcBorders>
              <w:top w:val="single" w:sz="8" w:color="CCEEFF"/>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Loan Notes</w:t>
            </w:r>
          </w:p>
        </w:tc>
        <w:tc>
          <w:tcPr>
            <w:tcW w:w="374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11,565</w:t>
            </w:r>
          </w:p>
        </w:tc>
        <w:tc>
          <w:tcPr>
            <w:tcW w:w="38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ind w:left="400"/>
              <w:spacing w:after="0" w:line="203" w:lineRule="exact"/>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ind w:left="540"/>
              <w:spacing w:after="0" w:line="203" w:lineRule="exact"/>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13,114</w:t>
            </w:r>
          </w:p>
        </w:tc>
        <w:tc>
          <w:tcPr>
            <w:tcW w:w="40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movements for level 3 instruments during the period are detailed in the table below:</w:t>
      </w:r>
    </w:p>
    <w:p>
      <w:pPr>
        <w:spacing w:after="0" w:line="15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024"/>
          </w:cols>
          <w:pgMar w:left="436" w:top="270" w:right="439" w:bottom="1440" w:gutter="0" w:footer="0" w:header="0"/>
        </w:sectPr>
      </w:pPr>
    </w:p>
    <w:bookmarkStart w:id="38" w:name="page39"/>
    <w:bookmarkEnd w:id="38"/>
    <w:tbl>
      <w:tblPr>
        <w:tblLayout w:type="fixed"/>
        <w:tblInd w:w="880" w:type="dxa"/>
        <w:tblCellMar>
          <w:top w:w="0" w:type="dxa"/>
          <w:left w:w="0" w:type="dxa"/>
          <w:bottom w:w="0" w:type="dxa"/>
          <w:right w:w="0" w:type="dxa"/>
        </w:tblCellMar>
      </w:tblPr>
      <w:tr>
        <w:trPr>
          <w:trHeight w:val="161"/>
        </w:trPr>
        <w:tc>
          <w:tcPr>
            <w:tcW w:w="400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11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Provision for</w:t>
            </w:r>
          </w:p>
        </w:tc>
        <w:tc>
          <w:tcPr>
            <w:tcW w:w="220" w:type="dxa"/>
            <w:vAlign w:val="bottom"/>
          </w:tcPr>
          <w:p>
            <w:pPr>
              <w:spacing w:after="0"/>
              <w:rPr>
                <w:sz w:val="13"/>
                <w:szCs w:val="13"/>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Provision for</w:t>
            </w:r>
          </w:p>
        </w:tc>
        <w:tc>
          <w:tcPr>
            <w:tcW w:w="5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00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12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contingent</w:t>
            </w:r>
          </w:p>
        </w:tc>
        <w:tc>
          <w:tcPr>
            <w:tcW w:w="22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deferred</w:t>
            </w:r>
          </w:p>
        </w:tc>
        <w:tc>
          <w:tcPr>
            <w:tcW w:w="540" w:type="dxa"/>
            <w:vAlign w:val="bottom"/>
          </w:tcPr>
          <w:p>
            <w:pPr>
              <w:spacing w:after="0"/>
              <w:rPr>
                <w:sz w:val="12"/>
                <w:szCs w:val="12"/>
                <w:color w:val="auto"/>
              </w:rPr>
            </w:pPr>
          </w:p>
        </w:tc>
        <w:tc>
          <w:tcPr>
            <w:tcW w:w="6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Warrant</w:t>
            </w:r>
          </w:p>
        </w:tc>
        <w:tc>
          <w:tcPr>
            <w:tcW w:w="0" w:type="dxa"/>
            <w:vAlign w:val="bottom"/>
          </w:tcPr>
          <w:p>
            <w:pPr>
              <w:spacing w:after="0"/>
              <w:rPr>
                <w:sz w:val="1"/>
                <w:szCs w:val="1"/>
                <w:color w:val="auto"/>
              </w:rPr>
            </w:pPr>
          </w:p>
        </w:tc>
      </w:tr>
      <w:tr>
        <w:trPr>
          <w:trHeight w:val="148"/>
        </w:trPr>
        <w:tc>
          <w:tcPr>
            <w:tcW w:w="4000" w:type="dxa"/>
            <w:vAlign w:val="bottom"/>
          </w:tcPr>
          <w:p>
            <w:pPr>
              <w:spacing w:after="0"/>
              <w:rPr>
                <w:sz w:val="12"/>
                <w:szCs w:val="12"/>
                <w:color w:val="auto"/>
              </w:rPr>
            </w:pPr>
          </w:p>
        </w:tc>
        <w:tc>
          <w:tcPr>
            <w:tcW w:w="3040" w:type="dxa"/>
            <w:vAlign w:val="bottom"/>
            <w:gridSpan w:val="3"/>
          </w:tcPr>
          <w:p>
            <w:pPr>
              <w:jc w:val="center"/>
              <w:ind w:left="1539"/>
              <w:spacing w:after="0" w:line="149" w:lineRule="exact"/>
              <w:rPr>
                <w:sz w:val="20"/>
                <w:szCs w:val="20"/>
                <w:color w:val="auto"/>
              </w:rPr>
            </w:pPr>
            <w:r>
              <w:rPr>
                <w:rFonts w:ascii="Times New Roman" w:cs="Times New Roman" w:eastAsia="Times New Roman" w:hAnsi="Times New Roman"/>
                <w:sz w:val="14"/>
                <w:szCs w:val="14"/>
                <w:b w:val="1"/>
                <w:bCs w:val="1"/>
                <w:color w:val="auto"/>
              </w:rPr>
              <w:t>consideration</w:t>
            </w:r>
          </w:p>
        </w:tc>
        <w:tc>
          <w:tcPr>
            <w:tcW w:w="1060" w:type="dxa"/>
            <w:vAlign w:val="bottom"/>
            <w:gridSpan w:val="2"/>
          </w:tcPr>
          <w:p>
            <w:pPr>
              <w:jc w:val="center"/>
              <w:ind w:left="139"/>
              <w:spacing w:after="0" w:line="149" w:lineRule="exact"/>
              <w:rPr>
                <w:sz w:val="20"/>
                <w:szCs w:val="20"/>
                <w:color w:val="auto"/>
              </w:rPr>
            </w:pPr>
            <w:r>
              <w:rPr>
                <w:rFonts w:ascii="Times New Roman" w:cs="Times New Roman" w:eastAsia="Times New Roman" w:hAnsi="Times New Roman"/>
                <w:sz w:val="14"/>
                <w:szCs w:val="14"/>
                <w:b w:val="1"/>
                <w:bCs w:val="1"/>
                <w:color w:val="auto"/>
              </w:rPr>
              <w:t>consideration</w:t>
            </w:r>
          </w:p>
        </w:tc>
        <w:tc>
          <w:tcPr>
            <w:tcW w:w="540" w:type="dxa"/>
            <w:vAlign w:val="bottom"/>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00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11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£’000</w:t>
            </w:r>
          </w:p>
        </w:tc>
        <w:tc>
          <w:tcPr>
            <w:tcW w:w="220" w:type="dxa"/>
            <w:vAlign w:val="bottom"/>
          </w:tcPr>
          <w:p>
            <w:pPr>
              <w:spacing w:after="0"/>
              <w:rPr>
                <w:sz w:val="15"/>
                <w:szCs w:val="15"/>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£’000</w:t>
            </w:r>
          </w:p>
        </w:tc>
        <w:tc>
          <w:tcPr>
            <w:tcW w:w="540" w:type="dxa"/>
            <w:vAlign w:val="bottom"/>
          </w:tcPr>
          <w:p>
            <w:pPr>
              <w:spacing w:after="0"/>
              <w:rPr>
                <w:sz w:val="15"/>
                <w:szCs w:val="15"/>
                <w:color w:val="auto"/>
              </w:rPr>
            </w:pP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£’000</w:t>
            </w:r>
          </w:p>
        </w:tc>
        <w:tc>
          <w:tcPr>
            <w:tcW w:w="0" w:type="dxa"/>
            <w:vAlign w:val="bottom"/>
          </w:tcPr>
          <w:p>
            <w:pPr>
              <w:spacing w:after="0"/>
              <w:rPr>
                <w:sz w:val="1"/>
                <w:szCs w:val="1"/>
                <w:color w:val="auto"/>
              </w:rPr>
            </w:pPr>
          </w:p>
        </w:tc>
      </w:tr>
      <w:tr>
        <w:trPr>
          <w:trHeight w:val="210"/>
        </w:trPr>
        <w:tc>
          <w:tcPr>
            <w:tcW w:w="40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At beginning of period</w:t>
            </w:r>
          </w:p>
        </w:tc>
        <w:tc>
          <w:tcPr>
            <w:tcW w:w="19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8"/>
                <w:szCs w:val="18"/>
                <w:b w:val="1"/>
                <w:bCs w:val="1"/>
                <w:color w:val="auto"/>
                <w:w w:val="96"/>
              </w:rPr>
              <w:t>354</w:t>
            </w: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1654</w:t>
            </w:r>
          </w:p>
        </w:tc>
        <w:tc>
          <w:tcPr>
            <w:tcW w:w="54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Arising during the period</w:t>
            </w:r>
          </w:p>
        </w:tc>
        <w:tc>
          <w:tcPr>
            <w:tcW w:w="1920" w:type="dxa"/>
            <w:vAlign w:val="bottom"/>
          </w:tcPr>
          <w:p>
            <w:pPr>
              <w:spacing w:after="0"/>
              <w:rPr>
                <w:sz w:val="18"/>
                <w:szCs w:val="18"/>
                <w:color w:val="auto"/>
              </w:rPr>
            </w:pPr>
          </w:p>
        </w:tc>
        <w:tc>
          <w:tcPr>
            <w:tcW w:w="1120" w:type="dxa"/>
            <w:vAlign w:val="bottom"/>
            <w:gridSpan w:val="2"/>
          </w:tcPr>
          <w:p>
            <w:pPr>
              <w:ind w:left="56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44</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4,080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Movement during the period</w:t>
            </w:r>
          </w:p>
        </w:tc>
        <w:tc>
          <w:tcPr>
            <w:tcW w:w="30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(354)</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31,493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At end of year/period</w:t>
            </w:r>
          </w:p>
        </w:tc>
        <w:tc>
          <w:tcPr>
            <w:tcW w:w="1920" w:type="dxa"/>
            <w:vAlign w:val="bottom"/>
          </w:tcPr>
          <w:p>
            <w:pPr>
              <w:spacing w:after="0"/>
              <w:rPr>
                <w:sz w:val="19"/>
                <w:szCs w:val="19"/>
                <w:color w:val="auto"/>
              </w:rPr>
            </w:pPr>
          </w:p>
        </w:tc>
        <w:tc>
          <w:tcPr>
            <w:tcW w:w="840" w:type="dxa"/>
            <w:vAlign w:val="bottom"/>
            <w:tcBorders>
              <w:top w:val="single" w:sz="8" w:color="auto"/>
              <w:bottom w:val="single" w:sz="8" w:color="auto"/>
            </w:tcBorders>
          </w:tcPr>
          <w:p>
            <w:pPr>
              <w:ind w:left="560"/>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1,698</w:t>
            </w:r>
          </w:p>
        </w:tc>
        <w:tc>
          <w:tcPr>
            <w:tcW w:w="54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35,573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p>
      <w:pPr>
        <w:ind w:right="100"/>
        <w:spacing w:after="0" w:line="282" w:lineRule="auto"/>
        <w:rPr>
          <w:sz w:val="20"/>
          <w:szCs w:val="20"/>
          <w:color w:val="auto"/>
        </w:rPr>
      </w:pPr>
      <w:r>
        <w:rPr>
          <w:rFonts w:ascii="Times New Roman" w:cs="Times New Roman" w:eastAsia="Times New Roman" w:hAnsi="Times New Roman"/>
          <w:sz w:val="18"/>
          <w:szCs w:val="18"/>
          <w:color w:val="auto"/>
        </w:rPr>
        <w:t>The Warrant liability is estimated using a Black Scholes model, taking into account appropriate amendments to inputs in respect of volatility, remaining expected life of the warrants, cost of capital, probability of success and rates of interest at each reporting date.</w:t>
      </w:r>
    </w:p>
    <w:p>
      <w:pPr>
        <w:spacing w:after="0" w:line="162"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The fair value of the provision for deferred cash consideration is estimated by discounting future cash flows using rates currently available for debt on similar terms and credit risk. In addition to being sensitive to a reasonably possible change in the forecast cash flows or the discount rate, the fair value of the deferred cash consideration is also sensitive to a reasonably possible change in the probability of reaching certain milestones. The valuation requires management to use unobservable inputs in the</w:t>
      </w:r>
    </w:p>
    <w:p>
      <w:pPr>
        <w:spacing w:after="0" w:line="72"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model, of which the significant unobservable inputs are disclosed in the tables below. Management regularly assesses a range of reasonably possible alternatives for those significant unobservable inputs and determines their impact on the total fair value.</w:t>
      </w:r>
    </w:p>
    <w:p>
      <w:pPr>
        <w:spacing w:after="0" w:line="162" w:lineRule="exact"/>
        <w:rPr>
          <w:sz w:val="20"/>
          <w:szCs w:val="20"/>
          <w:color w:val="auto"/>
        </w:rPr>
      </w:pPr>
    </w:p>
    <w:p>
      <w:pPr>
        <w:ind w:right="220"/>
        <w:spacing w:after="0" w:line="281" w:lineRule="auto"/>
        <w:rPr>
          <w:sz w:val="20"/>
          <w:szCs w:val="20"/>
          <w:color w:val="auto"/>
        </w:rPr>
      </w:pPr>
      <w:r>
        <w:rPr>
          <w:rFonts w:ascii="Times New Roman" w:cs="Times New Roman" w:eastAsia="Times New Roman" w:hAnsi="Times New Roman"/>
          <w:sz w:val="17"/>
          <w:szCs w:val="17"/>
          <w:color w:val="auto"/>
        </w:rPr>
        <w:t>At June 30, 2020, the Group estimates the fair value of the contingent consideration liability to be £nil. An amount of £354,000 was paid during the period relating to the Navi milestone received. The estimated contingent consideration payable is based on a risk-adjusted, probability-based scenario. Under this approach the likelihood of future payments being made to the former shareholders of OncoMed under the CVR arrangement is considered. The estimate could materially change over time as the development plan and subsequent commercialization of the Navi product progresses.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Valuation</w:t>
            </w:r>
          </w:p>
        </w:tc>
        <w:tc>
          <w:tcPr>
            <w:tcW w:w="120" w:type="dxa"/>
            <w:vAlign w:val="bottom"/>
          </w:tcPr>
          <w:p>
            <w:pPr>
              <w:spacing w:after="0"/>
              <w:rPr>
                <w:sz w:val="13"/>
                <w:szCs w:val="13"/>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380" w:type="dxa"/>
            <w:vAlign w:val="bottom"/>
          </w:tcPr>
          <w:p>
            <w:pPr>
              <w:spacing w:after="0"/>
              <w:rPr>
                <w:sz w:val="13"/>
                <w:szCs w:val="13"/>
                <w:color w:val="auto"/>
              </w:rPr>
            </w:pPr>
          </w:p>
        </w:tc>
        <w:tc>
          <w:tcPr>
            <w:tcW w:w="1380" w:type="dxa"/>
            <w:vAlign w:val="bottom"/>
          </w:tcPr>
          <w:p>
            <w:pPr>
              <w:jc w:val="center"/>
              <w:ind w:left="88"/>
              <w:spacing w:after="0"/>
              <w:rPr>
                <w:sz w:val="20"/>
                <w:szCs w:val="20"/>
                <w:color w:val="auto"/>
              </w:rPr>
            </w:pPr>
            <w:r>
              <w:rPr>
                <w:rFonts w:ascii="Times New Roman" w:cs="Times New Roman" w:eastAsia="Times New Roman" w:hAnsi="Times New Roman"/>
                <w:sz w:val="14"/>
                <w:szCs w:val="14"/>
                <w:b w:val="1"/>
                <w:bCs w:val="1"/>
                <w:color w:val="auto"/>
              </w:rPr>
              <w:t>Input range</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6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380" w:type="dxa"/>
            <w:vAlign w:val="bottom"/>
          </w:tcPr>
          <w:p>
            <w:pPr>
              <w:spacing w:after="0"/>
              <w:rPr>
                <w:sz w:val="12"/>
                <w:szCs w:val="12"/>
                <w:color w:val="auto"/>
              </w:rPr>
            </w:pPr>
          </w:p>
        </w:tc>
        <w:tc>
          <w:tcPr>
            <w:tcW w:w="1380" w:type="dxa"/>
            <w:vAlign w:val="bottom"/>
          </w:tcPr>
          <w:p>
            <w:pPr>
              <w:jc w:val="center"/>
              <w:ind w:left="68"/>
              <w:spacing w:after="0" w:line="149"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0" w:type="dxa"/>
            <w:vAlign w:val="bottom"/>
            <w:vMerge w:val="restart"/>
          </w:tcPr>
          <w:p>
            <w:pPr>
              <w:ind w:left="1620"/>
              <w:spacing w:after="0"/>
              <w:rPr>
                <w:sz w:val="20"/>
                <w:szCs w:val="20"/>
                <w:color w:val="auto"/>
              </w:rPr>
            </w:pPr>
            <w:r>
              <w:rPr>
                <w:rFonts w:ascii="Times New Roman" w:cs="Times New Roman" w:eastAsia="Times New Roman" w:hAnsi="Times New Roman"/>
                <w:sz w:val="14"/>
                <w:szCs w:val="14"/>
                <w:b w:val="1"/>
                <w:bCs w:val="1"/>
                <w:color w:val="auto"/>
              </w:rPr>
              <w:t>Sensitivity of the input to fair value</w:t>
            </w:r>
          </w:p>
        </w:tc>
        <w:tc>
          <w:tcPr>
            <w:tcW w:w="0" w:type="dxa"/>
            <w:vAlign w:val="bottom"/>
          </w:tcPr>
          <w:p>
            <w:pPr>
              <w:spacing w:after="0"/>
              <w:rPr>
                <w:sz w:val="1"/>
                <w:szCs w:val="1"/>
                <w:color w:val="auto"/>
              </w:rPr>
            </w:pPr>
          </w:p>
        </w:tc>
      </w:tr>
      <w:tr>
        <w:trPr>
          <w:trHeight w:val="187"/>
        </w:trPr>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technique</w:t>
            </w:r>
          </w:p>
        </w:tc>
        <w:tc>
          <w:tcPr>
            <w:tcW w:w="120" w:type="dxa"/>
            <w:vAlign w:val="bottom"/>
          </w:tcPr>
          <w:p>
            <w:pPr>
              <w:spacing w:after="0"/>
              <w:rPr>
                <w:sz w:val="16"/>
                <w:szCs w:val="16"/>
                <w:color w:val="auto"/>
              </w:rPr>
            </w:pPr>
          </w:p>
        </w:tc>
        <w:tc>
          <w:tcPr>
            <w:tcW w:w="1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inputs</w:t>
            </w:r>
          </w:p>
        </w:tc>
        <w:tc>
          <w:tcPr>
            <w:tcW w:w="380" w:type="dxa"/>
            <w:vAlign w:val="bottom"/>
          </w:tcPr>
          <w:p>
            <w:pPr>
              <w:spacing w:after="0"/>
              <w:rPr>
                <w:sz w:val="16"/>
                <w:szCs w:val="16"/>
                <w:color w:val="auto"/>
              </w:rPr>
            </w:pPr>
          </w:p>
        </w:tc>
        <w:tc>
          <w:tcPr>
            <w:tcW w:w="1380" w:type="dxa"/>
            <w:vAlign w:val="bottom"/>
            <w:tcBorders>
              <w:bottom w:val="single" w:sz="8" w:color="auto"/>
            </w:tcBorders>
          </w:tcPr>
          <w:p>
            <w:pPr>
              <w:jc w:val="center"/>
              <w:ind w:left="88"/>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54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8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w:t>
            </w:r>
          </w:p>
        </w:tc>
        <w:tc>
          <w:tcPr>
            <w:tcW w:w="7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DCF</w:t>
            </w:r>
          </w:p>
        </w:tc>
        <w:tc>
          <w:tcPr>
            <w:tcW w:w="17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WACC</w:t>
            </w:r>
          </w:p>
        </w:tc>
        <w:tc>
          <w:tcPr>
            <w:tcW w:w="176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2020: 15.3%</w:t>
            </w:r>
          </w:p>
        </w:tc>
        <w:tc>
          <w:tcPr>
            <w:tcW w:w="160" w:type="dxa"/>
            <w:vAlign w:val="bottom"/>
          </w:tcPr>
          <w:p>
            <w:pPr>
              <w:spacing w:after="0"/>
              <w:rPr>
                <w:sz w:val="24"/>
                <w:szCs w:val="24"/>
                <w:color w:val="auto"/>
              </w:rPr>
            </w:pPr>
          </w:p>
        </w:tc>
        <w:tc>
          <w:tcPr>
            <w:tcW w:w="55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1% increase would result in a decrease in fair value by £33,000.</w:t>
            </w:r>
          </w:p>
        </w:tc>
        <w:tc>
          <w:tcPr>
            <w:tcW w:w="0" w:type="dxa"/>
            <w:vAlign w:val="bottom"/>
          </w:tcPr>
          <w:p>
            <w:pPr>
              <w:spacing w:after="0"/>
              <w:rPr>
                <w:sz w:val="1"/>
                <w:szCs w:val="1"/>
                <w:color w:val="auto"/>
              </w:rPr>
            </w:pP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deferred cash</w:t>
            </w: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consideration</w:t>
            </w: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7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WACC</w:t>
            </w:r>
          </w:p>
        </w:tc>
        <w:tc>
          <w:tcPr>
            <w:tcW w:w="176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2019: 15.3%</w:t>
            </w:r>
          </w:p>
        </w:tc>
        <w:tc>
          <w:tcPr>
            <w:tcW w:w="160" w:type="dxa"/>
            <w:vAlign w:val="bottom"/>
          </w:tcPr>
          <w:p>
            <w:pPr>
              <w:spacing w:after="0"/>
              <w:rPr>
                <w:sz w:val="24"/>
                <w:szCs w:val="24"/>
                <w:color w:val="auto"/>
              </w:rPr>
            </w:pPr>
          </w:p>
        </w:tc>
        <w:tc>
          <w:tcPr>
            <w:tcW w:w="55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1% decrease would result in an increase in fair value by £38,000</w:t>
            </w:r>
          </w:p>
        </w:tc>
        <w:tc>
          <w:tcPr>
            <w:tcW w:w="0" w:type="dxa"/>
            <w:vAlign w:val="bottom"/>
          </w:tcPr>
          <w:p>
            <w:pPr>
              <w:spacing w:after="0"/>
              <w:rPr>
                <w:sz w:val="1"/>
                <w:szCs w:val="1"/>
                <w:color w:val="auto"/>
              </w:rPr>
            </w:pPr>
          </w:p>
        </w:tc>
      </w:tr>
      <w:tr>
        <w:trPr>
          <w:trHeight w:val="324"/>
        </w:trPr>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7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Probability of success</w:t>
            </w:r>
          </w:p>
        </w:tc>
        <w:tc>
          <w:tcPr>
            <w:tcW w:w="176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2020: 15.8%–95%</w:t>
            </w:r>
          </w:p>
        </w:tc>
        <w:tc>
          <w:tcPr>
            <w:tcW w:w="160" w:type="dxa"/>
            <w:vAlign w:val="bottom"/>
          </w:tcPr>
          <w:p>
            <w:pPr>
              <w:spacing w:after="0"/>
              <w:rPr>
                <w:sz w:val="24"/>
                <w:szCs w:val="24"/>
                <w:color w:val="auto"/>
              </w:rPr>
            </w:pPr>
          </w:p>
        </w:tc>
        <w:tc>
          <w:tcPr>
            <w:tcW w:w="55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10% increase would result in an increase in fair value by £0.3 million</w:t>
            </w:r>
          </w:p>
        </w:tc>
        <w:tc>
          <w:tcPr>
            <w:tcW w:w="0" w:type="dxa"/>
            <w:vAlign w:val="bottom"/>
          </w:tcPr>
          <w:p>
            <w:pPr>
              <w:spacing w:after="0"/>
              <w:rPr>
                <w:sz w:val="1"/>
                <w:szCs w:val="1"/>
                <w:color w:val="auto"/>
              </w:rPr>
            </w:pPr>
          </w:p>
        </w:tc>
      </w:tr>
      <w:tr>
        <w:trPr>
          <w:trHeight w:val="324"/>
        </w:trPr>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7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Probability of success</w:t>
            </w:r>
          </w:p>
        </w:tc>
        <w:tc>
          <w:tcPr>
            <w:tcW w:w="176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2019: 15.8%–95%</w:t>
            </w:r>
          </w:p>
        </w:tc>
        <w:tc>
          <w:tcPr>
            <w:tcW w:w="160" w:type="dxa"/>
            <w:vAlign w:val="bottom"/>
          </w:tcPr>
          <w:p>
            <w:pPr>
              <w:spacing w:after="0"/>
              <w:rPr>
                <w:sz w:val="24"/>
                <w:szCs w:val="24"/>
                <w:color w:val="auto"/>
              </w:rPr>
            </w:pPr>
          </w:p>
        </w:tc>
        <w:tc>
          <w:tcPr>
            <w:tcW w:w="55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10% decrease would result in a decrease in fair value by £0.4 million</w:t>
            </w:r>
          </w:p>
        </w:tc>
        <w:tc>
          <w:tcPr>
            <w:tcW w:w="0" w:type="dxa"/>
            <w:vAlign w:val="bottom"/>
          </w:tcPr>
          <w:p>
            <w:pPr>
              <w:spacing w:after="0"/>
              <w:rPr>
                <w:sz w:val="1"/>
                <w:szCs w:val="1"/>
                <w:color w:val="auto"/>
              </w:rPr>
            </w:pPr>
          </w:p>
        </w:tc>
      </w:tr>
      <w:tr>
        <w:trPr>
          <w:trHeight w:val="30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Contingent</w:t>
            </w:r>
          </w:p>
        </w:tc>
        <w:tc>
          <w:tcPr>
            <w:tcW w:w="7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DCF</w:t>
            </w:r>
          </w:p>
        </w:tc>
        <w:tc>
          <w:tcPr>
            <w:tcW w:w="17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Ongoing uncertainty</w:t>
            </w:r>
          </w:p>
        </w:tc>
        <w:tc>
          <w:tcPr>
            <w:tcW w:w="176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Not applicable</w:t>
            </w:r>
          </w:p>
        </w:tc>
        <w:tc>
          <w:tcPr>
            <w:tcW w:w="160" w:type="dxa"/>
            <w:vAlign w:val="bottom"/>
          </w:tcPr>
          <w:p>
            <w:pPr>
              <w:spacing w:after="0"/>
              <w:rPr>
                <w:sz w:val="24"/>
                <w:szCs w:val="24"/>
                <w:color w:val="auto"/>
              </w:rPr>
            </w:pPr>
          </w:p>
        </w:tc>
        <w:tc>
          <w:tcPr>
            <w:tcW w:w="55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Total potential payments future payments relating to the contingent</w:t>
            </w:r>
          </w:p>
        </w:tc>
        <w:tc>
          <w:tcPr>
            <w:tcW w:w="0" w:type="dxa"/>
            <w:vAlign w:val="bottom"/>
          </w:tcPr>
          <w:p>
            <w:pPr>
              <w:spacing w:after="0"/>
              <w:rPr>
                <w:sz w:val="1"/>
                <w:szCs w:val="1"/>
                <w:color w:val="auto"/>
              </w:rPr>
            </w:pP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consideration</w:t>
            </w: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7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in the clinical</w:t>
            </w:r>
          </w:p>
        </w:tc>
        <w:tc>
          <w:tcPr>
            <w:tcW w:w="3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5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consideration liability on a gross, undiscounted basis are approximately</w:t>
            </w:r>
          </w:p>
        </w:tc>
        <w:tc>
          <w:tcPr>
            <w:tcW w:w="0" w:type="dxa"/>
            <w:vAlign w:val="bottom"/>
          </w:tcPr>
          <w:p>
            <w:pPr>
              <w:spacing w:after="0"/>
              <w:rPr>
                <w:sz w:val="1"/>
                <w:szCs w:val="1"/>
                <w:color w:val="auto"/>
              </w:rPr>
            </w:pP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liability</w:t>
            </w: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7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development of the</w:t>
            </w:r>
          </w:p>
        </w:tc>
        <w:tc>
          <w:tcPr>
            <w:tcW w:w="3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5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$80.0 million.</w:t>
            </w: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7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Navi product.</w:t>
            </w:r>
          </w:p>
        </w:tc>
        <w:tc>
          <w:tcPr>
            <w:tcW w:w="3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5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Sensitivity of the input to fair value is primarily driven by uncertainty in</w:t>
            </w: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7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8"/>
                <w:szCs w:val="18"/>
                <w:color w:val="auto"/>
              </w:rPr>
              <w:t>Regulatory approval</w:t>
            </w:r>
          </w:p>
        </w:tc>
        <w:tc>
          <w:tcPr>
            <w:tcW w:w="3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5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the clinical development of the Navi product. Future potential payments</w:t>
            </w:r>
          </w:p>
        </w:tc>
        <w:tc>
          <w:tcPr>
            <w:tcW w:w="0" w:type="dxa"/>
            <w:vAlign w:val="bottom"/>
          </w:tcPr>
          <w:p>
            <w:pPr>
              <w:spacing w:after="0"/>
              <w:rPr>
                <w:sz w:val="1"/>
                <w:szCs w:val="1"/>
                <w:color w:val="auto"/>
              </w:rPr>
            </w:pPr>
          </w:p>
        </w:tc>
      </w:tr>
      <w:tr>
        <w:trPr>
          <w:trHeight w:val="121"/>
        </w:trPr>
        <w:tc>
          <w:tcPr>
            <w:tcW w:w="10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760" w:type="dxa"/>
            <w:vAlign w:val="bottom"/>
            <w:gridSpan w:val="2"/>
            <w:vMerge w:val="continue"/>
          </w:tcPr>
          <w:p>
            <w:pPr>
              <w:spacing w:after="0"/>
              <w:rPr>
                <w:sz w:val="10"/>
                <w:szCs w:val="10"/>
                <w:color w:val="auto"/>
              </w:rPr>
            </w:pPr>
          </w:p>
        </w:tc>
        <w:tc>
          <w:tcPr>
            <w:tcW w:w="38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5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color w:val="auto"/>
              </w:rPr>
              <w:t>under the CVR arrangement are contingent on i) future development</w:t>
            </w:r>
          </w:p>
        </w:tc>
        <w:tc>
          <w:tcPr>
            <w:tcW w:w="0" w:type="dxa"/>
            <w:vAlign w:val="bottom"/>
          </w:tcPr>
          <w:p>
            <w:pPr>
              <w:spacing w:after="0"/>
              <w:rPr>
                <w:sz w:val="1"/>
                <w:szCs w:val="1"/>
                <w:color w:val="auto"/>
              </w:rPr>
            </w:pPr>
          </w:p>
        </w:tc>
      </w:tr>
      <w:tr>
        <w:trPr>
          <w:trHeight w:val="95"/>
        </w:trPr>
        <w:tc>
          <w:tcPr>
            <w:tcW w:w="10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7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8"/>
                <w:szCs w:val="18"/>
                <w:color w:val="auto"/>
                <w:w w:val="99"/>
              </w:rPr>
              <w:t>and commercialisation</w:t>
            </w:r>
          </w:p>
        </w:tc>
        <w:tc>
          <w:tcPr>
            <w:tcW w:w="380" w:type="dxa"/>
            <w:vAlign w:val="bottom"/>
          </w:tcPr>
          <w:p>
            <w:pPr>
              <w:spacing w:after="0"/>
              <w:rPr>
                <w:sz w:val="8"/>
                <w:szCs w:val="8"/>
                <w:color w:val="auto"/>
              </w:rPr>
            </w:pPr>
          </w:p>
        </w:tc>
        <w:tc>
          <w:tcPr>
            <w:tcW w:w="13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5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10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760" w:type="dxa"/>
            <w:vAlign w:val="bottom"/>
            <w:gridSpan w:val="2"/>
            <w:vMerge w:val="continue"/>
          </w:tcPr>
          <w:p>
            <w:pPr>
              <w:spacing w:after="0"/>
              <w:rPr>
                <w:sz w:val="10"/>
                <w:szCs w:val="10"/>
                <w:color w:val="auto"/>
              </w:rPr>
            </w:pPr>
          </w:p>
        </w:tc>
        <w:tc>
          <w:tcPr>
            <w:tcW w:w="38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5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color w:val="auto"/>
              </w:rPr>
              <w:t>milestones and ii) future sales of the Navi product, following regulatory</w:t>
            </w:r>
          </w:p>
        </w:tc>
        <w:tc>
          <w:tcPr>
            <w:tcW w:w="0" w:type="dxa"/>
            <w:vAlign w:val="bottom"/>
          </w:tcPr>
          <w:p>
            <w:pPr>
              <w:spacing w:after="0"/>
              <w:rPr>
                <w:sz w:val="1"/>
                <w:szCs w:val="1"/>
                <w:color w:val="auto"/>
              </w:rPr>
            </w:pPr>
          </w:p>
        </w:tc>
      </w:tr>
      <w:tr>
        <w:trPr>
          <w:trHeight w:val="94"/>
        </w:trPr>
        <w:tc>
          <w:tcPr>
            <w:tcW w:w="10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7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8"/>
                <w:szCs w:val="18"/>
                <w:color w:val="auto"/>
              </w:rPr>
              <w:t>risks.</w:t>
            </w:r>
          </w:p>
        </w:tc>
        <w:tc>
          <w:tcPr>
            <w:tcW w:w="380" w:type="dxa"/>
            <w:vAlign w:val="bottom"/>
          </w:tcPr>
          <w:p>
            <w:pPr>
              <w:spacing w:after="0"/>
              <w:rPr>
                <w:sz w:val="8"/>
                <w:szCs w:val="8"/>
                <w:color w:val="auto"/>
              </w:rPr>
            </w:pPr>
          </w:p>
        </w:tc>
        <w:tc>
          <w:tcPr>
            <w:tcW w:w="13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5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0"/>
        </w:trPr>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760" w:type="dxa"/>
            <w:vAlign w:val="bottom"/>
            <w:gridSpan w:val="2"/>
            <w:vMerge w:val="continue"/>
          </w:tcPr>
          <w:p>
            <w:pPr>
              <w:spacing w:after="0"/>
              <w:rPr>
                <w:sz w:val="12"/>
                <w:szCs w:val="12"/>
                <w:color w:val="auto"/>
              </w:rPr>
            </w:pPr>
          </w:p>
        </w:tc>
        <w:tc>
          <w:tcPr>
            <w:tcW w:w="3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5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color w:val="auto"/>
              </w:rPr>
              <w:t>approval and commercialisation. In January 2020 the company entered</w:t>
            </w:r>
          </w:p>
        </w:tc>
        <w:tc>
          <w:tcPr>
            <w:tcW w:w="0" w:type="dxa"/>
            <w:vAlign w:val="bottom"/>
          </w:tcPr>
          <w:p>
            <w:pPr>
              <w:spacing w:after="0"/>
              <w:rPr>
                <w:sz w:val="1"/>
                <w:szCs w:val="1"/>
                <w:color w:val="auto"/>
              </w:rPr>
            </w:pPr>
          </w:p>
        </w:tc>
      </w:tr>
      <w:tr>
        <w:trPr>
          <w:trHeight w:val="76"/>
        </w:trPr>
        <w:tc>
          <w:tcPr>
            <w:tcW w:w="10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40" w:type="dxa"/>
            <w:vAlign w:val="bottom"/>
          </w:tcPr>
          <w:p>
            <w:pPr>
              <w:spacing w:after="0"/>
              <w:rPr>
                <w:sz w:val="6"/>
                <w:szCs w:val="6"/>
                <w:color w:val="auto"/>
              </w:rPr>
            </w:pPr>
          </w:p>
        </w:tc>
        <w:tc>
          <w:tcPr>
            <w:tcW w:w="380" w:type="dxa"/>
            <w:vAlign w:val="bottom"/>
          </w:tcPr>
          <w:p>
            <w:pPr>
              <w:spacing w:after="0"/>
              <w:rPr>
                <w:sz w:val="6"/>
                <w:szCs w:val="6"/>
                <w:color w:val="auto"/>
              </w:rPr>
            </w:pPr>
          </w:p>
        </w:tc>
        <w:tc>
          <w:tcPr>
            <w:tcW w:w="1380" w:type="dxa"/>
            <w:vAlign w:val="bottom"/>
          </w:tcPr>
          <w:p>
            <w:pPr>
              <w:spacing w:after="0"/>
              <w:rPr>
                <w:sz w:val="6"/>
                <w:szCs w:val="6"/>
                <w:color w:val="auto"/>
              </w:rPr>
            </w:pPr>
          </w:p>
        </w:tc>
        <w:tc>
          <w:tcPr>
            <w:tcW w:w="160" w:type="dxa"/>
            <w:vAlign w:val="bottom"/>
          </w:tcPr>
          <w:p>
            <w:pPr>
              <w:spacing w:after="0"/>
              <w:rPr>
                <w:sz w:val="6"/>
                <w:szCs w:val="6"/>
                <w:color w:val="auto"/>
              </w:rPr>
            </w:pPr>
          </w:p>
        </w:tc>
        <w:tc>
          <w:tcPr>
            <w:tcW w:w="55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5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into the licence agreement as detailed in note 4. Although pursuant to the</w:t>
            </w: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5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licence agreement the company is entitled to additional payments of up to</w:t>
            </w: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5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$302 million, there is still significant uncertainty that exist in respect of</w:t>
            </w:r>
          </w:p>
        </w:tc>
        <w:tc>
          <w:tcPr>
            <w:tcW w:w="0" w:type="dxa"/>
            <w:vAlign w:val="bottom"/>
          </w:tcPr>
          <w:p>
            <w:pPr>
              <w:spacing w:after="0"/>
              <w:rPr>
                <w:sz w:val="1"/>
                <w:szCs w:val="1"/>
                <w:color w:val="auto"/>
              </w:rPr>
            </w:pPr>
          </w:p>
        </w:tc>
      </w:tr>
      <w:tr>
        <w:trPr>
          <w:trHeight w:val="234"/>
        </w:trPr>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5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any milestone and royalty payments under the licence agreement.</w:t>
            </w:r>
          </w:p>
        </w:tc>
        <w:tc>
          <w:tcPr>
            <w:tcW w:w="0" w:type="dxa"/>
            <w:vAlign w:val="bottom"/>
          </w:tcPr>
          <w:p>
            <w:pPr>
              <w:spacing w:after="0"/>
              <w:rPr>
                <w:sz w:val="1"/>
                <w:szCs w:val="1"/>
                <w:color w:val="auto"/>
              </w:rPr>
            </w:pPr>
          </w:p>
        </w:tc>
      </w:tr>
      <w:tr>
        <w:trPr>
          <w:trHeight w:val="378"/>
        </w:trPr>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54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51" w:right="439" w:bottom="1440" w:gutter="0" w:footer="0" w:header="0"/>
        </w:sectPr>
      </w:pPr>
    </w:p>
    <w:bookmarkStart w:id="39" w:name="page40"/>
    <w:bookmarkEnd w:id="39"/>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Warrant Liability</w:t>
            </w:r>
          </w:p>
        </w:tc>
        <w:tc>
          <w:tcPr>
            <w:tcW w:w="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Black-</w:t>
            </w:r>
          </w:p>
        </w:tc>
        <w:tc>
          <w:tcPr>
            <w:tcW w:w="17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Expected volatility</w:t>
            </w:r>
          </w:p>
        </w:tc>
        <w:tc>
          <w:tcPr>
            <w:tcW w:w="154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2020: 61.5%</w:t>
            </w:r>
          </w:p>
        </w:tc>
        <w:tc>
          <w:tcPr>
            <w:tcW w:w="562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9"/>
              </w:rPr>
              <w:t>Volatility was estimated by reference to the 30-day historical volatility of</w:t>
            </w:r>
          </w:p>
        </w:tc>
        <w:tc>
          <w:tcPr>
            <w:tcW w:w="0" w:type="dxa"/>
            <w:vAlign w:val="bottom"/>
          </w:tcPr>
          <w:p>
            <w:pPr>
              <w:spacing w:after="0"/>
              <w:rPr>
                <w:sz w:val="1"/>
                <w:szCs w:val="1"/>
                <w:color w:val="auto"/>
              </w:rPr>
            </w:pP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related to the</w:t>
            </w:r>
          </w:p>
        </w:tc>
        <w:tc>
          <w:tcPr>
            <w:tcW w:w="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Scholes</w:t>
            </w:r>
          </w:p>
        </w:tc>
        <w:tc>
          <w:tcPr>
            <w:tcW w:w="17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5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the historical share price of the company.</w:t>
            </w:r>
          </w:p>
        </w:tc>
        <w:tc>
          <w:tcPr>
            <w:tcW w:w="0" w:type="dxa"/>
            <w:vAlign w:val="bottom"/>
          </w:tcPr>
          <w:p>
            <w:pPr>
              <w:spacing w:after="0"/>
              <w:rPr>
                <w:sz w:val="1"/>
                <w:szCs w:val="1"/>
                <w:color w:val="auto"/>
              </w:rPr>
            </w:pPr>
          </w:p>
        </w:tc>
      </w:tr>
      <w:tr>
        <w:trPr>
          <w:trHeight w:val="234"/>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PIPE</w:t>
            </w:r>
          </w:p>
        </w:tc>
        <w:tc>
          <w:tcPr>
            <w:tcW w:w="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model</w:t>
            </w:r>
          </w:p>
        </w:tc>
        <w:tc>
          <w:tcPr>
            <w:tcW w:w="17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5620" w:type="dxa"/>
            <w:vAlign w:val="bottom"/>
            <w:vMerge w:val="restart"/>
          </w:tcPr>
          <w:p>
            <w:pPr>
              <w:ind w:left="360"/>
              <w:spacing w:after="0"/>
              <w:rPr>
                <w:sz w:val="20"/>
                <w:szCs w:val="20"/>
                <w:color w:val="auto"/>
              </w:rPr>
            </w:pPr>
            <w:r>
              <w:rPr>
                <w:rFonts w:ascii="Times New Roman" w:cs="Times New Roman" w:eastAsia="Times New Roman" w:hAnsi="Times New Roman"/>
                <w:sz w:val="18"/>
                <w:szCs w:val="18"/>
                <w:color w:val="auto"/>
              </w:rPr>
              <w:t>If the volatility is increased to 66%, the carrying value of the warrants as</w:t>
            </w:r>
          </w:p>
        </w:tc>
        <w:tc>
          <w:tcPr>
            <w:tcW w:w="0" w:type="dxa"/>
            <w:vAlign w:val="bottom"/>
          </w:tcPr>
          <w:p>
            <w:pPr>
              <w:spacing w:after="0"/>
              <w:rPr>
                <w:sz w:val="1"/>
                <w:szCs w:val="1"/>
                <w:color w:val="auto"/>
              </w:rPr>
            </w:pPr>
          </w:p>
        </w:tc>
      </w:tr>
      <w:tr>
        <w:trPr>
          <w:trHeight w:val="122"/>
        </w:trPr>
        <w:tc>
          <w:tcPr>
            <w:tcW w:w="13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56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ind w:left="5620"/>
        <w:spacing w:after="0"/>
        <w:rPr>
          <w:sz w:val="20"/>
          <w:szCs w:val="20"/>
          <w:color w:val="auto"/>
        </w:rPr>
      </w:pPr>
      <w:r>
        <w:rPr>
          <w:rFonts w:ascii="Times New Roman" w:cs="Times New Roman" w:eastAsia="Times New Roman" w:hAnsi="Times New Roman"/>
          <w:sz w:val="18"/>
          <w:szCs w:val="18"/>
          <w:color w:val="auto"/>
        </w:rPr>
        <w:t>of 30 June 2020 would increase to £37,401,035.</w:t>
      </w: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Valuation of level 3 items carried at fair value</w:t>
      </w:r>
    </w:p>
    <w:p>
      <w:pPr>
        <w:spacing w:after="0" w:line="121"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Company finance department perform the valuations of level three fair values for the warrants and embedded derivative. This team reports directly to the Interim Chief Financial Officer. Discussions of valuation processes and results are held between the Interim Chief Financial Officer and the valuation team at each reporting date. As part of these discussions, the team presents analysis to explain the reasons for changes in fair value measurements. The Interim Chief Financial Officer reports key changes in fair value to the Board in the monthly finance report and any changes to the valuation methodology are reported to the Audit Committee through update papers when any changes are anticipated or have been made due to changes in the business.</w:t>
      </w:r>
    </w:p>
    <w:p>
      <w:pPr>
        <w:spacing w:after="0" w:line="187"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directors consider that the carrying value amounts of financial assets and financial liabilities recorded at amortised cost in the financial statements are approximately equal to their fair values.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Related party disclosures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Transactions between the parent and its subsidiaries, which are related parties, have been eliminated on consolidation and are not disclosed in this note.</w:t>
      </w:r>
    </w:p>
    <w:p>
      <w:pPr>
        <w:spacing w:after="0" w:line="225" w:lineRule="exact"/>
        <w:rPr>
          <w:sz w:val="20"/>
          <w:szCs w:val="20"/>
          <w:color w:val="auto"/>
        </w:rPr>
      </w:pPr>
    </w:p>
    <w:p>
      <w:pPr>
        <w:ind w:right="400"/>
        <w:spacing w:after="0" w:line="261" w:lineRule="auto"/>
        <w:rPr>
          <w:sz w:val="20"/>
          <w:szCs w:val="20"/>
          <w:color w:val="auto"/>
        </w:rPr>
      </w:pPr>
      <w:r>
        <w:rPr>
          <w:rFonts w:ascii="Times New Roman" w:cs="Times New Roman" w:eastAsia="Times New Roman" w:hAnsi="Times New Roman"/>
          <w:sz w:val="18"/>
          <w:szCs w:val="18"/>
          <w:color w:val="auto"/>
        </w:rPr>
        <w:t>Novartis holds 15,703,871 shares in the Company at June 30, 2020 (June 30, 2019 and December 31, 2019: 15,703,871). Novartis held £3,841,479 principal value of loan Notes at June 30, 2020 (June 30, 2019 and December 31, 2019: £nil). On February 10, 2020, the Company entered into a £3.8 million convertible equity financing with Novartis Pharma (AG) (“Novartis”). Under the terms of the convertible equity financing, Novartis purchased £3.8 million in a convertible loan note (“Loan Note”).</w:t>
      </w:r>
    </w:p>
    <w:p>
      <w:pPr>
        <w:spacing w:after="0" w:line="180"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Loan Note is convertible at any time at the option of the holder, at a fixed price of £0.265 per ordinary share. The maturity of the Loan Note is three years from issuance, and it bears an interest rate of 6% per annum.</w:t>
      </w:r>
    </w:p>
    <w:p>
      <w:pPr>
        <w:spacing w:after="0" w:line="162" w:lineRule="exact"/>
        <w:rPr>
          <w:sz w:val="20"/>
          <w:szCs w:val="20"/>
          <w:color w:val="auto"/>
        </w:rPr>
      </w:pPr>
    </w:p>
    <w:p>
      <w:pPr>
        <w:ind w:right="200"/>
        <w:spacing w:after="0" w:line="312" w:lineRule="auto"/>
        <w:rPr>
          <w:sz w:val="20"/>
          <w:szCs w:val="20"/>
          <w:color w:val="auto"/>
        </w:rPr>
      </w:pPr>
      <w:r>
        <w:rPr>
          <w:rFonts w:ascii="Times New Roman" w:cs="Times New Roman" w:eastAsia="Times New Roman" w:hAnsi="Times New Roman"/>
          <w:sz w:val="17"/>
          <w:szCs w:val="17"/>
          <w:color w:val="auto"/>
        </w:rPr>
        <w:t>In connection with the Loan Note issuance, the Company also issued a warrant instrument to Novartis to purchase up to 1,449,614 of the Company’s ordinary shares, which are exercisable at an exercise price of £0.265 per ordinary share at any time before the close of business on February 10, 2025.</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benefit trust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2016 the Company set up an Employee benefit trust for the purposes of buying and selling shares on the employees’ behalf.</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 total of £nil of funding was paid into the Trust by the Company during the period to June 30, 2020 (June 30, 2019: 1,000,000). A total of 1,000,000 of funding was paid into the Trust by the Company during the year ended December 31, 2019.</w:t>
      </w:r>
    </w:p>
    <w:p>
      <w:pPr>
        <w:spacing w:after="0" w:line="162"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A total of 7 shares were purchased by the Trust during the period to June 30, 2020 (June 30, 2019: 1,074,274). A total of 1,074,274 shares were purchased by the Trust during the year ended December 31, 2019.</w:t>
      </w:r>
    </w:p>
    <w:p>
      <w:pPr>
        <w:spacing w:after="0" w:line="162"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As at June 30, 2020 a cash balance of £21,525 (June 30, 2019: £21,762) was held by the Trust. As at December 31, 2019 a cash balance of £21,762 was held by the Trust.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Events after the reporting period</w:t>
      </w:r>
    </w:p>
    <w:p>
      <w:pPr>
        <w:spacing w:after="0" w:line="121"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On August 12, 2020, the Company granted 200,000 market value options over ADS under the Mereo 2019 Equity Incentive Plan to certain executives and other employees at an exercise price of $2.77 per ADS.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August 7, 2020, the Company cancelled an existing lease agreement and then entered into a new lease agreement in the United States of America.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incurred exit costs of £2.6 million ($3.3 million).</w:t>
      </w:r>
    </w:p>
    <w:p>
      <w:pPr>
        <w:spacing w:after="0" w:line="13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32</w:t>
      </w:r>
    </w:p>
    <w:sectPr>
      <w:pgSz w:w="11900" w:h="16838" w:orient="portrait"/>
      <w:cols w:equalWidth="0" w:num="1">
        <w:col w:w="10980"/>
      </w:cols>
      <w:pgMar w:left="440" w:top="378"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52255A"/>
    <w:multiLevelType w:val="hybridMultilevel"/>
    <w:lvl w:ilvl="0">
      <w:lvlJc w:val="left"/>
      <w:lvlText w:val="•"/>
      <w:numFmt w:val="bullet"/>
      <w:start w:val="1"/>
    </w:lvl>
  </w:abstractNum>
  <w:abstractNum w:abstractNumId="1">
    <w:nsid w:val="109CF92E"/>
    <w:multiLevelType w:val="hybridMultilevel"/>
    <w:lvl w:ilvl="0">
      <w:lvlJc w:val="left"/>
      <w:lvlText w:val="•"/>
      <w:numFmt w:val="bullet"/>
      <w:start w:val="1"/>
    </w:lvl>
  </w:abstractNum>
  <w:abstractNum w:abstractNumId="2">
    <w:nsid w:val="DED7263"/>
    <w:multiLevelType w:val="hybridMultilevel"/>
    <w:lvl w:ilvl="0">
      <w:lvlJc w:val="left"/>
      <w:lvlText w:val="•"/>
      <w:numFmt w:val="bullet"/>
      <w:start w:val="1"/>
    </w:lvl>
  </w:abstractNum>
  <w:abstractNum w:abstractNumId="3">
    <w:nsid w:val="7FDCC233"/>
    <w:multiLevelType w:val="hybridMultilevel"/>
    <w:lvl w:ilvl="0">
      <w:lvlJc w:val="left"/>
      <w:lvlText w:val="•"/>
      <w:numFmt w:val="bullet"/>
      <w:start w:val="1"/>
    </w:lvl>
    <w:lvl w:ilvl="1">
      <w:lvlJc w:val="left"/>
      <w:lvlText w:val="•"/>
      <w:numFmt w:val="bullet"/>
      <w:start w:val="1"/>
    </w:lvl>
  </w:abstractNum>
  <w:abstractNum w:abstractNumId="4">
    <w:nsid w:val="1BEFD79F"/>
    <w:multiLevelType w:val="hybridMultilevel"/>
    <w:lvl w:ilvl="0">
      <w:lvlJc w:val="left"/>
      <w:lvlText w:val="•"/>
      <w:numFmt w:val="bullet"/>
      <w:start w:val="1"/>
    </w:lvl>
  </w:abstractNum>
  <w:abstractNum w:abstractNumId="5">
    <w:nsid w:val="41A7C4C9"/>
    <w:multiLevelType w:val="hybridMultilevel"/>
    <w:lvl w:ilvl="0">
      <w:lvlJc w:val="left"/>
      <w:lvlText w:val="•"/>
      <w:numFmt w:val="bullet"/>
      <w:start w:val="1"/>
    </w:lvl>
  </w:abstractNum>
  <w:abstractNum w:abstractNumId="6">
    <w:nsid w:val="6B68079A"/>
    <w:multiLevelType w:val="hybridMultilevel"/>
    <w:lvl w:ilvl="0">
      <w:lvlJc w:val="left"/>
      <w:lvlText w:val="•"/>
      <w:numFmt w:val="bullet"/>
      <w:start w:val="1"/>
    </w:lvl>
  </w:abstractNum>
  <w:abstractNum w:abstractNumId="7">
    <w:nsid w:val="4E6AFB66"/>
    <w:multiLevelType w:val="hybridMultilevel"/>
    <w:lvl w:ilvl="0">
      <w:lvlJc w:val="left"/>
      <w:lvlText w:val="•"/>
      <w:numFmt w:val="bullet"/>
      <w:start w:val="1"/>
    </w:lvl>
  </w:abstractNum>
  <w:abstractNum w:abstractNumId="8">
    <w:nsid w:val="25E45D32"/>
    <w:multiLevelType w:val="hybridMultilevel"/>
    <w:lvl w:ilvl="0">
      <w:lvlJc w:val="left"/>
      <w:lvlText w:val="•"/>
      <w:numFmt w:val="bullet"/>
      <w:start w:val="1"/>
    </w:lvl>
  </w:abstractNum>
  <w:abstractNum w:abstractNumId="9">
    <w:nsid w:val="519B500D"/>
    <w:multiLevelType w:val="hybridMultilevel"/>
    <w:lvl w:ilvl="0">
      <w:lvlJc w:val="left"/>
      <w:lvlText w:val="•"/>
      <w:numFmt w:val="bullet"/>
      <w:start w:val="1"/>
    </w:lvl>
  </w:abstractNum>
  <w:abstractNum w:abstractNumId="10">
    <w:nsid w:val="431BD7B7"/>
    <w:multiLevelType w:val="hybridMultilevel"/>
    <w:lvl w:ilvl="0">
      <w:lvlJc w:val="left"/>
      <w:lvlText w:val="•"/>
      <w:numFmt w:val="bullet"/>
      <w:start w:val="1"/>
    </w:lvl>
    <w:lvl w:ilvl="1">
      <w:lvlJc w:val="left"/>
      <w:lvlText w:val="•"/>
      <w:numFmt w:val="bullet"/>
      <w:start w:val="1"/>
    </w:lvl>
  </w:abstractNum>
  <w:abstractNum w:abstractNumId="11">
    <w:nsid w:val="3F2DBA31"/>
    <w:multiLevelType w:val="hybridMultilevel"/>
    <w:lvl w:ilvl="0">
      <w:lvlJc w:val="left"/>
      <w:lvlText w:val="•"/>
      <w:numFmt w:val="bullet"/>
      <w:start w:val="1"/>
    </w:lvl>
  </w:abstractNum>
  <w:abstractNum w:abstractNumId="12">
    <w:nsid w:val="7C83E458"/>
    <w:multiLevelType w:val="hybridMultilevel"/>
    <w:lvl w:ilvl="0">
      <w:lvlJc w:val="left"/>
      <w:lvlText w:val="•"/>
      <w:numFmt w:val="bullet"/>
      <w:start w:val="1"/>
    </w:lvl>
  </w:abstractNum>
  <w:abstractNum w:abstractNumId="13">
    <w:nsid w:val="257130A3"/>
    <w:multiLevelType w:val="hybridMultilevel"/>
    <w:lvl w:ilvl="0">
      <w:lvlJc w:val="left"/>
      <w:lvlText w:val="•"/>
      <w:numFmt w:val="bullet"/>
      <w:start w:val="1"/>
    </w:lvl>
  </w:abstractNum>
  <w:abstractNum w:abstractNumId="14">
    <w:nsid w:val="62BBD95A"/>
    <w:multiLevelType w:val="hybridMultilevel"/>
    <w:lvl w:ilvl="0">
      <w:lvlJc w:val="left"/>
      <w:lvlText w:val="•"/>
      <w:numFmt w:val="bullet"/>
      <w:start w:val="1"/>
    </w:lvl>
  </w:abstractNum>
  <w:abstractNum w:abstractNumId="15">
    <w:nsid w:val="436C6125"/>
    <w:multiLevelType w:val="hybridMultilevel"/>
    <w:lvl w:ilvl="0">
      <w:lvlJc w:val="left"/>
      <w:lvlText w:val="•"/>
      <w:numFmt w:val="bullet"/>
      <w:start w:val="1"/>
    </w:lvl>
  </w:abstractNum>
  <w:abstractNum w:abstractNumId="16">
    <w:nsid w:val="628C895D"/>
    <w:multiLevelType w:val="hybridMultilevel"/>
    <w:lvl w:ilvl="0">
      <w:lvlJc w:val="left"/>
      <w:lvlText w:val="•"/>
      <w:numFmt w:val="bullet"/>
      <w:start w:val="1"/>
    </w:lvl>
  </w:abstractNum>
  <w:abstractNum w:abstractNumId="17">
    <w:nsid w:val="333AB105"/>
    <w:multiLevelType w:val="hybridMultilevel"/>
    <w:lvl w:ilvl="0">
      <w:lvlJc w:val="left"/>
      <w:lvlText w:val="•"/>
      <w:numFmt w:val="bullet"/>
      <w:start w:val="1"/>
    </w:lvl>
  </w:abstractNum>
  <w:abstractNum w:abstractNumId="18">
    <w:nsid w:val="721DA317"/>
    <w:multiLevelType w:val="hybridMultilevel"/>
    <w:lvl w:ilvl="0">
      <w:lvlJc w:val="left"/>
      <w:lvlText w:val="•"/>
      <w:numFmt w:val="bullet"/>
      <w:start w:val="1"/>
    </w:lvl>
  </w:abstractNum>
  <w:abstractNum w:abstractNumId="19">
    <w:nsid w:val="2443A858"/>
    <w:multiLevelType w:val="hybridMultilevel"/>
    <w:lvl w:ilvl="0">
      <w:lvlJc w:val="left"/>
      <w:lvlText w:val="•"/>
      <w:numFmt w:val="bullet"/>
      <w:start w:val="1"/>
    </w:lvl>
  </w:abstractNum>
  <w:abstractNum w:abstractNumId="20">
    <w:nsid w:val="2D1D5AE9"/>
    <w:multiLevelType w:val="hybridMultilevel"/>
    <w:lvl w:ilvl="0">
      <w:lvlJc w:val="left"/>
      <w:lvlText w:val="-"/>
      <w:numFmt w:val="bullet"/>
      <w:start w:val="1"/>
    </w:lvl>
  </w:abstractNum>
  <w:abstractNum w:abstractNumId="21">
    <w:nsid w:val="6763845E"/>
    <w:multiLevelType w:val="hybridMultilevel"/>
    <w:lvl w:ilvl="0">
      <w:lvlJc w:val="left"/>
      <w:lvlText w:val="%1)"/>
      <w:numFmt w:val="lowerRoman"/>
      <w:start w:val="1"/>
    </w:lvl>
  </w:abstractNum>
  <w:abstractNum w:abstractNumId="22">
    <w:nsid w:val="75A2A8D4"/>
    <w:multiLevelType w:val="hybridMultilevel"/>
    <w:lvl w:ilvl="0">
      <w:lvlJc w:val="left"/>
      <w:lvlText w:val="%1)"/>
      <w:numFmt w:val="lowerRoman"/>
      <w:start w:val="5"/>
    </w:lvl>
  </w:abstractNum>
  <w:abstractNum w:abstractNumId="23">
    <w:nsid w:val="8EDBDAB"/>
    <w:multiLevelType w:val="hybridMultilevel"/>
    <w:lvl w:ilvl="0">
      <w:lvlJc w:val="left"/>
      <w:lvlText w:val="%1."/>
      <w:numFmt w:val="lowerRoman"/>
      <w:start w:val="1"/>
    </w:lvl>
  </w:abstractNum>
  <w:abstractNum w:abstractNumId="24">
    <w:nsid w:val="79838CB2"/>
    <w:multiLevelType w:val="hybridMultilevel"/>
    <w:lvl w:ilvl="0">
      <w:lvlJc w:val="left"/>
      <w:lvlText w:val="%1."/>
      <w:numFmt w:val="decimal"/>
      <w:start w:val="1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2020-09-29T06:10:35Z</dcterms:created>
  <dcterms:modified xsi:type="dcterms:W3CDTF">2020-09-29T06:10:35Z</dcterms:modified>
</cp:coreProperties>
</file>