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13G/A</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No.1) *</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Ordinary share, nominal value £0.003, represented by American Depositary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6" w:lineRule="exact"/>
        <w:rPr>
          <w:sz w:val="24"/>
          <w:szCs w:val="24"/>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Arial" w:cs="Arial" w:eastAsia="Arial" w:hAnsi="Arial"/>
          <w:sz w:val="18"/>
          <w:szCs w:val="18"/>
          <w:color w:val="auto"/>
        </w:rPr>
      </w:pPr>
    </w:p>
    <w:p>
      <w:pPr>
        <w:ind w:left="340" w:right="300"/>
        <w:spacing w:after="0" w:line="263" w:lineRule="auto"/>
        <w:rPr>
          <w:rFonts w:ascii="Arial" w:cs="Arial" w:eastAsia="Arial" w:hAnsi="Arial"/>
          <w:sz w:val="18"/>
          <w:szCs w:val="18"/>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13" w:right="439" w:bottom="1440" w:gutter="0" w:footer="0" w:header="0"/>
        </w:sectPr>
      </w:pPr>
    </w:p>
    <w:bookmarkStart w:id="1" w:name="page2"/>
    <w:bookmarkEnd w:id="1"/>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5246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246370"/>
                    </a:xfrm>
                    <a:prstGeom prst="rect">
                      <a:avLst/>
                    </a:prstGeom>
                    <a:noFill/>
                  </pic:spPr>
                </pic:pic>
              </a:graphicData>
            </a:graphic>
          </wp:anchor>
        </w:drawing>
        <w:t>CUSIP No. 589492107</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21"/>
        </w:trPr>
        <w:tc>
          <w:tcPr>
            <w:tcW w:w="460" w:type="dxa"/>
            <w:vAlign w:val="bottom"/>
            <w:tcBorders>
              <w:top w:val="single" w:sz="8" w:color="auto"/>
            </w:tcBorders>
          </w:tcPr>
          <w:p>
            <w:pPr>
              <w:jc w:val="center"/>
              <w:ind w:left="158"/>
              <w:spacing w:after="0"/>
              <w:rPr>
                <w:sz w:val="20"/>
                <w:szCs w:val="20"/>
                <w:color w:val="auto"/>
              </w:rPr>
            </w:pPr>
            <w:r>
              <w:rPr>
                <w:rFonts w:ascii="Arial" w:cs="Arial" w:eastAsia="Arial" w:hAnsi="Arial"/>
                <w:sz w:val="22"/>
                <w:szCs w:val="22"/>
                <w:b w:val="1"/>
                <w:bCs w:val="1"/>
                <w:color w:val="auto"/>
                <w:w w:val="97"/>
              </w:rPr>
              <w:t>1</w:t>
            </w:r>
          </w:p>
        </w:tc>
        <w:tc>
          <w:tcPr>
            <w:tcW w:w="260" w:type="dxa"/>
            <w:vAlign w:val="bottom"/>
            <w:tcBorders>
              <w:top w:val="single" w:sz="8" w:color="auto"/>
              <w:right w:val="single" w:sz="8" w:color="auto"/>
            </w:tcBorders>
          </w:tcPr>
          <w:p>
            <w:pPr>
              <w:spacing w:after="0"/>
              <w:rPr>
                <w:sz w:val="24"/>
                <w:szCs w:val="24"/>
                <w:color w:val="auto"/>
              </w:rPr>
            </w:pPr>
          </w:p>
        </w:tc>
        <w:tc>
          <w:tcPr>
            <w:tcW w:w="10520" w:type="dxa"/>
            <w:vAlign w:val="bottom"/>
            <w:tcBorders>
              <w:top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10520" w:type="dxa"/>
            <w:vAlign w:val="bottom"/>
            <w:gridSpan w:val="5"/>
          </w:tcPr>
          <w:p>
            <w:pPr>
              <w:ind w:left="80"/>
              <w:spacing w:after="0"/>
              <w:rPr>
                <w:sz w:val="20"/>
                <w:szCs w:val="20"/>
                <w:color w:val="auto"/>
              </w:rPr>
            </w:pPr>
            <w:r>
              <w:rPr>
                <w:rFonts w:ascii="Arial" w:cs="Arial" w:eastAsia="Arial" w:hAnsi="Arial"/>
                <w:sz w:val="18"/>
                <w:szCs w:val="18"/>
                <w:b w:val="1"/>
                <w:bCs w:val="1"/>
                <w:color w:val="auto"/>
              </w:rPr>
              <w:t>Vivo Capital IX, LLC</w:t>
            </w:r>
          </w:p>
        </w:tc>
        <w:tc>
          <w:tcPr>
            <w:tcW w:w="0" w:type="dxa"/>
            <w:vAlign w:val="bottom"/>
          </w:tcPr>
          <w:p>
            <w:pPr>
              <w:spacing w:after="0"/>
              <w:rPr>
                <w:sz w:val="1"/>
                <w:szCs w:val="1"/>
                <w:color w:val="auto"/>
              </w:rPr>
            </w:pPr>
          </w:p>
        </w:tc>
      </w:tr>
      <w:tr>
        <w:trPr>
          <w:trHeight w:val="48"/>
        </w:trPr>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0" w:type="dxa"/>
            <w:vAlign w:val="bottom"/>
          </w:tcPr>
          <w:p>
            <w:pPr>
              <w:jc w:val="center"/>
              <w:ind w:left="158"/>
              <w:spacing w:after="0"/>
              <w:rPr>
                <w:sz w:val="20"/>
                <w:szCs w:val="20"/>
                <w:color w:val="auto"/>
              </w:rPr>
            </w:pPr>
            <w:r>
              <w:rPr>
                <w:rFonts w:ascii="Arial" w:cs="Arial" w:eastAsia="Arial" w:hAnsi="Arial"/>
                <w:sz w:val="22"/>
                <w:szCs w:val="22"/>
                <w:b w:val="1"/>
                <w:bCs w:val="1"/>
                <w:color w:val="auto"/>
                <w:w w:val="97"/>
              </w:rPr>
              <w:t>2</w:t>
            </w:r>
          </w:p>
        </w:tc>
        <w:tc>
          <w:tcPr>
            <w:tcW w:w="260" w:type="dxa"/>
            <w:vAlign w:val="bottom"/>
            <w:tcBorders>
              <w:right w:val="single" w:sz="8" w:color="auto"/>
            </w:tcBorders>
          </w:tcPr>
          <w:p>
            <w:pPr>
              <w:spacing w:after="0"/>
              <w:rPr>
                <w:sz w:val="24"/>
                <w:szCs w:val="24"/>
                <w:color w:val="auto"/>
              </w:rPr>
            </w:pPr>
          </w:p>
        </w:tc>
        <w:tc>
          <w:tcPr>
            <w:tcW w:w="10520" w:type="dxa"/>
            <w:vAlign w:val="bottom"/>
            <w:gridSpan w:val="5"/>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6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(a)</w:t>
            </w:r>
          </w:p>
        </w:tc>
        <w:tc>
          <w:tcPr>
            <w:tcW w:w="6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(b)</w:t>
            </w:r>
          </w:p>
        </w:tc>
        <w:tc>
          <w:tcPr>
            <w:tcW w:w="64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460" w:type="dxa"/>
            <w:vAlign w:val="bottom"/>
          </w:tcPr>
          <w:p>
            <w:pPr>
              <w:jc w:val="center"/>
              <w:ind w:left="158"/>
              <w:spacing w:after="0"/>
              <w:rPr>
                <w:sz w:val="20"/>
                <w:szCs w:val="20"/>
                <w:color w:val="auto"/>
              </w:rPr>
            </w:pPr>
            <w:r>
              <w:rPr>
                <w:rFonts w:ascii="Arial" w:cs="Arial" w:eastAsia="Arial" w:hAnsi="Arial"/>
                <w:sz w:val="22"/>
                <w:szCs w:val="22"/>
                <w:b w:val="1"/>
                <w:bCs w:val="1"/>
                <w:color w:val="auto"/>
                <w:w w:val="97"/>
              </w:rPr>
              <w:t>3</w:t>
            </w:r>
          </w:p>
        </w:tc>
        <w:tc>
          <w:tcPr>
            <w:tcW w:w="260" w:type="dxa"/>
            <w:vAlign w:val="bottom"/>
            <w:tcBorders>
              <w:right w:val="single" w:sz="8" w:color="auto"/>
            </w:tcBorders>
          </w:tcPr>
          <w:p>
            <w:pPr>
              <w:spacing w:after="0"/>
              <w:rPr>
                <w:sz w:val="24"/>
                <w:szCs w:val="24"/>
                <w:color w:val="auto"/>
              </w:rPr>
            </w:pPr>
          </w:p>
        </w:tc>
        <w:tc>
          <w:tcPr>
            <w:tcW w:w="156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8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spacing w:after="0"/>
              <w:rPr>
                <w:sz w:val="24"/>
                <w:szCs w:val="24"/>
                <w:color w:val="auto"/>
              </w:rPr>
            </w:pPr>
          </w:p>
        </w:tc>
        <w:tc>
          <w:tcPr>
            <w:tcW w:w="660" w:type="dxa"/>
            <w:vAlign w:val="bottom"/>
            <w:tcBorders>
              <w:bottom w:val="single" w:sz="8" w:color="auto"/>
            </w:tcBorders>
            <w:gridSpan w:val="2"/>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60" w:type="dxa"/>
            <w:vAlign w:val="bottom"/>
          </w:tcPr>
          <w:p>
            <w:pPr>
              <w:jc w:val="center"/>
              <w:ind w:left="158"/>
              <w:spacing w:after="0"/>
              <w:rPr>
                <w:sz w:val="20"/>
                <w:szCs w:val="20"/>
                <w:color w:val="auto"/>
              </w:rPr>
            </w:pPr>
            <w:r>
              <w:rPr>
                <w:rFonts w:ascii="Arial" w:cs="Arial" w:eastAsia="Arial" w:hAnsi="Arial"/>
                <w:sz w:val="22"/>
                <w:szCs w:val="22"/>
                <w:b w:val="1"/>
                <w:bCs w:val="1"/>
                <w:color w:val="auto"/>
                <w:w w:val="97"/>
              </w:rPr>
              <w:t>4</w:t>
            </w:r>
          </w:p>
        </w:tc>
        <w:tc>
          <w:tcPr>
            <w:tcW w:w="260" w:type="dxa"/>
            <w:vAlign w:val="bottom"/>
            <w:tcBorders>
              <w:right w:val="single" w:sz="8" w:color="auto"/>
            </w:tcBorders>
          </w:tcPr>
          <w:p>
            <w:pPr>
              <w:spacing w:after="0"/>
              <w:rPr>
                <w:sz w:val="24"/>
                <w:szCs w:val="24"/>
                <w:color w:val="auto"/>
              </w:rPr>
            </w:pPr>
          </w:p>
        </w:tc>
        <w:tc>
          <w:tcPr>
            <w:tcW w:w="1052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1100" w:type="dxa"/>
            <w:vAlign w:val="bottom"/>
            <w:gridSpan w:val="3"/>
          </w:tcPr>
          <w:p>
            <w:pPr>
              <w:ind w:left="80"/>
              <w:spacing w:after="0"/>
              <w:rPr>
                <w:sz w:val="20"/>
                <w:szCs w:val="20"/>
                <w:color w:val="auto"/>
              </w:rPr>
            </w:pPr>
            <w:r>
              <w:rPr>
                <w:rFonts w:ascii="Arial" w:cs="Arial" w:eastAsia="Arial" w:hAnsi="Arial"/>
                <w:sz w:val="18"/>
                <w:szCs w:val="18"/>
                <w:b w:val="1"/>
                <w:bCs w:val="1"/>
                <w:color w:val="auto"/>
              </w:rPr>
              <w:t>Delaware</w:t>
            </w:r>
          </w:p>
        </w:tc>
        <w:tc>
          <w:tcPr>
            <w:tcW w:w="460" w:type="dxa"/>
            <w:vAlign w:val="bottom"/>
          </w:tcPr>
          <w:p>
            <w:pPr>
              <w:spacing w:after="0"/>
              <w:rPr>
                <w:sz w:val="22"/>
                <w:szCs w:val="22"/>
                <w:color w:val="auto"/>
              </w:rPr>
            </w:pPr>
          </w:p>
        </w:tc>
        <w:tc>
          <w:tcPr>
            <w:tcW w:w="8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5</w:t>
            </w:r>
          </w:p>
        </w:tc>
        <w:tc>
          <w:tcPr>
            <w:tcW w:w="89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13"/>
        </w:trPr>
        <w:tc>
          <w:tcPr>
            <w:tcW w:w="162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2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8960" w:type="dxa"/>
            <w:vAlign w:val="bottom"/>
          </w:tcPr>
          <w:p>
            <w:pPr>
              <w:ind w:left="100"/>
              <w:spacing w:after="0" w:line="313" w:lineRule="exact"/>
              <w:rPr>
                <w:sz w:val="20"/>
                <w:szCs w:val="20"/>
                <w:color w:val="auto"/>
              </w:rPr>
            </w:pPr>
            <w:r>
              <w:rPr>
                <w:rFonts w:ascii="Arial" w:cs="Arial" w:eastAsia="Arial" w:hAnsi="Arial"/>
                <w:sz w:val="18"/>
                <w:szCs w:val="18"/>
                <w:b w:val="1"/>
                <w:bCs w:val="1"/>
                <w:color w:val="auto"/>
              </w:rPr>
              <w:t xml:space="preserve">6,827,057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35"/>
        </w:trPr>
        <w:tc>
          <w:tcPr>
            <w:tcW w:w="460" w:type="dxa"/>
            <w:vAlign w:val="bottom"/>
          </w:tcPr>
          <w:p>
            <w:pPr>
              <w:spacing w:after="0"/>
              <w:rPr>
                <w:sz w:val="3"/>
                <w:szCs w:val="3"/>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40" w:type="dxa"/>
            <w:vAlign w:val="bottom"/>
            <w:tcBorders>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192"/>
              <w:spacing w:after="0"/>
              <w:rPr>
                <w:sz w:val="20"/>
                <w:szCs w:val="20"/>
                <w:color w:val="auto"/>
              </w:rPr>
            </w:pPr>
            <w:r>
              <w:rPr>
                <w:rFonts w:ascii="Arial" w:cs="Arial" w:eastAsia="Arial" w:hAnsi="Arial"/>
                <w:sz w:val="22"/>
                <w:szCs w:val="22"/>
                <w:b w:val="1"/>
                <w:bCs w:val="1"/>
                <w:color w:val="auto"/>
              </w:rPr>
              <w:t>6</w:t>
            </w:r>
          </w:p>
        </w:tc>
        <w:tc>
          <w:tcPr>
            <w:tcW w:w="8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2"/>
        </w:trPr>
        <w:tc>
          <w:tcPr>
            <w:tcW w:w="162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8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620" w:type="dxa"/>
            <w:vAlign w:val="bottom"/>
            <w:tcBorders>
              <w:right w:val="single" w:sz="8" w:color="auto"/>
            </w:tcBorders>
            <w:gridSpan w:val="4"/>
            <w:vMerge w:val="continue"/>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4"/>
        </w:trPr>
        <w:tc>
          <w:tcPr>
            <w:tcW w:w="162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8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720" w:type="dxa"/>
            <w:vAlign w:val="bottom"/>
            <w:gridSpan w:val="2"/>
          </w:tcPr>
          <w:p>
            <w:pPr>
              <w:jc w:val="center"/>
              <w:spacing w:after="0" w:line="203" w:lineRule="exact"/>
              <w:rPr>
                <w:sz w:val="20"/>
                <w:szCs w:val="20"/>
                <w:color w:val="auto"/>
              </w:rPr>
            </w:pPr>
            <w:r>
              <w:rPr>
                <w:rFonts w:ascii="Arial" w:cs="Arial" w:eastAsia="Arial" w:hAnsi="Arial"/>
                <w:sz w:val="18"/>
                <w:szCs w:val="18"/>
                <w:color w:val="auto"/>
                <w:w w:val="99"/>
              </w:rPr>
              <w:t>EACH</w:t>
            </w:r>
          </w:p>
        </w:tc>
        <w:tc>
          <w:tcPr>
            <w:tcW w:w="4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right w:val="single" w:sz="8" w:color="auto"/>
            </w:tcBorders>
          </w:tcPr>
          <w:p>
            <w:pPr>
              <w:jc w:val="right"/>
              <w:ind w:right="192"/>
              <w:spacing w:after="0" w:line="204" w:lineRule="exact"/>
              <w:rPr>
                <w:sz w:val="20"/>
                <w:szCs w:val="20"/>
                <w:color w:val="auto"/>
              </w:rPr>
            </w:pPr>
            <w:r>
              <w:rPr>
                <w:rFonts w:ascii="Arial" w:cs="Arial" w:eastAsia="Arial" w:hAnsi="Arial"/>
                <w:sz w:val="22"/>
                <w:szCs w:val="22"/>
                <w:b w:val="1"/>
                <w:bCs w:val="1"/>
                <w:color w:val="auto"/>
              </w:rPr>
              <w:t>7</w:t>
            </w:r>
          </w:p>
        </w:tc>
        <w:tc>
          <w:tcPr>
            <w:tcW w:w="8960" w:type="dxa"/>
            <w:vAlign w:val="bottom"/>
          </w:tcPr>
          <w:p>
            <w:pPr>
              <w:ind w:left="100"/>
              <w:spacing w:after="0" w:line="204"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0"/>
        </w:trPr>
        <w:tc>
          <w:tcPr>
            <w:tcW w:w="1620" w:type="dxa"/>
            <w:vAlign w:val="bottom"/>
            <w:tcBorders>
              <w:right w:val="single" w:sz="8" w:color="auto"/>
            </w:tcBorders>
            <w:gridSpan w:val="4"/>
          </w:tcPr>
          <w:p>
            <w:pPr>
              <w:jc w:val="center"/>
              <w:spacing w:after="0" w:line="200" w:lineRule="exact"/>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 xml:space="preserve">6,827,057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2"/>
              </w:rPr>
              <w:t>PERSON</w:t>
            </w:r>
          </w:p>
        </w:tc>
        <w:tc>
          <w:tcPr>
            <w:tcW w:w="4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8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60" w:type="dxa"/>
            <w:vAlign w:val="bottom"/>
          </w:tcPr>
          <w:p>
            <w:pPr>
              <w:spacing w:after="0"/>
              <w:rPr>
                <w:sz w:val="24"/>
                <w:szCs w:val="24"/>
                <w:color w:val="auto"/>
              </w:rPr>
            </w:pPr>
          </w:p>
        </w:tc>
        <w:tc>
          <w:tcPr>
            <w:tcW w:w="720" w:type="dxa"/>
            <w:vAlign w:val="bottom"/>
            <w:gridSpan w:val="2"/>
          </w:tcPr>
          <w:p>
            <w:pPr>
              <w:jc w:val="center"/>
              <w:spacing w:after="0" w:line="203" w:lineRule="exact"/>
              <w:rPr>
                <w:sz w:val="20"/>
                <w:szCs w:val="20"/>
                <w:color w:val="auto"/>
              </w:rPr>
            </w:pPr>
            <w:r>
              <w:rPr>
                <w:rFonts w:ascii="Arial" w:cs="Arial" w:eastAsia="Arial" w:hAnsi="Arial"/>
                <w:sz w:val="18"/>
                <w:szCs w:val="18"/>
                <w:color w:val="auto"/>
                <w:w w:val="99"/>
              </w:rPr>
              <w:t>WITH</w:t>
            </w:r>
          </w:p>
        </w:tc>
        <w:tc>
          <w:tcPr>
            <w:tcW w:w="4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8</w:t>
            </w:r>
          </w:p>
        </w:tc>
        <w:tc>
          <w:tcPr>
            <w:tcW w:w="89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8960" w:type="dxa"/>
            <w:vAlign w:val="bottom"/>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48"/>
        </w:trPr>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gridSpan w:val="2"/>
          </w:tcPr>
          <w:p>
            <w:pPr>
              <w:spacing w:after="0"/>
              <w:rPr>
                <w:sz w:val="4"/>
                <w:szCs w:val="4"/>
                <w:color w:val="auto"/>
              </w:rPr>
            </w:pPr>
          </w:p>
        </w:tc>
        <w:tc>
          <w:tcPr>
            <w:tcW w:w="660" w:type="dxa"/>
            <w:vAlign w:val="bottom"/>
            <w:tcBorders>
              <w:bottom w:val="single" w:sz="8" w:color="auto"/>
              <w:right w:val="single" w:sz="8" w:color="auto"/>
            </w:tcBorders>
            <w:gridSpan w:val="2"/>
          </w:tcPr>
          <w:p>
            <w:pPr>
              <w:spacing w:after="0"/>
              <w:rPr>
                <w:sz w:val="4"/>
                <w:szCs w:val="4"/>
                <w:color w:val="auto"/>
              </w:rPr>
            </w:pPr>
          </w:p>
        </w:tc>
        <w:tc>
          <w:tcPr>
            <w:tcW w:w="8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460" w:type="dxa"/>
            <w:vAlign w:val="bottom"/>
          </w:tcPr>
          <w:p>
            <w:pPr>
              <w:jc w:val="center"/>
              <w:ind w:left="158"/>
              <w:spacing w:after="0"/>
              <w:rPr>
                <w:sz w:val="20"/>
                <w:szCs w:val="20"/>
                <w:color w:val="auto"/>
              </w:rPr>
            </w:pPr>
            <w:r>
              <w:rPr>
                <w:rFonts w:ascii="Arial" w:cs="Arial" w:eastAsia="Arial" w:hAnsi="Arial"/>
                <w:sz w:val="22"/>
                <w:szCs w:val="22"/>
                <w:b w:val="1"/>
                <w:bCs w:val="1"/>
                <w:color w:val="auto"/>
                <w:w w:val="97"/>
              </w:rPr>
              <w:t>9</w:t>
            </w:r>
          </w:p>
        </w:tc>
        <w:tc>
          <w:tcPr>
            <w:tcW w:w="260" w:type="dxa"/>
            <w:vAlign w:val="bottom"/>
            <w:tcBorders>
              <w:right w:val="single" w:sz="8" w:color="auto"/>
            </w:tcBorders>
          </w:tcPr>
          <w:p>
            <w:pPr>
              <w:spacing w:after="0"/>
              <w:rPr>
                <w:sz w:val="24"/>
                <w:szCs w:val="24"/>
                <w:color w:val="auto"/>
              </w:rPr>
            </w:pPr>
          </w:p>
        </w:tc>
        <w:tc>
          <w:tcPr>
            <w:tcW w:w="1052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48"/>
        </w:trPr>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1"/>
              </w:rPr>
              <w:t xml:space="preserve">6,827,057 </w:t>
            </w:r>
            <w:r>
              <w:rPr>
                <w:rFonts w:ascii="Arial" w:cs="Arial" w:eastAsia="Arial" w:hAnsi="Arial"/>
                <w:sz w:val="29"/>
                <w:szCs w:val="29"/>
                <w:b w:val="1"/>
                <w:bCs w:val="1"/>
                <w:color w:val="auto"/>
                <w:w w:val="91"/>
                <w:vertAlign w:val="superscript"/>
              </w:rPr>
              <w:t>(1)</w:t>
            </w:r>
          </w:p>
        </w:tc>
        <w:tc>
          <w:tcPr>
            <w:tcW w:w="46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60" w:type="dxa"/>
            <w:vAlign w:val="bottom"/>
          </w:tcPr>
          <w:p>
            <w:pPr>
              <w:jc w:val="center"/>
              <w:ind w:left="158"/>
              <w:spacing w:after="0"/>
              <w:rPr>
                <w:sz w:val="20"/>
                <w:szCs w:val="20"/>
                <w:color w:val="auto"/>
              </w:rPr>
            </w:pPr>
            <w:r>
              <w:rPr>
                <w:rFonts w:ascii="Arial" w:cs="Arial" w:eastAsia="Arial" w:hAnsi="Arial"/>
                <w:sz w:val="22"/>
                <w:szCs w:val="22"/>
                <w:b w:val="1"/>
                <w:bCs w:val="1"/>
                <w:color w:val="auto"/>
                <w:w w:val="81"/>
              </w:rPr>
              <w:t>10</w:t>
            </w:r>
          </w:p>
        </w:tc>
        <w:tc>
          <w:tcPr>
            <w:tcW w:w="260" w:type="dxa"/>
            <w:vAlign w:val="bottom"/>
            <w:tcBorders>
              <w:right w:val="single" w:sz="8" w:color="auto"/>
            </w:tcBorders>
          </w:tcPr>
          <w:p>
            <w:pPr>
              <w:spacing w:after="0"/>
              <w:rPr>
                <w:sz w:val="24"/>
                <w:szCs w:val="24"/>
                <w:color w:val="auto"/>
              </w:rPr>
            </w:pPr>
          </w:p>
        </w:tc>
        <w:tc>
          <w:tcPr>
            <w:tcW w:w="10520" w:type="dxa"/>
            <w:vAlign w:val="bottom"/>
            <w:gridSpan w:val="5"/>
          </w:tcPr>
          <w:p>
            <w:pPr>
              <w:ind w:left="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83"/>
        </w:trPr>
        <w:tc>
          <w:tcPr>
            <w:tcW w:w="46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4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052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460" w:type="dxa"/>
            <w:vAlign w:val="bottom"/>
          </w:tcPr>
          <w:p>
            <w:pPr>
              <w:jc w:val="center"/>
              <w:ind w:left="158"/>
              <w:spacing w:after="0"/>
              <w:rPr>
                <w:sz w:val="20"/>
                <w:szCs w:val="20"/>
                <w:color w:val="auto"/>
              </w:rPr>
            </w:pPr>
            <w:r>
              <w:rPr>
                <w:rFonts w:ascii="Arial" w:cs="Arial" w:eastAsia="Arial" w:hAnsi="Arial"/>
                <w:sz w:val="22"/>
                <w:szCs w:val="22"/>
                <w:b w:val="1"/>
                <w:bCs w:val="1"/>
                <w:color w:val="auto"/>
                <w:w w:val="81"/>
              </w:rPr>
              <w:t>11</w:t>
            </w:r>
          </w:p>
        </w:tc>
        <w:tc>
          <w:tcPr>
            <w:tcW w:w="260" w:type="dxa"/>
            <w:vAlign w:val="bottom"/>
            <w:tcBorders>
              <w:right w:val="single" w:sz="8" w:color="auto"/>
            </w:tcBorders>
          </w:tcPr>
          <w:p>
            <w:pPr>
              <w:spacing w:after="0"/>
              <w:rPr>
                <w:sz w:val="24"/>
                <w:szCs w:val="24"/>
                <w:color w:val="auto"/>
              </w:rPr>
            </w:pPr>
          </w:p>
        </w:tc>
        <w:tc>
          <w:tcPr>
            <w:tcW w:w="1052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348"/>
        </w:trPr>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 xml:space="preserve">2.0% </w:t>
            </w:r>
            <w:r>
              <w:rPr>
                <w:rFonts w:ascii="Arial" w:cs="Arial" w:eastAsia="Arial" w:hAnsi="Arial"/>
                <w:sz w:val="29"/>
                <w:szCs w:val="29"/>
                <w:b w:val="1"/>
                <w:bCs w:val="1"/>
                <w:color w:val="auto"/>
                <w:vertAlign w:val="superscript"/>
              </w:rPr>
              <w:t>(2)</w:t>
            </w: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60" w:type="dxa"/>
            <w:vAlign w:val="bottom"/>
          </w:tcPr>
          <w:p>
            <w:pPr>
              <w:jc w:val="center"/>
              <w:ind w:left="158"/>
              <w:spacing w:after="0"/>
              <w:rPr>
                <w:sz w:val="20"/>
                <w:szCs w:val="20"/>
                <w:color w:val="auto"/>
              </w:rPr>
            </w:pPr>
            <w:r>
              <w:rPr>
                <w:rFonts w:ascii="Arial" w:cs="Arial" w:eastAsia="Arial" w:hAnsi="Arial"/>
                <w:sz w:val="22"/>
                <w:szCs w:val="22"/>
                <w:b w:val="1"/>
                <w:bCs w:val="1"/>
                <w:color w:val="auto"/>
                <w:w w:val="81"/>
              </w:rPr>
              <w:t>12</w:t>
            </w:r>
          </w:p>
        </w:tc>
        <w:tc>
          <w:tcPr>
            <w:tcW w:w="260" w:type="dxa"/>
            <w:vAlign w:val="bottom"/>
            <w:tcBorders>
              <w:right w:val="single" w:sz="8" w:color="auto"/>
            </w:tcBorders>
          </w:tcPr>
          <w:p>
            <w:pPr>
              <w:spacing w:after="0"/>
              <w:rPr>
                <w:sz w:val="24"/>
                <w:szCs w:val="24"/>
                <w:color w:val="auto"/>
              </w:rPr>
            </w:pPr>
          </w:p>
        </w:tc>
        <w:tc>
          <w:tcPr>
            <w:tcW w:w="1052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460" w:type="dxa"/>
            <w:vAlign w:val="bottom"/>
          </w:tcPr>
          <w:p>
            <w:pPr>
              <w:ind w:left="80"/>
              <w:spacing w:after="0"/>
              <w:rPr>
                <w:sz w:val="20"/>
                <w:szCs w:val="20"/>
                <w:color w:val="auto"/>
              </w:rPr>
            </w:pPr>
            <w:r>
              <w:rPr>
                <w:rFonts w:ascii="Arial" w:cs="Arial" w:eastAsia="Arial" w:hAnsi="Arial"/>
                <w:sz w:val="18"/>
                <w:szCs w:val="18"/>
                <w:b w:val="1"/>
                <w:bCs w:val="1"/>
                <w:color w:val="auto"/>
              </w:rPr>
              <w:t>OO</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00" w:right="120" w:hanging="492"/>
        <w:spacing w:after="0" w:line="261" w:lineRule="auto"/>
        <w:tabs>
          <w:tab w:leader="none" w:pos="500" w:val="left"/>
        </w:tabs>
        <w:numPr>
          <w:ilvl w:val="0"/>
          <w:numId w:val="5"/>
        </w:numPr>
        <w:rPr>
          <w:rFonts w:ascii="Arial" w:cs="Arial" w:eastAsia="Arial" w:hAnsi="Arial"/>
          <w:sz w:val="27"/>
          <w:szCs w:val="27"/>
          <w:color w:val="auto"/>
          <w:vertAlign w:val="superscript"/>
        </w:rPr>
      </w:pPr>
      <w:r>
        <w:rPr>
          <w:rFonts w:ascii="Arial" w:cs="Arial" w:eastAsia="Arial" w:hAnsi="Arial"/>
          <w:sz w:val="16"/>
          <w:szCs w:val="16"/>
          <w:color w:val="auto"/>
        </w:rPr>
        <w:t>The number represents 6,827,057 ordinary shares, nominal value £0.003 per share (the “Ordinary Shares”) of Mereo BioPharma Group plc (the “Issuer”), which will be represented by 1,365,411 American Depositary Shares (“ADS”). The number excludes (i) 4,197,175 Ordinary Shares issuable upon exercise of certain warrants granted in a private placement dated June 3, 2020 (the “Private Placement”), the exercise of which is subject to a beneficial ownership limitation of 9.99% of the Issuer’s outstanding Ordinary Shares, or (ii) an aggregate of 2,706,681 Ordinary Shares issuable upon conversion of certain convertible loan notes (including interest accrued until June 3, 2023, the maturity date of such notes) issued in the Private Placement, the conversion of which is subject to a beneficial ownership limitation of 9.99% of the Issuer’s outstanding Ordinary Shares. The securities are held of record by Vivo Capital Fund IX, L.P. Vivo Capital IX, LLC is the general partner of Vivo Capital Fund IX, L.P.</w:t>
      </w:r>
    </w:p>
    <w:p>
      <w:pPr>
        <w:spacing w:after="0" w:line="176" w:lineRule="exact"/>
        <w:rPr>
          <w:rFonts w:ascii="Arial" w:cs="Arial" w:eastAsia="Arial" w:hAnsi="Arial"/>
          <w:sz w:val="27"/>
          <w:szCs w:val="27"/>
          <w:color w:val="auto"/>
          <w:vertAlign w:val="superscript"/>
        </w:rPr>
      </w:pPr>
    </w:p>
    <w:p>
      <w:pPr>
        <w:ind w:left="500" w:right="180" w:hanging="492"/>
        <w:spacing w:after="0" w:line="194" w:lineRule="auto"/>
        <w:tabs>
          <w:tab w:leader="none" w:pos="50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Based on 338,713,962 Ordinary Shares issued and outstanding as of June 30, 2020, as reported in a report on Form 6-K filed by the Issuer with the Securities and Exchange Commission on June 30, 2020.</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 w:name="page3"/>
    <w:bookmarkEnd w:id="2"/>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246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246370"/>
                    </a:xfrm>
                    <a:prstGeom prst="rect">
                      <a:avLst/>
                    </a:prstGeom>
                    <a:noFill/>
                  </pic:spPr>
                </pic:pic>
              </a:graphicData>
            </a:graphic>
          </wp:anchor>
        </w:drawing>
        <w:t>CUSIP No</w:t>
      </w:r>
      <w:r>
        <w:rPr>
          <w:rFonts w:ascii="Arial" w:cs="Arial" w:eastAsia="Arial" w:hAnsi="Arial"/>
          <w:sz w:val="18"/>
          <w:szCs w:val="18"/>
          <w:b w:val="1"/>
          <w:bCs w:val="1"/>
          <w:color w:val="auto"/>
        </w:rPr>
        <w:t>.</w:t>
      </w:r>
      <w:r>
        <w:rPr>
          <w:rFonts w:ascii="Arial" w:cs="Arial" w:eastAsia="Arial" w:hAnsi="Arial"/>
          <w:sz w:val="18"/>
          <w:szCs w:val="18"/>
          <w:color w:val="auto"/>
        </w:rPr>
        <w:t xml:space="preserve"> 589492107</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460" w:type="dxa"/>
            <w:vAlign w:val="bottom"/>
            <w:tcBorders>
              <w:top w:val="single" w:sz="8" w:color="auto"/>
            </w:tcBorders>
          </w:tcPr>
          <w:p>
            <w:pPr>
              <w:jc w:val="center"/>
              <w:ind w:left="158"/>
              <w:spacing w:after="0"/>
              <w:rPr>
                <w:sz w:val="20"/>
                <w:szCs w:val="20"/>
                <w:color w:val="auto"/>
              </w:rPr>
            </w:pPr>
            <w:r>
              <w:rPr>
                <w:rFonts w:ascii="Arial" w:cs="Arial" w:eastAsia="Arial" w:hAnsi="Arial"/>
                <w:sz w:val="22"/>
                <w:szCs w:val="22"/>
                <w:b w:val="1"/>
                <w:bCs w:val="1"/>
                <w:color w:val="auto"/>
                <w:w w:val="97"/>
              </w:rPr>
              <w:t>1</w:t>
            </w:r>
          </w:p>
        </w:tc>
        <w:tc>
          <w:tcPr>
            <w:tcW w:w="260" w:type="dxa"/>
            <w:vAlign w:val="bottom"/>
            <w:tcBorders>
              <w:top w:val="single" w:sz="8" w:color="auto"/>
              <w:right w:val="single" w:sz="8" w:color="auto"/>
            </w:tcBorders>
          </w:tcPr>
          <w:p>
            <w:pPr>
              <w:spacing w:after="0"/>
              <w:rPr>
                <w:sz w:val="24"/>
                <w:szCs w:val="24"/>
                <w:color w:val="auto"/>
              </w:rPr>
            </w:pPr>
          </w:p>
        </w:tc>
        <w:tc>
          <w:tcPr>
            <w:tcW w:w="10520" w:type="dxa"/>
            <w:vAlign w:val="bottom"/>
            <w:tcBorders>
              <w:top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10520" w:type="dxa"/>
            <w:vAlign w:val="bottom"/>
            <w:gridSpan w:val="5"/>
          </w:tcPr>
          <w:p>
            <w:pPr>
              <w:ind w:left="80"/>
              <w:spacing w:after="0"/>
              <w:rPr>
                <w:sz w:val="20"/>
                <w:szCs w:val="20"/>
                <w:color w:val="auto"/>
              </w:rPr>
            </w:pPr>
            <w:r>
              <w:rPr>
                <w:rFonts w:ascii="Arial" w:cs="Arial" w:eastAsia="Arial" w:hAnsi="Arial"/>
                <w:sz w:val="18"/>
                <w:szCs w:val="18"/>
                <w:b w:val="1"/>
                <w:bCs w:val="1"/>
                <w:color w:val="auto"/>
              </w:rPr>
              <w:t>Vivo Opportunity, LLC</w:t>
            </w:r>
          </w:p>
        </w:tc>
        <w:tc>
          <w:tcPr>
            <w:tcW w:w="0" w:type="dxa"/>
            <w:vAlign w:val="bottom"/>
          </w:tcPr>
          <w:p>
            <w:pPr>
              <w:spacing w:after="0"/>
              <w:rPr>
                <w:sz w:val="1"/>
                <w:szCs w:val="1"/>
                <w:color w:val="auto"/>
              </w:rPr>
            </w:pPr>
          </w:p>
        </w:tc>
      </w:tr>
      <w:tr>
        <w:trPr>
          <w:trHeight w:val="48"/>
        </w:trPr>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0" w:type="dxa"/>
            <w:vAlign w:val="bottom"/>
          </w:tcPr>
          <w:p>
            <w:pPr>
              <w:jc w:val="center"/>
              <w:ind w:left="158"/>
              <w:spacing w:after="0"/>
              <w:rPr>
                <w:sz w:val="20"/>
                <w:szCs w:val="20"/>
                <w:color w:val="auto"/>
              </w:rPr>
            </w:pPr>
            <w:r>
              <w:rPr>
                <w:rFonts w:ascii="Arial" w:cs="Arial" w:eastAsia="Arial" w:hAnsi="Arial"/>
                <w:sz w:val="22"/>
                <w:szCs w:val="22"/>
                <w:b w:val="1"/>
                <w:bCs w:val="1"/>
                <w:color w:val="auto"/>
                <w:w w:val="97"/>
              </w:rPr>
              <w:t>2</w:t>
            </w:r>
          </w:p>
        </w:tc>
        <w:tc>
          <w:tcPr>
            <w:tcW w:w="260" w:type="dxa"/>
            <w:vAlign w:val="bottom"/>
            <w:tcBorders>
              <w:right w:val="single" w:sz="8" w:color="auto"/>
            </w:tcBorders>
          </w:tcPr>
          <w:p>
            <w:pPr>
              <w:spacing w:after="0"/>
              <w:rPr>
                <w:sz w:val="24"/>
                <w:szCs w:val="24"/>
                <w:color w:val="auto"/>
              </w:rPr>
            </w:pPr>
          </w:p>
        </w:tc>
        <w:tc>
          <w:tcPr>
            <w:tcW w:w="10520" w:type="dxa"/>
            <w:vAlign w:val="bottom"/>
            <w:gridSpan w:val="5"/>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6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(a)</w:t>
            </w:r>
          </w:p>
        </w:tc>
        <w:tc>
          <w:tcPr>
            <w:tcW w:w="6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(b)</w:t>
            </w:r>
          </w:p>
        </w:tc>
        <w:tc>
          <w:tcPr>
            <w:tcW w:w="68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3"/>
        </w:trPr>
        <w:tc>
          <w:tcPr>
            <w:tcW w:w="460" w:type="dxa"/>
            <w:vAlign w:val="bottom"/>
          </w:tcPr>
          <w:p>
            <w:pPr>
              <w:jc w:val="center"/>
              <w:ind w:left="158"/>
              <w:spacing w:after="0"/>
              <w:rPr>
                <w:sz w:val="20"/>
                <w:szCs w:val="20"/>
                <w:color w:val="auto"/>
              </w:rPr>
            </w:pPr>
            <w:r>
              <w:rPr>
                <w:rFonts w:ascii="Arial" w:cs="Arial" w:eastAsia="Arial" w:hAnsi="Arial"/>
                <w:sz w:val="22"/>
                <w:szCs w:val="22"/>
                <w:b w:val="1"/>
                <w:bCs w:val="1"/>
                <w:color w:val="auto"/>
                <w:w w:val="97"/>
              </w:rPr>
              <w:t>3</w:t>
            </w:r>
          </w:p>
        </w:tc>
        <w:tc>
          <w:tcPr>
            <w:tcW w:w="260" w:type="dxa"/>
            <w:vAlign w:val="bottom"/>
            <w:tcBorders>
              <w:right w:val="single" w:sz="8" w:color="auto"/>
            </w:tcBorders>
          </w:tcPr>
          <w:p>
            <w:pPr>
              <w:spacing w:after="0"/>
              <w:rPr>
                <w:sz w:val="24"/>
                <w:szCs w:val="24"/>
                <w:color w:val="auto"/>
              </w:rPr>
            </w:pPr>
          </w:p>
        </w:tc>
        <w:tc>
          <w:tcPr>
            <w:tcW w:w="156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8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spacing w:after="0"/>
              <w:rPr>
                <w:sz w:val="24"/>
                <w:szCs w:val="24"/>
                <w:color w:val="auto"/>
              </w:rPr>
            </w:pPr>
          </w:p>
        </w:tc>
        <w:tc>
          <w:tcPr>
            <w:tcW w:w="660" w:type="dxa"/>
            <w:vAlign w:val="bottom"/>
            <w:tcBorders>
              <w:bottom w:val="single" w:sz="8" w:color="auto"/>
            </w:tcBorders>
            <w:gridSpan w:val="2"/>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60" w:type="dxa"/>
            <w:vAlign w:val="bottom"/>
          </w:tcPr>
          <w:p>
            <w:pPr>
              <w:jc w:val="center"/>
              <w:ind w:left="158"/>
              <w:spacing w:after="0"/>
              <w:rPr>
                <w:sz w:val="20"/>
                <w:szCs w:val="20"/>
                <w:color w:val="auto"/>
              </w:rPr>
            </w:pPr>
            <w:r>
              <w:rPr>
                <w:rFonts w:ascii="Arial" w:cs="Arial" w:eastAsia="Arial" w:hAnsi="Arial"/>
                <w:sz w:val="22"/>
                <w:szCs w:val="22"/>
                <w:b w:val="1"/>
                <w:bCs w:val="1"/>
                <w:color w:val="auto"/>
                <w:w w:val="97"/>
              </w:rPr>
              <w:t>4</w:t>
            </w:r>
          </w:p>
        </w:tc>
        <w:tc>
          <w:tcPr>
            <w:tcW w:w="260" w:type="dxa"/>
            <w:vAlign w:val="bottom"/>
            <w:tcBorders>
              <w:right w:val="single" w:sz="8" w:color="auto"/>
            </w:tcBorders>
          </w:tcPr>
          <w:p>
            <w:pPr>
              <w:spacing w:after="0"/>
              <w:rPr>
                <w:sz w:val="24"/>
                <w:szCs w:val="24"/>
                <w:color w:val="auto"/>
              </w:rPr>
            </w:pPr>
          </w:p>
        </w:tc>
        <w:tc>
          <w:tcPr>
            <w:tcW w:w="1052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1140" w:type="dxa"/>
            <w:vAlign w:val="bottom"/>
            <w:gridSpan w:val="3"/>
          </w:tcPr>
          <w:p>
            <w:pPr>
              <w:ind w:left="80"/>
              <w:spacing w:after="0"/>
              <w:rPr>
                <w:sz w:val="20"/>
                <w:szCs w:val="20"/>
                <w:color w:val="auto"/>
              </w:rPr>
            </w:pPr>
            <w:r>
              <w:rPr>
                <w:rFonts w:ascii="Arial" w:cs="Arial" w:eastAsia="Arial" w:hAnsi="Arial"/>
                <w:sz w:val="18"/>
                <w:szCs w:val="18"/>
                <w:b w:val="1"/>
                <w:bCs w:val="1"/>
                <w:color w:val="auto"/>
              </w:rPr>
              <w:t>Delaware</w:t>
            </w:r>
          </w:p>
        </w:tc>
        <w:tc>
          <w:tcPr>
            <w:tcW w:w="420" w:type="dxa"/>
            <w:vAlign w:val="bottom"/>
          </w:tcPr>
          <w:p>
            <w:pPr>
              <w:spacing w:after="0"/>
              <w:rPr>
                <w:sz w:val="22"/>
                <w:szCs w:val="22"/>
                <w:color w:val="auto"/>
              </w:rPr>
            </w:pPr>
          </w:p>
        </w:tc>
        <w:tc>
          <w:tcPr>
            <w:tcW w:w="8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3"/>
        </w:trPr>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Borders>
              <w:right w:val="single" w:sz="8" w:color="auto"/>
            </w:tcBorders>
          </w:tcPr>
          <w:p>
            <w:pPr>
              <w:jc w:val="right"/>
              <w:ind w:right="192"/>
              <w:spacing w:after="0"/>
              <w:rPr>
                <w:sz w:val="20"/>
                <w:szCs w:val="20"/>
                <w:color w:val="auto"/>
              </w:rPr>
            </w:pPr>
            <w:r>
              <w:rPr>
                <w:rFonts w:ascii="Arial" w:cs="Arial" w:eastAsia="Arial" w:hAnsi="Arial"/>
                <w:sz w:val="22"/>
                <w:szCs w:val="22"/>
                <w:b w:val="1"/>
                <w:bCs w:val="1"/>
                <w:color w:val="auto"/>
                <w:w w:val="81"/>
              </w:rPr>
              <w:t>5</w:t>
            </w:r>
          </w:p>
        </w:tc>
        <w:tc>
          <w:tcPr>
            <w:tcW w:w="89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13"/>
        </w:trPr>
        <w:tc>
          <w:tcPr>
            <w:tcW w:w="162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8960" w:type="dxa"/>
            <w:vAlign w:val="bottom"/>
          </w:tcPr>
          <w:p>
            <w:pPr>
              <w:ind w:left="100"/>
              <w:spacing w:after="0" w:line="313" w:lineRule="exact"/>
              <w:rPr>
                <w:sz w:val="20"/>
                <w:szCs w:val="20"/>
                <w:color w:val="auto"/>
              </w:rPr>
            </w:pPr>
            <w:r>
              <w:rPr>
                <w:rFonts w:ascii="Arial" w:cs="Arial" w:eastAsia="Arial" w:hAnsi="Arial"/>
                <w:sz w:val="18"/>
                <w:szCs w:val="18"/>
                <w:b w:val="1"/>
                <w:bCs w:val="1"/>
                <w:color w:val="auto"/>
              </w:rPr>
              <w:t xml:space="preserve">30,595,624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35"/>
        </w:trPr>
        <w:tc>
          <w:tcPr>
            <w:tcW w:w="460" w:type="dxa"/>
            <w:vAlign w:val="bottom"/>
          </w:tcPr>
          <w:p>
            <w:pPr>
              <w:spacing w:after="0"/>
              <w:rPr>
                <w:sz w:val="3"/>
                <w:szCs w:val="3"/>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40" w:type="dxa"/>
            <w:vAlign w:val="bottom"/>
            <w:tcBorders>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right w:val="single" w:sz="8" w:color="auto"/>
            </w:tcBorders>
            <w:vMerge w:val="restart"/>
          </w:tcPr>
          <w:p>
            <w:pPr>
              <w:jc w:val="right"/>
              <w:ind w:right="192"/>
              <w:spacing w:after="0"/>
              <w:rPr>
                <w:sz w:val="20"/>
                <w:szCs w:val="20"/>
                <w:color w:val="auto"/>
              </w:rPr>
            </w:pPr>
            <w:r>
              <w:rPr>
                <w:rFonts w:ascii="Arial" w:cs="Arial" w:eastAsia="Arial" w:hAnsi="Arial"/>
                <w:sz w:val="22"/>
                <w:szCs w:val="22"/>
                <w:b w:val="1"/>
                <w:bCs w:val="1"/>
                <w:color w:val="auto"/>
                <w:w w:val="81"/>
              </w:rPr>
              <w:t>6</w:t>
            </w:r>
          </w:p>
        </w:tc>
        <w:tc>
          <w:tcPr>
            <w:tcW w:w="8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2"/>
        </w:trPr>
        <w:tc>
          <w:tcPr>
            <w:tcW w:w="162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1"/>
                <w:szCs w:val="11"/>
                <w:color w:val="auto"/>
              </w:rPr>
            </w:pPr>
          </w:p>
        </w:tc>
        <w:tc>
          <w:tcPr>
            <w:tcW w:w="420" w:type="dxa"/>
            <w:vAlign w:val="bottom"/>
            <w:tcBorders>
              <w:right w:val="single" w:sz="8" w:color="auto"/>
            </w:tcBorders>
            <w:vMerge w:val="continue"/>
          </w:tcPr>
          <w:p>
            <w:pPr>
              <w:spacing w:after="0"/>
              <w:rPr>
                <w:sz w:val="11"/>
                <w:szCs w:val="11"/>
                <w:color w:val="auto"/>
              </w:rPr>
            </w:pPr>
          </w:p>
        </w:tc>
        <w:tc>
          <w:tcPr>
            <w:tcW w:w="8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620" w:type="dxa"/>
            <w:vAlign w:val="bottom"/>
            <w:tcBorders>
              <w:right w:val="single" w:sz="8" w:color="auto"/>
            </w:tcBorders>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4"/>
        </w:trPr>
        <w:tc>
          <w:tcPr>
            <w:tcW w:w="162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8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720" w:type="dxa"/>
            <w:vAlign w:val="bottom"/>
            <w:gridSpan w:val="2"/>
          </w:tcPr>
          <w:p>
            <w:pPr>
              <w:jc w:val="center"/>
              <w:spacing w:after="0" w:line="203" w:lineRule="exact"/>
              <w:rPr>
                <w:sz w:val="20"/>
                <w:szCs w:val="20"/>
                <w:color w:val="auto"/>
              </w:rPr>
            </w:pPr>
            <w:r>
              <w:rPr>
                <w:rFonts w:ascii="Arial" w:cs="Arial" w:eastAsia="Arial" w:hAnsi="Arial"/>
                <w:sz w:val="18"/>
                <w:szCs w:val="18"/>
                <w:color w:val="auto"/>
                <w:w w:val="99"/>
              </w:rPr>
              <w:t>EACH</w:t>
            </w:r>
          </w:p>
        </w:tc>
        <w:tc>
          <w:tcPr>
            <w:tcW w:w="4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right w:val="single" w:sz="8" w:color="auto"/>
            </w:tcBorders>
          </w:tcPr>
          <w:p>
            <w:pPr>
              <w:jc w:val="right"/>
              <w:ind w:right="192"/>
              <w:spacing w:after="0" w:line="204" w:lineRule="exact"/>
              <w:rPr>
                <w:sz w:val="20"/>
                <w:szCs w:val="20"/>
                <w:color w:val="auto"/>
              </w:rPr>
            </w:pPr>
            <w:r>
              <w:rPr>
                <w:rFonts w:ascii="Arial" w:cs="Arial" w:eastAsia="Arial" w:hAnsi="Arial"/>
                <w:sz w:val="22"/>
                <w:szCs w:val="22"/>
                <w:b w:val="1"/>
                <w:bCs w:val="1"/>
                <w:color w:val="auto"/>
                <w:w w:val="81"/>
              </w:rPr>
              <w:t>7</w:t>
            </w:r>
          </w:p>
        </w:tc>
        <w:tc>
          <w:tcPr>
            <w:tcW w:w="8960" w:type="dxa"/>
            <w:vAlign w:val="bottom"/>
          </w:tcPr>
          <w:p>
            <w:pPr>
              <w:ind w:left="100"/>
              <w:spacing w:after="0" w:line="204"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0"/>
        </w:trPr>
        <w:tc>
          <w:tcPr>
            <w:tcW w:w="1620" w:type="dxa"/>
            <w:vAlign w:val="bottom"/>
            <w:tcBorders>
              <w:right w:val="single" w:sz="8" w:color="auto"/>
            </w:tcBorders>
            <w:gridSpan w:val="4"/>
          </w:tcPr>
          <w:p>
            <w:pPr>
              <w:jc w:val="center"/>
              <w:spacing w:after="0" w:line="200" w:lineRule="exact"/>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 xml:space="preserve">30,595,624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2"/>
              </w:rPr>
              <w:t>PERSON</w:t>
            </w:r>
          </w:p>
        </w:tc>
        <w:tc>
          <w:tcPr>
            <w:tcW w:w="44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8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60" w:type="dxa"/>
            <w:vAlign w:val="bottom"/>
          </w:tcPr>
          <w:p>
            <w:pPr>
              <w:spacing w:after="0"/>
              <w:rPr>
                <w:sz w:val="24"/>
                <w:szCs w:val="24"/>
                <w:color w:val="auto"/>
              </w:rPr>
            </w:pPr>
          </w:p>
        </w:tc>
        <w:tc>
          <w:tcPr>
            <w:tcW w:w="720" w:type="dxa"/>
            <w:vAlign w:val="bottom"/>
            <w:gridSpan w:val="2"/>
          </w:tcPr>
          <w:p>
            <w:pPr>
              <w:jc w:val="center"/>
              <w:spacing w:after="0" w:line="203" w:lineRule="exact"/>
              <w:rPr>
                <w:sz w:val="20"/>
                <w:szCs w:val="20"/>
                <w:color w:val="auto"/>
              </w:rPr>
            </w:pPr>
            <w:r>
              <w:rPr>
                <w:rFonts w:ascii="Arial" w:cs="Arial" w:eastAsia="Arial" w:hAnsi="Arial"/>
                <w:sz w:val="18"/>
                <w:szCs w:val="18"/>
                <w:color w:val="auto"/>
                <w:w w:val="99"/>
              </w:rPr>
              <w:t>WITH</w:t>
            </w:r>
          </w:p>
        </w:tc>
        <w:tc>
          <w:tcPr>
            <w:tcW w:w="4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Borders>
              <w:right w:val="single" w:sz="8" w:color="auto"/>
            </w:tcBorders>
          </w:tcPr>
          <w:p>
            <w:pPr>
              <w:jc w:val="right"/>
              <w:ind w:right="192"/>
              <w:spacing w:after="0"/>
              <w:rPr>
                <w:sz w:val="20"/>
                <w:szCs w:val="20"/>
                <w:color w:val="auto"/>
              </w:rPr>
            </w:pPr>
            <w:r>
              <w:rPr>
                <w:rFonts w:ascii="Arial" w:cs="Arial" w:eastAsia="Arial" w:hAnsi="Arial"/>
                <w:sz w:val="22"/>
                <w:szCs w:val="22"/>
                <w:b w:val="1"/>
                <w:bCs w:val="1"/>
                <w:color w:val="auto"/>
                <w:w w:val="81"/>
              </w:rPr>
              <w:t>8</w:t>
            </w:r>
          </w:p>
        </w:tc>
        <w:tc>
          <w:tcPr>
            <w:tcW w:w="89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8960" w:type="dxa"/>
            <w:vAlign w:val="bottom"/>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48"/>
        </w:trPr>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gridSpan w:val="2"/>
          </w:tcPr>
          <w:p>
            <w:pPr>
              <w:spacing w:after="0"/>
              <w:rPr>
                <w:sz w:val="4"/>
                <w:szCs w:val="4"/>
                <w:color w:val="auto"/>
              </w:rPr>
            </w:pPr>
          </w:p>
        </w:tc>
        <w:tc>
          <w:tcPr>
            <w:tcW w:w="660" w:type="dxa"/>
            <w:vAlign w:val="bottom"/>
            <w:tcBorders>
              <w:bottom w:val="single" w:sz="8" w:color="auto"/>
              <w:right w:val="single" w:sz="8" w:color="auto"/>
            </w:tcBorders>
            <w:gridSpan w:val="2"/>
          </w:tcPr>
          <w:p>
            <w:pPr>
              <w:spacing w:after="0"/>
              <w:rPr>
                <w:sz w:val="4"/>
                <w:szCs w:val="4"/>
                <w:color w:val="auto"/>
              </w:rPr>
            </w:pPr>
          </w:p>
        </w:tc>
        <w:tc>
          <w:tcPr>
            <w:tcW w:w="8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3"/>
        </w:trPr>
        <w:tc>
          <w:tcPr>
            <w:tcW w:w="460" w:type="dxa"/>
            <w:vAlign w:val="bottom"/>
          </w:tcPr>
          <w:p>
            <w:pPr>
              <w:jc w:val="center"/>
              <w:ind w:left="158"/>
              <w:spacing w:after="0"/>
              <w:rPr>
                <w:sz w:val="20"/>
                <w:szCs w:val="20"/>
                <w:color w:val="auto"/>
              </w:rPr>
            </w:pPr>
            <w:r>
              <w:rPr>
                <w:rFonts w:ascii="Arial" w:cs="Arial" w:eastAsia="Arial" w:hAnsi="Arial"/>
                <w:sz w:val="22"/>
                <w:szCs w:val="22"/>
                <w:b w:val="1"/>
                <w:bCs w:val="1"/>
                <w:color w:val="auto"/>
                <w:w w:val="97"/>
              </w:rPr>
              <w:t>9</w:t>
            </w:r>
          </w:p>
        </w:tc>
        <w:tc>
          <w:tcPr>
            <w:tcW w:w="260" w:type="dxa"/>
            <w:vAlign w:val="bottom"/>
            <w:tcBorders>
              <w:right w:val="single" w:sz="8" w:color="auto"/>
            </w:tcBorders>
          </w:tcPr>
          <w:p>
            <w:pPr>
              <w:spacing w:after="0"/>
              <w:rPr>
                <w:sz w:val="24"/>
                <w:szCs w:val="24"/>
                <w:color w:val="auto"/>
              </w:rPr>
            </w:pPr>
          </w:p>
        </w:tc>
        <w:tc>
          <w:tcPr>
            <w:tcW w:w="1052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48"/>
        </w:trPr>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87"/>
              </w:rPr>
              <w:t xml:space="preserve">30,595,624 </w:t>
            </w:r>
            <w:r>
              <w:rPr>
                <w:rFonts w:ascii="Arial" w:cs="Arial" w:eastAsia="Arial" w:hAnsi="Arial"/>
                <w:sz w:val="29"/>
                <w:szCs w:val="29"/>
                <w:b w:val="1"/>
                <w:bCs w:val="1"/>
                <w:color w:val="auto"/>
                <w:w w:val="87"/>
                <w:vertAlign w:val="superscript"/>
              </w:rPr>
              <w:t>(1)</w:t>
            </w:r>
          </w:p>
        </w:tc>
        <w:tc>
          <w:tcPr>
            <w:tcW w:w="42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60" w:type="dxa"/>
            <w:vAlign w:val="bottom"/>
          </w:tcPr>
          <w:p>
            <w:pPr>
              <w:jc w:val="center"/>
              <w:ind w:left="158"/>
              <w:spacing w:after="0"/>
              <w:rPr>
                <w:sz w:val="20"/>
                <w:szCs w:val="20"/>
                <w:color w:val="auto"/>
              </w:rPr>
            </w:pPr>
            <w:r>
              <w:rPr>
                <w:rFonts w:ascii="Arial" w:cs="Arial" w:eastAsia="Arial" w:hAnsi="Arial"/>
                <w:sz w:val="22"/>
                <w:szCs w:val="22"/>
                <w:b w:val="1"/>
                <w:bCs w:val="1"/>
                <w:color w:val="auto"/>
                <w:w w:val="81"/>
              </w:rPr>
              <w:t>10</w:t>
            </w:r>
          </w:p>
        </w:tc>
        <w:tc>
          <w:tcPr>
            <w:tcW w:w="260" w:type="dxa"/>
            <w:vAlign w:val="bottom"/>
            <w:tcBorders>
              <w:right w:val="single" w:sz="8" w:color="auto"/>
            </w:tcBorders>
          </w:tcPr>
          <w:p>
            <w:pPr>
              <w:spacing w:after="0"/>
              <w:rPr>
                <w:sz w:val="24"/>
                <w:szCs w:val="24"/>
                <w:color w:val="auto"/>
              </w:rPr>
            </w:pPr>
          </w:p>
        </w:tc>
        <w:tc>
          <w:tcPr>
            <w:tcW w:w="10520" w:type="dxa"/>
            <w:vAlign w:val="bottom"/>
            <w:gridSpan w:val="5"/>
          </w:tcPr>
          <w:p>
            <w:pPr>
              <w:ind w:left="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83"/>
        </w:trPr>
        <w:tc>
          <w:tcPr>
            <w:tcW w:w="46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4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052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460" w:type="dxa"/>
            <w:vAlign w:val="bottom"/>
          </w:tcPr>
          <w:p>
            <w:pPr>
              <w:jc w:val="center"/>
              <w:ind w:left="158"/>
              <w:spacing w:after="0"/>
              <w:rPr>
                <w:sz w:val="20"/>
                <w:szCs w:val="20"/>
                <w:color w:val="auto"/>
              </w:rPr>
            </w:pPr>
            <w:r>
              <w:rPr>
                <w:rFonts w:ascii="Arial" w:cs="Arial" w:eastAsia="Arial" w:hAnsi="Arial"/>
                <w:sz w:val="22"/>
                <w:szCs w:val="22"/>
                <w:b w:val="1"/>
                <w:bCs w:val="1"/>
                <w:color w:val="auto"/>
                <w:w w:val="81"/>
              </w:rPr>
              <w:t>11</w:t>
            </w:r>
          </w:p>
        </w:tc>
        <w:tc>
          <w:tcPr>
            <w:tcW w:w="260" w:type="dxa"/>
            <w:vAlign w:val="bottom"/>
            <w:tcBorders>
              <w:right w:val="single" w:sz="8" w:color="auto"/>
            </w:tcBorders>
          </w:tcPr>
          <w:p>
            <w:pPr>
              <w:spacing w:after="0"/>
              <w:rPr>
                <w:sz w:val="24"/>
                <w:szCs w:val="24"/>
                <w:color w:val="auto"/>
              </w:rPr>
            </w:pPr>
          </w:p>
        </w:tc>
        <w:tc>
          <w:tcPr>
            <w:tcW w:w="1052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348"/>
        </w:trPr>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 xml:space="preserve">9.0 % </w:t>
            </w:r>
            <w:r>
              <w:rPr>
                <w:rFonts w:ascii="Arial" w:cs="Arial" w:eastAsia="Arial" w:hAnsi="Arial"/>
                <w:sz w:val="29"/>
                <w:szCs w:val="29"/>
                <w:b w:val="1"/>
                <w:bCs w:val="1"/>
                <w:color w:val="auto"/>
                <w:vertAlign w:val="superscript"/>
              </w:rPr>
              <w:t>(2)</w:t>
            </w: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60" w:type="dxa"/>
            <w:vAlign w:val="bottom"/>
          </w:tcPr>
          <w:p>
            <w:pPr>
              <w:jc w:val="center"/>
              <w:ind w:left="158"/>
              <w:spacing w:after="0"/>
              <w:rPr>
                <w:sz w:val="20"/>
                <w:szCs w:val="20"/>
                <w:color w:val="auto"/>
              </w:rPr>
            </w:pPr>
            <w:r>
              <w:rPr>
                <w:rFonts w:ascii="Arial" w:cs="Arial" w:eastAsia="Arial" w:hAnsi="Arial"/>
                <w:sz w:val="22"/>
                <w:szCs w:val="22"/>
                <w:b w:val="1"/>
                <w:bCs w:val="1"/>
                <w:color w:val="auto"/>
                <w:w w:val="81"/>
              </w:rPr>
              <w:t>12</w:t>
            </w:r>
          </w:p>
        </w:tc>
        <w:tc>
          <w:tcPr>
            <w:tcW w:w="260" w:type="dxa"/>
            <w:vAlign w:val="bottom"/>
            <w:tcBorders>
              <w:right w:val="single" w:sz="8" w:color="auto"/>
            </w:tcBorders>
          </w:tcPr>
          <w:p>
            <w:pPr>
              <w:spacing w:after="0"/>
              <w:rPr>
                <w:sz w:val="24"/>
                <w:szCs w:val="24"/>
                <w:color w:val="auto"/>
              </w:rPr>
            </w:pPr>
          </w:p>
        </w:tc>
        <w:tc>
          <w:tcPr>
            <w:tcW w:w="1052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460" w:type="dxa"/>
            <w:vAlign w:val="bottom"/>
          </w:tcPr>
          <w:p>
            <w:pPr>
              <w:ind w:left="80"/>
              <w:spacing w:after="0"/>
              <w:rPr>
                <w:sz w:val="20"/>
                <w:szCs w:val="20"/>
                <w:color w:val="auto"/>
              </w:rPr>
            </w:pPr>
            <w:r>
              <w:rPr>
                <w:rFonts w:ascii="Arial" w:cs="Arial" w:eastAsia="Arial" w:hAnsi="Arial"/>
                <w:sz w:val="18"/>
                <w:szCs w:val="18"/>
                <w:b w:val="1"/>
                <w:bCs w:val="1"/>
                <w:color w:val="auto"/>
              </w:rPr>
              <w:t>OO</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58" w:lineRule="auto"/>
        <w:tabs>
          <w:tab w:leader="none" w:pos="500" w:val="left"/>
        </w:tabs>
        <w:numPr>
          <w:ilvl w:val="0"/>
          <w:numId w:val="6"/>
        </w:numPr>
        <w:rPr>
          <w:rFonts w:ascii="Arial" w:cs="Arial" w:eastAsia="Arial" w:hAnsi="Arial"/>
          <w:sz w:val="27"/>
          <w:szCs w:val="27"/>
          <w:color w:val="auto"/>
          <w:vertAlign w:val="superscript"/>
        </w:rPr>
      </w:pPr>
      <w:r>
        <w:rPr>
          <w:rFonts w:ascii="Arial" w:cs="Arial" w:eastAsia="Arial" w:hAnsi="Arial"/>
          <w:sz w:val="16"/>
          <w:szCs w:val="16"/>
          <w:color w:val="auto"/>
        </w:rPr>
        <w:t>The number represents 30,595,624 Ordinary Shares of the Issuer, which will be represented by 6,119,125 American Depositary Shares (“ADS”). The number excludes (i) 18,809,737 Ordinary Shares issuable upon exercise of certain warrants granted in the Private Placement, the exercise of which is subject to a beneficial ownership limitation of 9.99% of the Issuer’s outstanding Ordinary Shares, or (ii) an aggregate of 12,130,051 Ordinary Shares issuable upon conversion of certain convertible loan notes (including interest accrued until June 3, 2023, the maturity date of such notes) issued in the Private Placement, the conversion of which is subject to a beneficial ownership limitation of 9.99% of the Issuer’s outstanding Ordinary Shares. The securities are held of record by Vivo Opportunity Fund, L.P. Vivo Opportunity, LLC is the general partner of Vivo Opportunity Fund, L.P.</w:t>
      </w:r>
    </w:p>
    <w:p>
      <w:pPr>
        <w:spacing w:after="0" w:line="175" w:lineRule="exact"/>
        <w:rPr>
          <w:rFonts w:ascii="Arial" w:cs="Arial" w:eastAsia="Arial" w:hAnsi="Arial"/>
          <w:sz w:val="27"/>
          <w:szCs w:val="27"/>
          <w:color w:val="auto"/>
          <w:vertAlign w:val="superscript"/>
        </w:rPr>
      </w:pPr>
    </w:p>
    <w:p>
      <w:pPr>
        <w:ind w:left="500" w:right="180" w:hanging="492"/>
        <w:spacing w:after="0" w:line="194" w:lineRule="auto"/>
        <w:tabs>
          <w:tab w:leader="none" w:pos="50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Based on 338,713,962 Ordinary Shares issued and outstanding as of June 30, 2020, as reported in a report on Form 6-K filed by the Issuer with the Securities and Exchange Commission on June 30, 2020.</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 w:name="page4"/>
    <w:bookmarkEnd w:id="3"/>
    <w:p>
      <w:pPr>
        <w:spacing w:after="0"/>
        <w:tabs>
          <w:tab w:leader="none" w:pos="112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  (a)</w:t>
        <w:tab/>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Mereo BioPharma Group plc</w:t>
      </w:r>
    </w:p>
    <w:p>
      <w:pPr>
        <w:spacing w:after="0" w:line="221" w:lineRule="exact"/>
        <w:rPr>
          <w:sz w:val="20"/>
          <w:szCs w:val="20"/>
          <w:color w:val="auto"/>
        </w:rPr>
      </w:pPr>
    </w:p>
    <w:p>
      <w:pPr>
        <w:ind w:left="1140" w:hanging="484"/>
        <w:spacing w:after="0"/>
        <w:tabs>
          <w:tab w:leader="none" w:pos="11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FFICES</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4th Floor, One Cavendish Place,</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London, W1G 0QF, United Kingdom</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2.  (a)</w:t>
        <w:tab/>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1 to Schedule 13G is filed jointly by Vivo Capital IX, LLC and Vivo Opportunity, LLC.</w:t>
      </w:r>
    </w:p>
    <w:p>
      <w:pPr>
        <w:spacing w:after="0" w:line="221" w:lineRule="exact"/>
        <w:rPr>
          <w:sz w:val="20"/>
          <w:szCs w:val="20"/>
          <w:color w:val="auto"/>
        </w:rPr>
      </w:pPr>
    </w:p>
    <w:p>
      <w:pPr>
        <w:ind w:left="1140" w:hanging="484"/>
        <w:spacing w:after="0"/>
        <w:tabs>
          <w:tab w:leader="none" w:pos="11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 OR</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ONE</w:t>
      </w:r>
      <w:r>
        <w:rPr>
          <w:rFonts w:ascii="Arial" w:cs="Arial" w:eastAsia="Arial" w:hAnsi="Arial"/>
          <w:sz w:val="18"/>
          <w:szCs w:val="18"/>
          <w:b w:val="1"/>
          <w:bCs w:val="1"/>
          <w:color w:val="auto"/>
        </w:rPr>
        <w:t>, R</w:t>
      </w:r>
      <w:r>
        <w:rPr>
          <w:rFonts w:ascii="Arial" w:cs="Arial" w:eastAsia="Arial" w:hAnsi="Arial"/>
          <w:sz w:val="12"/>
          <w:szCs w:val="12"/>
          <w:b w:val="1"/>
          <w:bCs w:val="1"/>
          <w:color w:val="auto"/>
        </w:rPr>
        <w:t>ESIDENCE</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192 Lytton Avenue, Palo Alto, CA 94301</w:t>
      </w:r>
    </w:p>
    <w:p>
      <w:pPr>
        <w:spacing w:after="0" w:line="221" w:lineRule="exact"/>
        <w:rPr>
          <w:sz w:val="20"/>
          <w:szCs w:val="20"/>
          <w:color w:val="auto"/>
        </w:rPr>
      </w:pPr>
    </w:p>
    <w:p>
      <w:pPr>
        <w:ind w:left="1140" w:hanging="484"/>
        <w:spacing w:after="0"/>
        <w:tabs>
          <w:tab w:leader="none" w:pos="11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ITIZENSHIP</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Vivo Capital IX, LLC is a Delaware limited liability company.</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Vivo Opportunity, LLC is a Delaware limited liability company.</w:t>
      </w:r>
    </w:p>
    <w:p>
      <w:pPr>
        <w:spacing w:after="0" w:line="221" w:lineRule="exact"/>
        <w:rPr>
          <w:sz w:val="20"/>
          <w:szCs w:val="20"/>
          <w:color w:val="auto"/>
        </w:rPr>
      </w:pPr>
    </w:p>
    <w:p>
      <w:pPr>
        <w:ind w:left="1140" w:hanging="484"/>
        <w:spacing w:after="0"/>
        <w:tabs>
          <w:tab w:leader="none" w:pos="11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ITLE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Ordinary Shares, nominal value £0.003, represented by American Depositary Shares, each of which represents five Ordinary Shares.</w:t>
      </w:r>
    </w:p>
    <w:p>
      <w:pPr>
        <w:spacing w:after="0" w:line="244" w:lineRule="exact"/>
        <w:rPr>
          <w:sz w:val="20"/>
          <w:szCs w:val="20"/>
          <w:color w:val="auto"/>
        </w:rPr>
      </w:pPr>
    </w:p>
    <w:p>
      <w:pPr>
        <w:ind w:left="1140" w:right="8540" w:hanging="484"/>
        <w:spacing w:after="0" w:line="530" w:lineRule="auto"/>
        <w:tabs>
          <w:tab w:leader="none" w:pos="114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CUSIP N</w:t>
      </w:r>
      <w:r>
        <w:rPr>
          <w:rFonts w:ascii="Arial" w:cs="Arial" w:eastAsia="Arial" w:hAnsi="Arial"/>
          <w:sz w:val="11"/>
          <w:szCs w:val="11"/>
          <w:b w:val="1"/>
          <w:bCs w:val="1"/>
          <w:color w:val="auto"/>
        </w:rPr>
        <w:t>UMBER</w:t>
      </w:r>
      <w:r>
        <w:rPr>
          <w:rFonts w:ascii="Arial" w:cs="Arial" w:eastAsia="Arial" w:hAnsi="Arial"/>
          <w:sz w:val="17"/>
          <w:szCs w:val="17"/>
          <w:b w:val="1"/>
          <w:bCs w:val="1"/>
          <w:color w:val="auto"/>
        </w:rPr>
        <w:t xml:space="preserve">: </w:t>
      </w:r>
      <w:r>
        <w:rPr>
          <w:rFonts w:ascii="Arial" w:cs="Arial" w:eastAsia="Arial" w:hAnsi="Arial"/>
          <w:sz w:val="17"/>
          <w:szCs w:val="17"/>
          <w:color w:val="auto"/>
        </w:rPr>
        <w:t>589492107</w:t>
      </w:r>
    </w:p>
    <w:p>
      <w:pPr>
        <w:spacing w:after="0" w:line="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3.</w:t>
      </w:r>
      <w:r>
        <w:rPr>
          <w:sz w:val="20"/>
          <w:szCs w:val="20"/>
          <w:color w:val="auto"/>
        </w:rPr>
        <w:tab/>
      </w:r>
      <w:r>
        <w:rPr>
          <w:rFonts w:ascii="Arial" w:cs="Arial" w:eastAsia="Arial" w:hAnsi="Arial"/>
          <w:sz w:val="17"/>
          <w:szCs w:val="17"/>
          <w:b w:val="1"/>
          <w:bCs w:val="1"/>
          <w:color w:val="auto"/>
        </w:rPr>
        <w:t>I</w:t>
      </w:r>
      <w:r>
        <w:rPr>
          <w:rFonts w:ascii="Arial" w:cs="Arial" w:eastAsia="Arial" w:hAnsi="Arial"/>
          <w:sz w:val="11"/>
          <w:szCs w:val="11"/>
          <w:b w:val="1"/>
          <w:bCs w:val="1"/>
          <w:color w:val="auto"/>
        </w:rPr>
        <w:t>F</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HIS</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TATEMENT IS</w:t>
      </w:r>
      <w:r>
        <w:rPr>
          <w:rFonts w:ascii="Arial" w:cs="Arial" w:eastAsia="Arial" w:hAnsi="Arial"/>
          <w:sz w:val="17"/>
          <w:szCs w:val="17"/>
          <w:b w:val="1"/>
          <w:bCs w:val="1"/>
          <w:color w:val="auto"/>
        </w:rPr>
        <w:t xml:space="preserve"> F</w:t>
      </w:r>
      <w:r>
        <w:rPr>
          <w:rFonts w:ascii="Arial" w:cs="Arial" w:eastAsia="Arial" w:hAnsi="Arial"/>
          <w:sz w:val="11"/>
          <w:szCs w:val="11"/>
          <w:b w:val="1"/>
          <w:bCs w:val="1"/>
          <w:color w:val="auto"/>
        </w:rPr>
        <w:t>ILED</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URSUANT TO</w:t>
      </w:r>
      <w:r>
        <w:rPr>
          <w:rFonts w:ascii="Arial" w:cs="Arial" w:eastAsia="Arial" w:hAnsi="Arial"/>
          <w:sz w:val="17"/>
          <w:szCs w:val="17"/>
          <w:b w:val="1"/>
          <w:bCs w:val="1"/>
          <w:color w:val="auto"/>
        </w:rPr>
        <w:t xml:space="preserve"> §§ 240.13d-1(b), </w:t>
      </w:r>
      <w:r>
        <w:rPr>
          <w:rFonts w:ascii="Arial" w:cs="Arial" w:eastAsia="Arial" w:hAnsi="Arial"/>
          <w:sz w:val="11"/>
          <w:szCs w:val="11"/>
          <w:b w:val="1"/>
          <w:bCs w:val="1"/>
          <w:color w:val="auto"/>
        </w:rPr>
        <w:t>OR</w:t>
      </w:r>
      <w:r>
        <w:rPr>
          <w:rFonts w:ascii="Arial" w:cs="Arial" w:eastAsia="Arial" w:hAnsi="Arial"/>
          <w:sz w:val="17"/>
          <w:szCs w:val="17"/>
          <w:b w:val="1"/>
          <w:bCs w:val="1"/>
          <w:color w:val="auto"/>
        </w:rPr>
        <w:t xml:space="preserve"> 240.13d-2(b) </w:t>
      </w:r>
      <w:r>
        <w:rPr>
          <w:rFonts w:ascii="Arial" w:cs="Arial" w:eastAsia="Arial" w:hAnsi="Arial"/>
          <w:sz w:val="11"/>
          <w:szCs w:val="11"/>
          <w:b w:val="1"/>
          <w:bCs w:val="1"/>
          <w:color w:val="auto"/>
        </w:rPr>
        <w:t>OR</w:t>
      </w:r>
      <w:r>
        <w:rPr>
          <w:rFonts w:ascii="Arial" w:cs="Arial" w:eastAsia="Arial" w:hAnsi="Arial"/>
          <w:sz w:val="17"/>
          <w:szCs w:val="17"/>
          <w:b w:val="1"/>
          <w:bCs w:val="1"/>
          <w:color w:val="auto"/>
        </w:rPr>
        <w:t xml:space="preserve"> (c), C</w:t>
      </w:r>
      <w:r>
        <w:rPr>
          <w:rFonts w:ascii="Arial" w:cs="Arial" w:eastAsia="Arial" w:hAnsi="Arial"/>
          <w:sz w:val="11"/>
          <w:szCs w:val="11"/>
          <w:b w:val="1"/>
          <w:bCs w:val="1"/>
          <w:color w:val="auto"/>
        </w:rPr>
        <w:t>HECK</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HETHER THE</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ERSON</w:t>
      </w:r>
      <w:r>
        <w:rPr>
          <w:rFonts w:ascii="Arial" w:cs="Arial" w:eastAsia="Arial" w:hAnsi="Arial"/>
          <w:sz w:val="17"/>
          <w:szCs w:val="17"/>
          <w:b w:val="1"/>
          <w:bCs w:val="1"/>
          <w:color w:val="auto"/>
        </w:rPr>
        <w:t xml:space="preserve"> F</w:t>
      </w:r>
      <w:r>
        <w:rPr>
          <w:rFonts w:ascii="Arial" w:cs="Arial" w:eastAsia="Arial" w:hAnsi="Arial"/>
          <w:sz w:val="11"/>
          <w:szCs w:val="11"/>
          <w:b w:val="1"/>
          <w:bCs w:val="1"/>
          <w:color w:val="auto"/>
        </w:rPr>
        <w:t>ILING IS A</w:t>
      </w:r>
      <w:r>
        <w:rPr>
          <w:rFonts w:ascii="Arial" w:cs="Arial" w:eastAsia="Arial" w:hAnsi="Arial"/>
          <w:sz w:val="17"/>
          <w:szCs w:val="17"/>
          <w:b w:val="1"/>
          <w:bCs w:val="1"/>
          <w:color w:val="auto"/>
        </w:rPr>
        <w:t>:</w:t>
      </w:r>
    </w:p>
    <w:p>
      <w:pPr>
        <w:spacing w:after="0" w:line="196" w:lineRule="exact"/>
        <w:rPr>
          <w:sz w:val="20"/>
          <w:szCs w:val="20"/>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 240.13d-1(b)(1)(ii)(E);</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240.13d-1(b)(l)(ii)(G);</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1620" w:hanging="964"/>
        <w:spacing w:after="0" w:line="223" w:lineRule="exact"/>
        <w:tabs>
          <w:tab w:leader="none" w:pos="1134"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w:t>
      </w:r>
    </w:p>
    <w:p>
      <w:pPr>
        <w:spacing w:after="0" w:line="202"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 240.13d-1(b)(l)(ii)(K).</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________________</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904" w:right="679" w:bottom="1440" w:gutter="0" w:footer="0" w:header="0"/>
        </w:sectPr>
      </w:pPr>
    </w:p>
    <w:bookmarkStart w:id="4" w:name="page5"/>
    <w:bookmarkEnd w:id="4"/>
    <w:p>
      <w:pPr>
        <w:spacing w:after="0"/>
        <w:tabs>
          <w:tab w:leader="none" w:pos="7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4.</w:t>
        <w:tab/>
        <w:t>O</w:t>
      </w:r>
      <w:r>
        <w:rPr>
          <w:rFonts w:ascii="Arial" w:cs="Arial" w:eastAsia="Arial" w:hAnsi="Arial"/>
          <w:sz w:val="12"/>
          <w:szCs w:val="12"/>
          <w:b w:val="1"/>
          <w:bCs w:val="1"/>
          <w:color w:val="auto"/>
        </w:rPr>
        <w:t>WNERSHIP</w:t>
      </w:r>
      <w:r>
        <w:rPr>
          <w:rFonts w:ascii="Arial" w:cs="Arial" w:eastAsia="Arial" w:hAnsi="Arial"/>
          <w:sz w:val="18"/>
          <w:szCs w:val="18"/>
          <w:b w:val="1"/>
          <w:bCs w:val="1"/>
          <w:color w:val="auto"/>
        </w:rPr>
        <w:t>.</w:t>
      </w:r>
    </w:p>
    <w:p>
      <w:pPr>
        <w:spacing w:after="0" w:line="225" w:lineRule="exact"/>
        <w:rPr>
          <w:sz w:val="20"/>
          <w:szCs w:val="20"/>
          <w:color w:val="auto"/>
        </w:rPr>
      </w:pPr>
    </w:p>
    <w:p>
      <w:pPr>
        <w:ind w:left="1220" w:hanging="497"/>
        <w:spacing w:after="0"/>
        <w:tabs>
          <w:tab w:leader="none" w:pos="122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MOUNT BENEFICIALLY OWNED</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Vivo Capital IX, LLC</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6,827,057 Ordinary Shares, represented by 1,365,411 ADSs, are held of record by Vivo Capital Fund IX, L.P. Vivo Capital IX, LLC is the general partner of Vivo Capital Fund IX, L.P. The voting members of Vivo Capital IX, LLC are Frank Kung, Edgar Engleman, Albert Cha, Shan Fu and Chen Yu, none of whom has individual voting or investment power with respect to these shares and each of whom disclaims beneficial ownership of such shares.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(2) Vivo Opportunity, LLC</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30,595,624 Ordinary Shares, represented by 6,119,125 ADSs, are held of record by Vivo Opportunity Fund, L.P. Vivo Opportunity, LLC is the general partner of Vivo Opportunity Fund, L.P. The voting members of Vivo Opportunity, LLC are Albert Cha, Gaurav Aggarwal, Shan Fu, Frank Kung and Michael Chang, none of whom has individual voting or investment power with respect to these shares and each of whom disclaims beneficial ownership of such shares.</w:t>
      </w:r>
    </w:p>
    <w:p>
      <w:pPr>
        <w:spacing w:after="0" w:line="183" w:lineRule="exact"/>
        <w:rPr>
          <w:sz w:val="20"/>
          <w:szCs w:val="20"/>
          <w:color w:val="auto"/>
        </w:rPr>
      </w:pPr>
    </w:p>
    <w:p>
      <w:pPr>
        <w:ind w:left="1220" w:hanging="497"/>
        <w:spacing w:after="0"/>
        <w:tabs>
          <w:tab w:leader="none" w:pos="12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 OF CLASS</w:t>
      </w:r>
      <w:r>
        <w:rPr>
          <w:rFonts w:ascii="Arial" w:cs="Arial" w:eastAsia="Arial" w:hAnsi="Arial"/>
          <w:sz w:val="18"/>
          <w:szCs w:val="18"/>
          <w:b w:val="1"/>
          <w:bCs w:val="1"/>
          <w:color w:val="auto"/>
        </w:rPr>
        <w:t>:</w:t>
      </w: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Vivo Capital IX, LLC: 2.0%</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Vivo Opportunity, LLC: 9.0%</w:t>
      </w:r>
    </w:p>
    <w:p>
      <w:pPr>
        <w:spacing w:after="0" w:line="221" w:lineRule="exact"/>
        <w:rPr>
          <w:sz w:val="20"/>
          <w:szCs w:val="20"/>
          <w:color w:val="auto"/>
        </w:rPr>
      </w:pPr>
    </w:p>
    <w:p>
      <w:pPr>
        <w:ind w:left="1220" w:hanging="497"/>
        <w:spacing w:after="0"/>
        <w:tabs>
          <w:tab w:leader="none" w:pos="12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 OF SHARES AS TO WHICH SUCH PERSON HAS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620" w:hanging="397"/>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Vivo Capital IX, LLC: 6,827,057 Ordinary Shares, represented by 1,365,411 ADSs</w:t>
      </w:r>
    </w:p>
    <w:p>
      <w:pPr>
        <w:spacing w:after="0" w:line="22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Vivo Opportunity, LLC: 30,595,624 Ordinary Shares, represented by 6,119,125 ADSs</w:t>
      </w:r>
    </w:p>
    <w:p>
      <w:pPr>
        <w:spacing w:after="0" w:line="225" w:lineRule="exact"/>
        <w:rPr>
          <w:rFonts w:ascii="Arial" w:cs="Arial" w:eastAsia="Arial" w:hAnsi="Arial"/>
          <w:sz w:val="18"/>
          <w:szCs w:val="18"/>
          <w:color w:val="auto"/>
        </w:rPr>
      </w:pPr>
    </w:p>
    <w:p>
      <w:pPr>
        <w:ind w:left="1620" w:hanging="397"/>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620" w:hanging="397"/>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Vivo Capital IX, LLC: 6,827,057 Ordinary Shares, represented by 1,365,411 ADSs</w:t>
      </w:r>
    </w:p>
    <w:p>
      <w:pPr>
        <w:spacing w:after="0" w:line="22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Vivo Opportunity, LLC: 30,595,624 Ordinary Shares, represented by 6,119,125 ADSs</w:t>
      </w:r>
    </w:p>
    <w:p>
      <w:pPr>
        <w:spacing w:after="0" w:line="225" w:lineRule="exact"/>
        <w:rPr>
          <w:rFonts w:ascii="Arial" w:cs="Arial" w:eastAsia="Arial" w:hAnsi="Arial"/>
          <w:sz w:val="18"/>
          <w:szCs w:val="18"/>
          <w:color w:val="auto"/>
        </w:rPr>
      </w:pPr>
    </w:p>
    <w:p>
      <w:pPr>
        <w:ind w:left="1620" w:hanging="397"/>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dispose of or to direct the disposition of: 0</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5" w:name="page6"/>
    <w:bookmarkEnd w:id="5"/>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5.</w:t>
        <w:tab/>
        <w:t>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ESS OF A</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6.</w:t>
        <w:tab/>
        <w:t>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ORE THAN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ON</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EHALF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NOTHER</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820" w:right="98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7.</w:t>
        <w:tab/>
        <w:t>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UBSIDIARY</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HICH</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CQUIRED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ECURITY</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EPORTED ON BY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ARENT</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OLDING</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ONTROL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8.</w:t>
        <w:tab/>
        <w:t>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EMBERS OF THE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9.</w:t>
        <w:tab/>
        <w:t>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ISSOLUTION OF</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10.</w:t>
        <w:tab/>
        <w:t>C</w:t>
      </w:r>
      <w:r>
        <w:rPr>
          <w:rFonts w:ascii="Arial" w:cs="Arial" w:eastAsia="Arial" w:hAnsi="Arial"/>
          <w:sz w:val="12"/>
          <w:szCs w:val="12"/>
          <w:b w:val="1"/>
          <w:bCs w:val="1"/>
          <w:color w:val="auto"/>
        </w:rPr>
        <w:t>ERTIFICATIONS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 w:name="page7"/>
    <w:bookmarkEnd w:id="6"/>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81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Capital IX,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July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Opportunity,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July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lowerLetter"/>
      <w:start w:val="2"/>
    </w:lvl>
  </w:abstractNum>
  <w:abstractNum w:abstractNumId="7">
    <w:nsid w:val="66EF438D"/>
    <w:multiLevelType w:val="hybridMultilevel"/>
    <w:lvl w:ilvl="0">
      <w:lvlJc w:val="left"/>
      <w:lvlText w:val="(%1)"/>
      <w:numFmt w:val="lowerLetter"/>
      <w:start w:val="2"/>
    </w:lvl>
  </w:abstractNum>
  <w:abstractNum w:abstractNumId="8">
    <w:nsid w:val="140E0F76"/>
    <w:multiLevelType w:val="hybridMultilevel"/>
    <w:lvl w:ilvl="0">
      <w:lvlJc w:val="left"/>
      <w:lvlText w:val="(%1)"/>
      <w:numFmt w:val="lowerLetter"/>
      <w:start w:val="3"/>
    </w:lvl>
  </w:abstractNum>
  <w:abstractNum w:abstractNumId="9">
    <w:nsid w:val="3352255A"/>
    <w:multiLevelType w:val="hybridMultilevel"/>
    <w:lvl w:ilvl="0">
      <w:lvlJc w:val="left"/>
      <w:lvlText w:val="(%1)"/>
      <w:numFmt w:val="lowerLetter"/>
      <w:start w:val="4"/>
    </w:lvl>
  </w:abstractNum>
  <w:abstractNum w:abstractNumId="10">
    <w:nsid w:val="109CF92E"/>
    <w:multiLevelType w:val="hybridMultilevel"/>
    <w:lvl w:ilvl="0">
      <w:lvlJc w:val="left"/>
      <w:lvlText w:val="(%1)"/>
      <w:numFmt w:val="lowerLetter"/>
      <w:start w:val="5"/>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lowerLetter"/>
      <w:start w:val="2"/>
    </w:lvl>
  </w:abstractNum>
  <w:abstractNum w:abstractNumId="15">
    <w:nsid w:val="6B68079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2020-07-10T15:32:04Z</dcterms:created>
  <dcterms:modified xsi:type="dcterms:W3CDTF">2020-07-10T15:32:04Z</dcterms:modified>
</cp:coreProperties>
</file>