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7047230" cy="5321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32130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Ekblom Anders</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760"/>
        <w:spacing w:after="0" w:line="375" w:lineRule="auto"/>
        <w:rPr>
          <w:sz w:val="20"/>
          <w:szCs w:val="20"/>
          <w:color w:val="auto"/>
        </w:rPr>
      </w:pPr>
      <w:r>
        <w:rPr>
          <w:rFonts w:ascii="Times New Roman" w:cs="Times New Roman" w:eastAsia="Times New Roman" w:hAnsi="Times New Roman"/>
          <w:sz w:val="16"/>
          <w:szCs w:val="16"/>
          <w:color w:val="0000FF"/>
        </w:rPr>
        <w:t>C/O MEREO BIOPHARMA GROUP PLC 4TH FLOOR, ONE CAVENDISH PLACE</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W1G 0QF</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Mereo BioPharma Group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MREO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6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58"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6"/>
        </w:trPr>
        <w:tc>
          <w:tcPr>
            <w:tcW w:w="2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02/08/2024</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27"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9" w:lineRule="exact"/>
        <w:rPr>
          <w:sz w:val="24"/>
          <w:szCs w:val="24"/>
          <w:color w:val="auto"/>
        </w:rPr>
      </w:pPr>
    </w:p>
    <w:p>
      <w:pPr>
        <w:ind w:left="320" w:right="34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of Securities</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9"/>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vMerge w:val="restart"/>
          </w:tcPr>
          <w:p>
            <w:pPr>
              <w:jc w:val="center"/>
              <w:ind w:right="1"/>
              <w:spacing w:after="0"/>
              <w:rPr>
                <w:sz w:val="20"/>
                <w:szCs w:val="20"/>
                <w:color w:val="auto"/>
              </w:rPr>
            </w:pPr>
            <w:r>
              <w:rPr>
                <w:rFonts w:ascii="Times New Roman" w:cs="Times New Roman" w:eastAsia="Times New Roman" w:hAnsi="Times New Roman"/>
                <w:sz w:val="13"/>
                <w:szCs w:val="13"/>
                <w:color w:val="0000FF"/>
                <w:w w:val="97"/>
              </w:rPr>
              <w:t>American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restart"/>
          </w:tcPr>
          <w:p>
            <w:pPr>
              <w:ind w:left="20"/>
              <w:spacing w:after="0" w:line="192" w:lineRule="exact"/>
              <w:rPr>
                <w:sz w:val="20"/>
                <w:szCs w:val="20"/>
                <w:color w:val="auto"/>
              </w:rPr>
            </w:pPr>
            <w:r>
              <w:rPr>
                <w:rFonts w:ascii="Times New Roman" w:cs="Times New Roman" w:eastAsia="Times New Roman" w:hAnsi="Times New Roman"/>
                <w:sz w:val="17"/>
                <w:szCs w:val="17"/>
                <w:color w:val="0000FF"/>
              </w:rPr>
              <w:t>45,000</w:t>
            </w: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680" w:type="dxa"/>
            <w:vAlign w:val="bottom"/>
            <w:vMerge w:val="continue"/>
          </w:tcPr>
          <w:p>
            <w:pPr>
              <w:spacing w:after="0"/>
              <w:rPr>
                <w:sz w:val="7"/>
                <w:szCs w:val="7"/>
                <w:color w:val="auto"/>
              </w:rPr>
            </w:pPr>
          </w:p>
        </w:tc>
        <w:tc>
          <w:tcPr>
            <w:tcW w:w="780" w:type="dxa"/>
            <w:vAlign w:val="bottom"/>
            <w:vMerge w:val="restart"/>
          </w:tcPr>
          <w:p>
            <w:pPr>
              <w:jc w:val="center"/>
              <w:ind w:right="16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3.87</w:t>
            </w:r>
          </w:p>
        </w:tc>
        <w:tc>
          <w:tcPr>
            <w:tcW w:w="1060" w:type="dxa"/>
            <w:vAlign w:val="bottom"/>
            <w:vMerge w:val="restart"/>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02/08/2024</w:t>
            </w:r>
          </w:p>
        </w:tc>
        <w:tc>
          <w:tcPr>
            <w:tcW w:w="1080" w:type="dxa"/>
            <w:vAlign w:val="bottom"/>
          </w:tcPr>
          <w:p>
            <w:pPr>
              <w:spacing w:after="0"/>
              <w:rPr>
                <w:sz w:val="7"/>
                <w:szCs w:val="7"/>
                <w:color w:val="auto"/>
              </w:rPr>
            </w:pPr>
          </w:p>
        </w:tc>
        <w:tc>
          <w:tcPr>
            <w:tcW w:w="8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45,000</w:t>
            </w:r>
          </w:p>
        </w:tc>
        <w:tc>
          <w:tcPr>
            <w:tcW w:w="280" w:type="dxa"/>
            <w:vAlign w:val="bottom"/>
          </w:tcPr>
          <w:p>
            <w:pPr>
              <w:spacing w:after="0"/>
              <w:rPr>
                <w:sz w:val="7"/>
                <w:szCs w:val="7"/>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
              <w:spacing w:after="0" w:line="141" w:lineRule="exact"/>
              <w:rPr>
                <w:sz w:val="20"/>
                <w:szCs w:val="20"/>
                <w:color w:val="auto"/>
              </w:rPr>
            </w:pPr>
            <w:r>
              <w:rPr>
                <w:rFonts w:ascii="Times New Roman" w:cs="Times New Roman" w:eastAsia="Times New Roman" w:hAnsi="Times New Roman"/>
                <w:sz w:val="13"/>
                <w:szCs w:val="13"/>
                <w:color w:val="0000FF"/>
              </w:rPr>
              <w:t>02/08/2034</w:t>
            </w:r>
          </w:p>
        </w:tc>
        <w:tc>
          <w:tcPr>
            <w:tcW w:w="76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Depository</w:t>
            </w:r>
          </w:p>
        </w:tc>
        <w:tc>
          <w:tcPr>
            <w:tcW w:w="540" w:type="dxa"/>
            <w:vAlign w:val="bottom"/>
            <w:vMerge w:val="continue"/>
          </w:tcPr>
          <w:p>
            <w:pPr>
              <w:spacing w:after="0"/>
              <w:rPr>
                <w:sz w:val="7"/>
                <w:szCs w:val="7"/>
                <w:color w:val="auto"/>
              </w:rPr>
            </w:pPr>
          </w:p>
        </w:tc>
        <w:tc>
          <w:tcPr>
            <w:tcW w:w="680" w:type="dxa"/>
            <w:vAlign w:val="bottom"/>
            <w:vMerge w:val="restart"/>
          </w:tcPr>
          <w:p>
            <w:pPr>
              <w:jc w:val="center"/>
              <w:ind w:right="12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20" w:type="dxa"/>
            <w:vAlign w:val="bottom"/>
            <w:vMerge w:val="restart"/>
          </w:tcPr>
          <w:p>
            <w:pPr>
              <w:ind w:left="300"/>
              <w:spacing w:after="0" w:line="141" w:lineRule="exact"/>
              <w:rPr>
                <w:sz w:val="20"/>
                <w:szCs w:val="20"/>
                <w:color w:val="auto"/>
              </w:rPr>
            </w:pPr>
            <w:r>
              <w:rPr>
                <w:rFonts w:ascii="Times New Roman" w:cs="Times New Roman" w:eastAsia="Times New Roman" w:hAnsi="Times New Roman"/>
                <w:sz w:val="13"/>
                <w:szCs w:val="13"/>
                <w:color w:val="0000FF"/>
              </w:rPr>
              <w:t>45,000</w:t>
            </w:r>
          </w:p>
        </w:tc>
        <w:tc>
          <w:tcPr>
            <w:tcW w:w="7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6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jc w:val="center"/>
              <w:ind w:right="1"/>
              <w:spacing w:after="0" w:line="154"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(2)</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buy)</w:t>
            </w:r>
          </w:p>
        </w:tc>
        <w:tc>
          <w:tcPr>
            <w:tcW w:w="78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vMerge w:val="restart"/>
          </w:tcPr>
          <w:p>
            <w:pPr>
              <w:jc w:val="center"/>
              <w:ind w:right="1"/>
              <w:spacing w:after="0"/>
              <w:rPr>
                <w:sz w:val="20"/>
                <w:szCs w:val="20"/>
                <w:color w:val="auto"/>
              </w:rPr>
            </w:pPr>
            <w:r>
              <w:rPr>
                <w:rFonts w:ascii="Times New Roman" w:cs="Times New Roman" w:eastAsia="Times New Roman" w:hAnsi="Times New Roman"/>
                <w:sz w:val="13"/>
                <w:szCs w:val="13"/>
                <w:color w:val="0000FF"/>
                <w:w w:val="97"/>
              </w:rPr>
              <w:t>American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restart"/>
          </w:tcPr>
          <w:p>
            <w:pPr>
              <w:ind w:left="20"/>
              <w:spacing w:after="0" w:line="192" w:lineRule="exact"/>
              <w:rPr>
                <w:sz w:val="20"/>
                <w:szCs w:val="20"/>
                <w:color w:val="auto"/>
              </w:rPr>
            </w:pPr>
            <w:r>
              <w:rPr>
                <w:rFonts w:ascii="Times New Roman" w:cs="Times New Roman" w:eastAsia="Times New Roman" w:hAnsi="Times New Roman"/>
                <w:sz w:val="17"/>
                <w:szCs w:val="17"/>
                <w:color w:val="0000FF"/>
              </w:rPr>
              <w:t>19,471</w:t>
            </w: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680" w:type="dxa"/>
            <w:vAlign w:val="bottom"/>
            <w:vMerge w:val="continue"/>
          </w:tcPr>
          <w:p>
            <w:pPr>
              <w:spacing w:after="0"/>
              <w:rPr>
                <w:sz w:val="7"/>
                <w:szCs w:val="7"/>
                <w:color w:val="auto"/>
              </w:rPr>
            </w:pP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vMerge w:val="restart"/>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02/08/2024</w:t>
            </w:r>
          </w:p>
        </w:tc>
        <w:tc>
          <w:tcPr>
            <w:tcW w:w="1080" w:type="dxa"/>
            <w:vAlign w:val="bottom"/>
          </w:tcPr>
          <w:p>
            <w:pPr>
              <w:spacing w:after="0"/>
              <w:rPr>
                <w:sz w:val="7"/>
                <w:szCs w:val="7"/>
                <w:color w:val="auto"/>
              </w:rPr>
            </w:pPr>
          </w:p>
        </w:tc>
        <w:tc>
          <w:tcPr>
            <w:tcW w:w="8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19,471</w:t>
            </w:r>
          </w:p>
        </w:tc>
        <w:tc>
          <w:tcPr>
            <w:tcW w:w="280" w:type="dxa"/>
            <w:vAlign w:val="bottom"/>
          </w:tcPr>
          <w:p>
            <w:pPr>
              <w:spacing w:after="0"/>
              <w:rPr>
                <w:sz w:val="7"/>
                <w:szCs w:val="7"/>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right"/>
              <w:ind w:right="242"/>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Depository</w:t>
            </w:r>
          </w:p>
        </w:tc>
        <w:tc>
          <w:tcPr>
            <w:tcW w:w="540" w:type="dxa"/>
            <w:vAlign w:val="bottom"/>
            <w:vMerge w:val="continue"/>
          </w:tcPr>
          <w:p>
            <w:pPr>
              <w:spacing w:after="0"/>
              <w:rPr>
                <w:sz w:val="7"/>
                <w:szCs w:val="7"/>
                <w:color w:val="auto"/>
              </w:rPr>
            </w:pPr>
          </w:p>
        </w:tc>
        <w:tc>
          <w:tcPr>
            <w:tcW w:w="68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(3)</w:t>
            </w:r>
          </w:p>
        </w:tc>
        <w:tc>
          <w:tcPr>
            <w:tcW w:w="920" w:type="dxa"/>
            <w:vAlign w:val="bottom"/>
            <w:vMerge w:val="restart"/>
          </w:tcPr>
          <w:p>
            <w:pPr>
              <w:ind w:left="300"/>
              <w:spacing w:after="0" w:line="141" w:lineRule="exact"/>
              <w:rPr>
                <w:sz w:val="20"/>
                <w:szCs w:val="20"/>
                <w:color w:val="auto"/>
              </w:rPr>
            </w:pPr>
            <w:r>
              <w:rPr>
                <w:rFonts w:ascii="Times New Roman" w:cs="Times New Roman" w:eastAsia="Times New Roman" w:hAnsi="Times New Roman"/>
                <w:sz w:val="13"/>
                <w:szCs w:val="13"/>
                <w:color w:val="0000FF"/>
              </w:rPr>
              <w:t>19,471</w:t>
            </w:r>
          </w:p>
        </w:tc>
        <w:tc>
          <w:tcPr>
            <w:tcW w:w="7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6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jc w:val="center"/>
              <w:ind w:right="1"/>
              <w:spacing w:after="0" w:line="154"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(2)</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Vests in substantially equal monthly installments over a one year period from the February 8, 2024 grant date.</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five ordinary shares, nominal value GBP 0.003 per ordinary share, of the Issuer.</w:t>
      </w:r>
    </w:p>
    <w:p>
      <w:pPr>
        <w:spacing w:after="0" w:line="42" w:lineRule="exact"/>
        <w:rPr>
          <w:rFonts w:ascii="Times New Roman" w:cs="Times New Roman" w:eastAsia="Times New Roman" w:hAnsi="Times New Roman"/>
          <w:sz w:val="13"/>
          <w:szCs w:val="13"/>
          <w:color w:val="008000"/>
        </w:rPr>
      </w:pPr>
    </w:p>
    <w:p>
      <w:pPr>
        <w:ind w:left="40" w:right="48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Deferred restricted stock units ("DRSU") are granted to non-executive directors who elected to receive DRSUs in the form of ADSs in lieu of annual cash compensation. DRSUs vest in substantially equal monthly installments over the plan year following the grant date. Payment of DRSUs in ADSs will generally be made 180 days following separation of service.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Christine Fox, by power of</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2"/>
              </w:rPr>
              <w:t>02/09/2024</w:t>
            </w:r>
          </w:p>
        </w:tc>
        <w:tc>
          <w:tcPr>
            <w:tcW w:w="0" w:type="dxa"/>
            <w:vAlign w:val="bottom"/>
          </w:tcPr>
          <w:p>
            <w:pPr>
              <w:spacing w:after="0"/>
              <w:rPr>
                <w:sz w:val="1"/>
                <w:szCs w:val="1"/>
                <w:color w:val="auto"/>
              </w:rPr>
            </w:pPr>
          </w:p>
        </w:tc>
      </w:tr>
      <w:tr>
        <w:trPr>
          <w:trHeight w:val="82"/>
        </w:trPr>
        <w:tc>
          <w:tcPr>
            <w:tcW w:w="540" w:type="dxa"/>
            <w:vAlign w:val="bottom"/>
            <w:tcBorders>
              <w:top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3"/>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2005817" TargetMode="External"/><Relationship Id="rId13" Type="http://schemas.openxmlformats.org/officeDocument/2006/relationships/hyperlink" Target="http://www.sec.gov/cgi-bin/browse-edgar?action=getcompany&amp;CIK=00017197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2024-02-09T15:27:19Z</dcterms:created>
  <dcterms:modified xsi:type="dcterms:W3CDTF">2024-02-09T15:27:19Z</dcterms:modified>
</cp:coreProperties>
</file>