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Mereo Biopharma Group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 (American Depositary Shares, each representing five Ordinary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20, 2020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40" w:hanging="205"/>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40" w:hanging="205"/>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40" w:hanging="205"/>
        <w:spacing w:after="0"/>
        <w:tabs>
          <w:tab w:leader="none" w:pos="124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20" w:type="dxa"/>
            <w:vAlign w:val="bottom"/>
            <w:gridSpan w:val="6"/>
          </w:tcPr>
          <w:p>
            <w:pPr>
              <w:spacing w:after="0"/>
              <w:rPr>
                <w:sz w:val="20"/>
                <w:szCs w:val="20"/>
                <w:color w:val="auto"/>
              </w:rPr>
            </w:pPr>
            <w:r>
              <w:rPr>
                <w:rFonts w:ascii="Arial" w:cs="Arial" w:eastAsia="Arial" w:hAnsi="Arial"/>
                <w:sz w:val="18"/>
                <w:szCs w:val="18"/>
                <w:color w:val="auto"/>
                <w:w w:val="92"/>
              </w:rPr>
              <w:t>CUSIP No. 589492107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00" w:type="dxa"/>
            <w:vAlign w:val="bottom"/>
          </w:tcPr>
          <w:p>
            <w:pPr>
              <w:ind w:left="8460"/>
              <w:spacing w:after="0"/>
              <w:rPr>
                <w:sz w:val="20"/>
                <w:szCs w:val="20"/>
                <w:color w:val="auto"/>
              </w:rPr>
            </w:pPr>
            <w:r>
              <w:rPr>
                <w:rFonts w:ascii="Arial" w:cs="Arial" w:eastAsia="Arial" w:hAnsi="Arial"/>
                <w:sz w:val="18"/>
                <w:szCs w:val="18"/>
                <w:color w:val="auto"/>
                <w:w w:val="86"/>
              </w:rPr>
              <w:t>Page 2 of 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4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7"/>
              </w:rPr>
              <w:t>Boxer Capital, LLC</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980" w:type="dxa"/>
            <w:vAlign w:val="bottom"/>
            <w:tcBorders>
              <w:right w:val="single" w:sz="8" w:color="auto"/>
            </w:tcBorders>
            <w:gridSpan w:val="6"/>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420" w:type="dxa"/>
            <w:vAlign w:val="bottom"/>
            <w:gridSpan w:val="2"/>
          </w:tcPr>
          <w:p>
            <w:pPr>
              <w:jc w:val="right"/>
              <w:ind w:right="130"/>
              <w:spacing w:after="0" w:line="181" w:lineRule="exact"/>
              <w:rPr>
                <w:sz w:val="20"/>
                <w:szCs w:val="20"/>
                <w:color w:val="auto"/>
              </w:rPr>
            </w:pPr>
            <w:r>
              <w:rPr>
                <w:rFonts w:ascii="MS PGothic" w:cs="MS PGothic" w:eastAsia="MS PGothic" w:hAnsi="MS PGothic"/>
                <w:sz w:val="18"/>
                <w:szCs w:val="18"/>
                <w:color w:val="auto"/>
                <w:w w:val="99"/>
              </w:rPr>
              <w:t>☒</w:t>
            </w: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2"/>
              </w:rPr>
              <w:t>SEC use only.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3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Arial" w:cs="Arial" w:eastAsia="Arial" w:hAnsi="Arial"/>
                <w:sz w:val="18"/>
                <w:szCs w:val="18"/>
                <w:color w:val="auto"/>
                <w:w w:val="93"/>
              </w:rPr>
              <w:t>Aggregate amount</w:t>
            </w:r>
          </w:p>
        </w:tc>
        <w:tc>
          <w:tcPr>
            <w:tcW w:w="9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12,252,715*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Comprised of Ordinary Shares that will be held through American Depositary Shares (or 2,450,543 America Depositary Shares), each of which represents five Ordinary Shares, when such American Depositary Shares are registered on registration statement declared effective by the SEC, which may be within 60 days from the closing of the Offering (defined below).</w:t>
      </w:r>
    </w:p>
    <w:p>
      <w:pPr>
        <w:ind w:left="460" w:right="80" w:hanging="452"/>
        <w:spacing w:after="0" w:line="277"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124,507,857 Ordinary Shares outstanding, which is the sum of (i) 112,255,142 Ordinary Shares as set forth in the registration statement on Form F-1 filed with the SEC on February 18, 2020 (the “Registration Statement”), and (ii) 12,252,715 Ordinary Shares issued in a private placement of Ordinary Shares as set forth in Current Report on Form 6-K filed with the SEC on February 19, 2020 (the “Offering”).</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20" w:type="dxa"/>
            <w:vAlign w:val="bottom"/>
            <w:gridSpan w:val="6"/>
          </w:tcPr>
          <w:p>
            <w:pPr>
              <w:spacing w:after="0"/>
              <w:rPr>
                <w:sz w:val="20"/>
                <w:szCs w:val="20"/>
                <w:color w:val="auto"/>
              </w:rPr>
            </w:pPr>
            <w:r>
              <w:rPr>
                <w:rFonts w:ascii="Arial" w:cs="Arial" w:eastAsia="Arial" w:hAnsi="Arial"/>
                <w:sz w:val="18"/>
                <w:szCs w:val="18"/>
                <w:color w:val="auto"/>
                <w:w w:val="92"/>
              </w:rPr>
              <w:t>CUSIP No. 589492107</w:t>
            </w:r>
          </w:p>
        </w:tc>
        <w:tc>
          <w:tcPr>
            <w:tcW w:w="320" w:type="dxa"/>
            <w:vAlign w:val="bottom"/>
          </w:tcPr>
          <w:p>
            <w:pPr>
              <w:spacing w:after="0"/>
              <w:rPr>
                <w:sz w:val="20"/>
                <w:szCs w:val="20"/>
                <w:color w:val="auto"/>
              </w:rPr>
            </w:pPr>
          </w:p>
        </w:tc>
        <w:tc>
          <w:tcPr>
            <w:tcW w:w="9400" w:type="dxa"/>
            <w:vAlign w:val="bottom"/>
          </w:tcPr>
          <w:p>
            <w:pPr>
              <w:ind w:left="856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Asset Management Inc.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980" w:type="dxa"/>
            <w:vAlign w:val="bottom"/>
            <w:tcBorders>
              <w:right w:val="single" w:sz="8" w:color="auto"/>
            </w:tcBorders>
            <w:gridSpan w:val="5"/>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32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2"/>
              </w:rPr>
              <w:t>SEC use only.</w:t>
            </w:r>
          </w:p>
        </w:tc>
        <w:tc>
          <w:tcPr>
            <w:tcW w:w="32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Bahamas</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4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Arial" w:cs="Arial" w:eastAsia="Arial" w:hAnsi="Arial"/>
                <w:sz w:val="18"/>
                <w:szCs w:val="18"/>
                <w:color w:val="auto"/>
                <w:w w:val="93"/>
              </w:rPr>
              <w:t>Aggregate amount</w:t>
            </w: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12,252,715*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6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2,450,543 America Depositary Shares), when such American Depositary Shares are registered on registration statement declared effective by the SEC, which may</w:t>
      </w:r>
    </w:p>
    <w:p>
      <w:pPr>
        <w:ind w:left="460"/>
        <w:spacing w:after="0"/>
        <w:rPr>
          <w:sz w:val="20"/>
          <w:szCs w:val="20"/>
          <w:color w:val="auto"/>
        </w:rPr>
      </w:pPr>
      <w:r>
        <w:rPr>
          <w:rFonts w:ascii="Arial" w:cs="Arial" w:eastAsia="Arial" w:hAnsi="Arial"/>
          <w:sz w:val="18"/>
          <w:szCs w:val="18"/>
          <w:color w:val="auto"/>
        </w:rPr>
        <w:t>be within 60 days from the closing of the Offering (defined below).</w:t>
      </w:r>
    </w:p>
    <w:p>
      <w:pPr>
        <w:spacing w:after="0" w:line="9" w:lineRule="exact"/>
        <w:rPr>
          <w:sz w:val="20"/>
          <w:szCs w:val="20"/>
          <w:color w:val="auto"/>
        </w:rPr>
      </w:pPr>
    </w:p>
    <w:p>
      <w:pPr>
        <w:ind w:left="460" w:right="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124,507,857 Ordinary Shares outstanding, which is the sum of (i) 112,255,142 Ordinary Shares as set forth in the Registration Statement, and (ii) 12,252,715 Ordinary Shares issued in the Offering.</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20" w:type="dxa"/>
            <w:vAlign w:val="bottom"/>
            <w:gridSpan w:val="6"/>
          </w:tcPr>
          <w:p>
            <w:pPr>
              <w:spacing w:after="0"/>
              <w:rPr>
                <w:sz w:val="20"/>
                <w:szCs w:val="20"/>
                <w:color w:val="auto"/>
              </w:rPr>
            </w:pPr>
            <w:r>
              <w:rPr>
                <w:rFonts w:ascii="Arial" w:cs="Arial" w:eastAsia="Arial" w:hAnsi="Arial"/>
                <w:sz w:val="18"/>
                <w:szCs w:val="18"/>
                <w:color w:val="auto"/>
                <w:w w:val="92"/>
              </w:rPr>
              <w:t>CUSIP No. 589492107</w:t>
            </w:r>
          </w:p>
        </w:tc>
        <w:tc>
          <w:tcPr>
            <w:tcW w:w="320" w:type="dxa"/>
            <w:vAlign w:val="bottom"/>
          </w:tcPr>
          <w:p>
            <w:pPr>
              <w:spacing w:after="0"/>
              <w:rPr>
                <w:sz w:val="20"/>
                <w:szCs w:val="20"/>
                <w:color w:val="auto"/>
              </w:rPr>
            </w:pPr>
          </w:p>
        </w:tc>
        <w:tc>
          <w:tcPr>
            <w:tcW w:w="9400" w:type="dxa"/>
            <w:vAlign w:val="bottom"/>
          </w:tcPr>
          <w:p>
            <w:pPr>
              <w:ind w:left="856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9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Joe Lewis</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980" w:type="dxa"/>
            <w:vAlign w:val="bottom"/>
            <w:tcBorders>
              <w:right w:val="single" w:sz="8" w:color="auto"/>
            </w:tcBorders>
            <w:gridSpan w:val="5"/>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32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2"/>
              </w:rPr>
              <w:t>SEC use only.</w:t>
            </w:r>
          </w:p>
        </w:tc>
        <w:tc>
          <w:tcPr>
            <w:tcW w:w="32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United Kingdom</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4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12,252,715*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Arial" w:cs="Arial" w:eastAsia="Arial" w:hAnsi="Arial"/>
                <w:sz w:val="18"/>
                <w:szCs w:val="18"/>
                <w:color w:val="auto"/>
                <w:w w:val="93"/>
              </w:rPr>
              <w:t>Aggregate amount</w:t>
            </w: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12,252,715*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2,450,543</w:t>
      </w:r>
    </w:p>
    <w:p>
      <w:pPr>
        <w:spacing w:after="0" w:line="46"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America Depositary Shares), when such American Depositary Shares are registered on registration statement declared effective by the SEC, which may be within 60 days from the closing of the Offering (defined below).</w:t>
      </w:r>
    </w:p>
    <w:p>
      <w:pPr>
        <w:spacing w:after="0" w:line="1" w:lineRule="exact"/>
        <w:rPr>
          <w:sz w:val="20"/>
          <w:szCs w:val="20"/>
          <w:color w:val="auto"/>
        </w:rPr>
      </w:pPr>
    </w:p>
    <w:p>
      <w:pPr>
        <w:ind w:left="460" w:right="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124,507,857 Ordinary Shares outstanding, which is the sum of (i) 112,255,142 Ordinary Shares as set forth in the Registration Statement, and (ii) 12,252,715 Ordinary Shares issued in the Offering.</w:t>
      </w:r>
    </w:p>
    <w:p>
      <w:pPr>
        <w:sectPr>
          <w:pgSz w:w="11900" w:h="16838" w:orient="portrait"/>
          <w:cols w:equalWidth="0" w:num="1">
            <w:col w:w="11440"/>
          </w:cols>
          <w:pgMar w:left="240" w:top="27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5 of 8</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Mereo BioPharma Group plc (the “Issuer”)</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Floor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W1G 0QF UK</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Schedule 13G is jointly filed by Boxer Capital, LLC (“Boxer Capital”), Boxer Asset Management Inc. (“Boxer Management”) and Joe Lewis (together with Boxer Capital and Boxer Management, the “Reporting Persons”). Boxer Management is the managing member and majority owner of Boxer Capital. Joe Lewis is the sole indirect beneficial owner of and controls Boxer Management.</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business address of Boxer Capital is: 11682 El Camino Real, Suite 320, San Diego, CA 92130. The principal business address of Boxer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Joe Lewis is: Cay House, EP Taylor Drive N7776, Lyford Cay, New Providence, Bahamas.</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Boxer Capital is a limited liability company organized under the laws of Delaware. Boxer Management is a corporation organized under the laws of the Bahamas. Joe Lewis is a citizen of the United Kingdom.</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Ordinary shares, nominal value £0.003 per share (the “Ordinary Shares”). The Ordinary Shares are represented by American Depositary Shares, each American Depositary Share representing five Ordinary Share (“ADSs”).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589492107</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020" w:hanging="56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ind w:right="20" w:firstLine="1027"/>
        <w:spacing w:after="0" w:line="264" w:lineRule="auto"/>
        <w:rPr>
          <w:sz w:val="20"/>
          <w:szCs w:val="20"/>
          <w:color w:val="auto"/>
        </w:rPr>
      </w:pPr>
      <w:r>
        <w:rPr>
          <w:rFonts w:ascii="Arial" w:cs="Arial" w:eastAsia="Arial" w:hAnsi="Arial"/>
          <w:sz w:val="18"/>
          <w:szCs w:val="18"/>
          <w:color w:val="auto"/>
        </w:rPr>
        <w:t>The Reporting Persons beneficially own 12,252,715 Ordinary Shares, which will be held through ADSs, each of which represents five Ordinary Shares (or 2,450,543 America Depositary Shares) which will be issued to the Reporting Persons when a registration statement registering such ADSs is declared effective by the SEC, which may be within 60 days from the closing of the Offering.</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6 of 8</w:t>
      </w:r>
    </w:p>
    <w:p>
      <w:pPr>
        <w:spacing w:after="0" w:line="158" w:lineRule="exact"/>
        <w:rPr>
          <w:sz w:val="20"/>
          <w:szCs w:val="20"/>
          <w:color w:val="auto"/>
        </w:rPr>
      </w:pPr>
    </w:p>
    <w:p>
      <w:pPr>
        <w:ind w:left="1020" w:hanging="566"/>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right="20" w:firstLine="1027"/>
        <w:spacing w:after="0" w:line="279" w:lineRule="auto"/>
        <w:rPr>
          <w:sz w:val="20"/>
          <w:szCs w:val="20"/>
          <w:color w:val="auto"/>
        </w:rPr>
      </w:pPr>
      <w:r>
        <w:rPr>
          <w:rFonts w:ascii="Arial" w:cs="Arial" w:eastAsia="Arial" w:hAnsi="Arial"/>
          <w:sz w:val="17"/>
          <w:szCs w:val="17"/>
          <w:color w:val="auto"/>
        </w:rPr>
        <w:t>The number of Ordinary Shares beneficially owned by the Reporting Persons represent 9.8% of the Issuer’s outstanding Ordinary Shares (based on 124,507,857 Ordinary Shares outstanding, which is the sum of (i) 112,255,142 Ordinary Shares as set forth in the registration statement on Form F-1 filed with the SEC on February 18, 2020 (the “Registration Statement”), and (ii) 12,252,715 Ordinary Shares issued in a private placement of Ordinary Shares as set forth in Current Report on Form 6-K filed with the SEC on February 19, 2020 (the “Offering”)).</w:t>
      </w:r>
    </w:p>
    <w:p>
      <w:pPr>
        <w:spacing w:after="0" w:line="77" w:lineRule="exact"/>
        <w:rPr>
          <w:sz w:val="20"/>
          <w:szCs w:val="20"/>
          <w:color w:val="auto"/>
        </w:rPr>
      </w:pPr>
    </w:p>
    <w:p>
      <w:pPr>
        <w:ind w:left="1020" w:hanging="56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vote or to direct the vote of any Ordinary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7"/>
          <w:szCs w:val="17"/>
          <w:color w:val="auto"/>
        </w:rPr>
        <w:t>The Reporting Persons have shared power to vote or to direct the vote of the 12,252,715 Ordinary Shares they beneficially own.</w:t>
      </w:r>
    </w:p>
    <w:p>
      <w:pPr>
        <w:spacing w:after="0" w:line="142"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dispose or to direct the disposition of any Ordinary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color w:val="auto"/>
        </w:rPr>
        <w:t>The Reporting Persons have shared power to dispose or to direct the disposition of the 12,252,715 Ordinary Shares they beneficially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Boxer Capital has the right to receive dividends and the proceeds from the sale of the Ordinary Shares held by Boxer Capital.</w:t>
      </w:r>
    </w:p>
    <w:p>
      <w:pPr>
        <w:spacing w:after="0" w:line="370" w:lineRule="exact"/>
        <w:rPr>
          <w:sz w:val="20"/>
          <w:szCs w:val="20"/>
          <w:color w:val="auto"/>
        </w:rPr>
      </w:pPr>
    </w:p>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7 of 8</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60" w:firstLine="464"/>
        <w:spacing w:after="0" w:line="312" w:lineRule="auto"/>
        <w:tabs>
          <w:tab w:leader="none" w:pos="7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104" w:lineRule="exact"/>
        <w:rPr>
          <w:sz w:val="20"/>
          <w:szCs w:val="20"/>
          <w:color w:val="auto"/>
        </w:rPr>
      </w:pPr>
    </w:p>
    <w:p>
      <w:pPr>
        <w:ind w:left="1300" w:hanging="108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Filing Agreement, dated March 2, 2020, among the Reporting Persons.</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8 of 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Jason Callender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C. Lewis, Individually</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The undersigned hereby agree that the Statement on Schedule 13G with respect to the ordinary shares of Mereo BioPharma Group plc, nominal value £0.003 per share, is, and any amendments thereto executed by each of us shall be, filed on behalf of each of us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March 2,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Jason Callender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C. Lewis, Individually</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3"/>
    </w:lvl>
    <w:lvl w:ilvl="1">
      <w:lvlJc w:val="left"/>
      <w:lvlText w:val="(%2)"/>
      <w:numFmt w:val="lowerRoman"/>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2020-03-02T16:33:47Z</dcterms:created>
  <dcterms:modified xsi:type="dcterms:W3CDTF">2020-03-02T16:33:47Z</dcterms:modified>
</cp:coreProperties>
</file>