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8010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80100" cy="42545"/>
                    </a:xfrm>
                    <a:prstGeom prst="rect">
                      <a:avLst/>
                    </a:prstGeom>
                    <a:noFill/>
                  </pic:spPr>
                </pic:pic>
              </a:graphicData>
            </a:graphic>
          </wp:anchor>
        </w:drawing>
      </w:r>
    </w:p>
    <w:p>
      <w:pPr>
        <w:spacing w:after="0" w:line="21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1"/>
          <w:szCs w:val="21"/>
          <w:b w:val="1"/>
          <w:bCs w:val="1"/>
          <w:color w:val="0000FF"/>
        </w:rPr>
        <w:t>Ordinary Shares, nominal value EURO0.003 per share, represented by American Depository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588010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80100" cy="42545"/>
                    </a:xfrm>
                    <a:prstGeom prst="rect">
                      <a:avLst/>
                    </a:prstGeom>
                    <a:noFill/>
                  </pic:spPr>
                </pic:pic>
              </a:graphicData>
            </a:graphic>
          </wp:anchor>
        </w:drawing>
      </w:r>
    </w:p>
    <w:p>
      <w:pPr>
        <w:spacing w:after="0" w:line="22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8010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80100" cy="42545"/>
                    </a:xfrm>
                    <a:prstGeom prst="rect">
                      <a:avLst/>
                    </a:prstGeom>
                    <a:noFill/>
                  </pic:spPr>
                </pic:pic>
              </a:graphicData>
            </a:graphic>
          </wp:anchor>
        </w:drawing>
      </w:r>
    </w:p>
    <w:p>
      <w:pPr>
        <w:spacing w:after="0" w:line="21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8010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80100" cy="42545"/>
                    </a:xfrm>
                    <a:prstGeom prst="rect">
                      <a:avLst/>
                    </a:prstGeom>
                    <a:noFill/>
                  </pic:spPr>
                </pic:pic>
              </a:graphicData>
            </a:graphic>
          </wp:anchor>
        </w:drawing>
      </w:r>
    </w:p>
    <w:p>
      <w:pPr>
        <w:spacing w:after="0" w:line="213"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32,430,690.00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32,430,690.00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32,430,690.00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7" w:orient="portrait"/>
          <w:cols w:equalWidth="0" w:num="2">
            <w:col w:w="1100" w:space="60"/>
            <w:col w:w="9860"/>
          </w:cols>
          <w:pgMar w:left="320" w:top="166" w:right="55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32,430,690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6,486,138 American Depositary Shares held directly by Frazier Life Sciences Public Fund, L.P. The percentage listed 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32,430,690.00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32,430,690.00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020"/>
          </w:cols>
          <w:pgMar w:left="320" w:top="166" w:right="5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32,430,690.00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32,430,690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6,486,138 American Depositary Shares held directly by Frazier Life Sciences Public Fund, L.P. The percentage listed 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355"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32,430,690.00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32,430,690.00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32,430,690.00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860"/>
          </w:cols>
          <w:pgMar w:left="320" w:top="355" w:right="559" w:bottom="0" w:gutter="0" w:footer="0" w:header="0"/>
          <w:type w:val="continuous"/>
        </w:sectPr>
      </w:pPr>
    </w:p>
    <w:p>
      <w:pPr>
        <w:spacing w:after="0" w:line="7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32,430,690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6,486,138 American Depositary Shares held directly by Frazier Life Sciences Public Fund, L.P. The</w:t>
      </w:r>
    </w:p>
    <w:p>
      <w:pPr>
        <w:sectPr>
          <w:pgSz w:w="11900" w:h="16838" w:orient="portrait"/>
          <w:cols w:equalWidth="0" w:num="1">
            <w:col w:w="11020"/>
          </w:cols>
          <w:pgMar w:left="320" w:top="355" w:right="559" w:bottom="0" w:gutter="0" w:footer="0" w:header="0"/>
          <w:type w:val="continuous"/>
        </w:sectPr>
      </w:pPr>
    </w:p>
    <w:bookmarkStart w:id="3" w:name="page4"/>
    <w:bookmarkEnd w:id="3"/>
    <w:p>
      <w:pPr>
        <w:ind w:right="60"/>
        <w:spacing w:after="0" w:line="259" w:lineRule="auto"/>
        <w:rPr>
          <w:sz w:val="20"/>
          <w:szCs w:val="20"/>
          <w:color w:val="auto"/>
        </w:rPr>
      </w:pPr>
      <w:r>
        <w:rPr>
          <w:rFonts w:ascii="Times New Roman" w:cs="Times New Roman" w:eastAsia="Times New Roman" w:hAnsi="Times New Roman"/>
          <w:sz w:val="22"/>
          <w:szCs w:val="22"/>
          <w:color w:val="auto"/>
        </w:rPr>
        <w:t>percentage listed 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112" w:right="4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8,941,155.00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8,941,155.00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8,941,155.00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20"/>
          </w:cols>
          <w:pgMar w:left="320" w:top="112" w:right="49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8,941,155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1,788,231 American Depositary Shares held directly by Frazier Life Sciences Public Overage Fund, L.P. The percentage listed 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2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080"/>
          </w:cols>
          <w:pgMar w:left="320" w:top="112" w:right="4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8,941,155.00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8,941,155.00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8,941,155.00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3" w:orient="portrait"/>
          <w:cols w:equalWidth="0" w:num="2">
            <w:col w:w="1100" w:space="60"/>
            <w:col w:w="9920"/>
          </w:cols>
          <w:pgMar w:left="320" w:top="369" w:right="49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8,941,155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1,788,231 American Depositary Shares held directly by Frazier Life Sciences Public Overage Fund, L.P. The percentage listed 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8,941,155.00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903" w:orient="portrait"/>
          <w:cols w:equalWidth="0" w:num="1">
            <w:col w:w="11080"/>
          </w:cols>
          <w:pgMar w:left="320" w:top="369" w:right="499" w:bottom="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ind w:left="40"/>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8,941,155.00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8,941,155.00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8,941,155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1,788,231 American Depositary Shares held directly by Frazier Life Sciences Public Overage Fund, L.P. The percentage listed 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111" w:right="4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1,763,230.00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1,763,230.00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1,763,230.00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9920"/>
          </w:cols>
          <w:pgMar w:left="320" w:top="111" w:right="499" w:bottom="0" w:gutter="0" w:footer="0" w:header="0"/>
          <w:type w:val="continuous"/>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0.2 %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1,763,230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352,646 American Depositary Shares held directly by Frazier Life Sciences X, L.P. The percentage listed 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111" w:right="499" w:bottom="42"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1,763,230.00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1,763,230.00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1,763,230.00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20"/>
          </w:cols>
          <w:pgMar w:left="320" w:top="111" w:right="499" w:bottom="42"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1,763,230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352,646 American Depositary Shares held directly by Frazier Life Sciences X, L.P. The percentage listed in row 11 is calculated based on 795,001,444 Ordinary Shares outstanding on May 12, 2025 as set forth in the Issuer's Quarterly Report on Form 10-Q filed with the SEC on May 13, 2025.</w:t>
      </w:r>
    </w:p>
    <w:p>
      <w:pPr>
        <w:sectPr>
          <w:pgSz w:w="11900" w:h="16838" w:orient="portrait"/>
          <w:cols w:equalWidth="0" w:num="1">
            <w:col w:w="11080"/>
          </w:cols>
          <w:pgMar w:left="320" w:top="111" w:right="499" w:bottom="4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80"/>
          </w:cols>
          <w:pgMar w:left="320" w:top="111" w:right="499" w:bottom="42"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108" w:right="4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1,763,230.00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1,763,230.00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1,763,230.00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20"/>
          </w:cols>
          <w:pgMar w:left="320" w:top="108" w:right="49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1,763,230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352,646 American Depositary Shares held directly by Frazier Life Sciences X, L.P. The percentage listed 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080"/>
          </w:cols>
          <w:pgMar w:left="320" w:top="108" w:right="499" w:bottom="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40" w:hanging="231"/>
        <w:spacing w:after="0" w:line="371" w:lineRule="auto"/>
        <w:tabs>
          <w:tab w:leader="none" w:pos="2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4,065,485.00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4,065,485.00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4,065,485.00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40"/>
          </w:cols>
          <w:pgMar w:left="320" w:top="111" w:right="47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4,065,485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813,097 American Depositary Shares held directly by Frazier Life Sciences XI, L.P. The percentage listed 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4,065,485.00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4,065,485.00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00"/>
          </w:cols>
          <w:pgMar w:left="320" w:top="111" w:right="479" w:bottom="0" w:gutter="0" w:footer="0" w:header="0"/>
          <w:type w:val="continuous"/>
        </w:sectPr>
      </w:pPr>
    </w:p>
    <w:bookmarkStart w:id="9" w:name="page10"/>
    <w:bookmarkEnd w:id="9"/>
    <w:p>
      <w:pPr>
        <w:ind w:left="1160"/>
        <w:spacing w:after="0"/>
        <w:rPr>
          <w:sz w:val="20"/>
          <w:szCs w:val="20"/>
          <w:color w:val="auto"/>
        </w:rPr>
      </w:pPr>
      <w:r>
        <w:rPr>
          <w:rFonts w:ascii="Times New Roman" w:cs="Times New Roman" w:eastAsia="Times New Roman" w:hAnsi="Times New Roman"/>
          <w:sz w:val="22"/>
          <w:szCs w:val="22"/>
          <w:color w:val="auto"/>
        </w:rPr>
        <w:t>4,065,485.00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4,065,485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813,097 American Depositary Shares held directly by Frazier Life Sciences XI, L.P. The percentage listed 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355"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4,065,485.00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4,065,485.00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4,065,485.00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40"/>
          </w:cols>
          <w:pgMar w:left="320" w:top="355" w:right="479" w:bottom="0" w:gutter="0" w:footer="0" w:header="0"/>
          <w:type w:val="continuous"/>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4,065,485 Ordinary Shares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represented by 813,097 American Depositary Shares held directly by Frazier Life Sciences XI, L.P. The percentage listed</w:t>
      </w:r>
    </w:p>
    <w:p>
      <w:pPr>
        <w:sectPr>
          <w:pgSz w:w="11900" w:h="16838" w:orient="portrait"/>
          <w:cols w:equalWidth="0" w:num="1">
            <w:col w:w="11100"/>
          </w:cols>
          <w:pgMar w:left="320" w:top="355" w:right="479" w:bottom="0" w:gutter="0" w:footer="0" w:header="0"/>
          <w:type w:val="continuous"/>
        </w:sectPr>
      </w:pPr>
    </w:p>
    <w:bookmarkStart w:id="10" w:name="page11"/>
    <w:bookmarkEnd w:id="10"/>
    <w:p>
      <w:pPr>
        <w:spacing w:after="0" w:line="259" w:lineRule="auto"/>
        <w:rPr>
          <w:sz w:val="20"/>
          <w:szCs w:val="20"/>
          <w:color w:val="auto"/>
        </w:rPr>
      </w:pPr>
      <w:r>
        <w:rPr>
          <w:rFonts w:ascii="Times New Roman" w:cs="Times New Roman" w:eastAsia="Times New Roman" w:hAnsi="Times New Roman"/>
          <w:sz w:val="22"/>
          <w:szCs w:val="22"/>
          <w:color w:val="auto"/>
        </w:rPr>
        <w:t>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N. Topper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112" w:right="4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1,763,230.00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1,763,230.00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1,763,230.00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20"/>
          </w:cols>
          <w:pgMar w:left="320" w:top="112" w:right="49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1,763,230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352,646 American Depositary Shares held directly by Frazier Life Sciences X, L.P. The percentage listed 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J. Heron</w:t>
      </w:r>
    </w:p>
    <w:p>
      <w:pPr>
        <w:spacing w:after="0" w:line="20"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080"/>
          </w:cols>
          <w:pgMar w:left="320" w:top="112" w:right="499" w:bottom="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1,763,230.00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1,763,230.00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1,763,230.00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3" w:orient="portrait"/>
          <w:cols w:equalWidth="0" w:num="2">
            <w:col w:w="1100" w:space="60"/>
            <w:col w:w="9920"/>
          </w:cols>
          <w:pgMar w:left="320" w:top="369" w:right="49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1,763,230 Ordinary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represented by 352,646 American Depositary Shares held directly by Frazier Life Sciences X, L.P. The percentage listed in row 11 is calculated based on 795,001,444 Ordinary Shares outstanding on May 12, 2025 as set forth in the Issuer's Quarterly Report on Form 10-Q filed with the SEC on May 13,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Albert Cha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903" w:orient="portrait"/>
          <w:cols w:equalWidth="0" w:num="1">
            <w:col w:w="11080"/>
          </w:cols>
          <w:pgMar w:left="320" w:top="369" w:right="499"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Brush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0"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Estes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40"/>
          </w:cols>
          <w:pgMar w:left="360" w:top="567" w:right="49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20"/>
          </w:cols>
          <w:pgMar w:left="360" w:top="567" w:right="49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jc w:val="both"/>
        <w:ind w:left="92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entities and persons filing this statement (collectively, the "Reporting Persons") are: Frazier Life Sciences Public Fund, L.P. ("FLSPF") FHMLSP, L.P. FHMLSP, L.L.C. Frazier Life Sciences Public Overage Fund, L.P. ("FLSPOF") FHMLSP Overage, L.P. FHMLSP Overage, L.L.C. Frazier Life Sciences XI, L.P. ("FLS XI") FHMLS XI, L.P.</w:t>
      </w:r>
    </w:p>
    <w:p>
      <w:pPr>
        <w:spacing w:after="0" w:line="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FHMLS XI, L.L.C. Frazier Life Sciences X, L.P. ("FLS X") FHMLS X, L.P. FHMLS X, L.L.C. James N. Topper</w:t>
      </w:r>
    </w:p>
    <w:p>
      <w:pPr>
        <w:sectPr>
          <w:pgSz w:w="11900" w:h="16838" w:orient="portrait"/>
          <w:cols w:equalWidth="0" w:num="1">
            <w:col w:w="11040"/>
          </w:cols>
          <w:pgMar w:left="360" w:top="567" w:right="499" w:bottom="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("Topper") Patrick J. Heron ("Heron") Albert Cha ("Cha") James Brush ("Brush") Daniel Estes ("Estes" and together with Topper, Heron, Cha and Brush, the "Members")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The address and principal business office of the Reporting Persons is: c/o Frazier Life Sciences Management, L.P. 1001 Page Mill Rd, Building 4, Suite B Palo Alto, CA 94304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40"/>
        <w:spacing w:after="0" w:line="256" w:lineRule="auto"/>
        <w:rPr>
          <w:sz w:val="20"/>
          <w:szCs w:val="20"/>
          <w:color w:val="auto"/>
        </w:rPr>
      </w:pPr>
      <w:r>
        <w:rPr>
          <w:rFonts w:ascii="Times New Roman" w:cs="Times New Roman" w:eastAsia="Times New Roman" w:hAnsi="Times New Roman"/>
          <w:sz w:val="22"/>
          <w:szCs w:val="22"/>
          <w:color w:val="auto"/>
        </w:rPr>
        <w:t>The information contained in row 4 of each Reporting Person's cover page to this Statement is incorporated by reference.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right="1560"/>
        <w:spacing w:after="0" w:line="309" w:lineRule="auto"/>
        <w:rPr>
          <w:sz w:val="20"/>
          <w:szCs w:val="20"/>
          <w:color w:val="auto"/>
        </w:rPr>
      </w:pPr>
      <w:r>
        <w:rPr>
          <w:rFonts w:ascii="Times New Roman" w:cs="Times New Roman" w:eastAsia="Times New Roman" w:hAnsi="Times New Roman"/>
          <w:sz w:val="22"/>
          <w:szCs w:val="22"/>
          <w:color w:val="auto"/>
        </w:rPr>
        <w:t>Ordinary Shares, nominal value EURO0.003 per share, represented by American Depository Shares CUSIP No.:</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589492107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Â§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Â§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Â§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40"/>
        <w:spacing w:after="0" w:line="241" w:lineRule="auto"/>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 accordance with Â§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200"/>
          </w:cols>
          <w:pgMar w:left="360" w:top="112" w:right="419" w:bottom="0" w:gutter="0" w:footer="0" w:header="0"/>
        </w:sectPr>
      </w:pPr>
    </w:p>
    <w:p>
      <w:pPr>
        <w:spacing w:after="0" w:line="33"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The information contained in row 9 of each Reporting Person's cover page to this Statement (including the footnotes thereto) is incorporated by reference. FLSPF directly holds 32,430,690 Ordinary Shares of the Issuer, represented by 6,486,138 American Depositary Shares.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and this Statement corrects any previous attribution to, and overstatement of beneficial ownership by, such members as reflected in any prior Statements. FLSPOF directly holds 8,941,155 Ordinary Shares of the Issuer, represented by 1,788,231 American Depositary Shares. FHMLSP Overage, L.P. is the general partner of FLSPOF and the general partner of FHMLSP Overage, L.P. is FHMLSP Overage, L.L.C., which is managed by an investment committee of four that acts by majority vote. Accordingly, no members of such committee are attributed beneficial</w:t>
      </w:r>
    </w:p>
    <w:p>
      <w:pPr>
        <w:spacing w:after="0" w:line="9" w:lineRule="exact"/>
        <w:rPr>
          <w:sz w:val="20"/>
          <w:szCs w:val="20"/>
          <w:color w:val="auto"/>
        </w:rPr>
      </w:pPr>
    </w:p>
    <w:p>
      <w:pPr>
        <w:ind w:left="920" w:right="80" w:hanging="912"/>
        <w:spacing w:after="0" w:line="216" w:lineRule="auto"/>
        <w:tabs>
          <w:tab w:leader="none" w:pos="920" w:val="left"/>
        </w:tabs>
        <w:numPr>
          <w:ilvl w:val="0"/>
          <w:numId w:val="2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ownership of the securities directly held by FLSPOF, and this Statement corrects any previous attribution to, and overstatement of beneficial ownership by, such members as reflected in any prior Statements. FLS X directly holds 1,763,230 Ordinary Shares of the Issuer, represented by 352,646 American Depositary Shares. FHMLS X, L.P. is the general partner of FLS X and FHMLS X, L.L.C. is the general partner of FHMLS X, L.P. Heron and Topper are the members of FHMLS X, L.L.C. and therefore share voting and investment power over the shares of Common Stock held by FLS X. FLS XI directly holds 4,065,485 Ordinary Shares of the Issuer, represented by 813,097 American Depositary Shares.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and this Statement corrects any previous attribution to, and overstatement of beneficial ownership by, such members as reflected in any prior Statements. Except as specifically stated herein, the filing of this Statement shall not be construed as an admission that any Reporting Person or any of the foregoing is, for the purposes of Section 13(d) and/or Section 13(g) of the Act or otherwise, the beneficial owner of any securities covered by this Statement or a member of a "group" with any other person.</w:t>
      </w:r>
    </w:p>
    <w:p>
      <w:pPr>
        <w:spacing w:after="0" w:line="27"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540" w:hanging="912"/>
        <w:spacing w:after="0" w:line="185" w:lineRule="auto"/>
        <w:tabs>
          <w:tab w:leader="none" w:pos="920" w:val="left"/>
        </w:tabs>
        <w:numPr>
          <w:ilvl w:val="0"/>
          <w:numId w:val="2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11 of each Reporting Person's cover page to this Schedule 13G (including the footnotes thereto) is incorporated by reference. %</w:t>
      </w:r>
    </w:p>
    <w:p>
      <w:pPr>
        <w:sectPr>
          <w:pgSz w:w="11900" w:h="16887" w:orient="portrait"/>
          <w:cols w:equalWidth="0" w:num="1">
            <w:col w:w="11120"/>
          </w:cols>
          <w:pgMar w:left="360" w:top="112" w:right="419" w:bottom="0" w:gutter="0" w:footer="0" w:header="0"/>
          <w:type w:val="continuous"/>
        </w:sectPr>
      </w:pPr>
    </w:p>
    <w:bookmarkStart w:id="15" w:name="page16"/>
    <w:bookmarkEnd w:id="15"/>
    <w:p>
      <w:pPr>
        <w:ind w:left="920" w:hanging="912"/>
        <w:spacing w:after="0"/>
        <w:tabs>
          <w:tab w:leader="none" w:pos="9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5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6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7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8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Steve R. Bailey, CFO of FHMLSP, L.L.C., GP</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FHMLSP, L.P., GP of Frazier Life Sciences</w:t>
      </w:r>
    </w:p>
    <w:p>
      <w:pPr>
        <w:ind w:left="6740"/>
        <w:spacing w:after="0"/>
        <w:rPr>
          <w:sz w:val="20"/>
          <w:szCs w:val="20"/>
          <w:color w:val="auto"/>
        </w:rPr>
      </w:pPr>
      <w:r>
        <w:rPr>
          <w:rFonts w:ascii="Times New Roman" w:cs="Times New Roman" w:eastAsia="Times New Roman" w:hAnsi="Times New Roman"/>
          <w:sz w:val="22"/>
          <w:szCs w:val="22"/>
          <w:color w:val="auto"/>
        </w:rPr>
        <w:t>Public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FHMLSP,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L.L.C.,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FHMLSP,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FHMLSP, L.L.C.</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By Steve R. Bailey, CFO of FHMLSP, L.L.C.</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ectPr>
          <w:pgSz w:w="11900" w:h="16838" w:orient="portrait"/>
          <w:cols w:equalWidth="0" w:num="1">
            <w:col w:w="11140"/>
          </w:cols>
          <w:pgMar w:left="360" w:top="126" w:right="399" w:bottom="0" w:gutter="0" w:footer="0" w:header="0"/>
          <w:type w:val="continuous"/>
        </w:sectPr>
      </w:pPr>
    </w:p>
    <w:bookmarkStart w:id="16" w:name="page17"/>
    <w:bookmarkEnd w:id="16"/>
    <w:p>
      <w:pPr>
        <w:spacing w:after="0" w:line="2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CFO of FHMLSP Overage,</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L.L.C., GP of FHMLSP Overage, L.P., GP of</w:t>
      </w:r>
    </w:p>
    <w:p>
      <w:pPr>
        <w:ind w:left="56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 GP of FHMLSP Overage,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CFO of FHMLS X,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FHMLS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FHMLS X,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By Steve R. Bailey, CFO of FHMLS X, L.L.C.</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CFO of FHMLS XI,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XI,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FHMLS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XI,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FHMLS XI,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By Steve R. Bailey, CFO of FHMLS XI, L.L.C.</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James N. Topper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Attorney-in-Fact for James N.</w:t>
      </w:r>
    </w:p>
    <w:p>
      <w:pPr>
        <w:spacing w:after="0" w:line="14" w:lineRule="exact"/>
        <w:rPr>
          <w:sz w:val="20"/>
          <w:szCs w:val="20"/>
          <w:color w:val="auto"/>
        </w:rPr>
      </w:pPr>
    </w:p>
    <w:p>
      <w:pPr>
        <w:ind w:left="5660" w:right="60" w:hanging="1093"/>
        <w:spacing w:after="0" w:line="258" w:lineRule="auto"/>
        <w:rPr>
          <w:sz w:val="20"/>
          <w:szCs w:val="20"/>
          <w:color w:val="auto"/>
        </w:rPr>
      </w:pPr>
      <w:r>
        <w:rPr>
          <w:rFonts w:ascii="Times New Roman" w:cs="Times New Roman" w:eastAsia="Times New Roman" w:hAnsi="Times New Roman"/>
          <w:sz w:val="21"/>
          <w:szCs w:val="21"/>
          <w:color w:val="auto"/>
        </w:rPr>
        <w:t>Name/Title: Topper, pursuant to a Power of Attorney, a copy of which was filed with the SEC on July 31, 2017</w:t>
      </w:r>
    </w:p>
    <w:p>
      <w:pPr>
        <w:sectPr>
          <w:pgSz w:w="11900" w:h="16867" w:orient="portrait"/>
          <w:cols w:equalWidth="0" w:num="1">
            <w:col w:w="10020"/>
          </w:cols>
          <w:pgMar w:left="1440" w:top="112" w:right="439" w:bottom="0" w:gutter="0" w:footer="0" w:header="0"/>
        </w:sectPr>
      </w:pPr>
    </w:p>
    <w:bookmarkStart w:id="17" w:name="page18"/>
    <w:bookmarkEnd w:id="17"/>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Patrick J. Heron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Attorney-in-Fact for Patrick J.</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Heron, pursuant to a Power of Attorney, a copy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which was filed with the SEC on July 31, 2017</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Albert Cha</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Albert</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Cha, pursuant to a Power of Attorney, a copy of</w:t>
      </w:r>
    </w:p>
    <w:p>
      <w:pPr>
        <w:ind w:left="6740"/>
        <w:spacing w:after="0"/>
        <w:rPr>
          <w:sz w:val="20"/>
          <w:szCs w:val="20"/>
          <w:color w:val="auto"/>
        </w:rPr>
      </w:pPr>
      <w:r>
        <w:rPr>
          <w:rFonts w:ascii="Times New Roman" w:cs="Times New Roman" w:eastAsia="Times New Roman" w:hAnsi="Times New Roman"/>
          <w:sz w:val="21"/>
          <w:szCs w:val="21"/>
          <w:color w:val="auto"/>
        </w:rPr>
        <w:t>which was filed with the SEC on August 16, 2021</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James Brush</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James</w:t>
      </w:r>
    </w:p>
    <w:p>
      <w:pPr>
        <w:spacing w:after="0" w:line="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color w:val="auto"/>
        </w:rPr>
        <w:t>Name/Title: Brush, pursuant to a Power of Attorney, a copy of</w:t>
      </w:r>
    </w:p>
    <w:p>
      <w:pPr>
        <w:jc w:val="right"/>
        <w:ind w:right="40"/>
        <w:spacing w:after="0"/>
        <w:rPr>
          <w:sz w:val="20"/>
          <w:szCs w:val="20"/>
          <w:color w:val="auto"/>
        </w:rPr>
      </w:pPr>
      <w:r>
        <w:rPr>
          <w:rFonts w:ascii="Times New Roman" w:cs="Times New Roman" w:eastAsia="Times New Roman" w:hAnsi="Times New Roman"/>
          <w:sz w:val="22"/>
          <w:szCs w:val="22"/>
          <w:color w:val="auto"/>
        </w:rPr>
        <w:t>which was filed with the SEC on August 16, 2021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Daniel Estes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Daniel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Estes, pursuant to a Power of Attorney, a copy of</w:t>
      </w:r>
    </w:p>
    <w:p>
      <w:pPr>
        <w:ind w:left="6740"/>
        <w:spacing w:after="0"/>
        <w:rPr>
          <w:sz w:val="20"/>
          <w:szCs w:val="20"/>
          <w:color w:val="auto"/>
        </w:rPr>
      </w:pPr>
      <w:r>
        <w:rPr>
          <w:rFonts w:ascii="Times New Roman" w:cs="Times New Roman" w:eastAsia="Times New Roman" w:hAnsi="Times New Roman"/>
          <w:sz w:val="22"/>
          <w:szCs w:val="22"/>
          <w:color w:val="auto"/>
        </w:rPr>
        <w:t>which was filed with the SEC on April 18, 2022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 dated as of April 4, 2025, incorporated by reference into this Statement.</w:t>
      </w:r>
    </w:p>
    <w:sectPr>
      <w:pgSz w:w="11900" w:h="16838" w:orient="portrait"/>
      <w:cols w:equalWidth="0" w:num="1">
        <w:col w:w="11120"/>
      </w:cols>
      <w:pgMar w:left="360" w:top="11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2"/>
      <w:numFmt w:val="bullet"/>
      <w:start w:val="1"/>
    </w:lvl>
  </w:abstractNum>
  <w:abstractNum w:abstractNumId="1">
    <w:nsid w:val="1BEFD79F"/>
    <w:multiLevelType w:val="hybridMultilevel"/>
    <w:lvl w:ilvl="0">
      <w:lvlJc w:val="left"/>
      <w:lvlText w:val="3"/>
      <w:numFmt w:val="bullet"/>
      <w:start w:val="1"/>
    </w:lvl>
  </w:abstractNum>
  <w:abstractNum w:abstractNumId="2">
    <w:nsid w:val="41A7C4C9"/>
    <w:multiLevelType w:val="hybridMultilevel"/>
    <w:lvl w:ilvl="0">
      <w:lvlJc w:val="left"/>
      <w:lvlText w:val="2"/>
      <w:numFmt w:val="bullet"/>
      <w:start w:val="1"/>
    </w:lvl>
  </w:abstractNum>
  <w:abstractNum w:abstractNumId="3">
    <w:nsid w:val="6B68079A"/>
    <w:multiLevelType w:val="hybridMultilevel"/>
    <w:lvl w:ilvl="0">
      <w:lvlJc w:val="left"/>
      <w:lvlText w:val="3"/>
      <w:numFmt w:val="bullet"/>
      <w:start w:val="1"/>
    </w:lvl>
  </w:abstractNum>
  <w:abstractNum w:abstractNumId="4">
    <w:nsid w:val="4E6AFB66"/>
    <w:multiLevelType w:val="hybridMultilevel"/>
    <w:lvl w:ilvl="0">
      <w:lvlJc w:val="left"/>
      <w:lvlText w:val="9"/>
      <w:numFmt w:val="bullet"/>
      <w:start w:val="1"/>
    </w:lvl>
  </w:abstractNum>
  <w:abstractNum w:abstractNumId="5">
    <w:nsid w:val="25E45D32"/>
    <w:multiLevelType w:val="hybridMultilevel"/>
    <w:lvl w:ilvl="0">
      <w:lvlJc w:val="left"/>
      <w:lvlText w:val="2"/>
      <w:numFmt w:val="bullet"/>
      <w:start w:val="1"/>
    </w:lvl>
  </w:abstractNum>
  <w:abstractNum w:abstractNumId="6">
    <w:nsid w:val="519B500D"/>
    <w:multiLevelType w:val="hybridMultilevel"/>
    <w:lvl w:ilvl="0">
      <w:lvlJc w:val="left"/>
      <w:lvlText w:val="2"/>
      <w:numFmt w:val="bullet"/>
      <w:start w:val="1"/>
    </w:lvl>
  </w:abstractNum>
  <w:abstractNum w:abstractNumId="7">
    <w:nsid w:val="431BD7B7"/>
    <w:multiLevelType w:val="hybridMultilevel"/>
    <w:lvl w:ilvl="0">
      <w:lvlJc w:val="left"/>
      <w:lvlText w:val="2"/>
      <w:numFmt w:val="bullet"/>
      <w:start w:val="1"/>
    </w:lvl>
  </w:abstractNum>
  <w:abstractNum w:abstractNumId="8">
    <w:nsid w:val="3F2DBA31"/>
    <w:multiLevelType w:val="hybridMultilevel"/>
    <w:lvl w:ilvl="0">
      <w:lvlJc w:val="left"/>
      <w:lvlText w:val="2"/>
      <w:numFmt w:val="bullet"/>
      <w:start w:val="1"/>
    </w:lvl>
  </w:abstractNum>
  <w:abstractNum w:abstractNumId="9">
    <w:nsid w:val="7C83E458"/>
    <w:multiLevelType w:val="hybridMultilevel"/>
    <w:lvl w:ilvl="0">
      <w:lvlJc w:val="left"/>
      <w:lvlText w:val="3"/>
      <w:numFmt w:val="bullet"/>
      <w:start w:val="1"/>
    </w:lvl>
  </w:abstractNum>
  <w:abstractNum w:abstractNumId="10">
    <w:nsid w:val="257130A3"/>
    <w:multiLevelType w:val="hybridMultilevel"/>
    <w:lvl w:ilvl="0">
      <w:lvlJc w:val="left"/>
      <w:lvlText w:val="2"/>
      <w:numFmt w:val="bullet"/>
      <w:start w:val="1"/>
    </w:lvl>
  </w:abstractNum>
  <w:abstractNum w:abstractNumId="11">
    <w:nsid w:val="62BBD95A"/>
    <w:multiLevelType w:val="hybridMultilevel"/>
    <w:lvl w:ilvl="0">
      <w:lvlJc w:val="left"/>
      <w:lvlText w:val="2"/>
      <w:numFmt w:val="bullet"/>
      <w:start w:val="1"/>
    </w:lvl>
  </w:abstractNum>
  <w:abstractNum w:abstractNumId="12">
    <w:nsid w:val="436C6125"/>
    <w:multiLevelType w:val="hybridMultilevel"/>
    <w:lvl w:ilvl="0">
      <w:lvlJc w:val="left"/>
      <w:lvlText w:val="2"/>
      <w:numFmt w:val="bullet"/>
      <w:start w:val="1"/>
    </w:lvl>
  </w:abstractNum>
  <w:abstractNum w:abstractNumId="13">
    <w:nsid w:val="628C895D"/>
    <w:multiLevelType w:val="hybridMultilevel"/>
    <w:lvl w:ilvl="0">
      <w:lvlJc w:val="left"/>
      <w:lvlText w:val="2"/>
      <w:numFmt w:val="bullet"/>
      <w:start w:val="1"/>
    </w:lvl>
  </w:abstractNum>
  <w:abstractNum w:abstractNumId="14">
    <w:nsid w:val="333AB105"/>
    <w:multiLevelType w:val="hybridMultilevel"/>
    <w:lvl w:ilvl="0">
      <w:lvlJc w:val="left"/>
      <w:lvlText w:val="3"/>
      <w:numFmt w:val="bullet"/>
      <w:start w:val="1"/>
    </w:lvl>
  </w:abstractNum>
  <w:abstractNum w:abstractNumId="15">
    <w:nsid w:val="721DA317"/>
    <w:multiLevelType w:val="hybridMultilevel"/>
    <w:lvl w:ilvl="0">
      <w:lvlJc w:val="left"/>
      <w:lvlText w:val="5"/>
      <w:numFmt w:val="bullet"/>
      <w:start w:val="1"/>
    </w:lvl>
  </w:abstractNum>
  <w:abstractNum w:abstractNumId="16">
    <w:nsid w:val="2443A858"/>
    <w:multiLevelType w:val="hybridMultilevel"/>
    <w:lvl w:ilvl="0">
      <w:lvlJc w:val="left"/>
      <w:lvlText w:val="2"/>
      <w:numFmt w:val="bullet"/>
      <w:start w:val="1"/>
    </w:lvl>
  </w:abstractNum>
  <w:abstractNum w:abstractNumId="17">
    <w:nsid w:val="2D1D5AE9"/>
    <w:multiLevelType w:val="hybridMultilevel"/>
    <w:lvl w:ilvl="0">
      <w:lvlJc w:val="left"/>
      <w:lvlText w:val="3"/>
      <w:numFmt w:val="bullet"/>
      <w:start w:val="1"/>
    </w:lvl>
  </w:abstractNum>
  <w:abstractNum w:abstractNumId="18">
    <w:nsid w:val="6763845E"/>
    <w:multiLevelType w:val="hybridMultilevel"/>
    <w:lvl w:ilvl="0">
      <w:lvlJc w:val="left"/>
      <w:lvlText w:val="9"/>
      <w:numFmt w:val="bullet"/>
      <w:start w:val="1"/>
    </w:lvl>
  </w:abstractNum>
  <w:abstractNum w:abstractNumId="19">
    <w:nsid w:val="75A2A8D4"/>
    <w:multiLevelType w:val="hybridMultilevel"/>
    <w:lvl w:ilvl="0">
      <w:lvlJc w:val="left"/>
      <w:lvlText w:val="2"/>
      <w:numFmt w:val="bullet"/>
      <w:start w:val="1"/>
    </w:lvl>
  </w:abstractNum>
  <w:abstractNum w:abstractNumId="20">
    <w:nsid w:val="8EDBDAB"/>
    <w:multiLevelType w:val="hybridMultilevel"/>
    <w:lvl w:ilvl="0">
      <w:lvlJc w:val="left"/>
      <w:lvlText w:val="2"/>
      <w:numFmt w:val="bullet"/>
      <w:start w:val="1"/>
    </w:lvl>
  </w:abstractNum>
  <w:abstractNum w:abstractNumId="21">
    <w:nsid w:val="79838CB2"/>
    <w:multiLevelType w:val="hybridMultilevel"/>
    <w:lvl w:ilvl="0">
      <w:lvlJc w:val="left"/>
      <w:lvlText w:val="2"/>
      <w:numFmt w:val="bullet"/>
      <w:start w:val="1"/>
    </w:lvl>
  </w:abstractNum>
  <w:abstractNum w:abstractNumId="22">
    <w:nsid w:val="4353D0CD"/>
    <w:multiLevelType w:val="hybridMultilevel"/>
    <w:lvl w:ilvl="0">
      <w:lvlJc w:val="left"/>
      <w:lvlText w:val="2"/>
      <w:numFmt w:val="bullet"/>
      <w:start w:val="1"/>
    </w:lvl>
  </w:abstractNum>
  <w:abstractNum w:abstractNumId="23">
    <w:nsid w:val="B03E0C6"/>
    <w:multiLevelType w:val="hybridMultilevel"/>
    <w:lvl w:ilvl="0">
      <w:lvlJc w:val="left"/>
      <w:lvlText w:val="3"/>
      <w:numFmt w:val="bullet"/>
      <w:start w:val="1"/>
    </w:lvl>
  </w:abstractNum>
  <w:abstractNum w:abstractNumId="24">
    <w:nsid w:val="189A769B"/>
    <w:multiLevelType w:val="hybridMultilevel"/>
    <w:lvl w:ilvl="0">
      <w:lvlJc w:val="left"/>
      <w:lvlText w:val="2"/>
      <w:numFmt w:val="bullet"/>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2025-08-14T12:41:06Z</dcterms:created>
  <dcterms:modified xsi:type="dcterms:W3CDTF">2025-08-14T12:41:06Z</dcterms:modified>
</cp:coreProperties>
</file>