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5636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563610"/>
                    </a:xfrm>
                    <a:prstGeom prst="rect">
                      <a:avLst/>
                    </a:prstGeom>
                    <a:noFill/>
                  </pic:spPr>
                </pic:pic>
              </a:graphicData>
            </a:graphic>
          </wp:anchor>
        </w:drawing>
      </w:r>
    </w:p>
    <w:p>
      <w:pPr>
        <w:sectPr>
          <w:pgSz w:w="11900" w:h="16840"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Hughes-Wilson Alexandra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560" w:type="dxa"/>
            <w:vAlign w:val="bottom"/>
            <w:tcBorders>
              <w:top w:val="single" w:sz="8" w:color="0000EE"/>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01/01/2024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Mereo Biopharma Group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MREO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33" w:lineRule="exact"/>
        <w:rPr>
          <w:sz w:val="24"/>
          <w:szCs w:val="24"/>
          <w:color w:val="auto"/>
        </w:rPr>
      </w:pPr>
    </w:p>
    <w:p>
      <w:pPr>
        <w:sectPr>
          <w:pgSz w:w="11900" w:h="16840" w:orient="portrait"/>
          <w:cols w:equalWidth="0" w:num="2">
            <w:col w:w="472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57"/>
        <w:spacing w:after="0" w:line="275" w:lineRule="auto"/>
        <w:rPr>
          <w:sz w:val="20"/>
          <w:szCs w:val="20"/>
          <w:color w:val="auto"/>
        </w:rPr>
      </w:pPr>
      <w:r>
        <w:rPr>
          <w:rFonts w:ascii="Times New Roman" w:cs="Times New Roman" w:eastAsia="Times New Roman" w:hAnsi="Times New Roman"/>
          <w:sz w:val="20"/>
          <w:szCs w:val="20"/>
          <w:color w:val="0000FF"/>
        </w:rPr>
        <w:t>C/O MEREO BIOPHARMA GROUP PLC</w:t>
      </w:r>
    </w:p>
    <w:p>
      <w:pPr>
        <w:spacing w:after="0" w:line="13" w:lineRule="exact"/>
        <w:rPr>
          <w:sz w:val="24"/>
          <w:szCs w:val="24"/>
          <w:color w:val="auto"/>
        </w:rPr>
      </w:pPr>
    </w:p>
    <w:p>
      <w:pPr>
        <w:ind w:left="140" w:right="1437"/>
        <w:spacing w:after="0" w:line="275" w:lineRule="auto"/>
        <w:rPr>
          <w:sz w:val="20"/>
          <w:szCs w:val="20"/>
          <w:color w:val="auto"/>
        </w:rPr>
      </w:pPr>
      <w:r>
        <w:rPr>
          <w:rFonts w:ascii="Times New Roman" w:cs="Times New Roman" w:eastAsia="Times New Roman" w:hAnsi="Times New Roman"/>
          <w:sz w:val="20"/>
          <w:szCs w:val="20"/>
          <w:color w:val="0000FF"/>
        </w:rPr>
        <w:t>4TH FLOOR, ONE CAVENDISH PLACE</w:t>
      </w:r>
    </w:p>
    <w:p>
      <w:pPr>
        <w:spacing w:after="0" w:line="26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1140" w:val="left"/>
          <w:tab w:leader="none" w:pos="2180" w:val="left"/>
        </w:tabs>
        <w:rPr>
          <w:sz w:val="20"/>
          <w:szCs w:val="20"/>
          <w:color w:val="auto"/>
        </w:rPr>
      </w:pPr>
      <w:r>
        <w:rPr>
          <w:rFonts w:ascii="Times New Roman" w:cs="Times New Roman" w:eastAsia="Times New Roman" w:hAnsi="Times New Roman"/>
          <w:sz w:val="20"/>
          <w:szCs w:val="20"/>
          <w:color w:val="0000FF"/>
        </w:rPr>
        <w:t>LONDON</w:t>
        <w:tab/>
        <w:t>X0</w:t>
      </w:r>
      <w:r>
        <w:rPr>
          <w:sz w:val="20"/>
          <w:szCs w:val="20"/>
          <w:color w:val="auto"/>
        </w:rPr>
        <w:tab/>
      </w:r>
      <w:r>
        <w:rPr>
          <w:rFonts w:ascii="Times New Roman" w:cs="Times New Roman" w:eastAsia="Times New Roman" w:hAnsi="Times New Roman"/>
          <w:sz w:val="18"/>
          <w:szCs w:val="18"/>
          <w:color w:val="0000FF"/>
        </w:rPr>
        <w:t>W1G 0QF</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43"/>
        <w:spacing w:after="0"/>
        <w:rPr>
          <w:sz w:val="20"/>
          <w:szCs w:val="20"/>
          <w:color w:val="auto"/>
        </w:rPr>
      </w:pPr>
      <w:r>
        <w:rPr>
          <w:rFonts w:ascii="Times New Roman" w:cs="Times New Roman" w:eastAsia="Times New Roman" w:hAnsi="Times New Roman"/>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34" w:lineRule="exact"/>
        <w:rPr>
          <w:sz w:val="24"/>
          <w:szCs w:val="24"/>
          <w:color w:val="auto"/>
        </w:rPr>
      </w:pPr>
    </w:p>
    <w:p>
      <w:pPr>
        <w:sectPr>
          <w:pgSz w:w="11900" w:h="16840" w:orient="portrait"/>
          <w:cols w:equalWidth="0" w:num="3">
            <w:col w:w="4277" w:space="720"/>
            <w:col w:w="3003" w:space="269"/>
            <w:col w:w="2671"/>
          </w:cols>
          <w:pgMar w:left="480" w:top="230" w:right="479" w:bottom="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10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920" w:type="dxa"/>
            <w:vAlign w:val="bottom"/>
          </w:tcPr>
          <w:p>
            <w:pPr>
              <w:ind w:left="40"/>
              <w:spacing w:after="0"/>
              <w:rPr>
                <w:sz w:val="20"/>
                <w:szCs w:val="20"/>
                <w:color w:val="auto"/>
              </w:rPr>
            </w:pPr>
            <w:r>
              <w:rPr>
                <w:rFonts w:ascii="Arial" w:cs="Arial" w:eastAsia="Arial" w:hAnsi="Arial"/>
                <w:sz w:val="15"/>
                <w:szCs w:val="15"/>
                <w:b w:val="1"/>
                <w:bCs w:val="1"/>
                <w:color w:val="auto"/>
              </w:rPr>
              <w:t>2. Amount of Securities</w:t>
            </w:r>
          </w:p>
        </w:tc>
        <w:tc>
          <w:tcPr>
            <w:tcW w:w="1140" w:type="dxa"/>
            <w:vAlign w:val="bottom"/>
            <w:gridSpan w:val="3"/>
          </w:tcPr>
          <w:p>
            <w:pPr>
              <w:ind w:left="200"/>
              <w:spacing w:after="0"/>
              <w:rPr>
                <w:sz w:val="20"/>
                <w:szCs w:val="20"/>
                <w:color w:val="auto"/>
              </w:rPr>
            </w:pPr>
            <w:r>
              <w:rPr>
                <w:rFonts w:ascii="Arial" w:cs="Arial" w:eastAsia="Arial" w:hAnsi="Arial"/>
                <w:sz w:val="15"/>
                <w:szCs w:val="15"/>
                <w:b w:val="1"/>
                <w:bCs w:val="1"/>
                <w:color w:val="auto"/>
                <w:w w:val="97"/>
              </w:rPr>
              <w:t>3. Ownership</w:t>
            </w:r>
          </w:p>
        </w:tc>
        <w:tc>
          <w:tcPr>
            <w:tcW w:w="3020" w:type="dxa"/>
            <w:vAlign w:val="bottom"/>
            <w:gridSpan w:val="4"/>
          </w:tcPr>
          <w:p>
            <w:pPr>
              <w:ind w:left="240"/>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2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140" w:type="dxa"/>
            <w:vAlign w:val="bottom"/>
            <w:gridSpan w:val="3"/>
          </w:tcPr>
          <w:p>
            <w:pPr>
              <w:ind w:left="200"/>
              <w:spacing w:after="0" w:line="165" w:lineRule="exact"/>
              <w:rPr>
                <w:sz w:val="20"/>
                <w:szCs w:val="20"/>
                <w:color w:val="auto"/>
              </w:rPr>
            </w:pPr>
            <w:r>
              <w:rPr>
                <w:rFonts w:ascii="Arial" w:cs="Arial" w:eastAsia="Arial" w:hAnsi="Arial"/>
                <w:sz w:val="15"/>
                <w:szCs w:val="15"/>
                <w:b w:val="1"/>
                <w:bCs w:val="1"/>
                <w:color w:val="auto"/>
              </w:rPr>
              <w:t>Form: Direct</w:t>
            </w:r>
          </w:p>
        </w:tc>
        <w:tc>
          <w:tcPr>
            <w:tcW w:w="3020" w:type="dxa"/>
            <w:vAlign w:val="bottom"/>
            <w:gridSpan w:val="4"/>
          </w:tcPr>
          <w:p>
            <w:pPr>
              <w:ind w:left="240"/>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2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4)</w:t>
            </w:r>
          </w:p>
        </w:tc>
        <w:tc>
          <w:tcPr>
            <w:tcW w:w="1760" w:type="dxa"/>
            <w:vAlign w:val="bottom"/>
            <w:gridSpan w:val="4"/>
          </w:tcPr>
          <w:p>
            <w:pPr>
              <w:ind w:left="200"/>
              <w:spacing w:after="0" w:line="165" w:lineRule="exact"/>
              <w:rPr>
                <w:sz w:val="20"/>
                <w:szCs w:val="20"/>
                <w:color w:val="auto"/>
              </w:rPr>
            </w:pPr>
            <w:r>
              <w:rPr>
                <w:rFonts w:ascii="Arial" w:cs="Arial" w:eastAsia="Arial" w:hAnsi="Arial"/>
                <w:sz w:val="15"/>
                <w:szCs w:val="15"/>
                <w:b w:val="1"/>
                <w:bCs w:val="1"/>
                <w:color w:val="auto"/>
              </w:rPr>
              <w:t>(D) or Indirect</w:t>
            </w: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140" w:type="dxa"/>
            <w:vAlign w:val="bottom"/>
            <w:gridSpan w:val="3"/>
          </w:tcPr>
          <w:p>
            <w:pPr>
              <w:ind w:left="200"/>
              <w:spacing w:after="0"/>
              <w:rPr>
                <w:sz w:val="20"/>
                <w:szCs w:val="20"/>
                <w:color w:val="auto"/>
              </w:rPr>
            </w:pPr>
            <w:r>
              <w:rPr>
                <w:rFonts w:ascii="Arial" w:cs="Arial" w:eastAsia="Arial" w:hAnsi="Arial"/>
                <w:sz w:val="15"/>
                <w:szCs w:val="15"/>
                <w:b w:val="1"/>
                <w:bCs w:val="1"/>
                <w:color w:val="auto"/>
              </w:rPr>
              <w:t>(I) (Instr. 5)</w:t>
            </w: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0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08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0000FF"/>
                <w:w w:val="96"/>
              </w:rPr>
              <w:t>American Depositary Shares representing Ordinary</w:t>
            </w:r>
          </w:p>
        </w:tc>
        <w:tc>
          <w:tcPr>
            <w:tcW w:w="760" w:type="dxa"/>
            <w:vAlign w:val="bottom"/>
          </w:tcPr>
          <w:p>
            <w:pPr>
              <w:spacing w:after="0"/>
              <w:rPr>
                <w:sz w:val="24"/>
                <w:szCs w:val="24"/>
                <w:color w:val="auto"/>
              </w:rPr>
            </w:pP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7,650</w:t>
            </w:r>
          </w:p>
        </w:tc>
        <w:tc>
          <w:tcPr>
            <w:tcW w:w="820" w:type="dxa"/>
            <w:vAlign w:val="bottom"/>
            <w:gridSpan w:val="2"/>
            <w:vMerge w:val="restart"/>
          </w:tcPr>
          <w:p>
            <w:pPr>
              <w:ind w:left="640"/>
              <w:spacing w:after="0"/>
              <w:rPr>
                <w:sz w:val="20"/>
                <w:szCs w:val="20"/>
                <w:color w:val="auto"/>
              </w:rPr>
            </w:pPr>
            <w:r>
              <w:rPr>
                <w:rFonts w:ascii="Times New Roman" w:cs="Times New Roman" w:eastAsia="Times New Roman" w:hAnsi="Times New Roman"/>
                <w:sz w:val="20"/>
                <w:szCs w:val="20"/>
                <w:color w:val="0000FF"/>
              </w:rPr>
              <w:t>D</w:t>
            </w: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Shares</w:t>
            </w:r>
            <w:r>
              <w:rPr>
                <w:rFonts w:ascii="Times New Roman" w:cs="Times New Roman" w:eastAsia="Times New Roman" w:hAnsi="Times New Roman"/>
                <w:sz w:val="25"/>
                <w:szCs w:val="25"/>
                <w:color w:val="008000"/>
                <w:vertAlign w:val="superscript"/>
              </w:rPr>
              <w:t>(1)</w:t>
            </w:r>
          </w:p>
        </w:tc>
        <w:tc>
          <w:tcPr>
            <w:tcW w:w="10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92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0" w:type="dxa"/>
            <w:vAlign w:val="bottom"/>
            <w:tcBorders>
              <w:bottom w:val="single" w:sz="8" w:color="2C2C2C"/>
            </w:tcBorders>
          </w:tcPr>
          <w:p>
            <w:pPr>
              <w:spacing w:after="0"/>
              <w:rPr>
                <w:sz w:val="20"/>
                <w:szCs w:val="20"/>
                <w:color w:val="auto"/>
              </w:rPr>
            </w:pPr>
          </w:p>
        </w:tc>
        <w:tc>
          <w:tcPr>
            <w:tcW w:w="3020" w:type="dxa"/>
            <w:vAlign w:val="bottom"/>
            <w:tcBorders>
              <w:bottom w:val="single" w:sz="8" w:color="2C2C2C"/>
            </w:tcBorders>
            <w:vMerge w:val="continue"/>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tcBorders>
          </w:tcPr>
          <w:p>
            <w:pPr>
              <w:spacing w:after="0"/>
              <w:rPr>
                <w:sz w:val="20"/>
                <w:szCs w:val="20"/>
                <w:color w:val="auto"/>
              </w:rPr>
            </w:pPr>
          </w:p>
        </w:tc>
        <w:tc>
          <w:tcPr>
            <w:tcW w:w="19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144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3020" w:type="dxa"/>
            <w:vAlign w:val="bottom"/>
            <w:tcBorders>
              <w:top w:val="single" w:sz="8" w:color="2C2C2C"/>
            </w:tcBorders>
          </w:tcPr>
          <w:p>
            <w:pPr>
              <w:spacing w:after="0"/>
              <w:rPr>
                <w:sz w:val="22"/>
                <w:szCs w:val="22"/>
                <w:color w:val="auto"/>
              </w:rPr>
            </w:pPr>
          </w:p>
        </w:tc>
        <w:tc>
          <w:tcPr>
            <w:tcW w:w="488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w w:val="99"/>
              </w:rPr>
              <w:t>Table II - Derivative Securities Beneficially Owned</w:t>
            </w:r>
          </w:p>
        </w:tc>
        <w:tc>
          <w:tcPr>
            <w:tcW w:w="62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8520" w:type="dxa"/>
            <w:vAlign w:val="bottom"/>
            <w:gridSpan w:val="8"/>
          </w:tcPr>
          <w:p>
            <w:pPr>
              <w:ind w:left="2760"/>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27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2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40" w:type="dxa"/>
            <w:vAlign w:val="bottom"/>
            <w:gridSpan w:val="3"/>
          </w:tcPr>
          <w:p>
            <w:pPr>
              <w:ind w:left="140"/>
              <w:spacing w:after="0"/>
              <w:rPr>
                <w:sz w:val="20"/>
                <w:szCs w:val="20"/>
                <w:color w:val="auto"/>
              </w:rPr>
            </w:pPr>
            <w:r>
              <w:rPr>
                <w:rFonts w:ascii="Arial" w:cs="Arial" w:eastAsia="Arial" w:hAnsi="Arial"/>
                <w:sz w:val="15"/>
                <w:szCs w:val="15"/>
                <w:b w:val="1"/>
                <w:bCs w:val="1"/>
                <w:color w:val="auto"/>
              </w:rPr>
              <w:t>3. Title and Amount of Securities</w:t>
            </w:r>
          </w:p>
        </w:tc>
        <w:tc>
          <w:tcPr>
            <w:tcW w:w="32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6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40" w:type="dxa"/>
            <w:vAlign w:val="bottom"/>
            <w:gridSpan w:val="3"/>
          </w:tcPr>
          <w:p>
            <w:pPr>
              <w:ind w:left="14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9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(Instr. 4)</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gridSpan w:val="2"/>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920" w:type="dxa"/>
            <w:vAlign w:val="bottom"/>
          </w:tcPr>
          <w:p>
            <w:pPr>
              <w:spacing w:after="0"/>
              <w:rPr>
                <w:sz w:val="5"/>
                <w:szCs w:val="5"/>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Amount</w:t>
            </w:r>
          </w:p>
        </w:tc>
        <w:tc>
          <w:tcPr>
            <w:tcW w:w="94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940" w:type="dxa"/>
            <w:vAlign w:val="bottom"/>
            <w:gridSpan w:val="2"/>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Number</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76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920" w:type="dxa"/>
            <w:vAlign w:val="bottom"/>
          </w:tcPr>
          <w:p>
            <w:pPr>
              <w:spacing w:after="0"/>
              <w:rPr>
                <w:sz w:val="14"/>
                <w:szCs w:val="14"/>
                <w:color w:val="auto"/>
              </w:rPr>
            </w:pPr>
          </w:p>
        </w:tc>
        <w:tc>
          <w:tcPr>
            <w:tcW w:w="8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of</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6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760" w:type="dxa"/>
            <w:vAlign w:val="bottom"/>
          </w:tcPr>
          <w:p>
            <w:pPr>
              <w:ind w:left="20"/>
              <w:spacing w:after="0"/>
              <w:rPr>
                <w:sz w:val="20"/>
                <w:szCs w:val="20"/>
                <w:color w:val="auto"/>
              </w:rPr>
            </w:pPr>
            <w:r>
              <w:rPr>
                <w:rFonts w:ascii="Arial" w:cs="Arial" w:eastAsia="Arial" w:hAnsi="Arial"/>
                <w:sz w:val="15"/>
                <w:szCs w:val="15"/>
                <w:b w:val="1"/>
                <w:bCs w:val="1"/>
                <w:color w:val="auto"/>
              </w:rPr>
              <w:t>Date</w:t>
            </w:r>
          </w:p>
        </w:tc>
        <w:tc>
          <w:tcPr>
            <w:tcW w:w="1920" w:type="dxa"/>
            <w:vAlign w:val="bottom"/>
          </w:tcPr>
          <w:p>
            <w:pPr>
              <w:ind w:left="140"/>
              <w:spacing w:after="0"/>
              <w:rPr>
                <w:sz w:val="20"/>
                <w:szCs w:val="20"/>
                <w:color w:val="auto"/>
              </w:rPr>
            </w:pPr>
            <w:r>
              <w:rPr>
                <w:rFonts w:ascii="Arial" w:cs="Arial" w:eastAsia="Arial" w:hAnsi="Arial"/>
                <w:sz w:val="15"/>
                <w:szCs w:val="15"/>
                <w:b w:val="1"/>
                <w:bCs w:val="1"/>
                <w:color w:val="auto"/>
              </w:rPr>
              <w:t>Title</w:t>
            </w:r>
          </w:p>
        </w:tc>
        <w:tc>
          <w:tcPr>
            <w:tcW w:w="820" w:type="dxa"/>
            <w:vAlign w:val="bottom"/>
            <w:gridSpan w:val="2"/>
          </w:tcPr>
          <w:p>
            <w:pPr>
              <w:ind w:left="60"/>
              <w:spacing w:after="0"/>
              <w:rPr>
                <w:sz w:val="20"/>
                <w:szCs w:val="20"/>
                <w:color w:val="auto"/>
              </w:rPr>
            </w:pPr>
            <w:r>
              <w:rPr>
                <w:rFonts w:ascii="Arial" w:cs="Arial" w:eastAsia="Arial" w:hAnsi="Arial"/>
                <w:sz w:val="15"/>
                <w:szCs w:val="15"/>
                <w:b w:val="1"/>
                <w:bCs w:val="1"/>
                <w:color w:val="auto"/>
              </w:rPr>
              <w:t>Shares</w:t>
            </w: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1060" w:type="dxa"/>
            <w:vAlign w:val="bottom"/>
          </w:tcPr>
          <w:p>
            <w:pPr>
              <w:jc w:val="right"/>
              <w:ind w:right="411"/>
              <w:spacing w:after="0"/>
              <w:rPr>
                <w:sz w:val="20"/>
                <w:szCs w:val="20"/>
                <w:color w:val="auto"/>
              </w:rPr>
            </w:pPr>
            <w:r>
              <w:rPr>
                <w:rFonts w:ascii="Times New Roman" w:cs="Times New Roman" w:eastAsia="Times New Roman" w:hAnsi="Times New Roman"/>
                <w:sz w:val="13"/>
                <w:szCs w:val="13"/>
                <w:color w:val="008000"/>
              </w:rPr>
              <w:t>(2)</w:t>
            </w:r>
          </w:p>
        </w:tc>
        <w:tc>
          <w:tcPr>
            <w:tcW w:w="76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05/02/2028</w:t>
            </w:r>
          </w:p>
        </w:tc>
        <w:tc>
          <w:tcPr>
            <w:tcW w:w="1920" w:type="dxa"/>
            <w:vAlign w:val="bottom"/>
          </w:tcPr>
          <w:p>
            <w:pPr>
              <w:ind w:left="140"/>
              <w:spacing w:after="0"/>
              <w:rPr>
                <w:sz w:val="20"/>
                <w:szCs w:val="20"/>
                <w:color w:val="auto"/>
              </w:rPr>
            </w:pPr>
            <w:r>
              <w:rPr>
                <w:rFonts w:ascii="Times New Roman" w:cs="Times New Roman" w:eastAsia="Times New Roman" w:hAnsi="Times New Roman"/>
                <w:sz w:val="20"/>
                <w:szCs w:val="20"/>
                <w:color w:val="0000FF"/>
              </w:rPr>
              <w:t>American Depositary</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6,153</w:t>
            </w:r>
          </w:p>
        </w:tc>
        <w:tc>
          <w:tcPr>
            <w:tcW w:w="40" w:type="dxa"/>
            <w:vAlign w:val="bottom"/>
          </w:tcPr>
          <w:p>
            <w:pPr>
              <w:spacing w:after="0"/>
              <w:rPr>
                <w:sz w:val="24"/>
                <w:szCs w:val="2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0000FF"/>
                <w:w w:val="97"/>
              </w:rPr>
              <w:t>21.75</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20" w:type="dxa"/>
            <w:vAlign w:val="bottom"/>
            <w:tcBorders>
              <w:bottom w:val="single" w:sz="8" w:color="2C2C2C"/>
            </w:tcBorders>
          </w:tcPr>
          <w:p>
            <w:pPr>
              <w:spacing w:after="0"/>
              <w:rPr>
                <w:sz w:val="21"/>
                <w:szCs w:val="21"/>
                <w:color w:val="auto"/>
              </w:rPr>
            </w:pPr>
          </w:p>
        </w:tc>
        <w:tc>
          <w:tcPr>
            <w:tcW w:w="10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1920" w:type="dxa"/>
            <w:vAlign w:val="bottom"/>
            <w:tcBorders>
              <w:bottom w:val="single" w:sz="8" w:color="2C2C2C"/>
            </w:tcBorders>
          </w:tcPr>
          <w:p>
            <w:pPr>
              <w:jc w:val="center"/>
              <w:spacing w:after="0" w:line="240" w:lineRule="exact"/>
              <w:rPr>
                <w:sz w:val="20"/>
                <w:szCs w:val="20"/>
                <w:color w:val="auto"/>
              </w:rPr>
            </w:pPr>
            <w:r>
              <w:rPr>
                <w:rFonts w:ascii="Times New Roman" w:cs="Times New Roman" w:eastAsia="Times New Roman" w:hAnsi="Times New Roman"/>
                <w:sz w:val="20"/>
                <w:szCs w:val="20"/>
                <w:color w:val="0000FF"/>
                <w:w w:val="90"/>
              </w:rPr>
              <w:t>Shares</w:t>
            </w:r>
            <w:r>
              <w:rPr>
                <w:rFonts w:ascii="Times New Roman" w:cs="Times New Roman" w:eastAsia="Times New Roman" w:hAnsi="Times New Roman"/>
                <w:sz w:val="25"/>
                <w:szCs w:val="25"/>
                <w:color w:val="008000"/>
                <w:w w:val="90"/>
                <w:vertAlign w:val="superscript"/>
              </w:rPr>
              <w:t>(1)</w:t>
            </w:r>
          </w:p>
        </w:tc>
        <w:tc>
          <w:tcPr>
            <w:tcW w:w="78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14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1060" w:type="dxa"/>
            <w:vAlign w:val="bottom"/>
          </w:tcPr>
          <w:p>
            <w:pPr>
              <w:jc w:val="right"/>
              <w:ind w:right="411"/>
              <w:spacing w:after="0"/>
              <w:rPr>
                <w:sz w:val="20"/>
                <w:szCs w:val="20"/>
                <w:color w:val="auto"/>
              </w:rPr>
            </w:pPr>
            <w:r>
              <w:rPr>
                <w:rFonts w:ascii="Times New Roman" w:cs="Times New Roman" w:eastAsia="Times New Roman" w:hAnsi="Times New Roman"/>
                <w:sz w:val="13"/>
                <w:szCs w:val="13"/>
                <w:color w:val="008000"/>
              </w:rPr>
              <w:t>(2)</w:t>
            </w:r>
          </w:p>
        </w:tc>
        <w:tc>
          <w:tcPr>
            <w:tcW w:w="76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05/02/2028</w:t>
            </w: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American Depositary</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1,846</w:t>
            </w:r>
          </w:p>
        </w:tc>
        <w:tc>
          <w:tcPr>
            <w:tcW w:w="40" w:type="dxa"/>
            <w:vAlign w:val="bottom"/>
          </w:tcPr>
          <w:p>
            <w:pPr>
              <w:spacing w:after="0"/>
              <w:rPr>
                <w:sz w:val="24"/>
                <w:szCs w:val="2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0000FF"/>
                <w:w w:val="97"/>
              </w:rPr>
              <w:t>21.75</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20" w:type="dxa"/>
            <w:vAlign w:val="bottom"/>
            <w:tcBorders>
              <w:bottom w:val="single" w:sz="8" w:color="2C2C2C"/>
            </w:tcBorders>
          </w:tcPr>
          <w:p>
            <w:pPr>
              <w:spacing w:after="0"/>
              <w:rPr>
                <w:sz w:val="21"/>
                <w:szCs w:val="21"/>
                <w:color w:val="auto"/>
              </w:rPr>
            </w:pPr>
          </w:p>
        </w:tc>
        <w:tc>
          <w:tcPr>
            <w:tcW w:w="10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1920" w:type="dxa"/>
            <w:vAlign w:val="bottom"/>
            <w:tcBorders>
              <w:bottom w:val="single" w:sz="8" w:color="2C2C2C"/>
            </w:tcBorders>
          </w:tcPr>
          <w:p>
            <w:pPr>
              <w:jc w:val="center"/>
              <w:spacing w:after="0" w:line="240" w:lineRule="exact"/>
              <w:rPr>
                <w:sz w:val="20"/>
                <w:szCs w:val="20"/>
                <w:color w:val="auto"/>
              </w:rPr>
            </w:pPr>
            <w:r>
              <w:rPr>
                <w:rFonts w:ascii="Times New Roman" w:cs="Times New Roman" w:eastAsia="Times New Roman" w:hAnsi="Times New Roman"/>
                <w:sz w:val="20"/>
                <w:szCs w:val="20"/>
                <w:color w:val="0000FF"/>
                <w:w w:val="90"/>
              </w:rPr>
              <w:t>Shares</w:t>
            </w:r>
            <w:r>
              <w:rPr>
                <w:rFonts w:ascii="Times New Roman" w:cs="Times New Roman" w:eastAsia="Times New Roman" w:hAnsi="Times New Roman"/>
                <w:sz w:val="25"/>
                <w:szCs w:val="25"/>
                <w:color w:val="008000"/>
                <w:w w:val="90"/>
                <w:vertAlign w:val="superscript"/>
              </w:rPr>
              <w:t>(1)</w:t>
            </w:r>
          </w:p>
        </w:tc>
        <w:tc>
          <w:tcPr>
            <w:tcW w:w="78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14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1060" w:type="dxa"/>
            <w:vAlign w:val="bottom"/>
          </w:tcPr>
          <w:p>
            <w:pPr>
              <w:jc w:val="right"/>
              <w:ind w:right="411"/>
              <w:spacing w:after="0"/>
              <w:rPr>
                <w:sz w:val="20"/>
                <w:szCs w:val="20"/>
                <w:color w:val="auto"/>
              </w:rPr>
            </w:pPr>
            <w:r>
              <w:rPr>
                <w:rFonts w:ascii="Times New Roman" w:cs="Times New Roman" w:eastAsia="Times New Roman" w:hAnsi="Times New Roman"/>
                <w:sz w:val="13"/>
                <w:szCs w:val="13"/>
                <w:color w:val="008000"/>
              </w:rPr>
              <w:t>(2)</w:t>
            </w:r>
          </w:p>
        </w:tc>
        <w:tc>
          <w:tcPr>
            <w:tcW w:w="76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05/20/2029</w:t>
            </w: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American Depositary</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18,000</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jc w:val="center"/>
              <w:ind w:right="256"/>
              <w:spacing w:after="0"/>
              <w:rPr>
                <w:sz w:val="20"/>
                <w:szCs w:val="20"/>
                <w:color w:val="auto"/>
              </w:rPr>
            </w:pPr>
            <w:r>
              <w:rPr>
                <w:rFonts w:ascii="Times New Roman" w:cs="Times New Roman" w:eastAsia="Times New Roman" w:hAnsi="Times New Roman"/>
                <w:sz w:val="20"/>
                <w:szCs w:val="20"/>
                <w:color w:val="0000FF"/>
                <w:w w:val="95"/>
              </w:rPr>
              <w:t>5.4</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20" w:type="dxa"/>
            <w:vAlign w:val="bottom"/>
            <w:tcBorders>
              <w:bottom w:val="single" w:sz="8" w:color="2C2C2C"/>
            </w:tcBorders>
          </w:tcPr>
          <w:p>
            <w:pPr>
              <w:spacing w:after="0"/>
              <w:rPr>
                <w:sz w:val="21"/>
                <w:szCs w:val="21"/>
                <w:color w:val="auto"/>
              </w:rPr>
            </w:pPr>
          </w:p>
        </w:tc>
        <w:tc>
          <w:tcPr>
            <w:tcW w:w="10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1920" w:type="dxa"/>
            <w:vAlign w:val="bottom"/>
            <w:tcBorders>
              <w:bottom w:val="single" w:sz="8" w:color="2C2C2C"/>
            </w:tcBorders>
          </w:tcPr>
          <w:p>
            <w:pPr>
              <w:jc w:val="center"/>
              <w:spacing w:after="0" w:line="240" w:lineRule="exact"/>
              <w:rPr>
                <w:sz w:val="20"/>
                <w:szCs w:val="20"/>
                <w:color w:val="auto"/>
              </w:rPr>
            </w:pPr>
            <w:r>
              <w:rPr>
                <w:rFonts w:ascii="Times New Roman" w:cs="Times New Roman" w:eastAsia="Times New Roman" w:hAnsi="Times New Roman"/>
                <w:sz w:val="20"/>
                <w:szCs w:val="20"/>
                <w:color w:val="0000FF"/>
                <w:w w:val="90"/>
              </w:rPr>
              <w:t>Shares</w:t>
            </w:r>
            <w:r>
              <w:rPr>
                <w:rFonts w:ascii="Times New Roman" w:cs="Times New Roman" w:eastAsia="Times New Roman" w:hAnsi="Times New Roman"/>
                <w:sz w:val="25"/>
                <w:szCs w:val="25"/>
                <w:color w:val="008000"/>
                <w:w w:val="90"/>
                <w:vertAlign w:val="superscript"/>
              </w:rPr>
              <w:t>(1)</w:t>
            </w:r>
          </w:p>
        </w:tc>
        <w:tc>
          <w:tcPr>
            <w:tcW w:w="78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14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1060" w:type="dxa"/>
            <w:vAlign w:val="bottom"/>
          </w:tcPr>
          <w:p>
            <w:pPr>
              <w:jc w:val="right"/>
              <w:ind w:right="411"/>
              <w:spacing w:after="0"/>
              <w:rPr>
                <w:sz w:val="20"/>
                <w:szCs w:val="20"/>
                <w:color w:val="auto"/>
              </w:rPr>
            </w:pPr>
            <w:r>
              <w:rPr>
                <w:rFonts w:ascii="Times New Roman" w:cs="Times New Roman" w:eastAsia="Times New Roman" w:hAnsi="Times New Roman"/>
                <w:sz w:val="13"/>
                <w:szCs w:val="13"/>
                <w:color w:val="008000"/>
              </w:rPr>
              <w:t>(2)</w:t>
            </w:r>
          </w:p>
        </w:tc>
        <w:tc>
          <w:tcPr>
            <w:tcW w:w="76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07/23/2029</w:t>
            </w: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American Depositary</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18,000</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jc w:val="center"/>
              <w:ind w:right="276"/>
              <w:spacing w:after="0"/>
              <w:rPr>
                <w:sz w:val="20"/>
                <w:szCs w:val="20"/>
                <w:color w:val="auto"/>
              </w:rPr>
            </w:pPr>
            <w:r>
              <w:rPr>
                <w:rFonts w:ascii="Times New Roman" w:cs="Times New Roman" w:eastAsia="Times New Roman" w:hAnsi="Times New Roman"/>
                <w:sz w:val="20"/>
                <w:szCs w:val="20"/>
                <w:color w:val="0000FF"/>
                <w:w w:val="99"/>
              </w:rPr>
              <w:t>3</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20" w:type="dxa"/>
            <w:vAlign w:val="bottom"/>
            <w:tcBorders>
              <w:bottom w:val="single" w:sz="8" w:color="2C2C2C"/>
            </w:tcBorders>
          </w:tcPr>
          <w:p>
            <w:pPr>
              <w:spacing w:after="0"/>
              <w:rPr>
                <w:sz w:val="21"/>
                <w:szCs w:val="21"/>
                <w:color w:val="auto"/>
              </w:rPr>
            </w:pPr>
          </w:p>
        </w:tc>
        <w:tc>
          <w:tcPr>
            <w:tcW w:w="10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1920" w:type="dxa"/>
            <w:vAlign w:val="bottom"/>
            <w:tcBorders>
              <w:bottom w:val="single" w:sz="8" w:color="2C2C2C"/>
            </w:tcBorders>
          </w:tcPr>
          <w:p>
            <w:pPr>
              <w:jc w:val="center"/>
              <w:spacing w:after="0" w:line="240" w:lineRule="exact"/>
              <w:rPr>
                <w:sz w:val="20"/>
                <w:szCs w:val="20"/>
                <w:color w:val="auto"/>
              </w:rPr>
            </w:pPr>
            <w:r>
              <w:rPr>
                <w:rFonts w:ascii="Times New Roman" w:cs="Times New Roman" w:eastAsia="Times New Roman" w:hAnsi="Times New Roman"/>
                <w:sz w:val="20"/>
                <w:szCs w:val="20"/>
                <w:color w:val="0000FF"/>
                <w:w w:val="90"/>
              </w:rPr>
              <w:t>Shares</w:t>
            </w:r>
            <w:r>
              <w:rPr>
                <w:rFonts w:ascii="Times New Roman" w:cs="Times New Roman" w:eastAsia="Times New Roman" w:hAnsi="Times New Roman"/>
                <w:sz w:val="25"/>
                <w:szCs w:val="25"/>
                <w:color w:val="008000"/>
                <w:w w:val="90"/>
                <w:vertAlign w:val="superscript"/>
              </w:rPr>
              <w:t>(1)</w:t>
            </w:r>
          </w:p>
        </w:tc>
        <w:tc>
          <w:tcPr>
            <w:tcW w:w="78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14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1060" w:type="dxa"/>
            <w:vAlign w:val="bottom"/>
          </w:tcPr>
          <w:p>
            <w:pPr>
              <w:jc w:val="right"/>
              <w:ind w:right="411"/>
              <w:spacing w:after="0"/>
              <w:rPr>
                <w:sz w:val="20"/>
                <w:szCs w:val="20"/>
                <w:color w:val="auto"/>
              </w:rPr>
            </w:pPr>
            <w:r>
              <w:rPr>
                <w:rFonts w:ascii="Times New Roman" w:cs="Times New Roman" w:eastAsia="Times New Roman" w:hAnsi="Times New Roman"/>
                <w:sz w:val="13"/>
                <w:szCs w:val="13"/>
                <w:color w:val="008000"/>
              </w:rPr>
              <w:t>(3)</w:t>
            </w:r>
          </w:p>
        </w:tc>
        <w:tc>
          <w:tcPr>
            <w:tcW w:w="76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02/20/2030</w:t>
            </w: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American Depositary</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50,000</w:t>
            </w:r>
          </w:p>
        </w:tc>
        <w:tc>
          <w:tcPr>
            <w:tcW w:w="40" w:type="dxa"/>
            <w:vAlign w:val="bottom"/>
          </w:tcPr>
          <w:p>
            <w:pPr>
              <w:spacing w:after="0"/>
              <w:rPr>
                <w:sz w:val="24"/>
                <w:szCs w:val="2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0000FF"/>
                <w:w w:val="97"/>
              </w:rPr>
              <w:t>1.84</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20" w:type="dxa"/>
            <w:vAlign w:val="bottom"/>
            <w:tcBorders>
              <w:bottom w:val="single" w:sz="8" w:color="2C2C2C"/>
            </w:tcBorders>
          </w:tcPr>
          <w:p>
            <w:pPr>
              <w:spacing w:after="0"/>
              <w:rPr>
                <w:sz w:val="21"/>
                <w:szCs w:val="21"/>
                <w:color w:val="auto"/>
              </w:rPr>
            </w:pPr>
          </w:p>
        </w:tc>
        <w:tc>
          <w:tcPr>
            <w:tcW w:w="10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1920" w:type="dxa"/>
            <w:vAlign w:val="bottom"/>
            <w:tcBorders>
              <w:bottom w:val="single" w:sz="8" w:color="2C2C2C"/>
            </w:tcBorders>
          </w:tcPr>
          <w:p>
            <w:pPr>
              <w:jc w:val="center"/>
              <w:spacing w:after="0" w:line="240" w:lineRule="exact"/>
              <w:rPr>
                <w:sz w:val="20"/>
                <w:szCs w:val="20"/>
                <w:color w:val="auto"/>
              </w:rPr>
            </w:pPr>
            <w:r>
              <w:rPr>
                <w:rFonts w:ascii="Times New Roman" w:cs="Times New Roman" w:eastAsia="Times New Roman" w:hAnsi="Times New Roman"/>
                <w:sz w:val="20"/>
                <w:szCs w:val="20"/>
                <w:color w:val="0000FF"/>
                <w:w w:val="90"/>
              </w:rPr>
              <w:t>Shares</w:t>
            </w:r>
            <w:r>
              <w:rPr>
                <w:rFonts w:ascii="Times New Roman" w:cs="Times New Roman" w:eastAsia="Times New Roman" w:hAnsi="Times New Roman"/>
                <w:sz w:val="25"/>
                <w:szCs w:val="25"/>
                <w:color w:val="008000"/>
                <w:w w:val="90"/>
                <w:vertAlign w:val="superscript"/>
              </w:rPr>
              <w:t>(1)</w:t>
            </w:r>
          </w:p>
        </w:tc>
        <w:tc>
          <w:tcPr>
            <w:tcW w:w="78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14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1060" w:type="dxa"/>
            <w:vAlign w:val="bottom"/>
          </w:tcPr>
          <w:p>
            <w:pPr>
              <w:jc w:val="right"/>
              <w:ind w:right="411"/>
              <w:spacing w:after="0"/>
              <w:rPr>
                <w:sz w:val="20"/>
                <w:szCs w:val="20"/>
                <w:color w:val="auto"/>
              </w:rPr>
            </w:pPr>
            <w:r>
              <w:rPr>
                <w:rFonts w:ascii="Times New Roman" w:cs="Times New Roman" w:eastAsia="Times New Roman" w:hAnsi="Times New Roman"/>
                <w:sz w:val="13"/>
                <w:szCs w:val="13"/>
                <w:color w:val="008000"/>
              </w:rPr>
              <w:t>(4)</w:t>
            </w:r>
          </w:p>
        </w:tc>
        <w:tc>
          <w:tcPr>
            <w:tcW w:w="76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02/01/2031</w:t>
            </w: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American Depositary</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100,000</w:t>
            </w:r>
          </w:p>
        </w:tc>
        <w:tc>
          <w:tcPr>
            <w:tcW w:w="40" w:type="dxa"/>
            <w:vAlign w:val="bottom"/>
          </w:tcPr>
          <w:p>
            <w:pPr>
              <w:spacing w:after="0"/>
              <w:rPr>
                <w:sz w:val="24"/>
                <w:szCs w:val="2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0000FF"/>
                <w:w w:val="97"/>
              </w:rPr>
              <w:t>2.72</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20" w:type="dxa"/>
            <w:vAlign w:val="bottom"/>
            <w:tcBorders>
              <w:bottom w:val="single" w:sz="8" w:color="2C2C2C"/>
            </w:tcBorders>
          </w:tcPr>
          <w:p>
            <w:pPr>
              <w:spacing w:after="0"/>
              <w:rPr>
                <w:sz w:val="21"/>
                <w:szCs w:val="21"/>
                <w:color w:val="auto"/>
              </w:rPr>
            </w:pPr>
          </w:p>
        </w:tc>
        <w:tc>
          <w:tcPr>
            <w:tcW w:w="10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1920" w:type="dxa"/>
            <w:vAlign w:val="bottom"/>
            <w:tcBorders>
              <w:bottom w:val="single" w:sz="8" w:color="2C2C2C"/>
            </w:tcBorders>
          </w:tcPr>
          <w:p>
            <w:pPr>
              <w:jc w:val="center"/>
              <w:spacing w:after="0" w:line="240" w:lineRule="exact"/>
              <w:rPr>
                <w:sz w:val="20"/>
                <w:szCs w:val="20"/>
                <w:color w:val="auto"/>
              </w:rPr>
            </w:pPr>
            <w:r>
              <w:rPr>
                <w:rFonts w:ascii="Times New Roman" w:cs="Times New Roman" w:eastAsia="Times New Roman" w:hAnsi="Times New Roman"/>
                <w:sz w:val="20"/>
                <w:szCs w:val="20"/>
                <w:color w:val="0000FF"/>
                <w:w w:val="90"/>
              </w:rPr>
              <w:t>Shares</w:t>
            </w:r>
            <w:r>
              <w:rPr>
                <w:rFonts w:ascii="Times New Roman" w:cs="Times New Roman" w:eastAsia="Times New Roman" w:hAnsi="Times New Roman"/>
                <w:sz w:val="25"/>
                <w:szCs w:val="25"/>
                <w:color w:val="008000"/>
                <w:w w:val="90"/>
                <w:vertAlign w:val="superscript"/>
              </w:rPr>
              <w:t>(1)</w:t>
            </w:r>
          </w:p>
        </w:tc>
        <w:tc>
          <w:tcPr>
            <w:tcW w:w="78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14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1060" w:type="dxa"/>
            <w:vAlign w:val="bottom"/>
          </w:tcPr>
          <w:p>
            <w:pPr>
              <w:jc w:val="right"/>
              <w:ind w:right="411"/>
              <w:spacing w:after="0"/>
              <w:rPr>
                <w:sz w:val="20"/>
                <w:szCs w:val="20"/>
                <w:color w:val="auto"/>
              </w:rPr>
            </w:pPr>
            <w:r>
              <w:rPr>
                <w:rFonts w:ascii="Times New Roman" w:cs="Times New Roman" w:eastAsia="Times New Roman" w:hAnsi="Times New Roman"/>
                <w:sz w:val="13"/>
                <w:szCs w:val="13"/>
                <w:color w:val="008000"/>
              </w:rPr>
              <w:t>(5)</w:t>
            </w:r>
          </w:p>
        </w:tc>
        <w:tc>
          <w:tcPr>
            <w:tcW w:w="76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01/14/2032</w:t>
            </w: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American Depositary</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160,000</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jc w:val="center"/>
              <w:ind w:right="256"/>
              <w:spacing w:after="0"/>
              <w:rPr>
                <w:sz w:val="20"/>
                <w:szCs w:val="20"/>
                <w:color w:val="auto"/>
              </w:rPr>
            </w:pPr>
            <w:r>
              <w:rPr>
                <w:rFonts w:ascii="Times New Roman" w:cs="Times New Roman" w:eastAsia="Times New Roman" w:hAnsi="Times New Roman"/>
                <w:sz w:val="20"/>
                <w:szCs w:val="20"/>
                <w:color w:val="0000FF"/>
                <w:w w:val="95"/>
              </w:rPr>
              <w:t>1.4</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20" w:type="dxa"/>
            <w:vAlign w:val="bottom"/>
            <w:tcBorders>
              <w:bottom w:val="single" w:sz="8" w:color="2C2C2C"/>
            </w:tcBorders>
          </w:tcPr>
          <w:p>
            <w:pPr>
              <w:spacing w:after="0"/>
              <w:rPr>
                <w:sz w:val="21"/>
                <w:szCs w:val="21"/>
                <w:color w:val="auto"/>
              </w:rPr>
            </w:pPr>
          </w:p>
        </w:tc>
        <w:tc>
          <w:tcPr>
            <w:tcW w:w="10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1920" w:type="dxa"/>
            <w:vAlign w:val="bottom"/>
            <w:tcBorders>
              <w:bottom w:val="single" w:sz="8" w:color="2C2C2C"/>
            </w:tcBorders>
          </w:tcPr>
          <w:p>
            <w:pPr>
              <w:jc w:val="center"/>
              <w:spacing w:after="0" w:line="240" w:lineRule="exact"/>
              <w:rPr>
                <w:sz w:val="20"/>
                <w:szCs w:val="20"/>
                <w:color w:val="auto"/>
              </w:rPr>
            </w:pPr>
            <w:r>
              <w:rPr>
                <w:rFonts w:ascii="Times New Roman" w:cs="Times New Roman" w:eastAsia="Times New Roman" w:hAnsi="Times New Roman"/>
                <w:sz w:val="20"/>
                <w:szCs w:val="20"/>
                <w:color w:val="0000FF"/>
                <w:w w:val="90"/>
              </w:rPr>
              <w:t>Shares</w:t>
            </w:r>
            <w:r>
              <w:rPr>
                <w:rFonts w:ascii="Times New Roman" w:cs="Times New Roman" w:eastAsia="Times New Roman" w:hAnsi="Times New Roman"/>
                <w:sz w:val="25"/>
                <w:szCs w:val="25"/>
                <w:color w:val="008000"/>
                <w:w w:val="90"/>
                <w:vertAlign w:val="superscript"/>
              </w:rPr>
              <w:t>(1)</w:t>
            </w:r>
          </w:p>
        </w:tc>
        <w:tc>
          <w:tcPr>
            <w:tcW w:w="78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14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Share Options (Right to buy)</w:t>
            </w:r>
          </w:p>
        </w:tc>
        <w:tc>
          <w:tcPr>
            <w:tcW w:w="1060" w:type="dxa"/>
            <w:vAlign w:val="bottom"/>
          </w:tcPr>
          <w:p>
            <w:pPr>
              <w:jc w:val="right"/>
              <w:ind w:right="411"/>
              <w:spacing w:after="0"/>
              <w:rPr>
                <w:sz w:val="20"/>
                <w:szCs w:val="20"/>
                <w:color w:val="auto"/>
              </w:rPr>
            </w:pPr>
            <w:r>
              <w:rPr>
                <w:rFonts w:ascii="Times New Roman" w:cs="Times New Roman" w:eastAsia="Times New Roman" w:hAnsi="Times New Roman"/>
                <w:sz w:val="13"/>
                <w:szCs w:val="13"/>
                <w:color w:val="008000"/>
              </w:rPr>
              <w:t>(6)</w:t>
            </w:r>
          </w:p>
        </w:tc>
        <w:tc>
          <w:tcPr>
            <w:tcW w:w="76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01/25/2033</w:t>
            </w: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American Depositary</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240,000</w:t>
            </w:r>
          </w:p>
        </w:tc>
        <w:tc>
          <w:tcPr>
            <w:tcW w:w="40" w:type="dxa"/>
            <w:vAlign w:val="bottom"/>
          </w:tcPr>
          <w:p>
            <w:pPr>
              <w:spacing w:after="0"/>
              <w:rPr>
                <w:sz w:val="24"/>
                <w:szCs w:val="24"/>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0000FF"/>
                <w:w w:val="97"/>
              </w:rPr>
              <w:t>1.01</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20" w:type="dxa"/>
            <w:vAlign w:val="bottom"/>
            <w:tcBorders>
              <w:bottom w:val="single" w:sz="8" w:color="2C2C2C"/>
            </w:tcBorders>
          </w:tcPr>
          <w:p>
            <w:pPr>
              <w:spacing w:after="0"/>
              <w:rPr>
                <w:sz w:val="21"/>
                <w:szCs w:val="21"/>
                <w:color w:val="auto"/>
              </w:rPr>
            </w:pPr>
          </w:p>
        </w:tc>
        <w:tc>
          <w:tcPr>
            <w:tcW w:w="10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1920" w:type="dxa"/>
            <w:vAlign w:val="bottom"/>
            <w:tcBorders>
              <w:bottom w:val="single" w:sz="8" w:color="2C2C2C"/>
            </w:tcBorders>
          </w:tcPr>
          <w:p>
            <w:pPr>
              <w:jc w:val="center"/>
              <w:spacing w:after="0" w:line="240" w:lineRule="exact"/>
              <w:rPr>
                <w:sz w:val="20"/>
                <w:szCs w:val="20"/>
                <w:color w:val="auto"/>
              </w:rPr>
            </w:pPr>
            <w:r>
              <w:rPr>
                <w:rFonts w:ascii="Times New Roman" w:cs="Times New Roman" w:eastAsia="Times New Roman" w:hAnsi="Times New Roman"/>
                <w:sz w:val="20"/>
                <w:szCs w:val="20"/>
                <w:color w:val="0000FF"/>
                <w:w w:val="90"/>
              </w:rPr>
              <w:t>Shares</w:t>
            </w:r>
            <w:r>
              <w:rPr>
                <w:rFonts w:ascii="Times New Roman" w:cs="Times New Roman" w:eastAsia="Times New Roman" w:hAnsi="Times New Roman"/>
                <w:sz w:val="25"/>
                <w:szCs w:val="25"/>
                <w:color w:val="008000"/>
                <w:w w:val="90"/>
                <w:vertAlign w:val="superscript"/>
              </w:rPr>
              <w:t>(1)</w:t>
            </w:r>
          </w:p>
        </w:tc>
        <w:tc>
          <w:tcPr>
            <w:tcW w:w="78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14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w w:val="99"/>
              </w:rPr>
              <w:t>Performance Based Restricted Stock</w:t>
            </w:r>
          </w:p>
        </w:tc>
        <w:tc>
          <w:tcPr>
            <w:tcW w:w="1060" w:type="dxa"/>
            <w:vAlign w:val="bottom"/>
          </w:tcPr>
          <w:p>
            <w:pPr>
              <w:jc w:val="right"/>
              <w:ind w:right="411"/>
              <w:spacing w:after="0"/>
              <w:rPr>
                <w:sz w:val="20"/>
                <w:szCs w:val="20"/>
                <w:color w:val="auto"/>
              </w:rPr>
            </w:pPr>
            <w:r>
              <w:rPr>
                <w:rFonts w:ascii="Times New Roman" w:cs="Times New Roman" w:eastAsia="Times New Roman" w:hAnsi="Times New Roman"/>
                <w:sz w:val="13"/>
                <w:szCs w:val="13"/>
                <w:color w:val="008000"/>
              </w:rPr>
              <w:t>(7)</w:t>
            </w:r>
          </w:p>
        </w:tc>
        <w:tc>
          <w:tcPr>
            <w:tcW w:w="76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9"/>
              </w:rPr>
              <w:t>01/25/2025</w:t>
            </w: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American Depositary</w:t>
            </w:r>
          </w:p>
        </w:tc>
        <w:tc>
          <w:tcPr>
            <w:tcW w:w="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100,000</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jc w:val="center"/>
              <w:ind w:right="256"/>
              <w:spacing w:after="0"/>
              <w:rPr>
                <w:sz w:val="20"/>
                <w:szCs w:val="20"/>
                <w:color w:val="auto"/>
              </w:rPr>
            </w:pPr>
            <w:r>
              <w:rPr>
                <w:rFonts w:ascii="Times New Roman" w:cs="Times New Roman" w:eastAsia="Times New Roman" w:hAnsi="Times New Roman"/>
                <w:sz w:val="13"/>
                <w:szCs w:val="13"/>
                <w:color w:val="008000"/>
              </w:rPr>
              <w:t>(7)</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Unit</w:t>
            </w: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0"/>
              </w:rPr>
              <w:t>Shares</w:t>
            </w:r>
            <w:r>
              <w:rPr>
                <w:rFonts w:ascii="Times New Roman" w:cs="Times New Roman" w:eastAsia="Times New Roman" w:hAnsi="Times New Roman"/>
                <w:sz w:val="25"/>
                <w:szCs w:val="25"/>
                <w:color w:val="008000"/>
                <w:w w:val="90"/>
                <w:vertAlign w:val="superscript"/>
              </w:rPr>
              <w:t>(1)</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1. Each American Depositary Share ("ADS") represents five ordinary shares, nominal value GBP 0.003 per ordinary share, of the Issuer.</w:t>
      </w:r>
    </w:p>
    <w:p>
      <w:pPr>
        <w:sectPr>
          <w:pgSz w:w="11900" w:h="16840" w:orient="portrait"/>
          <w:cols w:equalWidth="0" w:num="1">
            <w:col w:w="10940"/>
          </w:cols>
          <w:pgMar w:left="480" w:top="230" w:right="479" w:bottom="0" w:gutter="0" w:footer="0" w:header="0"/>
          <w:type w:val="continuous"/>
        </w:sectPr>
      </w:pPr>
    </w:p>
    <w:bookmarkStart w:id="1" w:name="page2"/>
    <w:bookmarkEnd w:id="1"/>
    <w:p>
      <w:pPr>
        <w:ind w:left="160" w:hanging="155"/>
        <w:spacing w:after="0"/>
        <w:tabs>
          <w:tab w:leader="none" w:pos="16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award is fully vested and exercisable.</w:t>
      </w:r>
    </w:p>
    <w:p>
      <w:pPr>
        <w:spacing w:after="0" w:line="52" w:lineRule="exact"/>
        <w:rPr>
          <w:rFonts w:ascii="Times New Roman" w:cs="Times New Roman" w:eastAsia="Times New Roman" w:hAnsi="Times New Roman"/>
          <w:sz w:val="15"/>
          <w:szCs w:val="15"/>
          <w:color w:val="008000"/>
        </w:rPr>
      </w:pPr>
    </w:p>
    <w:p>
      <w:pPr>
        <w:ind w:right="60" w:firstLine="5"/>
        <w:spacing w:after="0" w:line="25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shares underlying this share option vested and became exercisable on February 20, 2021, with the remainder vesting in equal monthly installments for the three years thereafter.</w:t>
      </w:r>
    </w:p>
    <w:p>
      <w:pPr>
        <w:spacing w:after="0" w:line="17" w:lineRule="exact"/>
        <w:rPr>
          <w:rFonts w:ascii="Times New Roman" w:cs="Times New Roman" w:eastAsia="Times New Roman" w:hAnsi="Times New Roman"/>
          <w:sz w:val="15"/>
          <w:szCs w:val="15"/>
          <w:color w:val="008000"/>
        </w:rPr>
      </w:pPr>
    </w:p>
    <w:p>
      <w:pPr>
        <w:ind w:right="140" w:firstLine="5"/>
        <w:spacing w:after="0" w:line="25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shares underlying this share option vested and became exercisable on February 1, 2022, with the remainder vesting in equal monthly installments for the three years thereafter.</w:t>
      </w:r>
    </w:p>
    <w:p>
      <w:pPr>
        <w:spacing w:after="0" w:line="17" w:lineRule="exact"/>
        <w:rPr>
          <w:rFonts w:ascii="Times New Roman" w:cs="Times New Roman" w:eastAsia="Times New Roman" w:hAnsi="Times New Roman"/>
          <w:sz w:val="15"/>
          <w:szCs w:val="15"/>
          <w:color w:val="008000"/>
        </w:rPr>
      </w:pPr>
    </w:p>
    <w:p>
      <w:pPr>
        <w:ind w:right="140" w:firstLine="5"/>
        <w:spacing w:after="0" w:line="25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shares underlying this share option vested and became exercisable on January 14, 2023, with the remainder vesting in equal monthly installments for the three years thereafter.</w:t>
      </w:r>
    </w:p>
    <w:p>
      <w:pPr>
        <w:spacing w:after="0" w:line="17" w:lineRule="exact"/>
        <w:rPr>
          <w:rFonts w:ascii="Times New Roman" w:cs="Times New Roman" w:eastAsia="Times New Roman" w:hAnsi="Times New Roman"/>
          <w:sz w:val="15"/>
          <w:szCs w:val="15"/>
          <w:color w:val="008000"/>
        </w:rPr>
      </w:pPr>
    </w:p>
    <w:p>
      <w:pPr>
        <w:ind w:firstLine="5"/>
        <w:spacing w:after="0" w:line="259"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25% of the shares underlying this share option will vest and become exercisable on January 25, 2024, with the remainder vesting in equal monthly installments for the three years thereafter.</w:t>
      </w:r>
    </w:p>
    <w:p>
      <w:pPr>
        <w:spacing w:after="0" w:line="17" w:lineRule="exact"/>
        <w:rPr>
          <w:rFonts w:ascii="Times New Roman" w:cs="Times New Roman" w:eastAsia="Times New Roman" w:hAnsi="Times New Roman"/>
          <w:sz w:val="15"/>
          <w:szCs w:val="15"/>
          <w:color w:val="008000"/>
        </w:rPr>
      </w:pPr>
    </w:p>
    <w:p>
      <w:pPr>
        <w:jc w:val="both"/>
        <w:ind w:right="40" w:firstLine="5"/>
        <w:spacing w:after="0" w:line="244"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performance based restricted stock unit ("PSU") represents the conditional right to receive one ADS and shall vest upon satisfaction of four escalating ADS price threshold values over a two year performance period. The number included in column 3 of Table II reflects the number of PSUs eligible for vesting. If a minimum ADS price threshold is not met, such PSUs may vest at zero ADSs.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8000"/>
        </w:rPr>
        <w:t>Chief Patient Access and Commercial Planning Exhibit 24 - Power of Attorney</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Christine Fox, by power</w:t>
            </w:r>
          </w:p>
        </w:tc>
        <w:tc>
          <w:tcPr>
            <w:tcW w:w="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01/02/2024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of attorney</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8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40"/>
          </w:cols>
          <w:pgMar w:left="520" w:top="125" w:right="539" w:bottom="1440" w:gutter="0" w:footer="0" w:header="0"/>
        </w:sectPr>
      </w:pPr>
    </w:p>
    <w:bookmarkStart w:id="2" w:name="page3"/>
    <w:bookmarkEnd w:id="2"/>
    <w:p>
      <w:pPr>
        <w:ind w:left="3740"/>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959" w:firstLine="936"/>
        <w:spacing w:after="0" w:line="260" w:lineRule="auto"/>
        <w:rPr>
          <w:sz w:val="20"/>
          <w:szCs w:val="20"/>
          <w:color w:val="auto"/>
        </w:rPr>
      </w:pPr>
      <w:r>
        <w:rPr>
          <w:rFonts w:ascii="Courier New" w:cs="Courier New" w:eastAsia="Courier New" w:hAnsi="Courier New"/>
          <w:sz w:val="20"/>
          <w:szCs w:val="20"/>
          <w:color w:val="auto"/>
        </w:rPr>
        <w:t>With respect to holdings of and transactions in securities issued by Mereo BioPharma Group plc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103" w:lineRule="exact"/>
        <w:rPr>
          <w:sz w:val="20"/>
          <w:szCs w:val="20"/>
          <w:color w:val="auto"/>
        </w:rPr>
      </w:pPr>
    </w:p>
    <w:p>
      <w:pPr>
        <w:ind w:left="1880" w:right="1079" w:hanging="944"/>
        <w:spacing w:after="0" w:line="252" w:lineRule="auto"/>
        <w:tabs>
          <w:tab w:leader="none" w:pos="18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10" w:lineRule="exact"/>
        <w:rPr>
          <w:rFonts w:ascii="Courier New" w:cs="Courier New" w:eastAsia="Courier New" w:hAnsi="Courier New"/>
          <w:sz w:val="20"/>
          <w:szCs w:val="20"/>
          <w:color w:val="auto"/>
        </w:rPr>
      </w:pPr>
    </w:p>
    <w:p>
      <w:pPr>
        <w:ind w:left="1880" w:right="959" w:hanging="944"/>
        <w:spacing w:after="0" w:line="293" w:lineRule="auto"/>
        <w:tabs>
          <w:tab w:leader="none" w:pos="18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Forms 3, 4, and 5 in accordance with Section 16 of the Securities Exchange Act of 1934, as amended, and the rules thereunder;</w:t>
      </w:r>
    </w:p>
    <w:p>
      <w:pPr>
        <w:spacing w:after="0" w:line="70" w:lineRule="exact"/>
        <w:rPr>
          <w:rFonts w:ascii="Courier New" w:cs="Courier New" w:eastAsia="Courier New" w:hAnsi="Courier New"/>
          <w:sz w:val="20"/>
          <w:szCs w:val="20"/>
          <w:color w:val="auto"/>
        </w:rPr>
      </w:pPr>
    </w:p>
    <w:p>
      <w:pPr>
        <w:ind w:left="1880" w:right="1199" w:hanging="944"/>
        <w:spacing w:after="0" w:line="260" w:lineRule="auto"/>
        <w:tabs>
          <w:tab w:leader="none" w:pos="18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03" w:lineRule="exact"/>
        <w:rPr>
          <w:rFonts w:ascii="Courier New" w:cs="Courier New" w:eastAsia="Courier New" w:hAnsi="Courier New"/>
          <w:sz w:val="20"/>
          <w:szCs w:val="20"/>
          <w:color w:val="auto"/>
        </w:rPr>
      </w:pPr>
    </w:p>
    <w:p>
      <w:pPr>
        <w:ind w:left="1880" w:right="739" w:hanging="944"/>
        <w:spacing w:after="0" w:line="252" w:lineRule="auto"/>
        <w:tabs>
          <w:tab w:leader="none" w:pos="18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 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10" w:lineRule="exact"/>
        <w:rPr>
          <w:sz w:val="20"/>
          <w:szCs w:val="20"/>
          <w:color w:val="auto"/>
        </w:rPr>
      </w:pPr>
    </w:p>
    <w:p>
      <w:pPr>
        <w:ind w:right="959" w:firstLine="936"/>
        <w:spacing w:after="0" w:line="252"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10" w:lineRule="exact"/>
        <w:rPr>
          <w:sz w:val="20"/>
          <w:szCs w:val="20"/>
          <w:color w:val="auto"/>
        </w:rPr>
      </w:pPr>
    </w:p>
    <w:p>
      <w:pPr>
        <w:ind w:right="959" w:firstLine="936"/>
        <w:spacing w:after="0" w:line="314" w:lineRule="auto"/>
        <w:rPr>
          <w:sz w:val="20"/>
          <w:szCs w:val="20"/>
          <w:color w:val="auto"/>
        </w:rPr>
      </w:pPr>
      <w:r>
        <w:rPr>
          <w:rFonts w:ascii="Courier New" w:cs="Courier New" w:eastAsia="Courier New" w:hAnsi="Courier New"/>
          <w:sz w:val="18"/>
          <w:szCs w:val="18"/>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58" w:lineRule="exact"/>
        <w:rPr>
          <w:sz w:val="20"/>
          <w:szCs w:val="20"/>
          <w:color w:val="auto"/>
        </w:rPr>
      </w:pPr>
    </w:p>
    <w:p>
      <w:pPr>
        <w:ind w:right="1079" w:firstLine="936"/>
        <w:spacing w:after="0" w:line="302"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Mereo BioPharma Group plc, unless earlier revoked by the undersigned in a signed writing delivered to the foregoing attorneys-in-fact.</w:t>
      </w:r>
    </w:p>
    <w:p>
      <w:pPr>
        <w:spacing w:after="0" w:line="68" w:lineRule="exact"/>
        <w:rPr>
          <w:sz w:val="20"/>
          <w:szCs w:val="20"/>
          <w:color w:val="auto"/>
        </w:rPr>
      </w:pPr>
    </w:p>
    <w:p>
      <w:pPr>
        <w:ind w:right="959" w:firstLine="936"/>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2nd day of January, 2024.</w:t>
      </w:r>
    </w:p>
    <w:p>
      <w:pPr>
        <w:spacing w:after="0" w:line="18"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20"/>
          <w:szCs w:val="20"/>
          <w:color w:val="auto"/>
        </w:rPr>
        <w:t>Signature:</w:t>
      </w:r>
      <w:r>
        <w:rPr>
          <w:sz w:val="20"/>
          <w:szCs w:val="20"/>
          <w:color w:val="auto"/>
        </w:rPr>
        <w:tab/>
      </w:r>
      <w:r>
        <w:rPr>
          <w:rFonts w:ascii="Courier New" w:cs="Courier New" w:eastAsia="Courier New" w:hAnsi="Courier New"/>
          <w:sz w:val="18"/>
          <w:szCs w:val="18"/>
          <w:color w:val="auto"/>
        </w:rPr>
        <w:t>/s/ Alexandra Hughes-Wilson</w:t>
      </w:r>
    </w:p>
    <w:p>
      <w:pPr>
        <w:spacing w:after="0" w:line="35" w:lineRule="exact"/>
        <w:rPr>
          <w:sz w:val="20"/>
          <w:szCs w:val="20"/>
          <w:color w:val="auto"/>
        </w:rPr>
      </w:pPr>
    </w:p>
    <w:p>
      <w:pPr>
        <w:ind w:left="1400"/>
        <w:spacing w:after="0"/>
        <w:rPr>
          <w:sz w:val="20"/>
          <w:szCs w:val="20"/>
          <w:color w:val="auto"/>
        </w:rPr>
      </w:pPr>
      <w:r>
        <w:rPr>
          <w:rFonts w:ascii="Courier New" w:cs="Courier New" w:eastAsia="Courier New" w:hAnsi="Courier New"/>
          <w:sz w:val="20"/>
          <w:szCs w:val="20"/>
          <w:color w:val="auto"/>
        </w:rPr>
        <w: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Print Name: Alexandra Hughes-Wilson</w:t>
      </w:r>
    </w:p>
    <w:p>
      <w:pPr>
        <w:spacing w:after="0" w:line="35" w:lineRule="exact"/>
        <w:rPr>
          <w:sz w:val="20"/>
          <w:szCs w:val="20"/>
          <w:color w:val="auto"/>
        </w:rPr>
      </w:pPr>
    </w:p>
    <w:p>
      <w:pPr>
        <w:ind w:left="1400"/>
        <w:spacing w:after="0"/>
        <w:rPr>
          <w:sz w:val="20"/>
          <w:szCs w:val="20"/>
          <w:color w:val="auto"/>
        </w:rPr>
      </w:pPr>
      <w:r>
        <w:rPr>
          <w:rFonts w:ascii="Courier New" w:cs="Courier New" w:eastAsia="Courier New" w:hAnsi="Courier New"/>
          <w:sz w:val="20"/>
          <w:szCs w:val="20"/>
          <w:color w:val="auto"/>
        </w:rPr>
        <w:t>-------------------------------</w:t>
      </w:r>
    </w:p>
    <w:p>
      <w:pPr>
        <w:sectPr>
          <w:pgSz w:w="11900" w:h="16838" w:orient="portrait"/>
          <w:cols w:equalWidth="0" w:num="1">
            <w:col w:w="9979"/>
          </w:cols>
          <w:pgMar w:left="480" w:top="106" w:right="1440" w:bottom="0" w:gutter="0" w:footer="0" w:header="0"/>
        </w:sectPr>
      </w:pPr>
    </w:p>
    <w:p>
      <w:pPr>
        <w:spacing w:after="0" w:line="200" w:lineRule="exact"/>
        <w:rPr>
          <w:sz w:val="20"/>
          <w:szCs w:val="20"/>
          <w:color w:val="auto"/>
        </w:rPr>
      </w:pPr>
    </w:p>
    <w:p>
      <w:pPr>
        <w:spacing w:after="0" w:line="213" w:lineRule="exact"/>
        <w:rPr>
          <w:sz w:val="20"/>
          <w:szCs w:val="20"/>
          <w:color w:val="auto"/>
        </w:rPr>
      </w:pPr>
    </w:p>
    <w:p>
      <w:pPr>
        <w:ind w:left="3740"/>
        <w:spacing w:after="0"/>
        <w:rPr>
          <w:sz w:val="20"/>
          <w:szCs w:val="20"/>
          <w:color w:val="auto"/>
        </w:rPr>
      </w:pPr>
      <w:r>
        <w:rPr>
          <w:rFonts w:ascii="Courier New" w:cs="Courier New" w:eastAsia="Courier New" w:hAnsi="Courier New"/>
          <w:sz w:val="18"/>
          <w:szCs w:val="18"/>
          <w:color w:val="auto"/>
        </w:rPr>
        <w:t>Schedule A</w:t>
      </w:r>
    </w:p>
    <w:p>
      <w:pPr>
        <w:sectPr>
          <w:pgSz w:w="11900" w:h="16838" w:orient="portrait"/>
          <w:cols w:equalWidth="0" w:num="1">
            <w:col w:w="9979"/>
          </w:cols>
          <w:pgMar w:left="480" w:top="106" w:right="1440" w:bottom="0" w:gutter="0" w:footer="0" w:header="0"/>
          <w:type w:val="continuous"/>
        </w:sectPr>
      </w:pPr>
    </w:p>
    <w:bookmarkStart w:id="3" w:name="page4"/>
    <w:bookmarkEnd w:id="3"/>
    <w:p>
      <w:pPr>
        <w:ind w:right="2019" w:firstLine="936"/>
        <w:spacing w:after="0" w:line="348" w:lineRule="auto"/>
        <w:rPr>
          <w:sz w:val="20"/>
          <w:szCs w:val="20"/>
          <w:color w:val="auto"/>
        </w:rPr>
      </w:pPr>
      <w:r>
        <w:rPr>
          <w:rFonts w:ascii="Courier New" w:cs="Courier New" w:eastAsia="Courier New" w:hAnsi="Courier New"/>
          <w:sz w:val="20"/>
          <w:szCs w:val="20"/>
          <w:color w:val="auto"/>
        </w:rPr>
        <w:t>Individuals Appointed as Attorney-in-Fact with Full Power of Substitution and Resubstitution</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Charles Sermon</w:t>
      </w:r>
    </w:p>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Christine Fox</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2"/>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05875" TargetMode="External"/><Relationship Id="rId11" Type="http://schemas.openxmlformats.org/officeDocument/2006/relationships/hyperlink" Target="http://www.sec.gov/cgi-bin/browse-edgar?action=getcompany&amp;CIK=00017197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2024-01-02T15:24:13Z</dcterms:created>
  <dcterms:modified xsi:type="dcterms:W3CDTF">2024-01-02T15:24:13Z</dcterms:modified>
</cp:coreProperties>
</file>