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SCHEDULE 13G</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536575</wp:posOffset>
            </wp:positionH>
            <wp:positionV relativeFrom="paragraph">
              <wp:posOffset>20320</wp:posOffset>
            </wp:positionV>
            <wp:extent cx="60693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Ordinary Shares, nominal value £0.003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536575</wp:posOffset>
            </wp:positionH>
            <wp:positionV relativeFrom="paragraph">
              <wp:posOffset>17145</wp:posOffset>
            </wp:positionV>
            <wp:extent cx="60693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1222375</wp:posOffset>
            </wp:positionH>
            <wp:positionV relativeFrom="paragraph">
              <wp:posOffset>17145</wp:posOffset>
            </wp:positionV>
            <wp:extent cx="47059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1222375</wp:posOffset>
            </wp:positionH>
            <wp:positionV relativeFrom="paragraph">
              <wp:posOffset>17145</wp:posOffset>
            </wp:positionV>
            <wp:extent cx="4705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20"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Check the appropriate box to designate the rule pursuant to which this Schedule is filed:</w:t>
      </w:r>
    </w:p>
    <w:p>
      <w:pPr>
        <w:spacing w:after="0" w:line="225" w:lineRule="exact"/>
        <w:rPr>
          <w:sz w:val="24"/>
          <w:szCs w:val="24"/>
          <w:color w:val="auto"/>
        </w:rPr>
      </w:pPr>
    </w:p>
    <w:p>
      <w:pPr>
        <w:jc w:val="both"/>
        <w:ind w:left="660" w:right="9200" w:hanging="4"/>
        <w:spacing w:after="0" w:line="229" w:lineRule="exact"/>
        <w:tabs>
          <w:tab w:leader="none" w:pos="98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Rule 13d-1(d)</w:t>
      </w:r>
    </w:p>
    <w:p>
      <w:pPr>
        <w:spacing w:after="0" w:line="179" w:lineRule="exact"/>
        <w:rPr>
          <w:sz w:val="24"/>
          <w:szCs w:val="24"/>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16" w:lineRule="exact"/>
        <w:rPr>
          <w:sz w:val="24"/>
          <w:szCs w:val="24"/>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18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**This CUSIP applies to the American Depositary Shares, each representing five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589492107</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434"/>
        </w:trPr>
        <w:tc>
          <w:tcPr>
            <w:tcW w:w="600" w:type="dxa"/>
            <w:vAlign w:val="bottom"/>
            <w:tcBorders>
              <w:top w:val="single" w:sz="8" w:color="auto"/>
              <w:left w:val="single" w:sz="8" w:color="auto"/>
            </w:tcBorders>
          </w:tcPr>
          <w:p>
            <w:pPr>
              <w:jc w:val="center"/>
              <w:ind w:left="22"/>
              <w:spacing w:after="0"/>
              <w:rPr>
                <w:sz w:val="20"/>
                <w:szCs w:val="20"/>
                <w:color w:val="auto"/>
              </w:rPr>
            </w:pPr>
            <w:r>
              <w:rPr>
                <w:rFonts w:ascii="Arial" w:cs="Arial" w:eastAsia="Arial" w:hAnsi="Arial"/>
                <w:sz w:val="32"/>
                <w:szCs w:val="32"/>
                <w:b w:val="1"/>
                <w:bCs w:val="1"/>
                <w:color w:val="auto"/>
                <w:w w:val="89"/>
              </w:rPr>
              <w:t>1</w:t>
            </w:r>
          </w:p>
        </w:tc>
        <w:tc>
          <w:tcPr>
            <w:tcW w:w="180" w:type="dxa"/>
            <w:vAlign w:val="bottom"/>
            <w:tcBorders>
              <w:top w:val="single" w:sz="8" w:color="auto"/>
              <w:right w:val="single" w:sz="8" w:color="auto"/>
            </w:tcBorders>
          </w:tcPr>
          <w:p>
            <w:pPr>
              <w:spacing w:after="0"/>
              <w:rPr>
                <w:sz w:val="24"/>
                <w:szCs w:val="24"/>
                <w:color w:val="auto"/>
              </w:rPr>
            </w:pPr>
          </w:p>
        </w:tc>
        <w:tc>
          <w:tcPr>
            <w:tcW w:w="10460" w:type="dxa"/>
            <w:vAlign w:val="bottom"/>
            <w:tcBorders>
              <w:top w:val="single" w:sz="8" w:color="auto"/>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268"/>
        </w:trPr>
        <w:tc>
          <w:tcPr>
            <w:tcW w:w="600" w:type="dxa"/>
            <w:vAlign w:val="bottom"/>
            <w:tcBorders>
              <w:left w:val="single" w:sz="8" w:color="auto"/>
            </w:tcBorders>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2020" w:type="dxa"/>
            <w:vAlign w:val="bottom"/>
            <w:gridSpan w:val="3"/>
          </w:tcPr>
          <w:p>
            <w:pPr>
              <w:ind w:left="20"/>
              <w:spacing w:after="0"/>
              <w:rPr>
                <w:sz w:val="20"/>
                <w:szCs w:val="20"/>
                <w:color w:val="auto"/>
              </w:rPr>
            </w:pPr>
            <w:r>
              <w:rPr>
                <w:rFonts w:ascii="Arial" w:cs="Arial" w:eastAsia="Arial" w:hAnsi="Arial"/>
                <w:sz w:val="18"/>
                <w:szCs w:val="18"/>
                <w:color w:val="auto"/>
              </w:rPr>
              <w:t>Baker Bros. Advisors LP</w:t>
            </w: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600" w:type="dxa"/>
            <w:vAlign w:val="bottom"/>
            <w:tcBorders>
              <w:left w:val="single" w:sz="8" w:color="auto"/>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jc w:val="center"/>
              <w:ind w:left="22"/>
              <w:spacing w:after="0"/>
              <w:rPr>
                <w:sz w:val="20"/>
                <w:szCs w:val="20"/>
                <w:color w:val="auto"/>
              </w:rPr>
            </w:pPr>
            <w:r>
              <w:rPr>
                <w:rFonts w:ascii="Arial" w:cs="Arial" w:eastAsia="Arial" w:hAnsi="Arial"/>
                <w:sz w:val="32"/>
                <w:szCs w:val="32"/>
                <w:b w:val="1"/>
                <w:bCs w:val="1"/>
                <w:color w:val="auto"/>
                <w:w w:val="89"/>
              </w:rPr>
              <w:t>2</w:t>
            </w:r>
          </w:p>
        </w:tc>
        <w:tc>
          <w:tcPr>
            <w:tcW w:w="180" w:type="dxa"/>
            <w:vAlign w:val="bottom"/>
            <w:tcBorders>
              <w:right w:val="single" w:sz="8" w:color="auto"/>
            </w:tcBorders>
          </w:tcPr>
          <w:p>
            <w:pPr>
              <w:spacing w:after="0"/>
              <w:rPr>
                <w:sz w:val="24"/>
                <w:szCs w:val="24"/>
                <w:color w:val="auto"/>
              </w:rPr>
            </w:pPr>
          </w:p>
        </w:tc>
        <w:tc>
          <w:tcPr>
            <w:tcW w:w="104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21"/>
        </w:trPr>
        <w:tc>
          <w:tcPr>
            <w:tcW w:w="600" w:type="dxa"/>
            <w:vAlign w:val="bottom"/>
            <w:tcBorders>
              <w:left w:val="single" w:sz="8" w:color="auto"/>
            </w:tcBorders>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440" w:type="dxa"/>
            <w:vAlign w:val="bottom"/>
            <w:gridSpan w:val="2"/>
          </w:tcPr>
          <w:p>
            <w:pPr>
              <w:ind w:left="20"/>
              <w:spacing w:after="0" w:line="207" w:lineRule="exact"/>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p>
        </w:tc>
        <w:tc>
          <w:tcPr>
            <w:tcW w:w="580" w:type="dxa"/>
            <w:vAlign w:val="bottom"/>
          </w:tcPr>
          <w:p>
            <w:pPr>
              <w:spacing w:after="0"/>
              <w:rPr>
                <w:sz w:val="19"/>
                <w:szCs w:val="19"/>
                <w:color w:val="auto"/>
              </w:rPr>
            </w:pPr>
          </w:p>
        </w:tc>
        <w:tc>
          <w:tcPr>
            <w:tcW w:w="8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00" w:type="dxa"/>
            <w:vAlign w:val="bottom"/>
            <w:tcBorders>
              <w:lef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440" w:type="dxa"/>
            <w:vAlign w:val="bottom"/>
            <w:gridSpan w:val="2"/>
          </w:tcPr>
          <w:p>
            <w:pPr>
              <w:ind w:left="20"/>
              <w:spacing w:after="0" w:line="207" w:lineRule="exact"/>
              <w:rPr>
                <w:sz w:val="20"/>
                <w:szCs w:val="20"/>
                <w:color w:val="auto"/>
              </w:rPr>
            </w:pP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tc>
        <w:tc>
          <w:tcPr>
            <w:tcW w:w="580" w:type="dxa"/>
            <w:vAlign w:val="bottom"/>
          </w:tcPr>
          <w:p>
            <w:pPr>
              <w:spacing w:after="0"/>
              <w:rPr>
                <w:sz w:val="24"/>
                <w:szCs w:val="24"/>
                <w:color w:val="auto"/>
              </w:rPr>
            </w:pPr>
          </w:p>
        </w:tc>
        <w:tc>
          <w:tcPr>
            <w:tcW w:w="8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jc w:val="center"/>
              <w:ind w:left="22"/>
              <w:spacing w:after="0"/>
              <w:rPr>
                <w:sz w:val="20"/>
                <w:szCs w:val="20"/>
                <w:color w:val="auto"/>
              </w:rPr>
            </w:pPr>
            <w:r>
              <w:rPr>
                <w:rFonts w:ascii="Arial" w:cs="Arial" w:eastAsia="Arial" w:hAnsi="Arial"/>
                <w:sz w:val="32"/>
                <w:szCs w:val="32"/>
                <w:b w:val="1"/>
                <w:bCs w:val="1"/>
                <w:color w:val="auto"/>
                <w:w w:val="89"/>
              </w:rPr>
              <w:t>3</w:t>
            </w:r>
          </w:p>
        </w:tc>
        <w:tc>
          <w:tcPr>
            <w:tcW w:w="180" w:type="dxa"/>
            <w:vAlign w:val="bottom"/>
            <w:tcBorders>
              <w:right w:val="single" w:sz="8" w:color="auto"/>
            </w:tcBorders>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SEC USE ONLY</w:t>
            </w:r>
          </w:p>
        </w:tc>
        <w:tc>
          <w:tcPr>
            <w:tcW w:w="580" w:type="dxa"/>
            <w:vAlign w:val="bottom"/>
          </w:tcPr>
          <w:p>
            <w:pPr>
              <w:spacing w:after="0"/>
              <w:rPr>
                <w:sz w:val="24"/>
                <w:szCs w:val="24"/>
                <w:color w:val="auto"/>
              </w:rPr>
            </w:pPr>
          </w:p>
        </w:tc>
        <w:tc>
          <w:tcPr>
            <w:tcW w:w="8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600" w:type="dxa"/>
            <w:vAlign w:val="bottom"/>
            <w:tcBorders>
              <w:left w:val="single" w:sz="8" w:color="auto"/>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8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jc w:val="center"/>
              <w:ind w:left="22"/>
              <w:spacing w:after="0"/>
              <w:rPr>
                <w:sz w:val="20"/>
                <w:szCs w:val="20"/>
                <w:color w:val="auto"/>
              </w:rPr>
            </w:pPr>
            <w:r>
              <w:rPr>
                <w:rFonts w:ascii="Arial" w:cs="Arial" w:eastAsia="Arial" w:hAnsi="Arial"/>
                <w:sz w:val="32"/>
                <w:szCs w:val="32"/>
                <w:b w:val="1"/>
                <w:bCs w:val="1"/>
                <w:color w:val="auto"/>
                <w:w w:val="89"/>
              </w:rPr>
              <w:t>4</w:t>
            </w:r>
          </w:p>
        </w:tc>
        <w:tc>
          <w:tcPr>
            <w:tcW w:w="180" w:type="dxa"/>
            <w:vAlign w:val="bottom"/>
            <w:tcBorders>
              <w:right w:val="single" w:sz="8" w:color="auto"/>
            </w:tcBorders>
          </w:tcPr>
          <w:p>
            <w:pPr>
              <w:spacing w:after="0"/>
              <w:rPr>
                <w:sz w:val="24"/>
                <w:szCs w:val="24"/>
                <w:color w:val="auto"/>
              </w:rPr>
            </w:pPr>
          </w:p>
        </w:tc>
        <w:tc>
          <w:tcPr>
            <w:tcW w:w="104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268"/>
        </w:trPr>
        <w:tc>
          <w:tcPr>
            <w:tcW w:w="600" w:type="dxa"/>
            <w:vAlign w:val="bottom"/>
            <w:tcBorders>
              <w:left w:val="single" w:sz="8" w:color="auto"/>
            </w:tcBorders>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58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1"/>
        </w:trPr>
        <w:tc>
          <w:tcPr>
            <w:tcW w:w="600" w:type="dxa"/>
            <w:vAlign w:val="bottom"/>
            <w:tcBorders>
              <w:left w:val="single" w:sz="8" w:color="auto"/>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Borders>
              <w:right w:val="single" w:sz="8" w:color="auto"/>
            </w:tcBorders>
          </w:tcPr>
          <w:p>
            <w:pPr>
              <w:jc w:val="right"/>
              <w:ind w:right="144"/>
              <w:spacing w:after="0"/>
              <w:rPr>
                <w:sz w:val="20"/>
                <w:szCs w:val="20"/>
                <w:color w:val="auto"/>
              </w:rPr>
            </w:pPr>
            <w:r>
              <w:rPr>
                <w:rFonts w:ascii="Arial" w:cs="Arial" w:eastAsia="Arial" w:hAnsi="Arial"/>
                <w:sz w:val="32"/>
                <w:szCs w:val="32"/>
                <w:b w:val="1"/>
                <w:bCs w:val="1"/>
                <w:color w:val="auto"/>
              </w:rPr>
              <w:t>5</w:t>
            </w:r>
          </w:p>
        </w:tc>
        <w:tc>
          <w:tcPr>
            <w:tcW w:w="844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68"/>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23"/>
                <w:szCs w:val="23"/>
                <w:color w:val="auto"/>
              </w:rPr>
            </w:pPr>
          </w:p>
        </w:tc>
        <w:tc>
          <w:tcPr>
            <w:tcW w:w="580" w:type="dxa"/>
            <w:vAlign w:val="bottom"/>
            <w:tcBorders>
              <w:right w:val="single" w:sz="8" w:color="auto"/>
            </w:tcBorders>
          </w:tcPr>
          <w:p>
            <w:pPr>
              <w:spacing w:after="0"/>
              <w:rPr>
                <w:sz w:val="23"/>
                <w:szCs w:val="23"/>
                <w:color w:val="auto"/>
              </w:rPr>
            </w:pPr>
          </w:p>
        </w:tc>
        <w:tc>
          <w:tcPr>
            <w:tcW w:w="8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39,631,929 (1)</w:t>
            </w:r>
          </w:p>
        </w:tc>
        <w:tc>
          <w:tcPr>
            <w:tcW w:w="0" w:type="dxa"/>
            <w:vAlign w:val="bottom"/>
          </w:tcPr>
          <w:p>
            <w:pPr>
              <w:spacing w:after="0"/>
              <w:rPr>
                <w:sz w:val="1"/>
                <w:szCs w:val="1"/>
                <w:color w:val="auto"/>
              </w:rPr>
            </w:pPr>
          </w:p>
        </w:tc>
      </w:tr>
      <w:tr>
        <w:trPr>
          <w:trHeight w:val="41"/>
        </w:trPr>
        <w:tc>
          <w:tcPr>
            <w:tcW w:w="2060" w:type="dxa"/>
            <w:vAlign w:val="bottom"/>
            <w:tcBorders>
              <w:left w:val="single" w:sz="8" w:color="auto"/>
              <w:right w:val="single" w:sz="8" w:color="auto"/>
            </w:tcBorders>
            <w:gridSpan w:val="3"/>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6"/>
        </w:trPr>
        <w:tc>
          <w:tcPr>
            <w:tcW w:w="2060" w:type="dxa"/>
            <w:vAlign w:val="bottom"/>
            <w:tcBorders>
              <w:left w:val="single" w:sz="8" w:color="auto"/>
              <w:right w:val="single" w:sz="8" w:color="auto"/>
            </w:tcBorders>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Borders>
              <w:right w:val="single" w:sz="8" w:color="auto"/>
            </w:tcBorders>
            <w:vMerge w:val="restart"/>
          </w:tcPr>
          <w:p>
            <w:pPr>
              <w:jc w:val="right"/>
              <w:ind w:right="144"/>
              <w:spacing w:after="0" w:line="236" w:lineRule="exact"/>
              <w:rPr>
                <w:sz w:val="20"/>
                <w:szCs w:val="20"/>
                <w:color w:val="auto"/>
              </w:rPr>
            </w:pPr>
            <w:r>
              <w:rPr>
                <w:rFonts w:ascii="Arial" w:cs="Arial" w:eastAsia="Arial" w:hAnsi="Arial"/>
                <w:sz w:val="27"/>
                <w:szCs w:val="27"/>
                <w:b w:val="1"/>
                <w:bCs w:val="1"/>
                <w:color w:val="auto"/>
              </w:rPr>
              <w:t>6</w:t>
            </w:r>
          </w:p>
        </w:tc>
        <w:tc>
          <w:tcPr>
            <w:tcW w:w="8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line="20" w:lineRule="exact"/>
              <w:rPr>
                <w:sz w:val="1"/>
                <w:szCs w:val="1"/>
                <w:color w:val="auto"/>
              </w:rPr>
            </w:pPr>
          </w:p>
        </w:tc>
      </w:tr>
      <w:tr>
        <w:trPr>
          <w:trHeight w:val="201"/>
        </w:trPr>
        <w:tc>
          <w:tcPr>
            <w:tcW w:w="600" w:type="dxa"/>
            <w:vAlign w:val="bottom"/>
            <w:tcBorders>
              <w:left w:val="single" w:sz="8" w:color="auto"/>
            </w:tcBorders>
          </w:tcPr>
          <w:p>
            <w:pPr>
              <w:spacing w:after="0"/>
              <w:rPr>
                <w:sz w:val="17"/>
                <w:szCs w:val="17"/>
                <w:color w:val="auto"/>
              </w:rPr>
            </w:pPr>
          </w:p>
        </w:tc>
        <w:tc>
          <w:tcPr>
            <w:tcW w:w="146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b w:val="1"/>
                <w:bCs w:val="1"/>
                <w:color w:val="auto"/>
                <w:w w:val="95"/>
              </w:rPr>
              <w:t>SHARES</w:t>
            </w:r>
          </w:p>
        </w:tc>
        <w:tc>
          <w:tcPr>
            <w:tcW w:w="160" w:type="dxa"/>
            <w:vAlign w:val="bottom"/>
          </w:tcPr>
          <w:p>
            <w:pPr>
              <w:spacing w:after="0"/>
              <w:rPr>
                <w:sz w:val="17"/>
                <w:szCs w:val="17"/>
                <w:color w:val="auto"/>
              </w:rPr>
            </w:pPr>
          </w:p>
        </w:tc>
        <w:tc>
          <w:tcPr>
            <w:tcW w:w="580" w:type="dxa"/>
            <w:vAlign w:val="bottom"/>
            <w:tcBorders>
              <w:right w:val="single" w:sz="8" w:color="auto"/>
            </w:tcBorders>
            <w:vMerge w:val="continue"/>
          </w:tcPr>
          <w:p>
            <w:pPr>
              <w:spacing w:after="0"/>
              <w:rPr>
                <w:sz w:val="17"/>
                <w:szCs w:val="17"/>
                <w:color w:val="auto"/>
              </w:rPr>
            </w:pPr>
          </w:p>
        </w:tc>
        <w:tc>
          <w:tcPr>
            <w:tcW w:w="84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600" w:type="dxa"/>
            <w:vAlign w:val="bottom"/>
            <w:tcBorders>
              <w:left w:val="single" w:sz="8" w:color="auto"/>
            </w:tcBorders>
          </w:tcPr>
          <w:p>
            <w:pPr>
              <w:spacing w:after="0"/>
              <w:rPr>
                <w:sz w:val="3"/>
                <w:szCs w:val="3"/>
                <w:color w:val="auto"/>
              </w:rPr>
            </w:pPr>
          </w:p>
        </w:tc>
        <w:tc>
          <w:tcPr>
            <w:tcW w:w="1460" w:type="dxa"/>
            <w:vAlign w:val="bottom"/>
            <w:tcBorders>
              <w:right w:val="single" w:sz="8" w:color="auto"/>
            </w:tcBorders>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844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OWNED BY</w:t>
            </w: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84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00" w:type="dxa"/>
            <w:vAlign w:val="bottom"/>
            <w:tcBorders>
              <w:lef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Borders>
              <w:right w:val="single" w:sz="8" w:color="auto"/>
            </w:tcBorders>
          </w:tcPr>
          <w:p>
            <w:pPr>
              <w:jc w:val="center"/>
              <w:ind w:right="670"/>
              <w:spacing w:after="0" w:line="177" w:lineRule="exact"/>
              <w:rPr>
                <w:sz w:val="20"/>
                <w:szCs w:val="20"/>
                <w:color w:val="auto"/>
              </w:rPr>
            </w:pPr>
            <w:r>
              <w:rPr>
                <w:rFonts w:ascii="Arial" w:cs="Arial" w:eastAsia="Arial" w:hAnsi="Arial"/>
                <w:sz w:val="18"/>
                <w:szCs w:val="18"/>
                <w:b w:val="1"/>
                <w:bCs w:val="1"/>
                <w:color w:val="auto"/>
              </w:rPr>
              <w:t>EACH</w:t>
            </w:r>
          </w:p>
        </w:tc>
        <w:tc>
          <w:tcPr>
            <w:tcW w:w="160" w:type="dxa"/>
            <w:vAlign w:val="bottom"/>
          </w:tcPr>
          <w:p>
            <w:pPr>
              <w:spacing w:after="0"/>
              <w:rPr>
                <w:sz w:val="15"/>
                <w:szCs w:val="15"/>
                <w:color w:val="auto"/>
              </w:rPr>
            </w:pPr>
          </w:p>
        </w:tc>
        <w:tc>
          <w:tcPr>
            <w:tcW w:w="58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32"/>
                <w:szCs w:val="32"/>
                <w:b w:val="1"/>
                <w:bCs w:val="1"/>
                <w:color w:val="auto"/>
              </w:rPr>
              <w:t>7</w:t>
            </w:r>
          </w:p>
        </w:tc>
        <w:tc>
          <w:tcPr>
            <w:tcW w:w="8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84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146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b w:val="1"/>
                <w:bCs w:val="1"/>
                <w:color w:val="auto"/>
                <w:w w:val="97"/>
              </w:rPr>
              <w:t>PERSON</w:t>
            </w:r>
          </w:p>
        </w:tc>
        <w:tc>
          <w:tcPr>
            <w:tcW w:w="16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8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39,631,929 (1)</w:t>
            </w:r>
          </w:p>
        </w:tc>
        <w:tc>
          <w:tcPr>
            <w:tcW w:w="0" w:type="dxa"/>
            <w:vAlign w:val="bottom"/>
          </w:tcPr>
          <w:p>
            <w:pPr>
              <w:spacing w:after="0"/>
              <w:rPr>
                <w:sz w:val="1"/>
                <w:szCs w:val="1"/>
                <w:color w:val="auto"/>
              </w:rPr>
            </w:pPr>
          </w:p>
        </w:tc>
      </w:tr>
      <w:tr>
        <w:trPr>
          <w:trHeight w:val="95"/>
        </w:trPr>
        <w:tc>
          <w:tcPr>
            <w:tcW w:w="600" w:type="dxa"/>
            <w:vAlign w:val="bottom"/>
            <w:tcBorders>
              <w:lef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b w:val="1"/>
                <w:bCs w:val="1"/>
                <w:color w:val="auto"/>
              </w:rPr>
              <w:t>WITH</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8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600" w:type="dxa"/>
            <w:vAlign w:val="bottom"/>
            <w:tcBorders>
              <w:lef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32"/>
                <w:szCs w:val="32"/>
                <w:b w:val="1"/>
                <w:bCs w:val="1"/>
                <w:color w:val="auto"/>
              </w:rPr>
              <w:t>8</w:t>
            </w:r>
          </w:p>
        </w:tc>
        <w:tc>
          <w:tcPr>
            <w:tcW w:w="8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294"/>
        </w:trPr>
        <w:tc>
          <w:tcPr>
            <w:tcW w:w="60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44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600" w:type="dxa"/>
            <w:vAlign w:val="bottom"/>
            <w:tcBorders>
              <w:lef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tcPr>
          <w:p>
            <w:pPr>
              <w:spacing w:after="0"/>
              <w:rPr>
                <w:sz w:val="23"/>
                <w:szCs w:val="23"/>
                <w:color w:val="auto"/>
              </w:rPr>
            </w:pPr>
          </w:p>
        </w:tc>
        <w:tc>
          <w:tcPr>
            <w:tcW w:w="8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0"/>
        </w:trPr>
        <w:tc>
          <w:tcPr>
            <w:tcW w:w="600" w:type="dxa"/>
            <w:vAlign w:val="bottom"/>
            <w:tcBorders>
              <w:left w:val="single" w:sz="8" w:color="auto"/>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gridSpan w:val="2"/>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jc w:val="center"/>
              <w:ind w:left="22"/>
              <w:spacing w:after="0"/>
              <w:rPr>
                <w:sz w:val="20"/>
                <w:szCs w:val="20"/>
                <w:color w:val="auto"/>
              </w:rPr>
            </w:pPr>
            <w:r>
              <w:rPr>
                <w:rFonts w:ascii="Arial" w:cs="Arial" w:eastAsia="Arial" w:hAnsi="Arial"/>
                <w:sz w:val="32"/>
                <w:szCs w:val="32"/>
                <w:b w:val="1"/>
                <w:bCs w:val="1"/>
                <w:color w:val="auto"/>
                <w:w w:val="89"/>
              </w:rPr>
              <w:t>9</w:t>
            </w:r>
          </w:p>
        </w:tc>
        <w:tc>
          <w:tcPr>
            <w:tcW w:w="180" w:type="dxa"/>
            <w:vAlign w:val="bottom"/>
            <w:tcBorders>
              <w:right w:val="single" w:sz="8" w:color="auto"/>
            </w:tcBorders>
          </w:tcPr>
          <w:p>
            <w:pPr>
              <w:spacing w:after="0"/>
              <w:rPr>
                <w:sz w:val="24"/>
                <w:szCs w:val="24"/>
                <w:color w:val="auto"/>
              </w:rPr>
            </w:pPr>
          </w:p>
        </w:tc>
        <w:tc>
          <w:tcPr>
            <w:tcW w:w="104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68"/>
        </w:trPr>
        <w:tc>
          <w:tcPr>
            <w:tcW w:w="600" w:type="dxa"/>
            <w:vAlign w:val="bottom"/>
            <w:tcBorders>
              <w:left w:val="single" w:sz="8" w:color="auto"/>
            </w:tcBorders>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39,631,929 (1)</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600" w:type="dxa"/>
            <w:vAlign w:val="bottom"/>
            <w:tcBorders>
              <w:left w:val="single" w:sz="8" w:color="auto"/>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0460" w:type="dxa"/>
            <w:vAlign w:val="bottom"/>
            <w:tcBorders>
              <w:bottom w:val="single" w:sz="8" w:color="auto"/>
              <w:right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jc w:val="center"/>
              <w:ind w:left="22"/>
              <w:spacing w:after="0"/>
              <w:rPr>
                <w:sz w:val="20"/>
                <w:szCs w:val="20"/>
                <w:color w:val="auto"/>
              </w:rPr>
            </w:pPr>
            <w:r>
              <w:rPr>
                <w:rFonts w:ascii="Arial" w:cs="Arial" w:eastAsia="Arial" w:hAnsi="Arial"/>
                <w:sz w:val="32"/>
                <w:szCs w:val="32"/>
                <w:b w:val="1"/>
                <w:bCs w:val="1"/>
                <w:color w:val="auto"/>
                <w:w w:val="89"/>
              </w:rPr>
              <w:t>10</w:t>
            </w:r>
          </w:p>
        </w:tc>
        <w:tc>
          <w:tcPr>
            <w:tcW w:w="180" w:type="dxa"/>
            <w:vAlign w:val="bottom"/>
            <w:tcBorders>
              <w:right w:val="single" w:sz="8" w:color="auto"/>
            </w:tcBorders>
          </w:tcPr>
          <w:p>
            <w:pPr>
              <w:spacing w:after="0"/>
              <w:rPr>
                <w:sz w:val="24"/>
                <w:szCs w:val="24"/>
                <w:color w:val="auto"/>
              </w:rPr>
            </w:pPr>
          </w:p>
        </w:tc>
        <w:tc>
          <w:tcPr>
            <w:tcW w:w="104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288"/>
        </w:trPr>
        <w:tc>
          <w:tcPr>
            <w:tcW w:w="600" w:type="dxa"/>
            <w:vAlign w:val="bottom"/>
            <w:tcBorders>
              <w:lef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44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tcPr>
          <w:p>
            <w:pPr>
              <w:spacing w:after="0"/>
              <w:rPr>
                <w:sz w:val="24"/>
                <w:szCs w:val="24"/>
                <w:color w:val="auto"/>
              </w:rPr>
            </w:pPr>
          </w:p>
        </w:tc>
        <w:tc>
          <w:tcPr>
            <w:tcW w:w="8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0460" w:type="dxa"/>
            <w:vAlign w:val="bottom"/>
            <w:tcBorders>
              <w:bottom w:val="single" w:sz="8" w:color="auto"/>
              <w:right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jc w:val="center"/>
              <w:ind w:left="42"/>
              <w:spacing w:after="0"/>
              <w:rPr>
                <w:sz w:val="20"/>
                <w:szCs w:val="20"/>
                <w:color w:val="auto"/>
              </w:rPr>
            </w:pPr>
            <w:r>
              <w:rPr>
                <w:rFonts w:ascii="Arial" w:cs="Arial" w:eastAsia="Arial" w:hAnsi="Arial"/>
                <w:sz w:val="32"/>
                <w:szCs w:val="32"/>
                <w:b w:val="1"/>
                <w:bCs w:val="1"/>
                <w:color w:val="auto"/>
                <w:w w:val="84"/>
              </w:rPr>
              <w:t>11</w:t>
            </w:r>
          </w:p>
        </w:tc>
        <w:tc>
          <w:tcPr>
            <w:tcW w:w="180" w:type="dxa"/>
            <w:vAlign w:val="bottom"/>
            <w:tcBorders>
              <w:right w:val="single" w:sz="8" w:color="auto"/>
            </w:tcBorders>
          </w:tcPr>
          <w:p>
            <w:pPr>
              <w:spacing w:after="0"/>
              <w:rPr>
                <w:sz w:val="24"/>
                <w:szCs w:val="24"/>
                <w:color w:val="auto"/>
              </w:rPr>
            </w:pPr>
          </w:p>
        </w:tc>
        <w:tc>
          <w:tcPr>
            <w:tcW w:w="104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268"/>
        </w:trPr>
        <w:tc>
          <w:tcPr>
            <w:tcW w:w="600" w:type="dxa"/>
            <w:vAlign w:val="bottom"/>
            <w:tcBorders>
              <w:left w:val="single" w:sz="8" w:color="auto"/>
            </w:tcBorders>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11.4% (1)(2)</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600" w:type="dxa"/>
            <w:vAlign w:val="bottom"/>
            <w:tcBorders>
              <w:left w:val="single" w:sz="8" w:color="auto"/>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0460" w:type="dxa"/>
            <w:vAlign w:val="bottom"/>
            <w:tcBorders>
              <w:bottom w:val="single" w:sz="8" w:color="auto"/>
              <w:right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jc w:val="center"/>
              <w:ind w:left="22"/>
              <w:spacing w:after="0"/>
              <w:rPr>
                <w:sz w:val="20"/>
                <w:szCs w:val="20"/>
                <w:color w:val="auto"/>
              </w:rPr>
            </w:pPr>
            <w:r>
              <w:rPr>
                <w:rFonts w:ascii="Arial" w:cs="Arial" w:eastAsia="Arial" w:hAnsi="Arial"/>
                <w:sz w:val="32"/>
                <w:szCs w:val="32"/>
                <w:b w:val="1"/>
                <w:bCs w:val="1"/>
                <w:color w:val="auto"/>
                <w:w w:val="89"/>
              </w:rPr>
              <w:t>12</w:t>
            </w:r>
          </w:p>
        </w:tc>
        <w:tc>
          <w:tcPr>
            <w:tcW w:w="180" w:type="dxa"/>
            <w:vAlign w:val="bottom"/>
            <w:tcBorders>
              <w:right w:val="single" w:sz="8" w:color="auto"/>
            </w:tcBorders>
          </w:tcPr>
          <w:p>
            <w:pPr>
              <w:spacing w:after="0"/>
              <w:rPr>
                <w:sz w:val="24"/>
                <w:szCs w:val="24"/>
                <w:color w:val="auto"/>
              </w:rPr>
            </w:pPr>
          </w:p>
        </w:tc>
        <w:tc>
          <w:tcPr>
            <w:tcW w:w="104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268"/>
        </w:trPr>
        <w:tc>
          <w:tcPr>
            <w:tcW w:w="600" w:type="dxa"/>
            <w:vAlign w:val="bottom"/>
            <w:tcBorders>
              <w:left w:val="single" w:sz="8" w:color="auto"/>
            </w:tcBorders>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color w:val="auto"/>
              </w:rPr>
              <w:t>IA, PN</w:t>
            </w:r>
          </w:p>
        </w:tc>
        <w:tc>
          <w:tcPr>
            <w:tcW w:w="58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600" w:type="dxa"/>
            <w:vAlign w:val="bottom"/>
            <w:tcBorders>
              <w:left w:val="single" w:sz="8" w:color="auto"/>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0" w:right="240" w:hanging="324"/>
        <w:spacing w:after="0" w:line="296"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Includes 30,151,465 Ordinary Shares (“Ordinary Shares”) of Mereo BioPharma Group plc (the “Issuer”) that are represented by 6,030,293 American Depositary Shares (“ADS”) and 9,031,484 Ordinary Shares that are represented by 1,806,297 ADS issuable upon the exercise of June 2023 Warrants (as defined in Item 4 and subject to the limitations as described therein) and 448,980 Ordinary Shares represented by 89,796 ADS that may be acquired upon conversion of Tranche 1 Notes (as defined in Item 4 and subject to the limitations as described therein), directly held by the Funds (as defined below). Each ADS represents 5 Ordinary Shares of the Issuer.</w:t>
      </w:r>
    </w:p>
    <w:p>
      <w:pPr>
        <w:spacing w:after="0" w:line="161" w:lineRule="exact"/>
        <w:rPr>
          <w:rFonts w:ascii="Arial" w:cs="Arial" w:eastAsia="Arial" w:hAnsi="Arial"/>
          <w:sz w:val="16"/>
          <w:szCs w:val="16"/>
          <w:color w:val="auto"/>
        </w:rPr>
      </w:pPr>
    </w:p>
    <w:p>
      <w:pPr>
        <w:ind w:left="980" w:right="140" w:hanging="324"/>
        <w:spacing w:after="0" w:line="25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338,713,962 Ordinary Shares of the Issuer outstanding as of August 1, 2020, as reported in the Issuer’s Prospectus filed with the Securities and Exchange Commission (“SEC”) on October 23, 2020, plus 9,031,484 Ordinary Shares that are represented by 1,806,297 ADS issuable upon the exercise of the June 2023 Warrants (as defined in Item 4 and subject to the limitations as described therein) and 448,980 Ordinary Shares represented by 89,796 ADS that may be acquired upon conversion of Tranche 1 Notes (as defined in Item 4 and subject to the limitations as described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589492107</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434"/>
        </w:trPr>
        <w:tc>
          <w:tcPr>
            <w:tcW w:w="600" w:type="dxa"/>
            <w:vAlign w:val="bottom"/>
            <w:tcBorders>
              <w:top w:val="single" w:sz="8" w:color="auto"/>
              <w:left w:val="single" w:sz="8" w:color="auto"/>
            </w:tcBorders>
          </w:tcPr>
          <w:p>
            <w:pPr>
              <w:jc w:val="center"/>
              <w:ind w:left="22"/>
              <w:spacing w:after="0"/>
              <w:rPr>
                <w:sz w:val="20"/>
                <w:szCs w:val="20"/>
                <w:color w:val="auto"/>
              </w:rPr>
            </w:pPr>
            <w:r>
              <w:rPr>
                <w:rFonts w:ascii="Arial" w:cs="Arial" w:eastAsia="Arial" w:hAnsi="Arial"/>
                <w:sz w:val="32"/>
                <w:szCs w:val="32"/>
                <w:b w:val="1"/>
                <w:bCs w:val="1"/>
                <w:color w:val="auto"/>
                <w:w w:val="89"/>
              </w:rPr>
              <w:t>1</w:t>
            </w:r>
          </w:p>
        </w:tc>
        <w:tc>
          <w:tcPr>
            <w:tcW w:w="180" w:type="dxa"/>
            <w:vAlign w:val="bottom"/>
            <w:tcBorders>
              <w:top w:val="single" w:sz="8" w:color="auto"/>
              <w:right w:val="single" w:sz="8" w:color="auto"/>
            </w:tcBorders>
          </w:tcPr>
          <w:p>
            <w:pPr>
              <w:spacing w:after="0"/>
              <w:rPr>
                <w:sz w:val="24"/>
                <w:szCs w:val="24"/>
                <w:color w:val="auto"/>
              </w:rPr>
            </w:pPr>
          </w:p>
        </w:tc>
        <w:tc>
          <w:tcPr>
            <w:tcW w:w="10460" w:type="dxa"/>
            <w:vAlign w:val="bottom"/>
            <w:tcBorders>
              <w:top w:val="single" w:sz="8" w:color="auto"/>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268"/>
        </w:trPr>
        <w:tc>
          <w:tcPr>
            <w:tcW w:w="600" w:type="dxa"/>
            <w:vAlign w:val="bottom"/>
            <w:tcBorders>
              <w:left w:val="single" w:sz="8" w:color="auto"/>
            </w:tcBorders>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104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Baker Bros. Advisors (GP) LLC</w:t>
            </w:r>
          </w:p>
        </w:tc>
        <w:tc>
          <w:tcPr>
            <w:tcW w:w="0" w:type="dxa"/>
            <w:vAlign w:val="bottom"/>
          </w:tcPr>
          <w:p>
            <w:pPr>
              <w:spacing w:after="0"/>
              <w:rPr>
                <w:sz w:val="1"/>
                <w:szCs w:val="1"/>
                <w:color w:val="auto"/>
              </w:rPr>
            </w:pPr>
          </w:p>
        </w:tc>
      </w:tr>
      <w:tr>
        <w:trPr>
          <w:trHeight w:val="40"/>
        </w:trPr>
        <w:tc>
          <w:tcPr>
            <w:tcW w:w="600" w:type="dxa"/>
            <w:vAlign w:val="bottom"/>
            <w:tcBorders>
              <w:left w:val="single" w:sz="8" w:color="auto"/>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jc w:val="center"/>
              <w:ind w:left="22"/>
              <w:spacing w:after="0"/>
              <w:rPr>
                <w:sz w:val="20"/>
                <w:szCs w:val="20"/>
                <w:color w:val="auto"/>
              </w:rPr>
            </w:pPr>
            <w:r>
              <w:rPr>
                <w:rFonts w:ascii="Arial" w:cs="Arial" w:eastAsia="Arial" w:hAnsi="Arial"/>
                <w:sz w:val="32"/>
                <w:szCs w:val="32"/>
                <w:b w:val="1"/>
                <w:bCs w:val="1"/>
                <w:color w:val="auto"/>
                <w:w w:val="89"/>
              </w:rPr>
              <w:t>2</w:t>
            </w:r>
          </w:p>
        </w:tc>
        <w:tc>
          <w:tcPr>
            <w:tcW w:w="180" w:type="dxa"/>
            <w:vAlign w:val="bottom"/>
            <w:tcBorders>
              <w:right w:val="single" w:sz="8" w:color="auto"/>
            </w:tcBorders>
          </w:tcPr>
          <w:p>
            <w:pPr>
              <w:spacing w:after="0"/>
              <w:rPr>
                <w:sz w:val="24"/>
                <w:szCs w:val="24"/>
                <w:color w:val="auto"/>
              </w:rPr>
            </w:pPr>
          </w:p>
        </w:tc>
        <w:tc>
          <w:tcPr>
            <w:tcW w:w="104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21"/>
        </w:trPr>
        <w:tc>
          <w:tcPr>
            <w:tcW w:w="600" w:type="dxa"/>
            <w:vAlign w:val="bottom"/>
            <w:tcBorders>
              <w:left w:val="single" w:sz="8" w:color="auto"/>
            </w:tcBorders>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440" w:type="dxa"/>
            <w:vAlign w:val="bottom"/>
            <w:gridSpan w:val="2"/>
          </w:tcPr>
          <w:p>
            <w:pPr>
              <w:ind w:left="20"/>
              <w:spacing w:after="0" w:line="207" w:lineRule="exact"/>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p>
        </w:tc>
        <w:tc>
          <w:tcPr>
            <w:tcW w:w="580" w:type="dxa"/>
            <w:vAlign w:val="bottom"/>
          </w:tcPr>
          <w:p>
            <w:pPr>
              <w:spacing w:after="0"/>
              <w:rPr>
                <w:sz w:val="19"/>
                <w:szCs w:val="19"/>
                <w:color w:val="auto"/>
              </w:rPr>
            </w:pPr>
          </w:p>
        </w:tc>
        <w:tc>
          <w:tcPr>
            <w:tcW w:w="8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00" w:type="dxa"/>
            <w:vAlign w:val="bottom"/>
            <w:tcBorders>
              <w:lef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440" w:type="dxa"/>
            <w:vAlign w:val="bottom"/>
            <w:gridSpan w:val="2"/>
          </w:tcPr>
          <w:p>
            <w:pPr>
              <w:ind w:left="20"/>
              <w:spacing w:after="0" w:line="207" w:lineRule="exact"/>
              <w:rPr>
                <w:sz w:val="20"/>
                <w:szCs w:val="20"/>
                <w:color w:val="auto"/>
              </w:rPr>
            </w:pP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tc>
        <w:tc>
          <w:tcPr>
            <w:tcW w:w="580" w:type="dxa"/>
            <w:vAlign w:val="bottom"/>
          </w:tcPr>
          <w:p>
            <w:pPr>
              <w:spacing w:after="0"/>
              <w:rPr>
                <w:sz w:val="24"/>
                <w:szCs w:val="24"/>
                <w:color w:val="auto"/>
              </w:rPr>
            </w:pPr>
          </w:p>
        </w:tc>
        <w:tc>
          <w:tcPr>
            <w:tcW w:w="8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jc w:val="center"/>
              <w:ind w:left="22"/>
              <w:spacing w:after="0"/>
              <w:rPr>
                <w:sz w:val="20"/>
                <w:szCs w:val="20"/>
                <w:color w:val="auto"/>
              </w:rPr>
            </w:pPr>
            <w:r>
              <w:rPr>
                <w:rFonts w:ascii="Arial" w:cs="Arial" w:eastAsia="Arial" w:hAnsi="Arial"/>
                <w:sz w:val="32"/>
                <w:szCs w:val="32"/>
                <w:b w:val="1"/>
                <w:bCs w:val="1"/>
                <w:color w:val="auto"/>
                <w:w w:val="89"/>
              </w:rPr>
              <w:t>3</w:t>
            </w:r>
          </w:p>
        </w:tc>
        <w:tc>
          <w:tcPr>
            <w:tcW w:w="180" w:type="dxa"/>
            <w:vAlign w:val="bottom"/>
            <w:tcBorders>
              <w:right w:val="single" w:sz="8" w:color="auto"/>
            </w:tcBorders>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SEC USE ONLY</w:t>
            </w:r>
          </w:p>
        </w:tc>
        <w:tc>
          <w:tcPr>
            <w:tcW w:w="580" w:type="dxa"/>
            <w:vAlign w:val="bottom"/>
          </w:tcPr>
          <w:p>
            <w:pPr>
              <w:spacing w:after="0"/>
              <w:rPr>
                <w:sz w:val="24"/>
                <w:szCs w:val="24"/>
                <w:color w:val="auto"/>
              </w:rPr>
            </w:pPr>
          </w:p>
        </w:tc>
        <w:tc>
          <w:tcPr>
            <w:tcW w:w="8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600" w:type="dxa"/>
            <w:vAlign w:val="bottom"/>
            <w:tcBorders>
              <w:left w:val="single" w:sz="8" w:color="auto"/>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8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jc w:val="center"/>
              <w:ind w:left="22"/>
              <w:spacing w:after="0"/>
              <w:rPr>
                <w:sz w:val="20"/>
                <w:szCs w:val="20"/>
                <w:color w:val="auto"/>
              </w:rPr>
            </w:pPr>
            <w:r>
              <w:rPr>
                <w:rFonts w:ascii="Arial" w:cs="Arial" w:eastAsia="Arial" w:hAnsi="Arial"/>
                <w:sz w:val="32"/>
                <w:szCs w:val="32"/>
                <w:b w:val="1"/>
                <w:bCs w:val="1"/>
                <w:color w:val="auto"/>
                <w:w w:val="89"/>
              </w:rPr>
              <w:t>4</w:t>
            </w:r>
          </w:p>
        </w:tc>
        <w:tc>
          <w:tcPr>
            <w:tcW w:w="180" w:type="dxa"/>
            <w:vAlign w:val="bottom"/>
            <w:tcBorders>
              <w:right w:val="single" w:sz="8" w:color="auto"/>
            </w:tcBorders>
          </w:tcPr>
          <w:p>
            <w:pPr>
              <w:spacing w:after="0"/>
              <w:rPr>
                <w:sz w:val="24"/>
                <w:szCs w:val="24"/>
                <w:color w:val="auto"/>
              </w:rPr>
            </w:pPr>
          </w:p>
        </w:tc>
        <w:tc>
          <w:tcPr>
            <w:tcW w:w="104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268"/>
        </w:trPr>
        <w:tc>
          <w:tcPr>
            <w:tcW w:w="600" w:type="dxa"/>
            <w:vAlign w:val="bottom"/>
            <w:tcBorders>
              <w:left w:val="single" w:sz="8" w:color="auto"/>
            </w:tcBorders>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58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1"/>
        </w:trPr>
        <w:tc>
          <w:tcPr>
            <w:tcW w:w="600" w:type="dxa"/>
            <w:vAlign w:val="bottom"/>
            <w:tcBorders>
              <w:left w:val="single" w:sz="8" w:color="auto"/>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Borders>
              <w:right w:val="single" w:sz="8" w:color="auto"/>
            </w:tcBorders>
          </w:tcPr>
          <w:p>
            <w:pPr>
              <w:jc w:val="right"/>
              <w:ind w:right="144"/>
              <w:spacing w:after="0"/>
              <w:rPr>
                <w:sz w:val="20"/>
                <w:szCs w:val="20"/>
                <w:color w:val="auto"/>
              </w:rPr>
            </w:pPr>
            <w:r>
              <w:rPr>
                <w:rFonts w:ascii="Arial" w:cs="Arial" w:eastAsia="Arial" w:hAnsi="Arial"/>
                <w:sz w:val="32"/>
                <w:szCs w:val="32"/>
                <w:b w:val="1"/>
                <w:bCs w:val="1"/>
                <w:color w:val="auto"/>
              </w:rPr>
              <w:t>5</w:t>
            </w:r>
          </w:p>
        </w:tc>
        <w:tc>
          <w:tcPr>
            <w:tcW w:w="844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68"/>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23"/>
                <w:szCs w:val="23"/>
                <w:color w:val="auto"/>
              </w:rPr>
            </w:pPr>
          </w:p>
        </w:tc>
        <w:tc>
          <w:tcPr>
            <w:tcW w:w="580" w:type="dxa"/>
            <w:vAlign w:val="bottom"/>
            <w:tcBorders>
              <w:right w:val="single" w:sz="8" w:color="auto"/>
            </w:tcBorders>
          </w:tcPr>
          <w:p>
            <w:pPr>
              <w:spacing w:after="0"/>
              <w:rPr>
                <w:sz w:val="23"/>
                <w:szCs w:val="23"/>
                <w:color w:val="auto"/>
              </w:rPr>
            </w:pPr>
          </w:p>
        </w:tc>
        <w:tc>
          <w:tcPr>
            <w:tcW w:w="8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39,631,929 (1)</w:t>
            </w:r>
          </w:p>
        </w:tc>
        <w:tc>
          <w:tcPr>
            <w:tcW w:w="0" w:type="dxa"/>
            <w:vAlign w:val="bottom"/>
          </w:tcPr>
          <w:p>
            <w:pPr>
              <w:spacing w:after="0"/>
              <w:rPr>
                <w:sz w:val="1"/>
                <w:szCs w:val="1"/>
                <w:color w:val="auto"/>
              </w:rPr>
            </w:pPr>
          </w:p>
        </w:tc>
      </w:tr>
      <w:tr>
        <w:trPr>
          <w:trHeight w:val="41"/>
        </w:trPr>
        <w:tc>
          <w:tcPr>
            <w:tcW w:w="2060" w:type="dxa"/>
            <w:vAlign w:val="bottom"/>
            <w:tcBorders>
              <w:left w:val="single" w:sz="8" w:color="auto"/>
              <w:right w:val="single" w:sz="8" w:color="auto"/>
            </w:tcBorders>
            <w:gridSpan w:val="3"/>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6"/>
        </w:trPr>
        <w:tc>
          <w:tcPr>
            <w:tcW w:w="2060" w:type="dxa"/>
            <w:vAlign w:val="bottom"/>
            <w:tcBorders>
              <w:left w:val="single" w:sz="8" w:color="auto"/>
              <w:right w:val="single" w:sz="8" w:color="auto"/>
            </w:tcBorders>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Borders>
              <w:right w:val="single" w:sz="8" w:color="auto"/>
            </w:tcBorders>
            <w:vMerge w:val="restart"/>
          </w:tcPr>
          <w:p>
            <w:pPr>
              <w:jc w:val="right"/>
              <w:ind w:right="144"/>
              <w:spacing w:after="0" w:line="236" w:lineRule="exact"/>
              <w:rPr>
                <w:sz w:val="20"/>
                <w:szCs w:val="20"/>
                <w:color w:val="auto"/>
              </w:rPr>
            </w:pPr>
            <w:r>
              <w:rPr>
                <w:rFonts w:ascii="Arial" w:cs="Arial" w:eastAsia="Arial" w:hAnsi="Arial"/>
                <w:sz w:val="27"/>
                <w:szCs w:val="27"/>
                <w:b w:val="1"/>
                <w:bCs w:val="1"/>
                <w:color w:val="auto"/>
              </w:rPr>
              <w:t>6</w:t>
            </w:r>
          </w:p>
        </w:tc>
        <w:tc>
          <w:tcPr>
            <w:tcW w:w="8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line="20" w:lineRule="exact"/>
              <w:rPr>
                <w:sz w:val="1"/>
                <w:szCs w:val="1"/>
                <w:color w:val="auto"/>
              </w:rPr>
            </w:pPr>
          </w:p>
        </w:tc>
      </w:tr>
      <w:tr>
        <w:trPr>
          <w:trHeight w:val="201"/>
        </w:trPr>
        <w:tc>
          <w:tcPr>
            <w:tcW w:w="600" w:type="dxa"/>
            <w:vAlign w:val="bottom"/>
            <w:tcBorders>
              <w:left w:val="single" w:sz="8" w:color="auto"/>
            </w:tcBorders>
          </w:tcPr>
          <w:p>
            <w:pPr>
              <w:spacing w:after="0"/>
              <w:rPr>
                <w:sz w:val="17"/>
                <w:szCs w:val="17"/>
                <w:color w:val="auto"/>
              </w:rPr>
            </w:pPr>
          </w:p>
        </w:tc>
        <w:tc>
          <w:tcPr>
            <w:tcW w:w="146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b w:val="1"/>
                <w:bCs w:val="1"/>
                <w:color w:val="auto"/>
                <w:w w:val="95"/>
              </w:rPr>
              <w:t>SHARES</w:t>
            </w:r>
          </w:p>
        </w:tc>
        <w:tc>
          <w:tcPr>
            <w:tcW w:w="160" w:type="dxa"/>
            <w:vAlign w:val="bottom"/>
          </w:tcPr>
          <w:p>
            <w:pPr>
              <w:spacing w:after="0"/>
              <w:rPr>
                <w:sz w:val="17"/>
                <w:szCs w:val="17"/>
                <w:color w:val="auto"/>
              </w:rPr>
            </w:pPr>
          </w:p>
        </w:tc>
        <w:tc>
          <w:tcPr>
            <w:tcW w:w="580" w:type="dxa"/>
            <w:vAlign w:val="bottom"/>
            <w:tcBorders>
              <w:right w:val="single" w:sz="8" w:color="auto"/>
            </w:tcBorders>
            <w:vMerge w:val="continue"/>
          </w:tcPr>
          <w:p>
            <w:pPr>
              <w:spacing w:after="0"/>
              <w:rPr>
                <w:sz w:val="17"/>
                <w:szCs w:val="17"/>
                <w:color w:val="auto"/>
              </w:rPr>
            </w:pPr>
          </w:p>
        </w:tc>
        <w:tc>
          <w:tcPr>
            <w:tcW w:w="84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600" w:type="dxa"/>
            <w:vAlign w:val="bottom"/>
            <w:tcBorders>
              <w:left w:val="single" w:sz="8" w:color="auto"/>
            </w:tcBorders>
          </w:tcPr>
          <w:p>
            <w:pPr>
              <w:spacing w:after="0"/>
              <w:rPr>
                <w:sz w:val="3"/>
                <w:szCs w:val="3"/>
                <w:color w:val="auto"/>
              </w:rPr>
            </w:pPr>
          </w:p>
        </w:tc>
        <w:tc>
          <w:tcPr>
            <w:tcW w:w="1460" w:type="dxa"/>
            <w:vAlign w:val="bottom"/>
            <w:tcBorders>
              <w:right w:val="single" w:sz="8" w:color="auto"/>
            </w:tcBorders>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844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OWNED BY</w:t>
            </w: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84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00" w:type="dxa"/>
            <w:vAlign w:val="bottom"/>
            <w:tcBorders>
              <w:lef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Borders>
              <w:right w:val="single" w:sz="8" w:color="auto"/>
            </w:tcBorders>
          </w:tcPr>
          <w:p>
            <w:pPr>
              <w:jc w:val="center"/>
              <w:ind w:right="670"/>
              <w:spacing w:after="0" w:line="177" w:lineRule="exact"/>
              <w:rPr>
                <w:sz w:val="20"/>
                <w:szCs w:val="20"/>
                <w:color w:val="auto"/>
              </w:rPr>
            </w:pPr>
            <w:r>
              <w:rPr>
                <w:rFonts w:ascii="Arial" w:cs="Arial" w:eastAsia="Arial" w:hAnsi="Arial"/>
                <w:sz w:val="18"/>
                <w:szCs w:val="18"/>
                <w:b w:val="1"/>
                <w:bCs w:val="1"/>
                <w:color w:val="auto"/>
              </w:rPr>
              <w:t>EACH</w:t>
            </w:r>
          </w:p>
        </w:tc>
        <w:tc>
          <w:tcPr>
            <w:tcW w:w="160" w:type="dxa"/>
            <w:vAlign w:val="bottom"/>
          </w:tcPr>
          <w:p>
            <w:pPr>
              <w:spacing w:after="0"/>
              <w:rPr>
                <w:sz w:val="15"/>
                <w:szCs w:val="15"/>
                <w:color w:val="auto"/>
              </w:rPr>
            </w:pPr>
          </w:p>
        </w:tc>
        <w:tc>
          <w:tcPr>
            <w:tcW w:w="58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32"/>
                <w:szCs w:val="32"/>
                <w:b w:val="1"/>
                <w:bCs w:val="1"/>
                <w:color w:val="auto"/>
              </w:rPr>
              <w:t>7</w:t>
            </w:r>
          </w:p>
        </w:tc>
        <w:tc>
          <w:tcPr>
            <w:tcW w:w="8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84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146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b w:val="1"/>
                <w:bCs w:val="1"/>
                <w:color w:val="auto"/>
                <w:w w:val="97"/>
              </w:rPr>
              <w:t>PERSON</w:t>
            </w:r>
          </w:p>
        </w:tc>
        <w:tc>
          <w:tcPr>
            <w:tcW w:w="16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8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39,631,929 (1)</w:t>
            </w:r>
          </w:p>
        </w:tc>
        <w:tc>
          <w:tcPr>
            <w:tcW w:w="0" w:type="dxa"/>
            <w:vAlign w:val="bottom"/>
          </w:tcPr>
          <w:p>
            <w:pPr>
              <w:spacing w:after="0"/>
              <w:rPr>
                <w:sz w:val="1"/>
                <w:szCs w:val="1"/>
                <w:color w:val="auto"/>
              </w:rPr>
            </w:pPr>
          </w:p>
        </w:tc>
      </w:tr>
      <w:tr>
        <w:trPr>
          <w:trHeight w:val="95"/>
        </w:trPr>
        <w:tc>
          <w:tcPr>
            <w:tcW w:w="600" w:type="dxa"/>
            <w:vAlign w:val="bottom"/>
            <w:tcBorders>
              <w:lef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b w:val="1"/>
                <w:bCs w:val="1"/>
                <w:color w:val="auto"/>
              </w:rPr>
              <w:t>WITH</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8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600" w:type="dxa"/>
            <w:vAlign w:val="bottom"/>
            <w:tcBorders>
              <w:lef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32"/>
                <w:szCs w:val="32"/>
                <w:b w:val="1"/>
                <w:bCs w:val="1"/>
                <w:color w:val="auto"/>
              </w:rPr>
              <w:t>8</w:t>
            </w:r>
          </w:p>
        </w:tc>
        <w:tc>
          <w:tcPr>
            <w:tcW w:w="8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294"/>
        </w:trPr>
        <w:tc>
          <w:tcPr>
            <w:tcW w:w="60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44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600" w:type="dxa"/>
            <w:vAlign w:val="bottom"/>
            <w:tcBorders>
              <w:lef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tcPr>
          <w:p>
            <w:pPr>
              <w:spacing w:after="0"/>
              <w:rPr>
                <w:sz w:val="23"/>
                <w:szCs w:val="23"/>
                <w:color w:val="auto"/>
              </w:rPr>
            </w:pPr>
          </w:p>
        </w:tc>
        <w:tc>
          <w:tcPr>
            <w:tcW w:w="8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0"/>
        </w:trPr>
        <w:tc>
          <w:tcPr>
            <w:tcW w:w="600" w:type="dxa"/>
            <w:vAlign w:val="bottom"/>
            <w:tcBorders>
              <w:left w:val="single" w:sz="8" w:color="auto"/>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gridSpan w:val="2"/>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jc w:val="center"/>
              <w:ind w:left="22"/>
              <w:spacing w:after="0"/>
              <w:rPr>
                <w:sz w:val="20"/>
                <w:szCs w:val="20"/>
                <w:color w:val="auto"/>
              </w:rPr>
            </w:pPr>
            <w:r>
              <w:rPr>
                <w:rFonts w:ascii="Arial" w:cs="Arial" w:eastAsia="Arial" w:hAnsi="Arial"/>
                <w:sz w:val="32"/>
                <w:szCs w:val="32"/>
                <w:b w:val="1"/>
                <w:bCs w:val="1"/>
                <w:color w:val="auto"/>
                <w:w w:val="89"/>
              </w:rPr>
              <w:t>9</w:t>
            </w:r>
          </w:p>
        </w:tc>
        <w:tc>
          <w:tcPr>
            <w:tcW w:w="180" w:type="dxa"/>
            <w:vAlign w:val="bottom"/>
            <w:tcBorders>
              <w:right w:val="single" w:sz="8" w:color="auto"/>
            </w:tcBorders>
          </w:tcPr>
          <w:p>
            <w:pPr>
              <w:spacing w:after="0"/>
              <w:rPr>
                <w:sz w:val="24"/>
                <w:szCs w:val="24"/>
                <w:color w:val="auto"/>
              </w:rPr>
            </w:pPr>
          </w:p>
        </w:tc>
        <w:tc>
          <w:tcPr>
            <w:tcW w:w="104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68"/>
        </w:trPr>
        <w:tc>
          <w:tcPr>
            <w:tcW w:w="600" w:type="dxa"/>
            <w:vAlign w:val="bottom"/>
            <w:tcBorders>
              <w:left w:val="single" w:sz="8" w:color="auto"/>
            </w:tcBorders>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39,631,929 (1)</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600" w:type="dxa"/>
            <w:vAlign w:val="bottom"/>
            <w:tcBorders>
              <w:left w:val="single" w:sz="8" w:color="auto"/>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0460" w:type="dxa"/>
            <w:vAlign w:val="bottom"/>
            <w:tcBorders>
              <w:bottom w:val="single" w:sz="8" w:color="auto"/>
              <w:right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jc w:val="center"/>
              <w:ind w:left="22"/>
              <w:spacing w:after="0"/>
              <w:rPr>
                <w:sz w:val="20"/>
                <w:szCs w:val="20"/>
                <w:color w:val="auto"/>
              </w:rPr>
            </w:pPr>
            <w:r>
              <w:rPr>
                <w:rFonts w:ascii="Arial" w:cs="Arial" w:eastAsia="Arial" w:hAnsi="Arial"/>
                <w:sz w:val="32"/>
                <w:szCs w:val="32"/>
                <w:b w:val="1"/>
                <w:bCs w:val="1"/>
                <w:color w:val="auto"/>
                <w:w w:val="89"/>
              </w:rPr>
              <w:t>10</w:t>
            </w:r>
          </w:p>
        </w:tc>
        <w:tc>
          <w:tcPr>
            <w:tcW w:w="180" w:type="dxa"/>
            <w:vAlign w:val="bottom"/>
            <w:tcBorders>
              <w:right w:val="single" w:sz="8" w:color="auto"/>
            </w:tcBorders>
          </w:tcPr>
          <w:p>
            <w:pPr>
              <w:spacing w:after="0"/>
              <w:rPr>
                <w:sz w:val="24"/>
                <w:szCs w:val="24"/>
                <w:color w:val="auto"/>
              </w:rPr>
            </w:pPr>
          </w:p>
        </w:tc>
        <w:tc>
          <w:tcPr>
            <w:tcW w:w="104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288"/>
        </w:trPr>
        <w:tc>
          <w:tcPr>
            <w:tcW w:w="600" w:type="dxa"/>
            <w:vAlign w:val="bottom"/>
            <w:tcBorders>
              <w:lef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44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tcPr>
          <w:p>
            <w:pPr>
              <w:spacing w:after="0"/>
              <w:rPr>
                <w:sz w:val="24"/>
                <w:szCs w:val="24"/>
                <w:color w:val="auto"/>
              </w:rPr>
            </w:pPr>
          </w:p>
        </w:tc>
        <w:tc>
          <w:tcPr>
            <w:tcW w:w="8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0460" w:type="dxa"/>
            <w:vAlign w:val="bottom"/>
            <w:tcBorders>
              <w:bottom w:val="single" w:sz="8" w:color="auto"/>
              <w:right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jc w:val="center"/>
              <w:ind w:left="42"/>
              <w:spacing w:after="0"/>
              <w:rPr>
                <w:sz w:val="20"/>
                <w:szCs w:val="20"/>
                <w:color w:val="auto"/>
              </w:rPr>
            </w:pPr>
            <w:r>
              <w:rPr>
                <w:rFonts w:ascii="Arial" w:cs="Arial" w:eastAsia="Arial" w:hAnsi="Arial"/>
                <w:sz w:val="32"/>
                <w:szCs w:val="32"/>
                <w:b w:val="1"/>
                <w:bCs w:val="1"/>
                <w:color w:val="auto"/>
                <w:w w:val="84"/>
              </w:rPr>
              <w:t>11</w:t>
            </w:r>
          </w:p>
        </w:tc>
        <w:tc>
          <w:tcPr>
            <w:tcW w:w="180" w:type="dxa"/>
            <w:vAlign w:val="bottom"/>
            <w:tcBorders>
              <w:right w:val="single" w:sz="8" w:color="auto"/>
            </w:tcBorders>
          </w:tcPr>
          <w:p>
            <w:pPr>
              <w:spacing w:after="0"/>
              <w:rPr>
                <w:sz w:val="24"/>
                <w:szCs w:val="24"/>
                <w:color w:val="auto"/>
              </w:rPr>
            </w:pPr>
          </w:p>
        </w:tc>
        <w:tc>
          <w:tcPr>
            <w:tcW w:w="104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268"/>
        </w:trPr>
        <w:tc>
          <w:tcPr>
            <w:tcW w:w="600" w:type="dxa"/>
            <w:vAlign w:val="bottom"/>
            <w:tcBorders>
              <w:left w:val="single" w:sz="8" w:color="auto"/>
            </w:tcBorders>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18"/>
                <w:szCs w:val="18"/>
                <w:color w:val="auto"/>
              </w:rPr>
              <w:t>11.4% (1)(2)</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600" w:type="dxa"/>
            <w:vAlign w:val="bottom"/>
            <w:tcBorders>
              <w:left w:val="single" w:sz="8" w:color="auto"/>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0460" w:type="dxa"/>
            <w:vAlign w:val="bottom"/>
            <w:tcBorders>
              <w:bottom w:val="single" w:sz="8" w:color="auto"/>
              <w:right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600" w:type="dxa"/>
            <w:vAlign w:val="bottom"/>
            <w:tcBorders>
              <w:left w:val="single" w:sz="8" w:color="auto"/>
            </w:tcBorders>
          </w:tcPr>
          <w:p>
            <w:pPr>
              <w:jc w:val="center"/>
              <w:ind w:left="22"/>
              <w:spacing w:after="0"/>
              <w:rPr>
                <w:sz w:val="20"/>
                <w:szCs w:val="20"/>
                <w:color w:val="auto"/>
              </w:rPr>
            </w:pPr>
            <w:r>
              <w:rPr>
                <w:rFonts w:ascii="Arial" w:cs="Arial" w:eastAsia="Arial" w:hAnsi="Arial"/>
                <w:sz w:val="32"/>
                <w:szCs w:val="32"/>
                <w:b w:val="1"/>
                <w:bCs w:val="1"/>
                <w:color w:val="auto"/>
                <w:w w:val="89"/>
              </w:rPr>
              <w:t>12</w:t>
            </w:r>
          </w:p>
        </w:tc>
        <w:tc>
          <w:tcPr>
            <w:tcW w:w="180" w:type="dxa"/>
            <w:vAlign w:val="bottom"/>
            <w:tcBorders>
              <w:right w:val="single" w:sz="8" w:color="auto"/>
            </w:tcBorders>
          </w:tcPr>
          <w:p>
            <w:pPr>
              <w:spacing w:after="0"/>
              <w:rPr>
                <w:sz w:val="24"/>
                <w:szCs w:val="24"/>
                <w:color w:val="auto"/>
              </w:rPr>
            </w:pPr>
          </w:p>
        </w:tc>
        <w:tc>
          <w:tcPr>
            <w:tcW w:w="104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268"/>
        </w:trPr>
        <w:tc>
          <w:tcPr>
            <w:tcW w:w="600" w:type="dxa"/>
            <w:vAlign w:val="bottom"/>
            <w:tcBorders>
              <w:left w:val="single" w:sz="8" w:color="auto"/>
            </w:tcBorders>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color w:val="auto"/>
              </w:rPr>
              <w:t>HC, OO</w:t>
            </w:r>
          </w:p>
        </w:tc>
        <w:tc>
          <w:tcPr>
            <w:tcW w:w="58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600" w:type="dxa"/>
            <w:vAlign w:val="bottom"/>
            <w:tcBorders>
              <w:left w:val="single" w:sz="8" w:color="auto"/>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0" w:right="60" w:hanging="324"/>
        <w:spacing w:after="0" w:line="25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30,151,465 Ordinary Shares of the Issuer that are represented by 6,030,293 ADS and 9,031,484 Ordinary Shares that are represented by 1,806,297 ADS issuable upon the exercise of June 2023 Warrants (as defined in Item 4 and subject to the limitations as described therein) and 448,980 Ordinary Shares represented by 89,796 ADS that may be acquired upon conversion of Tranche 1 Notes (as defined in Item 4 and subject to the limitations as described therein), directly held by the Funds (as defined below). Each ADS represents 5 Ordinary Shares of the Issuer.</w:t>
      </w:r>
    </w:p>
    <w:p>
      <w:pPr>
        <w:spacing w:after="0" w:line="187" w:lineRule="exact"/>
        <w:rPr>
          <w:rFonts w:ascii="Arial" w:cs="Arial" w:eastAsia="Arial" w:hAnsi="Arial"/>
          <w:sz w:val="18"/>
          <w:szCs w:val="18"/>
          <w:color w:val="auto"/>
        </w:rPr>
      </w:pPr>
    </w:p>
    <w:p>
      <w:pPr>
        <w:ind w:left="980" w:right="20" w:hanging="324"/>
        <w:spacing w:after="0" w:line="301"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338,713,962 Ordinary Shares of the Issuer outstanding as of August 1, 2020, as reported in the Issuer’s Prospectus filed with the SEC on October 23, 2020, plus 9,031,484 Ordinary Shares that are represented by 1,806,297 ADS issuable upon the exercise of the June 2023 Warrants (as defined in Item 4 and subject to the limitations as described therein) and 448,980 Ordinary Shares represented by 89,796 ADS that may be acquired upon conversion of Tranche 1 Notes (as defined in Item 4 and subject to the limitations as described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589492107</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434"/>
        </w:trPr>
        <w:tc>
          <w:tcPr>
            <w:tcW w:w="4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32"/>
                <w:szCs w:val="32"/>
                <w:b w:val="1"/>
                <w:bCs w:val="1"/>
                <w:color w:val="auto"/>
              </w:rPr>
              <w:t>1</w:t>
            </w: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right w:val="single" w:sz="8" w:color="auto"/>
            </w:tcBorders>
          </w:tcPr>
          <w:p>
            <w:pPr>
              <w:spacing w:after="0"/>
              <w:rPr>
                <w:sz w:val="24"/>
                <w:szCs w:val="24"/>
                <w:color w:val="auto"/>
              </w:rPr>
            </w:pPr>
          </w:p>
        </w:tc>
        <w:tc>
          <w:tcPr>
            <w:tcW w:w="10460" w:type="dxa"/>
            <w:vAlign w:val="bottom"/>
            <w:tcBorders>
              <w:top w:val="single" w:sz="8" w:color="auto"/>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268"/>
        </w:trPr>
        <w:tc>
          <w:tcPr>
            <w:tcW w:w="480" w:type="dxa"/>
            <w:vAlign w:val="bottom"/>
            <w:tcBorders>
              <w:lef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color w:val="auto"/>
              </w:rPr>
              <w:t>Felix J. Baker</w:t>
            </w:r>
          </w:p>
        </w:tc>
        <w:tc>
          <w:tcPr>
            <w:tcW w:w="58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tcBorders>
          </w:tcPr>
          <w:p>
            <w:pPr>
              <w:jc w:val="right"/>
              <w:spacing w:after="0"/>
              <w:rPr>
                <w:sz w:val="20"/>
                <w:szCs w:val="20"/>
                <w:color w:val="auto"/>
              </w:rPr>
            </w:pPr>
            <w:r>
              <w:rPr>
                <w:rFonts w:ascii="Arial" w:cs="Arial" w:eastAsia="Arial" w:hAnsi="Arial"/>
                <w:sz w:val="32"/>
                <w:szCs w:val="32"/>
                <w:b w:val="1"/>
                <w:bCs w:val="1"/>
                <w:color w:val="auto"/>
              </w:rPr>
              <w:t>2</w:t>
            </w:r>
          </w:p>
        </w:tc>
        <w:tc>
          <w:tcPr>
            <w:tcW w:w="12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04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21"/>
        </w:trPr>
        <w:tc>
          <w:tcPr>
            <w:tcW w:w="48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440" w:type="dxa"/>
            <w:vAlign w:val="bottom"/>
            <w:gridSpan w:val="2"/>
          </w:tcPr>
          <w:p>
            <w:pPr>
              <w:jc w:val="center"/>
              <w:ind w:right="980"/>
              <w:spacing w:after="0" w:line="207" w:lineRule="exact"/>
              <w:rPr>
                <w:sz w:val="20"/>
                <w:szCs w:val="20"/>
                <w:color w:val="auto"/>
              </w:rPr>
            </w:pPr>
            <w:r>
              <w:rPr>
                <w:rFonts w:ascii="Arial" w:cs="Arial" w:eastAsia="Arial" w:hAnsi="Arial"/>
                <w:sz w:val="18"/>
                <w:szCs w:val="18"/>
                <w:b w:val="1"/>
                <w:bCs w:val="1"/>
                <w:color w:val="auto"/>
                <w:w w:val="93"/>
              </w:rPr>
              <w:t xml:space="preserve">(a) </w:t>
            </w:r>
            <w:r>
              <w:rPr>
                <w:rFonts w:ascii="MS PGothic" w:cs="MS PGothic" w:eastAsia="MS PGothic" w:hAnsi="MS PGothic"/>
                <w:sz w:val="18"/>
                <w:szCs w:val="18"/>
                <w:color w:val="auto"/>
                <w:w w:val="93"/>
              </w:rPr>
              <w:t>☐</w:t>
            </w:r>
          </w:p>
        </w:tc>
        <w:tc>
          <w:tcPr>
            <w:tcW w:w="580" w:type="dxa"/>
            <w:vAlign w:val="bottom"/>
          </w:tcPr>
          <w:p>
            <w:pPr>
              <w:spacing w:after="0"/>
              <w:rPr>
                <w:sz w:val="19"/>
                <w:szCs w:val="19"/>
                <w:color w:val="auto"/>
              </w:rPr>
            </w:pPr>
          </w:p>
        </w:tc>
        <w:tc>
          <w:tcPr>
            <w:tcW w:w="8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440" w:type="dxa"/>
            <w:vAlign w:val="bottom"/>
            <w:gridSpan w:val="2"/>
          </w:tcPr>
          <w:p>
            <w:pPr>
              <w:jc w:val="center"/>
              <w:ind w:right="960"/>
              <w:spacing w:after="0" w:line="207" w:lineRule="exact"/>
              <w:rPr>
                <w:sz w:val="20"/>
                <w:szCs w:val="20"/>
                <w:color w:val="auto"/>
              </w:rPr>
            </w:pPr>
            <w:r>
              <w:rPr>
                <w:rFonts w:ascii="Arial" w:cs="Arial" w:eastAsia="Arial" w:hAnsi="Arial"/>
                <w:sz w:val="18"/>
                <w:szCs w:val="18"/>
                <w:b w:val="1"/>
                <w:bCs w:val="1"/>
                <w:color w:val="auto"/>
                <w:w w:val="95"/>
              </w:rPr>
              <w:t xml:space="preserve">(b) </w:t>
            </w:r>
            <w:r>
              <w:rPr>
                <w:rFonts w:ascii="MS PGothic" w:cs="MS PGothic" w:eastAsia="MS PGothic" w:hAnsi="MS PGothic"/>
                <w:sz w:val="18"/>
                <w:szCs w:val="18"/>
                <w:color w:val="auto"/>
                <w:w w:val="95"/>
              </w:rPr>
              <w:t>☐</w:t>
            </w:r>
          </w:p>
        </w:tc>
        <w:tc>
          <w:tcPr>
            <w:tcW w:w="580" w:type="dxa"/>
            <w:vAlign w:val="bottom"/>
          </w:tcPr>
          <w:p>
            <w:pPr>
              <w:spacing w:after="0"/>
              <w:rPr>
                <w:sz w:val="24"/>
                <w:szCs w:val="24"/>
                <w:color w:val="auto"/>
              </w:rPr>
            </w:pPr>
          </w:p>
        </w:tc>
        <w:tc>
          <w:tcPr>
            <w:tcW w:w="8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tcBorders>
          </w:tcPr>
          <w:p>
            <w:pPr>
              <w:jc w:val="right"/>
              <w:spacing w:after="0"/>
              <w:rPr>
                <w:sz w:val="20"/>
                <w:szCs w:val="20"/>
                <w:color w:val="auto"/>
              </w:rPr>
            </w:pPr>
            <w:r>
              <w:rPr>
                <w:rFonts w:ascii="Arial" w:cs="Arial" w:eastAsia="Arial" w:hAnsi="Arial"/>
                <w:sz w:val="32"/>
                <w:szCs w:val="32"/>
                <w:b w:val="1"/>
                <w:bCs w:val="1"/>
                <w:color w:val="auto"/>
              </w:rPr>
              <w:t>3</w:t>
            </w:r>
          </w:p>
        </w:tc>
        <w:tc>
          <w:tcPr>
            <w:tcW w:w="12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SEC USE ONLY</w:t>
            </w:r>
          </w:p>
        </w:tc>
        <w:tc>
          <w:tcPr>
            <w:tcW w:w="580" w:type="dxa"/>
            <w:vAlign w:val="bottom"/>
          </w:tcPr>
          <w:p>
            <w:pPr>
              <w:spacing w:after="0"/>
              <w:rPr>
                <w:sz w:val="24"/>
                <w:szCs w:val="24"/>
                <w:color w:val="auto"/>
              </w:rPr>
            </w:pPr>
          </w:p>
        </w:tc>
        <w:tc>
          <w:tcPr>
            <w:tcW w:w="8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80" w:type="dxa"/>
            <w:vAlign w:val="bottom"/>
            <w:tcBorders>
              <w:left w:val="single" w:sz="8" w:color="auto"/>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8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tcBorders>
          </w:tcPr>
          <w:p>
            <w:pPr>
              <w:jc w:val="right"/>
              <w:spacing w:after="0"/>
              <w:rPr>
                <w:sz w:val="20"/>
                <w:szCs w:val="20"/>
                <w:color w:val="auto"/>
              </w:rPr>
            </w:pPr>
            <w:r>
              <w:rPr>
                <w:rFonts w:ascii="Arial" w:cs="Arial" w:eastAsia="Arial" w:hAnsi="Arial"/>
                <w:sz w:val="32"/>
                <w:szCs w:val="32"/>
                <w:b w:val="1"/>
                <w:bCs w:val="1"/>
                <w:color w:val="auto"/>
              </w:rPr>
              <w:t>4</w:t>
            </w:r>
          </w:p>
        </w:tc>
        <w:tc>
          <w:tcPr>
            <w:tcW w:w="12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04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268"/>
        </w:trPr>
        <w:tc>
          <w:tcPr>
            <w:tcW w:w="480" w:type="dxa"/>
            <w:vAlign w:val="bottom"/>
            <w:tcBorders>
              <w:lef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58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1"/>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Borders>
              <w:right w:val="single" w:sz="8" w:color="auto"/>
            </w:tcBorders>
          </w:tcPr>
          <w:p>
            <w:pPr>
              <w:jc w:val="right"/>
              <w:ind w:right="144"/>
              <w:spacing w:after="0"/>
              <w:rPr>
                <w:sz w:val="20"/>
                <w:szCs w:val="20"/>
                <w:color w:val="auto"/>
              </w:rPr>
            </w:pPr>
            <w:r>
              <w:rPr>
                <w:rFonts w:ascii="Arial" w:cs="Arial" w:eastAsia="Arial" w:hAnsi="Arial"/>
                <w:sz w:val="32"/>
                <w:szCs w:val="32"/>
                <w:b w:val="1"/>
                <w:bCs w:val="1"/>
                <w:color w:val="auto"/>
              </w:rPr>
              <w:t>5</w:t>
            </w:r>
          </w:p>
        </w:tc>
        <w:tc>
          <w:tcPr>
            <w:tcW w:w="844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68"/>
        </w:trPr>
        <w:tc>
          <w:tcPr>
            <w:tcW w:w="480" w:type="dxa"/>
            <w:vAlign w:val="bottom"/>
            <w:tcBorders>
              <w:left w:val="single" w:sz="8" w:color="auto"/>
            </w:tcBorders>
          </w:tcPr>
          <w:p>
            <w:pPr>
              <w:spacing w:after="0"/>
              <w:rPr>
                <w:sz w:val="23"/>
                <w:szCs w:val="23"/>
                <w:color w:val="auto"/>
              </w:rPr>
            </w:pPr>
          </w:p>
        </w:tc>
        <w:tc>
          <w:tcPr>
            <w:tcW w:w="1580" w:type="dxa"/>
            <w:vAlign w:val="bottom"/>
            <w:tcBorders>
              <w:right w:val="single" w:sz="8" w:color="auto"/>
            </w:tcBorders>
            <w:gridSpan w:val="3"/>
            <w:vMerge w:val="restart"/>
          </w:tcPr>
          <w:p>
            <w:pPr>
              <w:jc w:val="center"/>
              <w:ind w:right="39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23"/>
                <w:szCs w:val="23"/>
                <w:color w:val="auto"/>
              </w:rPr>
            </w:pPr>
          </w:p>
        </w:tc>
        <w:tc>
          <w:tcPr>
            <w:tcW w:w="580" w:type="dxa"/>
            <w:vAlign w:val="bottom"/>
            <w:tcBorders>
              <w:right w:val="single" w:sz="8" w:color="auto"/>
            </w:tcBorders>
          </w:tcPr>
          <w:p>
            <w:pPr>
              <w:spacing w:after="0"/>
              <w:rPr>
                <w:sz w:val="23"/>
                <w:szCs w:val="23"/>
                <w:color w:val="auto"/>
              </w:rPr>
            </w:pPr>
          </w:p>
        </w:tc>
        <w:tc>
          <w:tcPr>
            <w:tcW w:w="8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39,631,929 (1)</w:t>
            </w:r>
          </w:p>
        </w:tc>
        <w:tc>
          <w:tcPr>
            <w:tcW w:w="0" w:type="dxa"/>
            <w:vAlign w:val="bottom"/>
          </w:tcPr>
          <w:p>
            <w:pPr>
              <w:spacing w:after="0"/>
              <w:rPr>
                <w:sz w:val="1"/>
                <w:szCs w:val="1"/>
                <w:color w:val="auto"/>
              </w:rPr>
            </w:pPr>
          </w:p>
        </w:tc>
      </w:tr>
      <w:tr>
        <w:trPr>
          <w:trHeight w:val="41"/>
        </w:trPr>
        <w:tc>
          <w:tcPr>
            <w:tcW w:w="480" w:type="dxa"/>
            <w:vAlign w:val="bottom"/>
            <w:tcBorders>
              <w:left w:val="single" w:sz="8" w:color="auto"/>
            </w:tcBorders>
          </w:tcPr>
          <w:p>
            <w:pPr>
              <w:spacing w:after="0"/>
              <w:rPr>
                <w:sz w:val="3"/>
                <w:szCs w:val="3"/>
                <w:color w:val="auto"/>
              </w:rPr>
            </w:pPr>
          </w:p>
        </w:tc>
        <w:tc>
          <w:tcPr>
            <w:tcW w:w="1580" w:type="dxa"/>
            <w:vAlign w:val="bottom"/>
            <w:tcBorders>
              <w:right w:val="single" w:sz="8" w:color="auto"/>
            </w:tcBorders>
            <w:gridSpan w:val="3"/>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6"/>
        </w:trPr>
        <w:tc>
          <w:tcPr>
            <w:tcW w:w="480" w:type="dxa"/>
            <w:vAlign w:val="bottom"/>
            <w:tcBorders>
              <w:left w:val="single" w:sz="8" w:color="auto"/>
            </w:tcBorders>
          </w:tcPr>
          <w:p>
            <w:pPr>
              <w:spacing w:after="0"/>
              <w:rPr>
                <w:sz w:val="3"/>
                <w:szCs w:val="3"/>
                <w:color w:val="auto"/>
              </w:rPr>
            </w:pPr>
          </w:p>
        </w:tc>
        <w:tc>
          <w:tcPr>
            <w:tcW w:w="1580" w:type="dxa"/>
            <w:vAlign w:val="bottom"/>
            <w:tcBorders>
              <w:right w:val="single" w:sz="8" w:color="auto"/>
            </w:tcBorders>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Borders>
              <w:right w:val="single" w:sz="8" w:color="auto"/>
            </w:tcBorders>
            <w:vMerge w:val="restart"/>
          </w:tcPr>
          <w:p>
            <w:pPr>
              <w:jc w:val="right"/>
              <w:ind w:right="144"/>
              <w:spacing w:after="0" w:line="236" w:lineRule="exact"/>
              <w:rPr>
                <w:sz w:val="20"/>
                <w:szCs w:val="20"/>
                <w:color w:val="auto"/>
              </w:rPr>
            </w:pPr>
            <w:r>
              <w:rPr>
                <w:rFonts w:ascii="Arial" w:cs="Arial" w:eastAsia="Arial" w:hAnsi="Arial"/>
                <w:sz w:val="27"/>
                <w:szCs w:val="27"/>
                <w:b w:val="1"/>
                <w:bCs w:val="1"/>
                <w:color w:val="auto"/>
              </w:rPr>
              <w:t>6</w:t>
            </w:r>
          </w:p>
        </w:tc>
        <w:tc>
          <w:tcPr>
            <w:tcW w:w="8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line="20" w:lineRule="exact"/>
              <w:rPr>
                <w:sz w:val="1"/>
                <w:szCs w:val="1"/>
                <w:color w:val="auto"/>
              </w:rPr>
            </w:pPr>
          </w:p>
        </w:tc>
      </w:tr>
      <w:tr>
        <w:trPr>
          <w:trHeight w:val="201"/>
        </w:trPr>
        <w:tc>
          <w:tcPr>
            <w:tcW w:w="48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b w:val="1"/>
                <w:bCs w:val="1"/>
                <w:color w:val="auto"/>
                <w:w w:val="95"/>
              </w:rPr>
              <w:t>SHARES</w:t>
            </w:r>
          </w:p>
        </w:tc>
        <w:tc>
          <w:tcPr>
            <w:tcW w:w="160" w:type="dxa"/>
            <w:vAlign w:val="bottom"/>
          </w:tcPr>
          <w:p>
            <w:pPr>
              <w:spacing w:after="0"/>
              <w:rPr>
                <w:sz w:val="17"/>
                <w:szCs w:val="17"/>
                <w:color w:val="auto"/>
              </w:rPr>
            </w:pPr>
          </w:p>
        </w:tc>
        <w:tc>
          <w:tcPr>
            <w:tcW w:w="580" w:type="dxa"/>
            <w:vAlign w:val="bottom"/>
            <w:tcBorders>
              <w:right w:val="single" w:sz="8" w:color="auto"/>
            </w:tcBorders>
            <w:vMerge w:val="continue"/>
          </w:tcPr>
          <w:p>
            <w:pPr>
              <w:spacing w:after="0"/>
              <w:rPr>
                <w:sz w:val="17"/>
                <w:szCs w:val="17"/>
                <w:color w:val="auto"/>
              </w:rPr>
            </w:pPr>
          </w:p>
        </w:tc>
        <w:tc>
          <w:tcPr>
            <w:tcW w:w="84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480" w:type="dxa"/>
            <w:vAlign w:val="bottom"/>
            <w:tcBorders>
              <w:lef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Borders>
              <w:right w:val="single" w:sz="8" w:color="auto"/>
            </w:tcBorders>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844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6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1580" w:type="dxa"/>
            <w:vAlign w:val="bottom"/>
            <w:tcBorders>
              <w:right w:val="single" w:sz="8" w:color="auto"/>
            </w:tcBorders>
            <w:gridSpan w:val="3"/>
          </w:tcPr>
          <w:p>
            <w:pPr>
              <w:jc w:val="center"/>
              <w:ind w:right="370"/>
              <w:spacing w:after="0"/>
              <w:rPr>
                <w:sz w:val="20"/>
                <w:szCs w:val="20"/>
                <w:color w:val="auto"/>
              </w:rPr>
            </w:pPr>
            <w:r>
              <w:rPr>
                <w:rFonts w:ascii="Arial" w:cs="Arial" w:eastAsia="Arial" w:hAnsi="Arial"/>
                <w:sz w:val="18"/>
                <w:szCs w:val="18"/>
                <w:b w:val="1"/>
                <w:bCs w:val="1"/>
                <w:color w:val="auto"/>
              </w:rPr>
              <w:t>OWNED BY</w:t>
            </w: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84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Borders>
              <w:right w:val="single" w:sz="8" w:color="auto"/>
            </w:tcBorders>
          </w:tcPr>
          <w:p>
            <w:pPr>
              <w:jc w:val="center"/>
              <w:ind w:right="670"/>
              <w:spacing w:after="0" w:line="177" w:lineRule="exact"/>
              <w:rPr>
                <w:sz w:val="20"/>
                <w:szCs w:val="20"/>
                <w:color w:val="auto"/>
              </w:rPr>
            </w:pPr>
            <w:r>
              <w:rPr>
                <w:rFonts w:ascii="Arial" w:cs="Arial" w:eastAsia="Arial" w:hAnsi="Arial"/>
                <w:sz w:val="18"/>
                <w:szCs w:val="18"/>
                <w:b w:val="1"/>
                <w:bCs w:val="1"/>
                <w:color w:val="auto"/>
              </w:rPr>
              <w:t>EACH</w:t>
            </w:r>
          </w:p>
        </w:tc>
        <w:tc>
          <w:tcPr>
            <w:tcW w:w="160" w:type="dxa"/>
            <w:vAlign w:val="bottom"/>
          </w:tcPr>
          <w:p>
            <w:pPr>
              <w:spacing w:after="0"/>
              <w:rPr>
                <w:sz w:val="15"/>
                <w:szCs w:val="15"/>
                <w:color w:val="auto"/>
              </w:rPr>
            </w:pPr>
          </w:p>
        </w:tc>
        <w:tc>
          <w:tcPr>
            <w:tcW w:w="58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32"/>
                <w:szCs w:val="32"/>
                <w:b w:val="1"/>
                <w:bCs w:val="1"/>
                <w:color w:val="auto"/>
              </w:rPr>
              <w:t>7</w:t>
            </w:r>
          </w:p>
        </w:tc>
        <w:tc>
          <w:tcPr>
            <w:tcW w:w="8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580" w:type="dxa"/>
            <w:vAlign w:val="bottom"/>
            <w:tcBorders>
              <w:right w:val="single" w:sz="8" w:color="auto"/>
            </w:tcBorders>
            <w:gridSpan w:val="3"/>
          </w:tcPr>
          <w:p>
            <w:pPr>
              <w:jc w:val="center"/>
              <w:ind w:right="370"/>
              <w:spacing w:after="0"/>
              <w:rPr>
                <w:sz w:val="20"/>
                <w:szCs w:val="20"/>
                <w:color w:val="auto"/>
              </w:rPr>
            </w:pPr>
            <w:r>
              <w:rPr>
                <w:rFonts w:ascii="Arial" w:cs="Arial" w:eastAsia="Arial" w:hAnsi="Arial"/>
                <w:sz w:val="18"/>
                <w:szCs w:val="18"/>
                <w:b w:val="1"/>
                <w:bCs w:val="1"/>
                <w:color w:val="auto"/>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84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b w:val="1"/>
                <w:bCs w:val="1"/>
                <w:color w:val="auto"/>
                <w:w w:val="97"/>
              </w:rPr>
              <w:t>PERSON</w:t>
            </w:r>
          </w:p>
        </w:tc>
        <w:tc>
          <w:tcPr>
            <w:tcW w:w="16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8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39,631,929 (1)</w:t>
            </w:r>
          </w:p>
        </w:tc>
        <w:tc>
          <w:tcPr>
            <w:tcW w:w="0" w:type="dxa"/>
            <w:vAlign w:val="bottom"/>
          </w:tcPr>
          <w:p>
            <w:pPr>
              <w:spacing w:after="0"/>
              <w:rPr>
                <w:sz w:val="1"/>
                <w:szCs w:val="1"/>
                <w:color w:val="auto"/>
              </w:rPr>
            </w:pPr>
          </w:p>
        </w:tc>
      </w:tr>
      <w:tr>
        <w:trPr>
          <w:trHeight w:val="95"/>
        </w:trPr>
        <w:tc>
          <w:tcPr>
            <w:tcW w:w="480" w:type="dxa"/>
            <w:vAlign w:val="bottom"/>
            <w:tcBorders>
              <w:lef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b w:val="1"/>
                <w:bCs w:val="1"/>
                <w:color w:val="auto"/>
              </w:rPr>
              <w:t>WITH</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8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32"/>
                <w:szCs w:val="32"/>
                <w:b w:val="1"/>
                <w:bCs w:val="1"/>
                <w:color w:val="auto"/>
              </w:rPr>
              <w:t>8</w:t>
            </w:r>
          </w:p>
        </w:tc>
        <w:tc>
          <w:tcPr>
            <w:tcW w:w="8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294"/>
        </w:trPr>
        <w:tc>
          <w:tcPr>
            <w:tcW w:w="48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44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80" w:type="dxa"/>
            <w:vAlign w:val="bottom"/>
            <w:tcBorders>
              <w:lef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tcPr>
          <w:p>
            <w:pPr>
              <w:spacing w:after="0"/>
              <w:rPr>
                <w:sz w:val="23"/>
                <w:szCs w:val="23"/>
                <w:color w:val="auto"/>
              </w:rPr>
            </w:pPr>
          </w:p>
        </w:tc>
        <w:tc>
          <w:tcPr>
            <w:tcW w:w="8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0"/>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gridSpan w:val="2"/>
          </w:tcPr>
          <w:p>
            <w:pPr>
              <w:spacing w:after="0"/>
              <w:rPr>
                <w:sz w:val="3"/>
                <w:szCs w:val="3"/>
                <w:color w:val="auto"/>
              </w:rPr>
            </w:pPr>
          </w:p>
        </w:tc>
        <w:tc>
          <w:tcPr>
            <w:tcW w:w="740" w:type="dxa"/>
            <w:vAlign w:val="bottom"/>
            <w:tcBorders>
              <w:bottom w:val="single" w:sz="8" w:color="auto"/>
              <w:right w:val="single" w:sz="8" w:color="auto"/>
            </w:tcBorders>
            <w:gridSpan w:val="2"/>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tcBorders>
          </w:tcPr>
          <w:p>
            <w:pPr>
              <w:jc w:val="right"/>
              <w:spacing w:after="0"/>
              <w:rPr>
                <w:sz w:val="20"/>
                <w:szCs w:val="20"/>
                <w:color w:val="auto"/>
              </w:rPr>
            </w:pPr>
            <w:r>
              <w:rPr>
                <w:rFonts w:ascii="Arial" w:cs="Arial" w:eastAsia="Arial" w:hAnsi="Arial"/>
                <w:sz w:val="32"/>
                <w:szCs w:val="32"/>
                <w:b w:val="1"/>
                <w:bCs w:val="1"/>
                <w:color w:val="auto"/>
              </w:rPr>
              <w:t>9</w:t>
            </w:r>
          </w:p>
        </w:tc>
        <w:tc>
          <w:tcPr>
            <w:tcW w:w="12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68"/>
        </w:trPr>
        <w:tc>
          <w:tcPr>
            <w:tcW w:w="480" w:type="dxa"/>
            <w:vAlign w:val="bottom"/>
            <w:tcBorders>
              <w:lef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color w:val="auto"/>
              </w:rPr>
              <w:t>39,631,929 (1)</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0640" w:type="dxa"/>
            <w:vAlign w:val="bottom"/>
            <w:tcBorders>
              <w:bottom w:val="single" w:sz="8" w:color="auto"/>
              <w:right w:val="single" w:sz="8" w:color="auto"/>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tcBorders>
          </w:tcPr>
          <w:p>
            <w:pPr>
              <w:jc w:val="right"/>
              <w:spacing w:after="0"/>
              <w:rPr>
                <w:sz w:val="20"/>
                <w:szCs w:val="20"/>
                <w:color w:val="auto"/>
              </w:rPr>
            </w:pPr>
            <w:r>
              <w:rPr>
                <w:rFonts w:ascii="Arial" w:cs="Arial" w:eastAsia="Arial" w:hAnsi="Arial"/>
                <w:sz w:val="32"/>
                <w:szCs w:val="32"/>
                <w:b w:val="1"/>
                <w:bCs w:val="1"/>
                <w:color w:val="auto"/>
              </w:rPr>
              <w:t>10</w:t>
            </w:r>
          </w:p>
        </w:tc>
        <w:tc>
          <w:tcPr>
            <w:tcW w:w="12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288"/>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620" w:type="dxa"/>
            <w:vAlign w:val="bottom"/>
            <w:gridSpan w:val="3"/>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tcPr>
          <w:p>
            <w:pPr>
              <w:spacing w:after="0"/>
              <w:rPr>
                <w:sz w:val="24"/>
                <w:szCs w:val="24"/>
                <w:color w:val="auto"/>
              </w:rPr>
            </w:pPr>
          </w:p>
        </w:tc>
        <w:tc>
          <w:tcPr>
            <w:tcW w:w="8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640" w:type="dxa"/>
            <w:vAlign w:val="bottom"/>
            <w:tcBorders>
              <w:bottom w:val="single" w:sz="8" w:color="auto"/>
              <w:right w:val="single" w:sz="8" w:color="auto"/>
            </w:tcBorders>
            <w:gridSpan w:val="5"/>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tcBorders>
          </w:tcPr>
          <w:p>
            <w:pPr>
              <w:jc w:val="right"/>
              <w:spacing w:after="0"/>
              <w:rPr>
                <w:sz w:val="20"/>
                <w:szCs w:val="20"/>
                <w:color w:val="auto"/>
              </w:rPr>
            </w:pPr>
            <w:r>
              <w:rPr>
                <w:rFonts w:ascii="Arial" w:cs="Arial" w:eastAsia="Arial" w:hAnsi="Arial"/>
                <w:sz w:val="32"/>
                <w:szCs w:val="32"/>
                <w:b w:val="1"/>
                <w:bCs w:val="1"/>
                <w:color w:val="auto"/>
              </w:rPr>
              <w:t>11</w:t>
            </w:r>
          </w:p>
        </w:tc>
        <w:tc>
          <w:tcPr>
            <w:tcW w:w="12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268"/>
        </w:trPr>
        <w:tc>
          <w:tcPr>
            <w:tcW w:w="480" w:type="dxa"/>
            <w:vAlign w:val="bottom"/>
            <w:tcBorders>
              <w:lef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color w:val="auto"/>
              </w:rPr>
              <w:t>11.4% (1)(2)</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0640" w:type="dxa"/>
            <w:vAlign w:val="bottom"/>
            <w:tcBorders>
              <w:bottom w:val="single" w:sz="8" w:color="auto"/>
              <w:right w:val="single" w:sz="8" w:color="auto"/>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tcBorders>
          </w:tcPr>
          <w:p>
            <w:pPr>
              <w:jc w:val="right"/>
              <w:spacing w:after="0"/>
              <w:rPr>
                <w:sz w:val="20"/>
                <w:szCs w:val="20"/>
                <w:color w:val="auto"/>
              </w:rPr>
            </w:pPr>
            <w:r>
              <w:rPr>
                <w:rFonts w:ascii="Arial" w:cs="Arial" w:eastAsia="Arial" w:hAnsi="Arial"/>
                <w:sz w:val="32"/>
                <w:szCs w:val="32"/>
                <w:b w:val="1"/>
                <w:bCs w:val="1"/>
                <w:color w:val="auto"/>
              </w:rPr>
              <w:t>12</w:t>
            </w:r>
          </w:p>
        </w:tc>
        <w:tc>
          <w:tcPr>
            <w:tcW w:w="12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268"/>
        </w:trPr>
        <w:tc>
          <w:tcPr>
            <w:tcW w:w="480" w:type="dxa"/>
            <w:vAlign w:val="bottom"/>
            <w:tcBorders>
              <w:lef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color w:val="auto"/>
              </w:rPr>
              <w:t>IN, HC</w:t>
            </w:r>
          </w:p>
        </w:tc>
        <w:tc>
          <w:tcPr>
            <w:tcW w:w="58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20" w:right="220" w:hanging="326"/>
        <w:spacing w:after="0" w:line="25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30,151,465 Ordinary Shares of the Issuer that are represented by 6,030,293 ADS and 9,031,484 Ordinary Shares that are represented by 1,806,297 ADS issuable upon the exercise of June 2023 Warrants (as defined in Item 4 and subject to the limitations as described therein) and 448,980 Ordinary Shares represented by 89,796 ADS that may be acquired upon conversion of Tranche 1 Notes (as defined in Item 4 and subject to the limitations as described therein), directly held by the Funds (as defined below). Each ADS represents 5 Ordinary Shares of the Issuer.</w:t>
      </w:r>
    </w:p>
    <w:p>
      <w:pPr>
        <w:spacing w:after="0" w:line="187" w:lineRule="exact"/>
        <w:rPr>
          <w:rFonts w:ascii="Arial" w:cs="Arial" w:eastAsia="Arial" w:hAnsi="Arial"/>
          <w:sz w:val="18"/>
          <w:szCs w:val="18"/>
          <w:color w:val="auto"/>
        </w:rPr>
      </w:pPr>
    </w:p>
    <w:p>
      <w:pPr>
        <w:ind w:left="820" w:right="80" w:hanging="326"/>
        <w:spacing w:after="0" w:line="301" w:lineRule="auto"/>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338,713,962 Ordinary Shares of the Issuer outstanding as of August 1, 2020, as reported in the Issuer’s Prospectus filed with the SEC on October 23, 2020, plus 9,031,484 Ordinary Shares that are represented by 1,806,297 ADS issuable upon the exercise of the June 2023 Warrants (as defined in Item 4 and subject to the limitations as described therein) and 448,980 Ordinary Shares represented by 89,796 ADS that may be acquired upon conversion of Tranche 1 Notes (as defined in Item 4 and subject to the limitations as described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589492107</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434"/>
        </w:trPr>
        <w:tc>
          <w:tcPr>
            <w:tcW w:w="48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120" w:type="dxa"/>
            <w:vAlign w:val="bottom"/>
            <w:tcBorders>
              <w:top w:val="single" w:sz="8" w:color="auto"/>
              <w:right w:val="single" w:sz="8" w:color="auto"/>
            </w:tcBorders>
          </w:tcPr>
          <w:p>
            <w:pPr>
              <w:spacing w:after="0"/>
              <w:rPr>
                <w:sz w:val="24"/>
                <w:szCs w:val="24"/>
                <w:color w:val="auto"/>
              </w:rPr>
            </w:pPr>
          </w:p>
        </w:tc>
        <w:tc>
          <w:tcPr>
            <w:tcW w:w="10640" w:type="dxa"/>
            <w:vAlign w:val="bottom"/>
            <w:tcBorders>
              <w:top w:val="single" w:sz="8" w:color="auto"/>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268"/>
        </w:trPr>
        <w:tc>
          <w:tcPr>
            <w:tcW w:w="480" w:type="dxa"/>
            <w:vAlign w:val="bottom"/>
            <w:tcBorders>
              <w:lef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460" w:type="dxa"/>
            <w:vAlign w:val="bottom"/>
          </w:tcPr>
          <w:p>
            <w:pPr>
              <w:ind w:left="40"/>
              <w:spacing w:after="0"/>
              <w:rPr>
                <w:sz w:val="20"/>
                <w:szCs w:val="20"/>
                <w:color w:val="auto"/>
              </w:rPr>
            </w:pPr>
            <w:r>
              <w:rPr>
                <w:rFonts w:ascii="Arial" w:cs="Arial" w:eastAsia="Arial" w:hAnsi="Arial"/>
                <w:sz w:val="18"/>
                <w:szCs w:val="18"/>
                <w:color w:val="auto"/>
              </w:rPr>
              <w:t>Julian C. Baker</w:t>
            </w:r>
          </w:p>
        </w:tc>
        <w:tc>
          <w:tcPr>
            <w:tcW w:w="74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12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21"/>
        </w:trPr>
        <w:tc>
          <w:tcPr>
            <w:tcW w:w="480" w:type="dxa"/>
            <w:vAlign w:val="bottom"/>
            <w:tcBorders>
              <w:left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460" w:type="dxa"/>
            <w:vAlign w:val="bottom"/>
          </w:tcPr>
          <w:p>
            <w:pPr>
              <w:ind w:left="40"/>
              <w:spacing w:after="0" w:line="207" w:lineRule="exact"/>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p>
        </w:tc>
        <w:tc>
          <w:tcPr>
            <w:tcW w:w="740" w:type="dxa"/>
            <w:vAlign w:val="bottom"/>
          </w:tcPr>
          <w:p>
            <w:pPr>
              <w:spacing w:after="0"/>
              <w:rPr>
                <w:sz w:val="19"/>
                <w:szCs w:val="19"/>
                <w:color w:val="auto"/>
              </w:rPr>
            </w:pPr>
          </w:p>
        </w:tc>
        <w:tc>
          <w:tcPr>
            <w:tcW w:w="8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460" w:type="dxa"/>
            <w:vAlign w:val="bottom"/>
          </w:tcPr>
          <w:p>
            <w:pPr>
              <w:ind w:left="40"/>
              <w:spacing w:after="0" w:line="207" w:lineRule="exact"/>
              <w:rPr>
                <w:sz w:val="20"/>
                <w:szCs w:val="20"/>
                <w:color w:val="auto"/>
              </w:rPr>
            </w:pP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tc>
        <w:tc>
          <w:tcPr>
            <w:tcW w:w="740" w:type="dxa"/>
            <w:vAlign w:val="bottom"/>
          </w:tcPr>
          <w:p>
            <w:pPr>
              <w:spacing w:after="0"/>
              <w:rPr>
                <w:sz w:val="24"/>
                <w:szCs w:val="24"/>
                <w:color w:val="auto"/>
              </w:rPr>
            </w:pPr>
          </w:p>
        </w:tc>
        <w:tc>
          <w:tcPr>
            <w:tcW w:w="8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20" w:type="dxa"/>
            <w:vAlign w:val="bottom"/>
            <w:tcBorders>
              <w:right w:val="single" w:sz="8" w:color="auto"/>
            </w:tcBorders>
          </w:tcPr>
          <w:p>
            <w:pPr>
              <w:spacing w:after="0"/>
              <w:rPr>
                <w:sz w:val="24"/>
                <w:szCs w:val="24"/>
                <w:color w:val="auto"/>
              </w:rPr>
            </w:pPr>
          </w:p>
        </w:tc>
        <w:tc>
          <w:tcPr>
            <w:tcW w:w="1460" w:type="dxa"/>
            <w:vAlign w:val="bottom"/>
          </w:tcPr>
          <w:p>
            <w:pPr>
              <w:ind w:left="40"/>
              <w:spacing w:after="0"/>
              <w:rPr>
                <w:sz w:val="20"/>
                <w:szCs w:val="20"/>
                <w:color w:val="auto"/>
              </w:rPr>
            </w:pPr>
            <w:r>
              <w:rPr>
                <w:rFonts w:ascii="Arial" w:cs="Arial" w:eastAsia="Arial" w:hAnsi="Arial"/>
                <w:sz w:val="18"/>
                <w:szCs w:val="18"/>
                <w:b w:val="1"/>
                <w:bCs w:val="1"/>
                <w:color w:val="auto"/>
              </w:rPr>
              <w:t>SEC USE ONLY</w:t>
            </w:r>
          </w:p>
        </w:tc>
        <w:tc>
          <w:tcPr>
            <w:tcW w:w="740" w:type="dxa"/>
            <w:vAlign w:val="bottom"/>
          </w:tcPr>
          <w:p>
            <w:pPr>
              <w:spacing w:after="0"/>
              <w:rPr>
                <w:sz w:val="24"/>
                <w:szCs w:val="24"/>
                <w:color w:val="auto"/>
              </w:rPr>
            </w:pPr>
          </w:p>
        </w:tc>
        <w:tc>
          <w:tcPr>
            <w:tcW w:w="8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80" w:type="dxa"/>
            <w:vAlign w:val="bottom"/>
            <w:tcBorders>
              <w:left w:val="single" w:sz="8" w:color="auto"/>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2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268"/>
        </w:trPr>
        <w:tc>
          <w:tcPr>
            <w:tcW w:w="480" w:type="dxa"/>
            <w:vAlign w:val="bottom"/>
            <w:tcBorders>
              <w:lef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4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74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1"/>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jc w:val="right"/>
              <w:ind w:right="144"/>
              <w:spacing w:after="0"/>
              <w:rPr>
                <w:sz w:val="20"/>
                <w:szCs w:val="20"/>
                <w:color w:val="auto"/>
              </w:rPr>
            </w:pPr>
            <w:r>
              <w:rPr>
                <w:rFonts w:ascii="Arial" w:cs="Arial" w:eastAsia="Arial" w:hAnsi="Arial"/>
                <w:sz w:val="32"/>
                <w:szCs w:val="32"/>
                <w:b w:val="1"/>
                <w:bCs w:val="1"/>
                <w:color w:val="auto"/>
              </w:rPr>
              <w:t>5</w:t>
            </w:r>
          </w:p>
        </w:tc>
        <w:tc>
          <w:tcPr>
            <w:tcW w:w="844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68"/>
        </w:trPr>
        <w:tc>
          <w:tcPr>
            <w:tcW w:w="480" w:type="dxa"/>
            <w:vAlign w:val="bottom"/>
            <w:tcBorders>
              <w:left w:val="single" w:sz="8" w:color="auto"/>
            </w:tcBorders>
          </w:tcPr>
          <w:p>
            <w:pPr>
              <w:spacing w:after="0"/>
              <w:rPr>
                <w:sz w:val="23"/>
                <w:szCs w:val="23"/>
                <w:color w:val="auto"/>
              </w:rPr>
            </w:pPr>
          </w:p>
        </w:tc>
        <w:tc>
          <w:tcPr>
            <w:tcW w:w="1580" w:type="dxa"/>
            <w:vAlign w:val="bottom"/>
            <w:tcBorders>
              <w:right w:val="single" w:sz="8" w:color="auto"/>
            </w:tcBorders>
            <w:gridSpan w:val="2"/>
            <w:vMerge w:val="restart"/>
          </w:tcPr>
          <w:p>
            <w:pPr>
              <w:jc w:val="center"/>
              <w:ind w:right="390"/>
              <w:spacing w:after="0"/>
              <w:rPr>
                <w:sz w:val="20"/>
                <w:szCs w:val="20"/>
                <w:color w:val="auto"/>
              </w:rPr>
            </w:pPr>
            <w:r>
              <w:rPr>
                <w:rFonts w:ascii="Arial" w:cs="Arial" w:eastAsia="Arial" w:hAnsi="Arial"/>
                <w:sz w:val="18"/>
                <w:szCs w:val="18"/>
                <w:b w:val="1"/>
                <w:bCs w:val="1"/>
                <w:color w:val="auto"/>
              </w:rPr>
              <w:t>NUMBER OF</w:t>
            </w:r>
          </w:p>
        </w:tc>
        <w:tc>
          <w:tcPr>
            <w:tcW w:w="740" w:type="dxa"/>
            <w:vAlign w:val="bottom"/>
            <w:tcBorders>
              <w:right w:val="single" w:sz="8" w:color="auto"/>
            </w:tcBorders>
          </w:tcPr>
          <w:p>
            <w:pPr>
              <w:spacing w:after="0"/>
              <w:rPr>
                <w:sz w:val="23"/>
                <w:szCs w:val="23"/>
                <w:color w:val="auto"/>
              </w:rPr>
            </w:pPr>
          </w:p>
        </w:tc>
        <w:tc>
          <w:tcPr>
            <w:tcW w:w="8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39,631,929 (1)</w:t>
            </w:r>
          </w:p>
        </w:tc>
        <w:tc>
          <w:tcPr>
            <w:tcW w:w="0" w:type="dxa"/>
            <w:vAlign w:val="bottom"/>
          </w:tcPr>
          <w:p>
            <w:pPr>
              <w:spacing w:after="0"/>
              <w:rPr>
                <w:sz w:val="1"/>
                <w:szCs w:val="1"/>
                <w:color w:val="auto"/>
              </w:rPr>
            </w:pPr>
          </w:p>
        </w:tc>
      </w:tr>
      <w:tr>
        <w:trPr>
          <w:trHeight w:val="41"/>
        </w:trPr>
        <w:tc>
          <w:tcPr>
            <w:tcW w:w="480" w:type="dxa"/>
            <w:vAlign w:val="bottom"/>
            <w:tcBorders>
              <w:left w:val="single" w:sz="8" w:color="auto"/>
            </w:tcBorders>
          </w:tcPr>
          <w:p>
            <w:pPr>
              <w:spacing w:after="0"/>
              <w:rPr>
                <w:sz w:val="3"/>
                <w:szCs w:val="3"/>
                <w:color w:val="auto"/>
              </w:rPr>
            </w:pPr>
          </w:p>
        </w:tc>
        <w:tc>
          <w:tcPr>
            <w:tcW w:w="1580" w:type="dxa"/>
            <w:vAlign w:val="bottom"/>
            <w:tcBorders>
              <w:right w:val="single" w:sz="8" w:color="auto"/>
            </w:tcBorders>
            <w:gridSpan w:val="2"/>
            <w:vMerge w:val="continue"/>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6"/>
        </w:trPr>
        <w:tc>
          <w:tcPr>
            <w:tcW w:w="480" w:type="dxa"/>
            <w:vAlign w:val="bottom"/>
            <w:tcBorders>
              <w:left w:val="single" w:sz="8" w:color="auto"/>
            </w:tcBorders>
          </w:tcPr>
          <w:p>
            <w:pPr>
              <w:spacing w:after="0"/>
              <w:rPr>
                <w:sz w:val="3"/>
                <w:szCs w:val="3"/>
                <w:color w:val="auto"/>
              </w:rPr>
            </w:pPr>
          </w:p>
        </w:tc>
        <w:tc>
          <w:tcPr>
            <w:tcW w:w="1580" w:type="dxa"/>
            <w:vAlign w:val="bottom"/>
            <w:tcBorders>
              <w:right w:val="single" w:sz="8" w:color="auto"/>
            </w:tcBorders>
            <w:gridSpan w:val="2"/>
            <w:vMerge w:val="continue"/>
          </w:tcPr>
          <w:p>
            <w:pPr>
              <w:spacing w:after="0"/>
              <w:rPr>
                <w:sz w:val="3"/>
                <w:szCs w:val="3"/>
                <w:color w:val="auto"/>
              </w:rPr>
            </w:pPr>
          </w:p>
        </w:tc>
        <w:tc>
          <w:tcPr>
            <w:tcW w:w="740" w:type="dxa"/>
            <w:vAlign w:val="bottom"/>
            <w:tcBorders>
              <w:right w:val="single" w:sz="8" w:color="auto"/>
            </w:tcBorders>
            <w:vMerge w:val="restart"/>
          </w:tcPr>
          <w:p>
            <w:pPr>
              <w:jc w:val="right"/>
              <w:ind w:right="144"/>
              <w:spacing w:after="0" w:line="236" w:lineRule="exact"/>
              <w:rPr>
                <w:sz w:val="20"/>
                <w:szCs w:val="20"/>
                <w:color w:val="auto"/>
              </w:rPr>
            </w:pPr>
            <w:r>
              <w:rPr>
                <w:rFonts w:ascii="Arial" w:cs="Arial" w:eastAsia="Arial" w:hAnsi="Arial"/>
                <w:sz w:val="27"/>
                <w:szCs w:val="27"/>
                <w:b w:val="1"/>
                <w:bCs w:val="1"/>
                <w:color w:val="auto"/>
              </w:rPr>
              <w:t>6</w:t>
            </w:r>
          </w:p>
        </w:tc>
        <w:tc>
          <w:tcPr>
            <w:tcW w:w="8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line="20" w:lineRule="exact"/>
              <w:rPr>
                <w:sz w:val="1"/>
                <w:szCs w:val="1"/>
                <w:color w:val="auto"/>
              </w:rPr>
            </w:pPr>
          </w:p>
        </w:tc>
      </w:tr>
      <w:tr>
        <w:trPr>
          <w:trHeight w:val="201"/>
        </w:trPr>
        <w:tc>
          <w:tcPr>
            <w:tcW w:w="48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right w:val="single" w:sz="8" w:color="auto"/>
            </w:tcBorders>
            <w:vMerge w:val="restart"/>
          </w:tcPr>
          <w:p>
            <w:pPr>
              <w:jc w:val="center"/>
              <w:ind w:right="490"/>
              <w:spacing w:after="0"/>
              <w:rPr>
                <w:sz w:val="20"/>
                <w:szCs w:val="20"/>
                <w:color w:val="auto"/>
              </w:rPr>
            </w:pPr>
            <w:r>
              <w:rPr>
                <w:rFonts w:ascii="Arial" w:cs="Arial" w:eastAsia="Arial" w:hAnsi="Arial"/>
                <w:sz w:val="18"/>
                <w:szCs w:val="18"/>
                <w:b w:val="1"/>
                <w:bCs w:val="1"/>
                <w:color w:val="auto"/>
                <w:w w:val="95"/>
              </w:rPr>
              <w:t>SHARES</w:t>
            </w:r>
          </w:p>
        </w:tc>
        <w:tc>
          <w:tcPr>
            <w:tcW w:w="740" w:type="dxa"/>
            <w:vAlign w:val="bottom"/>
            <w:tcBorders>
              <w:right w:val="single" w:sz="8" w:color="auto"/>
            </w:tcBorders>
            <w:vMerge w:val="continue"/>
          </w:tcPr>
          <w:p>
            <w:pPr>
              <w:spacing w:after="0"/>
              <w:rPr>
                <w:sz w:val="17"/>
                <w:szCs w:val="17"/>
                <w:color w:val="auto"/>
              </w:rPr>
            </w:pPr>
          </w:p>
        </w:tc>
        <w:tc>
          <w:tcPr>
            <w:tcW w:w="84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480" w:type="dxa"/>
            <w:vAlign w:val="bottom"/>
            <w:tcBorders>
              <w:lef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Borders>
              <w:right w:val="single" w:sz="8" w:color="auto"/>
            </w:tcBorders>
            <w:vMerge w:val="continue"/>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844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BENEFICIALLY</w:t>
            </w:r>
          </w:p>
        </w:tc>
        <w:tc>
          <w:tcPr>
            <w:tcW w:w="740" w:type="dxa"/>
            <w:vAlign w:val="bottom"/>
            <w:tcBorders>
              <w:right w:val="single" w:sz="8" w:color="auto"/>
            </w:tcBorders>
          </w:tcPr>
          <w:p>
            <w:pPr>
              <w:spacing w:after="0"/>
              <w:rPr>
                <w:sz w:val="18"/>
                <w:szCs w:val="18"/>
                <w:color w:val="auto"/>
              </w:rPr>
            </w:pPr>
          </w:p>
        </w:tc>
        <w:tc>
          <w:tcPr>
            <w:tcW w:w="8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1580" w:type="dxa"/>
            <w:vAlign w:val="bottom"/>
            <w:tcBorders>
              <w:right w:val="single" w:sz="8" w:color="auto"/>
            </w:tcBorders>
            <w:gridSpan w:val="2"/>
          </w:tcPr>
          <w:p>
            <w:pPr>
              <w:jc w:val="center"/>
              <w:ind w:right="370"/>
              <w:spacing w:after="0"/>
              <w:rPr>
                <w:sz w:val="20"/>
                <w:szCs w:val="20"/>
                <w:color w:val="auto"/>
              </w:rPr>
            </w:pPr>
            <w:r>
              <w:rPr>
                <w:rFonts w:ascii="Arial" w:cs="Arial" w:eastAsia="Arial" w:hAnsi="Arial"/>
                <w:sz w:val="18"/>
                <w:szCs w:val="18"/>
                <w:b w:val="1"/>
                <w:bCs w:val="1"/>
                <w:color w:val="auto"/>
              </w:rPr>
              <w:t>OWNED BY</w:t>
            </w:r>
          </w:p>
        </w:tc>
        <w:tc>
          <w:tcPr>
            <w:tcW w:w="740" w:type="dxa"/>
            <w:vAlign w:val="bottom"/>
            <w:tcBorders>
              <w:bottom w:val="single" w:sz="8" w:color="auto"/>
              <w:right w:val="single" w:sz="8" w:color="auto"/>
            </w:tcBorders>
          </w:tcPr>
          <w:p>
            <w:pPr>
              <w:spacing w:after="0"/>
              <w:rPr>
                <w:sz w:val="20"/>
                <w:szCs w:val="20"/>
                <w:color w:val="auto"/>
              </w:rPr>
            </w:pPr>
          </w:p>
        </w:tc>
        <w:tc>
          <w:tcPr>
            <w:tcW w:w="84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Borders>
              <w:right w:val="single" w:sz="8" w:color="auto"/>
            </w:tcBorders>
          </w:tcPr>
          <w:p>
            <w:pPr>
              <w:jc w:val="center"/>
              <w:ind w:right="490"/>
              <w:spacing w:after="0" w:line="177" w:lineRule="exact"/>
              <w:rPr>
                <w:sz w:val="20"/>
                <w:szCs w:val="20"/>
                <w:color w:val="auto"/>
              </w:rPr>
            </w:pPr>
            <w:r>
              <w:rPr>
                <w:rFonts w:ascii="Arial" w:cs="Arial" w:eastAsia="Arial" w:hAnsi="Arial"/>
                <w:sz w:val="18"/>
                <w:szCs w:val="18"/>
                <w:b w:val="1"/>
                <w:bCs w:val="1"/>
                <w:color w:val="auto"/>
              </w:rPr>
              <w:t>EACH</w:t>
            </w:r>
          </w:p>
        </w:tc>
        <w:tc>
          <w:tcPr>
            <w:tcW w:w="74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32"/>
                <w:szCs w:val="32"/>
                <w:b w:val="1"/>
                <w:bCs w:val="1"/>
                <w:color w:val="auto"/>
              </w:rPr>
              <w:t>7</w:t>
            </w:r>
          </w:p>
        </w:tc>
        <w:tc>
          <w:tcPr>
            <w:tcW w:w="8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580" w:type="dxa"/>
            <w:vAlign w:val="bottom"/>
            <w:tcBorders>
              <w:right w:val="single" w:sz="8" w:color="auto"/>
            </w:tcBorders>
            <w:gridSpan w:val="2"/>
          </w:tcPr>
          <w:p>
            <w:pPr>
              <w:jc w:val="center"/>
              <w:ind w:right="370"/>
              <w:spacing w:after="0"/>
              <w:rPr>
                <w:sz w:val="20"/>
                <w:szCs w:val="20"/>
                <w:color w:val="auto"/>
              </w:rPr>
            </w:pPr>
            <w:r>
              <w:rPr>
                <w:rFonts w:ascii="Arial" w:cs="Arial" w:eastAsia="Arial" w:hAnsi="Arial"/>
                <w:sz w:val="18"/>
                <w:szCs w:val="18"/>
                <w:b w:val="1"/>
                <w:bCs w:val="1"/>
                <w:color w:val="auto"/>
              </w:rPr>
              <w:t>REPORTING</w:t>
            </w:r>
          </w:p>
        </w:tc>
        <w:tc>
          <w:tcPr>
            <w:tcW w:w="740" w:type="dxa"/>
            <w:vAlign w:val="bottom"/>
            <w:tcBorders>
              <w:right w:val="single" w:sz="8" w:color="auto"/>
            </w:tcBorders>
            <w:vMerge w:val="continue"/>
          </w:tcPr>
          <w:p>
            <w:pPr>
              <w:spacing w:after="0"/>
              <w:rPr>
                <w:sz w:val="18"/>
                <w:szCs w:val="18"/>
                <w:color w:val="auto"/>
              </w:rPr>
            </w:pPr>
          </w:p>
        </w:tc>
        <w:tc>
          <w:tcPr>
            <w:tcW w:w="84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97"/>
              </w:rPr>
              <w:t>PERSON</w:t>
            </w:r>
          </w:p>
        </w:tc>
        <w:tc>
          <w:tcPr>
            <w:tcW w:w="740" w:type="dxa"/>
            <w:vAlign w:val="bottom"/>
            <w:tcBorders>
              <w:right w:val="single" w:sz="8" w:color="auto"/>
            </w:tcBorders>
          </w:tcPr>
          <w:p>
            <w:pPr>
              <w:spacing w:after="0"/>
              <w:rPr>
                <w:sz w:val="20"/>
                <w:szCs w:val="20"/>
                <w:color w:val="auto"/>
              </w:rPr>
            </w:pPr>
          </w:p>
        </w:tc>
        <w:tc>
          <w:tcPr>
            <w:tcW w:w="8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39,631,929 (1)</w:t>
            </w:r>
          </w:p>
        </w:tc>
        <w:tc>
          <w:tcPr>
            <w:tcW w:w="0" w:type="dxa"/>
            <w:vAlign w:val="bottom"/>
          </w:tcPr>
          <w:p>
            <w:pPr>
              <w:spacing w:after="0"/>
              <w:rPr>
                <w:sz w:val="1"/>
                <w:szCs w:val="1"/>
                <w:color w:val="auto"/>
              </w:rPr>
            </w:pPr>
          </w:p>
        </w:tc>
      </w:tr>
      <w:tr>
        <w:trPr>
          <w:trHeight w:val="95"/>
        </w:trPr>
        <w:tc>
          <w:tcPr>
            <w:tcW w:w="480" w:type="dxa"/>
            <w:vAlign w:val="bottom"/>
            <w:tcBorders>
              <w:lef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tcBorders>
              <w:right w:val="single" w:sz="8" w:color="auto"/>
            </w:tcBorders>
            <w:vMerge w:val="restart"/>
          </w:tcPr>
          <w:p>
            <w:pPr>
              <w:jc w:val="center"/>
              <w:ind w:right="550"/>
              <w:spacing w:after="0"/>
              <w:rPr>
                <w:sz w:val="20"/>
                <w:szCs w:val="20"/>
                <w:color w:val="auto"/>
              </w:rPr>
            </w:pPr>
            <w:r>
              <w:rPr>
                <w:rFonts w:ascii="Arial" w:cs="Arial" w:eastAsia="Arial" w:hAnsi="Arial"/>
                <w:sz w:val="18"/>
                <w:szCs w:val="18"/>
                <w:b w:val="1"/>
                <w:bCs w:val="1"/>
                <w:color w:val="auto"/>
              </w:rPr>
              <w:t>WITH</w:t>
            </w:r>
          </w:p>
        </w:tc>
        <w:tc>
          <w:tcPr>
            <w:tcW w:w="740" w:type="dxa"/>
            <w:vAlign w:val="bottom"/>
            <w:tcBorders>
              <w:bottom w:val="single" w:sz="8" w:color="auto"/>
              <w:right w:val="single" w:sz="8" w:color="auto"/>
            </w:tcBorders>
          </w:tcPr>
          <w:p>
            <w:pPr>
              <w:spacing w:after="0"/>
              <w:rPr>
                <w:sz w:val="8"/>
                <w:szCs w:val="8"/>
                <w:color w:val="auto"/>
              </w:rPr>
            </w:pPr>
          </w:p>
        </w:tc>
        <w:tc>
          <w:tcPr>
            <w:tcW w:w="8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32"/>
                <w:szCs w:val="32"/>
                <w:b w:val="1"/>
                <w:bCs w:val="1"/>
                <w:color w:val="auto"/>
              </w:rPr>
              <w:t>8</w:t>
            </w:r>
          </w:p>
        </w:tc>
        <w:tc>
          <w:tcPr>
            <w:tcW w:w="84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294"/>
        </w:trPr>
        <w:tc>
          <w:tcPr>
            <w:tcW w:w="48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vMerge w:val="continue"/>
          </w:tcPr>
          <w:p>
            <w:pPr>
              <w:spacing w:after="0"/>
              <w:rPr>
                <w:sz w:val="24"/>
                <w:szCs w:val="24"/>
                <w:color w:val="auto"/>
              </w:rPr>
            </w:pPr>
          </w:p>
        </w:tc>
        <w:tc>
          <w:tcPr>
            <w:tcW w:w="844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80" w:type="dxa"/>
            <w:vAlign w:val="bottom"/>
            <w:tcBorders>
              <w:lef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Borders>
              <w:right w:val="single" w:sz="8" w:color="auto"/>
            </w:tcBorders>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8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0"/>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68"/>
        </w:trPr>
        <w:tc>
          <w:tcPr>
            <w:tcW w:w="480" w:type="dxa"/>
            <w:vAlign w:val="bottom"/>
            <w:tcBorders>
              <w:lef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460" w:type="dxa"/>
            <w:vAlign w:val="bottom"/>
          </w:tcPr>
          <w:p>
            <w:pPr>
              <w:ind w:left="40"/>
              <w:spacing w:after="0"/>
              <w:rPr>
                <w:sz w:val="20"/>
                <w:szCs w:val="20"/>
                <w:color w:val="auto"/>
              </w:rPr>
            </w:pPr>
            <w:r>
              <w:rPr>
                <w:rFonts w:ascii="Arial" w:cs="Arial" w:eastAsia="Arial" w:hAnsi="Arial"/>
                <w:sz w:val="18"/>
                <w:szCs w:val="18"/>
                <w:color w:val="auto"/>
              </w:rPr>
              <w:t>39,631,929 (1)</w:t>
            </w:r>
          </w:p>
        </w:tc>
        <w:tc>
          <w:tcPr>
            <w:tcW w:w="74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0640" w:type="dxa"/>
            <w:vAlign w:val="bottom"/>
            <w:tcBorders>
              <w:bottom w:val="single" w:sz="8" w:color="auto"/>
              <w:right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2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288"/>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4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Pr>
          <w:p>
            <w:pPr>
              <w:spacing w:after="0"/>
              <w:rPr>
                <w:sz w:val="24"/>
                <w:szCs w:val="24"/>
                <w:color w:val="auto"/>
              </w:rPr>
            </w:pPr>
          </w:p>
        </w:tc>
        <w:tc>
          <w:tcPr>
            <w:tcW w:w="8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640" w:type="dxa"/>
            <w:vAlign w:val="bottom"/>
            <w:tcBorders>
              <w:bottom w:val="single" w:sz="8" w:color="auto"/>
              <w:right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12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268"/>
        </w:trPr>
        <w:tc>
          <w:tcPr>
            <w:tcW w:w="480" w:type="dxa"/>
            <w:vAlign w:val="bottom"/>
            <w:tcBorders>
              <w:lef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460" w:type="dxa"/>
            <w:vAlign w:val="bottom"/>
          </w:tcPr>
          <w:p>
            <w:pPr>
              <w:ind w:left="40"/>
              <w:spacing w:after="0"/>
              <w:rPr>
                <w:sz w:val="20"/>
                <w:szCs w:val="20"/>
                <w:color w:val="auto"/>
              </w:rPr>
            </w:pPr>
            <w:r>
              <w:rPr>
                <w:rFonts w:ascii="Arial" w:cs="Arial" w:eastAsia="Arial" w:hAnsi="Arial"/>
                <w:sz w:val="18"/>
                <w:szCs w:val="18"/>
                <w:color w:val="auto"/>
              </w:rPr>
              <w:t>11.4% (1)(2)</w:t>
            </w:r>
          </w:p>
        </w:tc>
        <w:tc>
          <w:tcPr>
            <w:tcW w:w="74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0640" w:type="dxa"/>
            <w:vAlign w:val="bottom"/>
            <w:tcBorders>
              <w:bottom w:val="single" w:sz="8" w:color="auto"/>
              <w:right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2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268"/>
        </w:trPr>
        <w:tc>
          <w:tcPr>
            <w:tcW w:w="480" w:type="dxa"/>
            <w:vAlign w:val="bottom"/>
            <w:tcBorders>
              <w:lef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460" w:type="dxa"/>
            <w:vAlign w:val="bottom"/>
          </w:tcPr>
          <w:p>
            <w:pPr>
              <w:ind w:left="40"/>
              <w:spacing w:after="0"/>
              <w:rPr>
                <w:sz w:val="20"/>
                <w:szCs w:val="20"/>
                <w:color w:val="auto"/>
              </w:rPr>
            </w:pPr>
            <w:r>
              <w:rPr>
                <w:rFonts w:ascii="Arial" w:cs="Arial" w:eastAsia="Arial" w:hAnsi="Arial"/>
                <w:sz w:val="18"/>
                <w:szCs w:val="18"/>
                <w:color w:val="auto"/>
              </w:rPr>
              <w:t>IN, HC</w:t>
            </w:r>
          </w:p>
        </w:tc>
        <w:tc>
          <w:tcPr>
            <w:tcW w:w="740" w:type="dxa"/>
            <w:vAlign w:val="bottom"/>
          </w:tcPr>
          <w:p>
            <w:pPr>
              <w:spacing w:after="0"/>
              <w:rPr>
                <w:sz w:val="23"/>
                <w:szCs w:val="23"/>
                <w:color w:val="auto"/>
              </w:rPr>
            </w:pPr>
          </w:p>
        </w:tc>
        <w:tc>
          <w:tcPr>
            <w:tcW w:w="8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0" w:right="60" w:hanging="324"/>
        <w:spacing w:after="0" w:line="25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30,151,465 Ordinary Shares of the Issuer that are represented by 6,030,293 ADS and 9,031,484 Ordinary Shares that are represented by 1,806,297 ADS issuable upon the exercise of June 2023 Warrants (as defined in Item 4 and subject to the limitations as described therein) and 448,980 Ordinary Shares represented by 89,796 ADS that may be acquired upon conversion of Tranche 1 Notes (as defined in Item 4 and subject to the limitations as described therein), directly held by the Funds (as defined below). Each ADS represents 5 Ordinary Shares of the Issuer.</w:t>
      </w:r>
    </w:p>
    <w:p>
      <w:pPr>
        <w:spacing w:after="0" w:line="187" w:lineRule="exact"/>
        <w:rPr>
          <w:rFonts w:ascii="Arial" w:cs="Arial" w:eastAsia="Arial" w:hAnsi="Arial"/>
          <w:sz w:val="18"/>
          <w:szCs w:val="18"/>
          <w:color w:val="auto"/>
        </w:rPr>
      </w:pPr>
    </w:p>
    <w:p>
      <w:pPr>
        <w:ind w:left="980" w:right="20" w:hanging="324"/>
        <w:spacing w:after="0" w:line="301"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338,713,962 Ordinary Shares of the Issuer outstanding as of August 1, 2020, as reported in the Issuer’s Prospectus filed with the SEC on October 23, 2020, plus 9,031,484 Ordinary Shares that are represented by 1,806,297 ADS issuable upon the exercise of the June 2023 Warrants (as defined in Item 4 and subject to the limitations as described therein) and 448,980 Ordinary Shares represented by 89,796 ADS that may be acquired upon conversion of Tranche 1 Notes (as defined in Item 4 and subject to the limitations as described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0220" w:type="dxa"/>
            <w:vAlign w:val="bottom"/>
          </w:tcPr>
          <w:p>
            <w:pPr>
              <w:ind w:left="4080"/>
              <w:spacing w:after="0"/>
              <w:rPr>
                <w:sz w:val="20"/>
                <w:szCs w:val="20"/>
                <w:color w:val="auto"/>
              </w:rPr>
            </w:pPr>
            <w:r>
              <w:rPr>
                <w:rFonts w:ascii="Arial" w:cs="Arial" w:eastAsia="Arial" w:hAnsi="Arial"/>
                <w:sz w:val="18"/>
                <w:szCs w:val="18"/>
                <w:b w:val="1"/>
                <w:bCs w:val="1"/>
                <w:color w:val="auto"/>
              </w:rPr>
              <w:t>Schedule 13G</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Name of Issuer:</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Mereo BioPharma Group plc (the “Issuer”)</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45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One Cavendish Place,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London, W1G 0QF United Kingdom</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Name of Person Filing:</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4"/>
              </w:rPr>
              <w:t>This Schedule 13G is being filed jointly by the Baker Bros. Advisors LP (the “Adviser”), Baker Bros. Advisors (GP) LLC (the “Adviser</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GP”), Felix J. Baker and Julian C. Baker (collectively, the “Reporting Persons”).</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The business address of each of the Reporting Persons is:</w:t>
            </w:r>
          </w:p>
        </w:tc>
      </w:tr>
      <w:tr>
        <w:trPr>
          <w:trHeight w:val="421"/>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 Baker Bros. Advisors LP</w:t>
            </w:r>
          </w:p>
        </w:tc>
      </w:tr>
      <w:tr>
        <w:trPr>
          <w:trHeight w:val="253"/>
        </w:trPr>
        <w:tc>
          <w:tcPr>
            <w:tcW w:w="1020" w:type="dxa"/>
            <w:vAlign w:val="bottom"/>
          </w:tcPr>
          <w:p>
            <w:pPr>
              <w:spacing w:after="0"/>
              <w:rPr>
                <w:sz w:val="21"/>
                <w:szCs w:val="21"/>
                <w:color w:val="auto"/>
              </w:rPr>
            </w:pPr>
          </w:p>
        </w:tc>
        <w:tc>
          <w:tcPr>
            <w:tcW w:w="10220" w:type="dxa"/>
            <w:vAlign w:val="bottom"/>
          </w:tcPr>
          <w:p>
            <w:pPr>
              <w:ind w:left="280"/>
              <w:spacing w:after="0" w:line="252" w:lineRule="exact"/>
              <w:rPr>
                <w:sz w:val="20"/>
                <w:szCs w:val="20"/>
                <w:color w:val="auto"/>
              </w:rPr>
            </w:pPr>
            <w:r>
              <w:rPr>
                <w:rFonts w:ascii="Arial" w:cs="Arial" w:eastAsia="Arial" w:hAnsi="Arial"/>
                <w:sz w:val="18"/>
                <w:szCs w:val="18"/>
                <w:color w:val="auto"/>
              </w:rPr>
              <w:t>860 Washington Street,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New York, NY 10014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(212) 339-5690</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Citizenship:</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4"/>
              </w:rPr>
              <w:t>The Adviser is a limited partnership organized under the laws of the State of Delaware. The Adviser GP is a limited liability company</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2"/>
              </w:rPr>
              <w:t>organized under the laws of the State of Delaware. The citizenship of each of Julian C. Baker and Felix J. Baker is the United States of</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America.</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Title of Class of Securities</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Ordinary Shares, nominal value £0.003 per share (“Ordinary Shares”).</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CUSIP Number</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589492107</w:t>
            </w:r>
          </w:p>
        </w:tc>
      </w:tr>
      <w:tr>
        <w:trPr>
          <w:trHeight w:val="459"/>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6" w:name="page7"/>
    <w:bookmarkEnd w:id="6"/>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(c), check whether the person filing is a:</w:t>
      </w:r>
    </w:p>
    <w:p>
      <w:pPr>
        <w:spacing w:after="0" w:line="196" w:lineRule="exact"/>
        <w:rPr>
          <w:sz w:val="20"/>
          <w:szCs w:val="20"/>
          <w:color w:val="auto"/>
        </w:rPr>
      </w:pPr>
    </w:p>
    <w:p>
      <w:pPr>
        <w:ind w:left="980" w:hanging="324"/>
        <w:spacing w:after="0" w:line="207" w:lineRule="exact"/>
        <w:tabs>
          <w:tab w:leader="none" w:pos="9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25" w:lineRule="exact"/>
        <w:rPr>
          <w:rFonts w:ascii="Arial" w:cs="Arial" w:eastAsia="Arial" w:hAnsi="Arial"/>
          <w:sz w:val="18"/>
          <w:szCs w:val="18"/>
          <w:color w:val="auto"/>
        </w:rPr>
      </w:pPr>
    </w:p>
    <w:p>
      <w:pPr>
        <w:ind w:left="1300" w:hanging="644"/>
        <w:spacing w:after="0" w:line="239" w:lineRule="exact"/>
        <w:tabs>
          <w:tab w:leader="none" w:pos="976"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w:t>
      </w:r>
    </w:p>
    <w:p>
      <w:pPr>
        <w:spacing w:after="0" w:line="170"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13d-1(b)(1)(ii)(J).</w:t>
      </w:r>
    </w:p>
    <w:p>
      <w:pPr>
        <w:spacing w:after="0" w:line="2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5 through 9 and 11 of each of the cover pages to this Schedule 13G are incorporated herein reference.</w:t>
      </w:r>
    </w:p>
    <w:p>
      <w:pPr>
        <w:spacing w:after="0" w:line="22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Set forth below is the aggregate number of Ordinary Shares represented by American Depositary Shares (“ADS”) directly held by each of Baker Brothers Life Sciences, L.P. (“Life Sciences”) and 667, L.P. (“667”, and together with Life Sciences, the “Funds”) which may be deemed to be indirectly beneficially owned by the Reporting Persons, as well as Ordinary Shares represented by ADS that may be acquired upon exercise of warrants with an exercise price of 34.8 pence per Ordinary Share that expire June 30, 2023 (“June 2023 Warrants”), subject to the limitations on exercise described below, and Ordinary Shares represented by ADS that may be acquired upon conversion of 6% convertible notes with a conversion price of 17.4 pence per Ordinary Share due June 30, 2023 (“Tranche 1 Notes”), subject to the limitations on conversion described below. Each ADS represents 5 Ordinary Shares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spacing w:after="0" w:line="275" w:lineRule="auto"/>
        <w:rPr>
          <w:sz w:val="20"/>
          <w:szCs w:val="20"/>
          <w:color w:val="auto"/>
        </w:rPr>
      </w:pPr>
      <w:r>
        <w:rPr>
          <w:rFonts w:ascii="Arial" w:cs="Arial" w:eastAsia="Arial" w:hAnsi="Arial"/>
          <w:sz w:val="17"/>
          <w:szCs w:val="17"/>
          <w:color w:val="auto"/>
        </w:rPr>
        <w:t>The information set forth below is based on 338,713,962 Ordinary Shares outstanding as of August 1, 2020, as reported in the Issuer’s Prospectus filed with the Securities and Exchange Commission on October 23, 2020, plus 9,031,484 Ordinary Shares represented by 1,806,297 ADS issuable upon the exercise of the June 2023 Warrants, subject to the limitations on exercise described below and 448,980 Ordinary Shares represented by 89,796 ADS that may be acquired upon conversion of Tranche 1 Notes, subject to the limitations on conversion described below. Such percentage figures are calculated in accordance with Rule 13d-3 under the Securities Exchange Act of 1934, as amended.</w:t>
      </w:r>
    </w:p>
    <w:p>
      <w:pPr>
        <w:spacing w:after="0" w:line="17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Number of</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Ordinary Shares</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we own or have</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the right to</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acquire within</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w w:val="87"/>
              </w:rPr>
              <w:t>Percent of Class</w:t>
            </w:r>
          </w:p>
        </w:tc>
      </w:tr>
      <w:tr>
        <w:trPr>
          <w:trHeight w:val="230"/>
        </w:trPr>
        <w:tc>
          <w:tcPr>
            <w:tcW w:w="6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18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60 days</w:t>
            </w:r>
          </w:p>
        </w:tc>
        <w:tc>
          <w:tcPr>
            <w:tcW w:w="3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Outstanding</w:t>
            </w:r>
          </w:p>
        </w:tc>
        <w:tc>
          <w:tcPr>
            <w:tcW w:w="160" w:type="dxa"/>
            <w:vAlign w:val="bottom"/>
            <w:tcBorders>
              <w:bottom w:val="single" w:sz="8" w:color="CCEEFF"/>
            </w:tcBorders>
          </w:tcPr>
          <w:p>
            <w:pPr>
              <w:spacing w:after="0"/>
              <w:rPr>
                <w:sz w:val="20"/>
                <w:szCs w:val="20"/>
                <w:color w:val="auto"/>
              </w:rPr>
            </w:pPr>
          </w:p>
        </w:tc>
      </w:tr>
      <w:tr>
        <w:trPr>
          <w:trHeight w:val="209"/>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667, L.P.</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5,142,399</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Baker Brothers Life Sciences, L.P.</w:t>
            </w:r>
          </w:p>
        </w:tc>
        <w:tc>
          <w:tcPr>
            <w:tcW w:w="1220" w:type="dxa"/>
            <w:vAlign w:val="bottom"/>
          </w:tcPr>
          <w:p>
            <w:pPr>
              <w:jc w:val="right"/>
              <w:spacing w:after="0"/>
              <w:rPr>
                <w:sz w:val="20"/>
                <w:szCs w:val="20"/>
                <w:color w:val="auto"/>
              </w:rPr>
            </w:pPr>
            <w:r>
              <w:rPr>
                <w:rFonts w:ascii="Arial" w:cs="Arial" w:eastAsia="Arial" w:hAnsi="Arial"/>
                <w:sz w:val="18"/>
                <w:szCs w:val="18"/>
                <w:color w:val="auto"/>
              </w:rPr>
              <w:t>34,489,530</w:t>
            </w:r>
          </w:p>
        </w:tc>
        <w:tc>
          <w:tcPr>
            <w:tcW w:w="3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9.9%</w:t>
            </w:r>
          </w:p>
        </w:tc>
      </w:tr>
      <w:tr>
        <w:trPr>
          <w:trHeight w:val="209"/>
        </w:trPr>
        <w:tc>
          <w:tcPr>
            <w:tcW w:w="6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39,631,929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6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spacing w:after="0" w:line="273" w:lineRule="auto"/>
        <w:rPr>
          <w:sz w:val="20"/>
          <w:szCs w:val="20"/>
          <w:color w:val="auto"/>
        </w:rPr>
      </w:pPr>
      <w:r>
        <w:rPr>
          <w:rFonts w:ascii="Arial" w:cs="Arial" w:eastAsia="Arial" w:hAnsi="Arial"/>
          <w:sz w:val="17"/>
          <w:szCs w:val="17"/>
          <w:color w:val="auto"/>
        </w:rPr>
        <w:t>The June 2023 Warrants are only exercisable to the extent that upon giving effect or immediately prior to such exercise such holder would beneficially own, for purposes of Rule 13d-3 under the Exchange Act, no more than 9.99% of the outstanding Ordinary Shares (“Warrants Beneficial Ownership Limitation”). By written notice to the Issuer, the Funds may from time to time increase or decrease the Warrants Beneficial Ownership Limitation applicable to that Fund to any other percentage not in excess of 19.99%. Any such increase will not be effective until the 61st day after such notice is delivered to the Issuer. As a result of this restriction, the number of Ordinary Shares that may be issued upon exercise of the June 2023 Warrants by the above holders may change depending upon changes in the outstanding Ordinary Shares.</w:t>
      </w:r>
    </w:p>
    <w:p>
      <w:pPr>
        <w:spacing w:after="0" w:line="178" w:lineRule="exact"/>
        <w:rPr>
          <w:sz w:val="20"/>
          <w:szCs w:val="20"/>
          <w:color w:val="auto"/>
        </w:rPr>
      </w:pPr>
    </w:p>
    <w:p>
      <w:pPr>
        <w:jc w:val="both"/>
        <w:ind w:right="80"/>
        <w:spacing w:after="0" w:line="296" w:lineRule="auto"/>
        <w:rPr>
          <w:sz w:val="20"/>
          <w:szCs w:val="20"/>
          <w:color w:val="auto"/>
        </w:rPr>
      </w:pPr>
      <w:r>
        <w:rPr>
          <w:rFonts w:ascii="Arial" w:cs="Arial" w:eastAsia="Arial" w:hAnsi="Arial"/>
          <w:sz w:val="16"/>
          <w:szCs w:val="16"/>
          <w:color w:val="auto"/>
        </w:rPr>
        <w:t>The Tranche 1 Notes are only convertible to the extent that upon giving effect or immediately prior to such conversion no individual noteholder shall hold more than 9.99% of the outstanding Ordinary Shares (“Notes Beneficial Ownership Limitation”). By written notice to the Issuer, the Funds may from time to time increase or decrease the Notes Beneficial Ownership Limitation applicable to that Fund to any other percentage not in excess of 19.99%. Any such increase will not be effective until the 61st day after such notice is delivered to the Issuer. As a result of this restriction, the number of Ordinary Shares that may be issued upon exercise of the Tranche 1 Notes by the above holders may change depending upon changes in the outstanding Ordinary Shares.</w:t>
      </w:r>
    </w:p>
    <w:p>
      <w:pPr>
        <w:spacing w:after="0" w:line="16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Pursuant to the management agreements, as amended, among the Adviser, the Funds and their respective general partners, the Funds’ respective general partners relinquished to the Adviser all discretion and authority with respect to the investment and voting power of the securities held by the Funds and thus the Adviser has complete and unlimited discretion and authority with respect to the Funds’ investments and voting power over investments.</w:t>
      </w:r>
    </w:p>
    <w:p>
      <w:pPr>
        <w:spacing w:after="0" w:line="1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Adviser GP, Felix J. Baker and Julian C. Baker as managing members of the Adviser GP, and the Adviser may be deemed to be beneficial owners of securities of the Issuer directly held by the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 w:name="page9"/>
    <w:bookmarkEnd w:id="8"/>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280" w:firstLine="1296"/>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 N/A</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ind w:left="1300" w:right="56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information in Item 4 is incorporated herein by reference.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9" w:name="page10"/>
    <w:bookmarkEnd w:id="9"/>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pacing w:after="0" w:line="221"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BAKER BROS. ADVISORS LP</w:t>
      </w:r>
    </w:p>
    <w:p>
      <w:pPr>
        <w:spacing w:after="0" w:line="229"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By: Baker Bros. Advisors (GP) LLC, its general partner</w:t>
      </w:r>
    </w:p>
    <w:p>
      <w:pPr>
        <w:spacing w:after="0" w:line="248"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Scott L. Lessing</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BAKER BROS. ADVISORS (GP) LLC</w:t>
      </w:r>
    </w:p>
    <w:p>
      <w:pPr>
        <w:spacing w:after="0" w:line="22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Scott L. Lessing</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27089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Julian C. Baker</w:t>
      </w:r>
    </w:p>
    <w:p>
      <w:pPr>
        <w:spacing w:after="0" w:line="224"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27089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688" w:right="51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accordance with Rule 13d-1(k)(1) under the Securities Exchange Act of 1934, as amended, the undersigned hereby agree that this Statement on Schedule 13G (including additional amendments thereto) relating to the Ordinary Shares of Mereo BioPharma Group plc is being filed with the Securities and Exchange Commission on behalf of each of them.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pacing w:after="0" w:line="221"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BAKER BROS. ADVISORS LP</w:t>
      </w:r>
    </w:p>
    <w:p>
      <w:pPr>
        <w:spacing w:after="0" w:line="229"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By: Baker Bros. Advisors (GP) LLC, its general partner</w:t>
      </w:r>
    </w:p>
    <w:p>
      <w:pPr>
        <w:spacing w:after="0" w:line="23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Scott L. Lessing</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BAKER BROS. ADVISORS (GP) LLC</w:t>
      </w:r>
    </w:p>
    <w:p>
      <w:pPr>
        <w:spacing w:after="0" w:line="22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Scott L. Lessing</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27089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Julian C. Baker</w:t>
      </w:r>
    </w:p>
    <w:p>
      <w:pPr>
        <w:spacing w:after="0" w:line="224"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27089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2021-02-16T16:39:06Z</dcterms:created>
  <dcterms:modified xsi:type="dcterms:W3CDTF">2021-02-16T16:39:06Z</dcterms:modified>
</cp:coreProperties>
</file>