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87110d8k.htm"/>
      <w:bookmarkStart w:id="1" w:name="ksd787110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40" w:after="0"/>
        <w:jc w:val="center"/>
        <w:rPr>
          <w:rFonts w:ascii="Times New Roman" w:hAnsi="Times New Roman"/>
          <w:b/>
          <w:sz w:val="24"/>
        </w:rPr>
      </w:pPr>
      <w:r>
        <w:rPr>
          <w:rFonts w:ascii="Times New Roman" w:hAnsi="Times New Roman"/>
          <w:b/>
          <w:sz w:val="24"/>
        </w:rPr>
        <w:t>Date of Report (Date of earliest event reported): May 15,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40" w:after="0"/>
        <w:jc w:val="center"/>
        <w:rPr>
          <w:rFonts w:ascii="Times New Roman" w:hAnsi="Times New Roman"/>
          <w:b/>
          <w:sz w:val="48"/>
        </w:rPr>
      </w:pPr>
      <w:r>
        <w:rPr>
          <w:rFonts w:ascii="Times New Roman" w:hAnsi="Times New Roman"/>
          <w:b/>
          <w:sz w:val="48"/>
        </w:rPr>
        <w:t>MEREO BIOPHARMA GROUP PLC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775" w:type="dxa"/>
        <w:jc w:val="left"/>
        <w:tblInd w:w="0" w:type="dxa"/>
        <w:tblLayout w:type="fixed"/>
        <w:tblCellMar>
          <w:top w:w="0" w:type="dxa"/>
          <w:left w:w="0" w:type="dxa"/>
          <w:bottom w:w="0" w:type="dxa"/>
          <w:right w:w="0" w:type="dxa"/>
        </w:tblCellMar>
      </w:tblPr>
      <w:tblGrid>
        <w:gridCol w:w="2720"/>
        <w:gridCol w:w="60"/>
        <w:gridCol w:w="105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England and Wales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001-38452</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bookmarkStart w:id="2" w:name="Fact_2"/>
            <w:bookmarkEnd w:id="2"/>
            <w:r>
              <w:rPr>
                <w:b/>
              </w:rPr>
              <w:t>Not Applicable</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140" w:after="0"/>
        <w:jc w:val="center"/>
        <w:rPr>
          <w:rFonts w:ascii="Times New Roman" w:hAnsi="Times New Roman"/>
          <w:b/>
          <w:sz w:val="20"/>
        </w:rPr>
      </w:pPr>
      <w:r>
        <w:rPr>
          <w:rFonts w:ascii="Times New Roman" w:hAnsi="Times New Roman"/>
          <w:b/>
          <w:sz w:val="20"/>
        </w:rPr>
        <w:t>4th Floor, One Cavendish Place,</w:t>
      </w:r>
    </w:p>
    <w:p>
      <w:pPr>
        <w:pStyle w:val="TextBody"/>
        <w:bidi w:val="0"/>
        <w:spacing w:before="0" w:after="0"/>
        <w:jc w:val="center"/>
        <w:rPr>
          <w:rFonts w:ascii="Times New Roman" w:hAnsi="Times New Roman"/>
          <w:b/>
          <w:sz w:val="20"/>
        </w:rPr>
      </w:pPr>
      <w:r>
        <w:rPr>
          <w:rFonts w:ascii="Times New Roman" w:hAnsi="Times New Roman"/>
          <w:b/>
          <w:sz w:val="20"/>
        </w:rPr>
        <w:t>London, W1G 0QF</w:t>
      </w:r>
    </w:p>
    <w:p>
      <w:pPr>
        <w:pStyle w:val="TextBody"/>
        <w:bidi w:val="0"/>
        <w:spacing w:before="0" w:after="0"/>
        <w:jc w:val="center"/>
        <w:rPr>
          <w:rFonts w:ascii="Times New Roman" w:hAnsi="Times New Roman"/>
          <w:b/>
          <w:sz w:val="20"/>
        </w:rPr>
      </w:pPr>
      <w:r>
        <w:rPr>
          <w:rFonts w:ascii="Times New Roman" w:hAnsi="Times New Roman"/>
          <w:b/>
          <w:sz w:val="20"/>
        </w:rPr>
        <w:t>United Kingdom</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140" w:after="0"/>
        <w:jc w:val="center"/>
        <w:rPr>
          <w:rFonts w:ascii="Times New Roman" w:hAnsi="Times New Roman"/>
          <w:b/>
          <w:sz w:val="20"/>
        </w:rPr>
      </w:pPr>
      <w:r>
        <w:rPr>
          <w:rFonts w:ascii="Times New Roman" w:hAnsi="Times New Roman"/>
          <w:b/>
          <w:sz w:val="20"/>
        </w:rPr>
        <w:t>+44-333-023-7300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948"/>
        <w:gridCol w:w="60"/>
        <w:gridCol w:w="725"/>
        <w:gridCol w:w="60"/>
        <w:gridCol w:w="2412"/>
      </w:tblGrid>
      <w:tr>
        <w:trPr/>
        <w:tc>
          <w:tcPr>
            <w:tcW w:w="69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r>
      <w:tr>
        <w:trPr/>
        <w:tc>
          <w:tcPr>
            <w:tcW w:w="694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241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6948" w:type="dxa"/>
            <w:tcBorders/>
            <w:vAlign w:val="center"/>
          </w:tcPr>
          <w:p>
            <w:pPr>
              <w:pStyle w:val="TableContents"/>
              <w:bidi w:val="0"/>
              <w:spacing w:before="0" w:after="283"/>
              <w:jc w:val="center"/>
              <w:rPr/>
            </w:pPr>
            <w:r>
              <w:rPr/>
              <w:t>American Depositary Shares, each representing five Ordinary Shares, par value £0.003 per share</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pPr>
            <w:r>
              <w:rPr/>
              <w:t>MREO</w:t>
            </w:r>
          </w:p>
        </w:tc>
        <w:tc>
          <w:tcPr>
            <w:tcW w:w="60" w:type="dxa"/>
            <w:tcBorders/>
            <w:vAlign w:val="center"/>
          </w:tcPr>
          <w:p>
            <w:pPr>
              <w:pStyle w:val="TableContents"/>
              <w:bidi w:val="0"/>
              <w:spacing w:before="0" w:after="283"/>
              <w:jc w:val="left"/>
              <w:rPr/>
            </w:pPr>
            <w:r>
              <w:rPr/>
              <w:t> </w:t>
            </w:r>
          </w:p>
        </w:tc>
        <w:tc>
          <w:tcPr>
            <w:tcW w:w="2412" w:type="dxa"/>
            <w:tcBorders/>
            <w:vAlign w:val="center"/>
          </w:tcPr>
          <w:p>
            <w:pPr>
              <w:pStyle w:val="TableContents"/>
              <w:bidi w:val="0"/>
              <w:spacing w:before="0" w:after="283"/>
              <w:jc w:val="center"/>
              <w:rPr/>
            </w:pPr>
            <w:r>
              <w:rPr/>
              <w:t>The Nasdaq Stock Market LLC</w:t>
            </w:r>
          </w:p>
        </w:tc>
      </w:tr>
      <w:tr>
        <w:trPr/>
        <w:tc>
          <w:tcPr>
            <w:tcW w:w="6948" w:type="dxa"/>
            <w:tcBorders/>
            <w:vAlign w:val="center"/>
          </w:tcPr>
          <w:p>
            <w:pPr>
              <w:pStyle w:val="TableContents"/>
              <w:bidi w:val="0"/>
              <w:spacing w:before="0" w:after="283"/>
              <w:jc w:val="center"/>
              <w:rPr/>
            </w:pPr>
            <w:r>
              <w:rPr/>
              <w:t>Ordinary Shares, nominal value £0.003 per share*</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2412" w:type="dxa"/>
            <w:tcBorders/>
            <w:vAlign w:val="center"/>
          </w:tcPr>
          <w:p>
            <w:pPr>
              <w:pStyle w:val="TableContents"/>
              <w:bidi w:val="0"/>
              <w:spacing w:before="0" w:after="283"/>
              <w:jc w:val="center"/>
              <w:rPr/>
            </w:pPr>
            <w:r>
              <w:rPr/>
              <w:t>The Nasdaq Stock Market LLC</w:t>
            </w:r>
          </w:p>
        </w:tc>
      </w:tr>
    </w:tbl>
    <w:p>
      <w:pPr>
        <w:pStyle w:val="TextBody"/>
        <w:bidi w:val="0"/>
        <w:spacing w:before="140" w:after="0"/>
        <w:jc w:val="left"/>
        <w:rPr>
          <w:rFonts w:ascii="Times New Roman" w:hAnsi="Times New Roman"/>
          <w:sz w:val="20"/>
        </w:rPr>
      </w:pPr>
      <w:r>
        <w:rPr>
          <w:rFonts w:ascii="Times New Roman" w:hAnsi="Times New Roman"/>
          <w:sz w:val="20"/>
        </w:rPr>
        <w:t>* Not for trading, but only in connection with the listing of the American Depositary Shares on The Nasdaq Stock Market LLC.</w:t>
      </w:r>
    </w:p>
    <w:p>
      <w:pPr>
        <w:pStyle w:val="TextBody"/>
        <w:bidi w:val="0"/>
        <w:spacing w:before="1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40" w:after="0"/>
        <w:jc w:val="right"/>
        <w:rPr>
          <w:rFonts w:ascii="Times New Roman" w:hAnsi="Times New Roman"/>
          <w:sz w:val="20"/>
        </w:rPr>
      </w:pPr>
      <w:r>
        <w:rPr>
          <w:rFonts w:ascii="Times New Roman" w:hAnsi="Times New Roman"/>
          <w:sz w:val="20"/>
        </w:rPr>
        <w:t>Emerging growth company ☒</w:t>
      </w:r>
    </w:p>
    <w:p>
      <w:pPr>
        <w:pStyle w:val="TextBody"/>
        <w:bidi w:val="0"/>
        <w:spacing w:before="1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4945" w:type="dxa"/>
        <w:jc w:val="left"/>
        <w:tblInd w:w="0" w:type="dxa"/>
        <w:tblLayout w:type="fixed"/>
        <w:tblCellMar>
          <w:top w:w="0" w:type="dxa"/>
          <w:left w:w="0" w:type="dxa"/>
          <w:bottom w:w="0" w:type="dxa"/>
          <w:right w:w="0" w:type="dxa"/>
        </w:tblCellMar>
      </w:tblPr>
      <w:tblGrid>
        <w:gridCol w:w="965"/>
        <w:gridCol w:w="3980"/>
      </w:tblGrid>
      <w:tr>
        <w:trPr/>
        <w:tc>
          <w:tcPr>
            <w:tcW w:w="965" w:type="dxa"/>
            <w:tcBorders/>
            <w:vAlign w:val="center"/>
          </w:tcPr>
          <w:p>
            <w:pPr>
              <w:pStyle w:val="TableContents"/>
              <w:bidi w:val="0"/>
              <w:spacing w:before="0" w:after="283"/>
              <w:jc w:val="left"/>
              <w:rPr>
                <w:b/>
              </w:rPr>
            </w:pPr>
            <w:r>
              <w:rPr>
                <w:b/>
              </w:rPr>
              <w:t>Item 2.02</w:t>
            </w:r>
          </w:p>
        </w:tc>
        <w:tc>
          <w:tcPr>
            <w:tcW w:w="39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Results of Operations and Financial Condition.</w:t>
            </w:r>
          </w:p>
        </w:tc>
      </w:tr>
    </w:tbl>
    <w:p>
      <w:pPr>
        <w:pStyle w:val="TextBody"/>
        <w:bidi w:val="0"/>
        <w:spacing w:before="120" w:after="0"/>
        <w:jc w:val="left"/>
        <w:rPr>
          <w:rFonts w:ascii="Times New Roman" w:hAnsi="Times New Roman"/>
          <w:sz w:val="20"/>
        </w:rPr>
      </w:pPr>
      <w:r>
        <w:rPr>
          <w:rFonts w:ascii="Times New Roman" w:hAnsi="Times New Roman"/>
          <w:sz w:val="20"/>
        </w:rPr>
        <w:t>On May 15, 2024, Mereo BioPharma Group plc announced its financial results for the three month period ended March 31, 2024. The full text of the press release issued in connection with the announcement is furnished as Exhibit 99.1 to this Current Report on Form 8-K.</w:t>
      </w:r>
    </w:p>
    <w:p>
      <w:pPr>
        <w:pStyle w:val="TextBody"/>
        <w:bidi w:val="0"/>
        <w:spacing w:before="240" w:after="0"/>
        <w:jc w:val="left"/>
        <w:rPr>
          <w:rFonts w:ascii="Times New Roman" w:hAnsi="Times New Roman"/>
          <w:sz w:val="20"/>
        </w:rPr>
      </w:pPr>
      <w:r>
        <w:rPr>
          <w:rFonts w:ascii="Times New Roman" w:hAnsi="Times New Roman"/>
          <w:sz w:val="20"/>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120" w:after="0"/>
        <w:jc w:val="left"/>
        <w:rPr>
          <w:rFonts w:ascii="Times New Roman" w:hAnsi="Times New Roman"/>
          <w:sz w:val="20"/>
        </w:rPr>
      </w:pPr>
      <w:r>
        <w:rPr>
          <w:rFonts w:ascii="Times New Roman" w:hAnsi="Times New Roman"/>
          <w:sz w:val="20"/>
        </w:rPr>
        <w:t>(d) Exhibits</w:t>
      </w:r>
    </w:p>
    <w:p>
      <w:pPr>
        <w:pStyle w:val="TextBody"/>
        <w:bidi w:val="0"/>
        <w:spacing w:before="240" w:after="0"/>
        <w:jc w:val="left"/>
        <w:rPr>
          <w:rFonts w:ascii="Times New Roman" w:hAnsi="Times New Roman"/>
          <w:sz w:val="20"/>
        </w:rPr>
      </w:pPr>
      <w:r>
        <w:rPr>
          <w:rFonts w:ascii="Times New Roman" w:hAnsi="Times New Roman"/>
          <w:sz w:val="20"/>
        </w:rPr>
        <w:t>The following exhibit relating to Item 2.02 shall be deemed to be furnished, and not filed:</w:t>
      </w:r>
    </w:p>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85"/>
        <w:gridCol w:w="120"/>
        <w:gridCol w:w="7685"/>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785" w:type="dxa"/>
            <w:tcBorders>
              <w:bottom w:val="single" w:sz="8" w:space="0" w:color="000000"/>
            </w:tcBorders>
            <w:tcMar>
              <w:bottom w:w="28" w:type="dxa"/>
            </w:tcMar>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 of Exhibit</w:t>
            </w:r>
          </w:p>
        </w:tc>
      </w:tr>
      <w:tr>
        <w:trPr/>
        <w:tc>
          <w:tcPr>
            <w:tcW w:w="78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787110dex991.htm">
              <w:r>
                <w:rPr>
                  <w:rStyle w:val="InternetLink"/>
                </w:rPr>
                <w:t xml:space="preserve">Press Release, dated May 15, 2024.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SIGNATURES</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t> </w:t>
      </w:r>
    </w:p>
    <w:tbl>
      <w:tblPr>
        <w:tblW w:w="5912" w:type="dxa"/>
        <w:jc w:val="left"/>
        <w:tblInd w:w="0" w:type="dxa"/>
        <w:tblLayout w:type="fixed"/>
        <w:tblCellMar>
          <w:top w:w="0" w:type="dxa"/>
          <w:left w:w="0" w:type="dxa"/>
          <w:bottom w:w="0" w:type="dxa"/>
          <w:right w:w="0" w:type="dxa"/>
        </w:tblCellMar>
      </w:tblPr>
      <w:tblGrid>
        <w:gridCol w:w="1940"/>
        <w:gridCol w:w="60"/>
        <w:gridCol w:w="23"/>
        <w:gridCol w:w="60"/>
        <w:gridCol w:w="848"/>
        <w:gridCol w:w="78"/>
        <w:gridCol w:w="2903"/>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29" w:type="dxa"/>
            <w:gridSpan w:val="3"/>
            <w:tcBorders/>
            <w:vAlign w:val="center"/>
          </w:tcPr>
          <w:p>
            <w:pPr>
              <w:pStyle w:val="TableContents"/>
              <w:bidi w:val="0"/>
              <w:spacing w:before="0" w:after="283"/>
              <w:jc w:val="left"/>
              <w:rPr/>
            </w:pPr>
            <w:r>
              <w:rPr/>
              <w:t>MEREO BIOPHARMA GROUP PLC</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908" w:type="dxa"/>
            <w:gridSpan w:val="2"/>
            <w:tcBorders/>
            <w:vAlign w:val="center"/>
          </w:tcPr>
          <w:p>
            <w:pPr>
              <w:pStyle w:val="TableContents"/>
              <w:bidi w:val="0"/>
              <w:spacing w:before="0" w:after="283"/>
              <w:jc w:val="left"/>
              <w:rPr>
                <w:sz w:val="4"/>
                <w:szCs w:val="4"/>
              </w:rPr>
            </w:pPr>
            <w:r>
              <w:rPr>
                <w:sz w:val="4"/>
                <w:szCs w:val="4"/>
              </w:rPr>
            </w:r>
          </w:p>
        </w:tc>
        <w:tc>
          <w:tcPr>
            <w:tcW w:w="2981"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May 15,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By:</w:t>
            </w:r>
          </w:p>
        </w:tc>
        <w:tc>
          <w:tcPr>
            <w:tcW w:w="78" w:type="dxa"/>
            <w:tcBorders/>
            <w:vAlign w:val="center"/>
          </w:tcPr>
          <w:p>
            <w:pPr>
              <w:pStyle w:val="TableContents"/>
              <w:bidi w:val="0"/>
              <w:spacing w:before="0" w:after="283"/>
              <w:jc w:val="left"/>
              <w:rPr/>
            </w:pPr>
            <w:r>
              <w:rPr/>
              <w:t> </w:t>
            </w:r>
          </w:p>
        </w:tc>
        <w:tc>
          <w:tcPr>
            <w:tcW w:w="2903"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Christine Fox</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Name:</w:t>
            </w:r>
          </w:p>
        </w:tc>
        <w:tc>
          <w:tcPr>
            <w:tcW w:w="78" w:type="dxa"/>
            <w:tcBorders/>
            <w:vAlign w:val="center"/>
          </w:tcPr>
          <w:p>
            <w:pPr>
              <w:pStyle w:val="TableContents"/>
              <w:bidi w:val="0"/>
              <w:spacing w:before="0" w:after="283"/>
              <w:jc w:val="left"/>
              <w:rPr/>
            </w:pPr>
            <w:r>
              <w:rPr/>
              <w:t> </w:t>
            </w:r>
          </w:p>
        </w:tc>
        <w:tc>
          <w:tcPr>
            <w:tcW w:w="2903" w:type="dxa"/>
            <w:tcBorders/>
            <w:vAlign w:val="center"/>
          </w:tcPr>
          <w:p>
            <w:pPr>
              <w:pStyle w:val="TableContents"/>
              <w:bidi w:val="0"/>
              <w:spacing w:before="0" w:after="283"/>
              <w:jc w:val="left"/>
              <w:rPr/>
            </w:pPr>
            <w:r>
              <w:rPr/>
              <w:t>Christine Fox</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Title:</w:t>
            </w:r>
          </w:p>
        </w:tc>
        <w:tc>
          <w:tcPr>
            <w:tcW w:w="78" w:type="dxa"/>
            <w:tcBorders/>
            <w:vAlign w:val="center"/>
          </w:tcPr>
          <w:p>
            <w:pPr>
              <w:pStyle w:val="TableContents"/>
              <w:bidi w:val="0"/>
              <w:spacing w:before="0" w:after="283"/>
              <w:jc w:val="left"/>
              <w:rPr/>
            </w:pPr>
            <w:r>
              <w:rPr/>
              <w:t> </w:t>
            </w:r>
          </w:p>
        </w:tc>
        <w:tc>
          <w:tcPr>
            <w:tcW w:w="2903"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3" w:name="d787110dex991.htm"/>
      <w:bookmarkStart w:id="4" w:name="ksd787110dex991"/>
      <w:bookmarkEnd w:id="3"/>
      <w:bookmarkEnd w:id="4"/>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Mereo BioPharma Reports First Quarter 2024 Financial Results and Provides Corporate Update </w:t>
      </w:r>
    </w:p>
    <w:p>
      <w:pPr>
        <w:pStyle w:val="TextBody"/>
        <w:bidi w:val="0"/>
        <w:spacing w:before="240" w:after="0"/>
        <w:jc w:val="left"/>
        <w:rPr>
          <w:rFonts w:ascii="Times New Roman" w:hAnsi="Times New Roman"/>
          <w:sz w:val="20"/>
        </w:rPr>
      </w:pPr>
      <w:r>
        <w:rPr>
          <w:rFonts w:ascii="Times New Roman" w:hAnsi="Times New Roman"/>
          <w:b/>
          <w:sz w:val="20"/>
        </w:rPr>
        <w:t>London, May</w:t>
      </w:r>
      <w:r>
        <w:rPr>
          <w:rFonts w:ascii="Times New Roman" w:hAnsi="Times New Roman"/>
          <w:sz w:val="20"/>
        </w:rPr>
        <w:t> </w:t>
      </w:r>
      <w:r>
        <w:rPr>
          <w:rFonts w:ascii="Times New Roman" w:hAnsi="Times New Roman"/>
          <w:b/>
          <w:sz w:val="20"/>
        </w:rPr>
        <w:t>15, 2024</w:t>
      </w:r>
      <w:r>
        <w:rPr>
          <w:rFonts w:ascii="Times New Roman" w:hAnsi="Times New Roman"/>
          <w:sz w:val="20"/>
        </w:rPr>
        <w:t xml:space="preserve"> - Mereo BioPharma Group plc (NASDAQ: MREO) (Mereo or the Company), a clinical-stage biopharmaceutical company focused on rare diseases, today announced its financial results for the first quarter ended March 31, 2024, and provided an update on recent corporate highlights. The Company reported cash and cash equivalents of $48.7 million as of March 31, 2024 and continues to expect this to fund its operations into 2026. </w:t>
      </w:r>
    </w:p>
    <w:p>
      <w:pPr>
        <w:pStyle w:val="TextBody"/>
        <w:bidi w:val="0"/>
        <w:spacing w:before="240" w:after="0"/>
        <w:jc w:val="left"/>
        <w:rPr>
          <w:rFonts w:ascii="Times New Roman" w:hAnsi="Times New Roman"/>
          <w:sz w:val="20"/>
        </w:rPr>
      </w:pPr>
      <w:r>
        <w:rPr>
          <w:rFonts w:ascii="Times New Roman" w:hAnsi="Times New Roman"/>
          <w:sz w:val="20"/>
        </w:rPr>
        <w:t xml:space="preserve">2024 is off to an exciting start following the completion of enrollment by our partner Ultragenyx in both the Orbit and Cosmic studies of setrusumab in Osteogenesis Imperfecta (OI) along with the continued advancement of the pre-launch activities in Mereos European territories. These include further identification of patients who could potentially benefit from setrusumab treatment, the ongoing dialogues with the HTAs and Payors in Europe to support both rapid adoption and efficient reimbursement following a potential European approval, and SATURN, said Dr. Denise Scots-Knight, Chief Executive Officer of Mereo. Further, in parallel with the ongoing partnering discussions for alvelestat, we have completed the initial validation work for the St. Georges Respiratory Questionnaire (SGRQ) instrument in the Alpha-1 Antitrypsin Deficiency-associated Lung Disease (AATD-LD) population. </w:t>
      </w:r>
    </w:p>
    <w:p>
      <w:pPr>
        <w:pStyle w:val="TextBody"/>
        <w:bidi w:val="0"/>
        <w:spacing w:before="360" w:after="0"/>
        <w:jc w:val="left"/>
        <w:rPr>
          <w:rFonts w:ascii="Times New Roman" w:hAnsi="Times New Roman"/>
          <w:b/>
          <w:sz w:val="20"/>
        </w:rPr>
      </w:pPr>
      <w:r>
        <w:rPr>
          <w:rFonts w:ascii="Times New Roman" w:hAnsi="Times New Roman"/>
          <w:b/>
          <w:sz w:val="20"/>
        </w:rPr>
        <w:t xml:space="preserve">First Quarter 2024 Highlights, Recent Developments and Anticipated Milestones </w:t>
      </w:r>
    </w:p>
    <w:p>
      <w:pPr>
        <w:pStyle w:val="TextBody"/>
        <w:bidi w:val="0"/>
        <w:spacing w:before="120" w:after="0"/>
        <w:jc w:val="left"/>
        <w:rPr>
          <w:rFonts w:ascii="Times New Roman" w:hAnsi="Times New Roman"/>
          <w:b/>
          <w:sz w:val="20"/>
        </w:rPr>
      </w:pPr>
      <w:r>
        <w:rPr>
          <w:rFonts w:ascii="Times New Roman" w:hAnsi="Times New Roman"/>
          <w:b/>
          <w:sz w:val="20"/>
        </w:rPr>
        <w:t xml:space="preserve">Setrusumab (UX143)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Enrollment completed in the Phase 3 Orbit and Cosmic studies of setrusumab in OI, conducted by our partner Ultragenyx.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6"/>
        <w:gridCol w:w="202"/>
        <w:gridCol w:w="8271"/>
      </w:tblGrid>
      <w:tr>
        <w:trPr/>
        <w:tc>
          <w:tcPr>
            <w:tcW w:w="142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Phase 3 portion of the Orbit Phase 2/3 trial completed enrollment with 158 patients aged 5 to 25 years old. Patients were randomized 2:1 to receive setrusumab or placebo, and the study has a primary efficacy endpoint of annualized clinical fracture rate. Additional longer-term safety and efficacy data from the Phase 2 portion of the Orbit study are expected in the second half of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4"/>
        <w:gridCol w:w="204"/>
        <w:gridCol w:w="8271"/>
      </w:tblGrid>
      <w:tr>
        <w:trPr/>
        <w:tc>
          <w:tcPr>
            <w:tcW w:w="142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Cosmic study was initiated in the second half of 2023 and completed full enrollment with 69 patients. Cosmic is a Phase 3 open-label, randomized study in patients aged 2 to &lt;7 years evaluating setrusumab compared to bisphosphonates on reduction in total annualized clinical fracture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results from the IMPACT Survey, a joint initiative between the Osteogenesis Imperfecta Foundation, Osteogenesis Imperfecta Federation Europe and its members, and Mereo, were recently made available. IMPACT is the largest ever burden of disease survey on the impact of OI on patients, physicians and caregivers. Additional information is available at www.impactsurveyoi.com.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continues to invest in pre-launch activities and other studies to generate further evidence that will inform coverage, pricing and reimbursement decisions in Mereos European territory. These include SATURN (Systematic Accumulation of Treatment practices and Utilization, Real world evidence, and Natural history data for OI) which is expected to provide a coordinated data set across multiple treatment centers for OI across European countries, to support pricing and reimbursement decisions. The Companys patient identification activities are continuing, with a focus on adult patients in the key five European countries where these activities were previously initiated, and adult and pediatric patients in additional European countries.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Alvelestat (MPH-966)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Mereo remains on-track to submit the completed initial validation work supporting the use of the SGRQ-Total Score as the primary efficacy endpoint to the FDA, alongside the detailed Phase 3 study protocol in the first half of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content validation of the SGRQ using semi-structured interviews with patients with AATD-LD from several sites in the United States has been completed. The analysis concluded that the current SGRQ instrument is fit for purpose with valid content measures for patients with AATD-LD and is suitable for use as a key Clinical Outcomes Assessment endpoint.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global Phase 3 study, which is supported by positive data from the ASTRAEUS and ATALANTa studies, is expected to enroll approximately 220 early- and late-stage patients with the severe Pi*ZZ genotype and confirmed emphysema, with a treatment period of 18 months. If the Phase 3 trial is successful, it is expected to support full approvals of alvelestat in the U.S. and Europe.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Mereo continues to actively engage with multiple potential partners for the development and commercialization of alvelestat and aims to initiate the Phase 3 study with a partner around the end of 2024.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Etigilimab (MPH-313)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Etigilimab in combination with nivolumab, is being studied in an ongoing investigator-led single-arm, two-stage, open-label Phase 1b/2 trial in a subtype of platinum-resistant recurrent ovarian cancer (clear cell ovarian cancer) at the MD Anderson Cancer Center, financed by the Cancer Focus Fund. Based on the results to-date, the study has been expanded from the initial 10 patients to 20 patients and an update may be provided by the investigator in the second half of 2024 or early 2025.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First Quarter 2024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Total research and development (R&amp;D) expenses decreased by $1.3 million, or 25%, from $5.3 million in the first quarter of 2023 to $4.0 million in the first quarter of 2024. The decrease was primarily due to a $1.8 million reduction in R&amp;D expenses for etigilimab, partially offset by increases of $0.3 million of R&amp;D expenses for both setrusumab and alvelestat. The reduction in etigilimab expenses was primarily due to the winding down and completion during 2023 of the open label Phase 1b/2 basket study in combination with an anti-PD-1 in a range of tumor types. Program expenses for setrusumab are in relation to increases in ongoing activities in Europe, and input into development, regulatory and manufacturing plans with our partner, Ultragenyx, as the global development program is funded by Ultragenyx pursuant to our license and collaboration agreement. Program expenses for alvelestat primarily include the preparatory work for the Phase 3 study, including manufacturing and drug formulation activities, SGRQ validation activities and regulatory interactions. </w:t>
      </w:r>
    </w:p>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decreased by $0.5 million, or 8%, from $6.4 million in the first quarter of 2023 to $5.9 million in the first quarter of 2024. The decrease is primarily related to recognition of a $1.7 million reduction in expenses in the first quarter of 2024 for amounts from our depository to reimburse certain expenses incurred by us in respect of our ADR program, partially offset by an increase in employee-related expenses and professional fees. No similar reimbursements from our depository were recognized in the first quarter of 2023. </w:t>
      </w:r>
    </w:p>
    <w:p>
      <w:pPr>
        <w:pStyle w:val="TextBody"/>
        <w:bidi w:val="0"/>
        <w:spacing w:before="240" w:after="0"/>
        <w:jc w:val="left"/>
        <w:rPr>
          <w:rFonts w:ascii="Times New Roman" w:hAnsi="Times New Roman"/>
          <w:sz w:val="20"/>
        </w:rPr>
      </w:pPr>
      <w:r>
        <w:rPr>
          <w:rFonts w:ascii="Times New Roman" w:hAnsi="Times New Roman"/>
          <w:sz w:val="20"/>
        </w:rPr>
        <w:t xml:space="preserve">Net loss for the first quarter of 2024 was $9.0 million, compared to $12.1 million during the first quarter of 2023, primarily reflecting an operating loss of $9.9 million.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2024, the Company had cash and cash equivalents of $48.7 million, compared to $57.4 million as of December 31, 2023. The Companys guidance remains unchanged and it continues to expect, based on current operational plans, that its existing cash and cash equivalents balance will enable it to fund its currently committed clinical trials, operating expenses, and capital expenditure requirements into 2026. This guidance does not include any potential upfront payments associated with a partnership for alvelestat or business development activity around any of the Companys non-core programs. </w:t>
      </w:r>
    </w:p>
    <w:p>
      <w:pPr>
        <w:pStyle w:val="TextBody"/>
        <w:bidi w:val="0"/>
        <w:spacing w:before="240" w:after="0"/>
        <w:jc w:val="left"/>
        <w:rPr>
          <w:rFonts w:ascii="Times New Roman" w:hAnsi="Times New Roman"/>
          <w:sz w:val="20"/>
        </w:rPr>
      </w:pPr>
      <w:r>
        <w:rPr>
          <w:rFonts w:ascii="Times New Roman" w:hAnsi="Times New Roman"/>
          <w:sz w:val="20"/>
        </w:rPr>
        <w:t xml:space="preserve">Total ordinary shares issued as of March 31, 2024 were 701,349,434. Total ADS equivalents as of March 31, 2024 were 140,269,886, with each ADS representing five ordinary shares of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Mereo BioPharma </w:t>
      </w:r>
    </w:p>
    <w:p>
      <w:pPr>
        <w:pStyle w:val="TextBody"/>
        <w:bidi w:val="0"/>
        <w:spacing w:before="120" w:after="0"/>
        <w:jc w:val="left"/>
        <w:rPr>
          <w:rFonts w:ascii="Times New Roman" w:hAnsi="Times New Roman"/>
          <w:sz w:val="20"/>
        </w:rPr>
      </w:pPr>
      <w:r>
        <w:rPr>
          <w:rFonts w:ascii="Times New Roman" w:hAnsi="Times New Roman"/>
          <w:sz w:val="20"/>
        </w:rPr>
        <w:t xml:space="preserve">Mereo BioPharma is a biopharmaceutical company focused on the development of innovative therapeutics for rare diseases. The Company has two rare disease product candidates, setrusumab for the treatment of osteogenesis imperfecta (OI) and alvelestat primarily for the treatment of severe alpha-1 antitrypsin deficiency-associated lung disease (AATD-LD). The Companys partner, Ultragenyx Pharmaceutical, Inc., has completed enrollment in the Phase 3 portion of a pivotal Phase 2/3 pediatric study in young adults (5 to 25 years old) for setrusumab in OI and in the Phase 3 study in pediatric patients (2 to &lt;7 years old) in the first half of 2024. The partnership with Ultragenyx includes potential additional milestone payments of up to $245 million and royalties to Mereo on commercial sales in Ultragenyx territories. Mereo has retained EU and UK commercial rights and will pay Ultragenyx royalties on commercial sales in those territories. Setrusumab has received orphan designation for osteogenesis imperfecta from the EMA and FDA, PRIME designation from the EMA and has pediatric disease designation from the FDA. Alvelestat has received U.S. Orphan Drug Designation for the treatment of AATD and Fast Track designation from the FDA. Following results from ASTRAEUS and ATALANTa in AATD-lung disease, the Company has aligned with the FDA and the EMA on the primary endpoints for a Phase 3 pivotal study which if successful could enable full approval in both the U.S. and Europe. In addition to the rare disease programs, Mereo has two oncology product candidates in clinical development. Etigilimab (anti-TIGIT) has completed a Phase 1b/2 basket study evaluating its safety and efficacy in combination with an anti-PD-1 in a range of tumor types including three rare tumors and three gynecological carcinomas  cervical, ovarian, and endometrial and is an ongoing Phase 1b/2 investigator led study at the MD Anderson Cancer Center in clear cell ovarian cancer; Navicixizumab, for the treatment of late line ovarian cancer, has completed a Phase 1 study and has been partnered with Feng Biosciences Inc. in a global licensing agreement that includes milestone payments and royalties. Mereo has entered into an exclusive global license agreement with ReproNovo SA for the development and commercialization of leflutrozole, a non-steroidal aromatase inhibitor. Under the terms of the agreement, ReproNovo, a reproductive medicine company, is responsible for all future development and commercialization of leflutrozole.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that involve substantial risks and uncertainties. All statements other than statements of historical fact contained herein are forward-looking statements within the meaning of Section 27A of the United States Securities Act of 1933, as amended, and Section 21E of the United States Securities Exchange Act of 1934, as amended.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 </w:t>
      </w:r>
    </w:p>
    <w:p>
      <w:pPr>
        <w:pStyle w:val="TextBody"/>
        <w:bidi w:val="0"/>
        <w:spacing w:before="240" w:after="0"/>
        <w:jc w:val="left"/>
        <w:rPr>
          <w:rFonts w:ascii="Times New Roman" w:hAnsi="Times New Roman"/>
          <w:sz w:val="20"/>
        </w:rPr>
      </w:pPr>
      <w:r>
        <w:rPr>
          <w:rFonts w:ascii="Times New Roman" w:hAnsi="Times New Roman"/>
          <w:sz w:val="20"/>
        </w:rPr>
        <w:t xml:space="preserve">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Such risks and uncertainties include, among others, the uncertainties inherent in the clinical development process; the Companys reliance on third parties to conduct and provide funding for its clinical trials; the Companys dependence on enrollment of patients in its clinical trials; and the Companys dependence on its key executives. You should carefully consider the foregoing factors and the other risks and uncertainties that affect the Companys business, including those described in the Risk Factors section of its Annual Report on Form 10-K, as well as discussions of potential risks, uncertainties, and other important factors in the Companys subsequent filings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51"/>
        <w:gridCol w:w="120"/>
        <w:gridCol w:w="5134"/>
      </w:tblGrid>
      <w:tr>
        <w:trPr/>
        <w:tc>
          <w:tcPr>
            <w:tcW w:w="495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34" w:type="dxa"/>
            <w:tcBorders/>
            <w:vAlign w:val="center"/>
          </w:tcPr>
          <w:p>
            <w:pPr>
              <w:pStyle w:val="TableContents"/>
              <w:bidi w:val="0"/>
              <w:spacing w:before="0" w:after="283"/>
              <w:jc w:val="left"/>
              <w:rPr>
                <w:sz w:val="4"/>
                <w:szCs w:val="4"/>
              </w:rPr>
            </w:pPr>
            <w:r>
              <w:rPr>
                <w:sz w:val="4"/>
                <w:szCs w:val="4"/>
              </w:rPr>
            </w:r>
          </w:p>
        </w:tc>
      </w:tr>
      <w:tr>
        <w:trPr/>
        <w:tc>
          <w:tcPr>
            <w:tcW w:w="4951" w:type="dxa"/>
            <w:tcBorders/>
          </w:tcPr>
          <w:p>
            <w:pPr>
              <w:pStyle w:val="TableContents"/>
              <w:bidi w:val="0"/>
              <w:spacing w:before="0" w:after="283"/>
              <w:jc w:val="left"/>
              <w:rPr>
                <w:b/>
              </w:rPr>
            </w:pPr>
            <w:r>
              <w:rPr>
                <w:b/>
              </w:rPr>
              <w:t>Mereo BioPharma Contacts:</w:t>
            </w:r>
          </w:p>
        </w:tc>
        <w:tc>
          <w:tcPr>
            <w:tcW w:w="120" w:type="dxa"/>
            <w:tcBorders/>
            <w:vAlign w:val="bottom"/>
          </w:tcPr>
          <w:p>
            <w:pPr>
              <w:pStyle w:val="TableContents"/>
              <w:bidi w:val="0"/>
              <w:spacing w:before="0" w:after="283"/>
              <w:jc w:val="left"/>
              <w:rPr/>
            </w:pPr>
            <w:r>
              <w:rPr/>
              <w:t>  </w:t>
            </w:r>
          </w:p>
        </w:tc>
        <w:tc>
          <w:tcPr>
            <w:tcW w:w="5134" w:type="dxa"/>
            <w:tcBorders/>
          </w:tcPr>
          <w:p>
            <w:pPr>
              <w:pStyle w:val="TableContents"/>
              <w:bidi w:val="0"/>
              <w:spacing w:before="0" w:after="283"/>
              <w:jc w:val="left"/>
              <w:rPr>
                <w:sz w:val="4"/>
                <w:szCs w:val="4"/>
              </w:rPr>
            </w:pPr>
            <w:r>
              <w:rPr>
                <w:sz w:val="4"/>
                <w:szCs w:val="4"/>
              </w:rPr>
            </w:r>
          </w:p>
        </w:tc>
      </w:tr>
      <w:tr>
        <w:trPr>
          <w:trHeight w:val="120" w:hRule="atLeast"/>
        </w:trPr>
        <w:tc>
          <w:tcPr>
            <w:tcW w:w="4951" w:type="dxa"/>
            <w:tcBorders/>
            <w:vAlign w:val="center"/>
          </w:tcPr>
          <w:p>
            <w:pPr>
              <w:pStyle w:val="TableContents"/>
              <w:bidi w:val="0"/>
              <w:spacing w:before="0" w:after="283"/>
              <w:jc w:val="left"/>
              <w:rPr>
                <w:sz w:val="4"/>
                <w:szCs w:val="4"/>
              </w:rPr>
            </w:pPr>
            <w:r>
              <w:rPr>
                <w:sz w:val="4"/>
                <w:szCs w:val="4"/>
              </w:rPr>
            </w:r>
          </w:p>
        </w:tc>
        <w:tc>
          <w:tcPr>
            <w:tcW w:w="5254" w:type="dxa"/>
            <w:gridSpan w:val="2"/>
            <w:tcBorders/>
            <w:vAlign w:val="center"/>
          </w:tcPr>
          <w:p>
            <w:pPr>
              <w:pStyle w:val="TableContents"/>
              <w:bidi w:val="0"/>
              <w:spacing w:before="0" w:after="283"/>
              <w:jc w:val="left"/>
              <w:rPr>
                <w:sz w:val="4"/>
                <w:szCs w:val="4"/>
              </w:rPr>
            </w:pPr>
            <w:r>
              <w:rPr>
                <w:sz w:val="4"/>
                <w:szCs w:val="4"/>
              </w:rPr>
            </w:r>
          </w:p>
        </w:tc>
      </w:tr>
      <w:tr>
        <w:trPr/>
        <w:tc>
          <w:tcPr>
            <w:tcW w:w="4951" w:type="dxa"/>
            <w:tcBorders/>
          </w:tcPr>
          <w:p>
            <w:pPr>
              <w:pStyle w:val="TableContents"/>
              <w:bidi w:val="0"/>
              <w:spacing w:before="0" w:after="283"/>
              <w:jc w:val="left"/>
              <w:rPr>
                <w:b/>
              </w:rPr>
            </w:pPr>
            <w:r>
              <w:rPr>
                <w:b/>
              </w:rPr>
              <w:t>Mereo</w:t>
            </w:r>
          </w:p>
        </w:tc>
        <w:tc>
          <w:tcPr>
            <w:tcW w:w="120" w:type="dxa"/>
            <w:tcBorders/>
            <w:vAlign w:val="bottom"/>
          </w:tcPr>
          <w:p>
            <w:pPr>
              <w:pStyle w:val="TableContents"/>
              <w:bidi w:val="0"/>
              <w:spacing w:before="0" w:after="283"/>
              <w:jc w:val="left"/>
              <w:rPr/>
            </w:pPr>
            <w:r>
              <w:rPr/>
              <w:t>  </w:t>
            </w:r>
          </w:p>
        </w:tc>
        <w:tc>
          <w:tcPr>
            <w:tcW w:w="5134" w:type="dxa"/>
            <w:tcBorders/>
          </w:tcPr>
          <w:p>
            <w:pPr>
              <w:pStyle w:val="TableContents"/>
              <w:bidi w:val="0"/>
              <w:spacing w:before="0" w:after="283"/>
              <w:jc w:val="left"/>
              <w:rPr>
                <w:b/>
              </w:rPr>
            </w:pPr>
            <w:r>
              <w:rPr>
                <w:b/>
              </w:rPr>
              <w:t>+44 (0)333 023 7300</w:t>
            </w:r>
          </w:p>
        </w:tc>
      </w:tr>
      <w:tr>
        <w:trPr>
          <w:trHeight w:val="120" w:hRule="atLeast"/>
        </w:trPr>
        <w:tc>
          <w:tcPr>
            <w:tcW w:w="4951" w:type="dxa"/>
            <w:tcBorders/>
            <w:vAlign w:val="center"/>
          </w:tcPr>
          <w:p>
            <w:pPr>
              <w:pStyle w:val="TableContents"/>
              <w:bidi w:val="0"/>
              <w:spacing w:before="0" w:after="283"/>
              <w:jc w:val="left"/>
              <w:rPr>
                <w:sz w:val="4"/>
                <w:szCs w:val="4"/>
              </w:rPr>
            </w:pPr>
            <w:r>
              <w:rPr>
                <w:sz w:val="4"/>
                <w:szCs w:val="4"/>
              </w:rPr>
            </w:r>
          </w:p>
        </w:tc>
        <w:tc>
          <w:tcPr>
            <w:tcW w:w="5254" w:type="dxa"/>
            <w:gridSpan w:val="2"/>
            <w:tcBorders/>
            <w:vAlign w:val="center"/>
          </w:tcPr>
          <w:p>
            <w:pPr>
              <w:pStyle w:val="TableContents"/>
              <w:bidi w:val="0"/>
              <w:spacing w:before="0" w:after="283"/>
              <w:jc w:val="left"/>
              <w:rPr>
                <w:sz w:val="4"/>
                <w:szCs w:val="4"/>
              </w:rPr>
            </w:pPr>
            <w:r>
              <w:rPr>
                <w:sz w:val="4"/>
                <w:szCs w:val="4"/>
              </w:rPr>
            </w:r>
          </w:p>
        </w:tc>
      </w:tr>
      <w:tr>
        <w:trPr/>
        <w:tc>
          <w:tcPr>
            <w:tcW w:w="4951" w:type="dxa"/>
            <w:tcBorders/>
          </w:tcPr>
          <w:p>
            <w:pPr>
              <w:pStyle w:val="TableContents"/>
              <w:bidi w:val="0"/>
              <w:spacing w:before="0" w:after="283"/>
              <w:jc w:val="left"/>
              <w:rPr/>
            </w:pPr>
            <w:r>
              <w:rPr/>
              <w:t>Denise Scots-Knight, Chief Executive Officer</w:t>
            </w:r>
          </w:p>
        </w:tc>
        <w:tc>
          <w:tcPr>
            <w:tcW w:w="120" w:type="dxa"/>
            <w:tcBorders/>
            <w:vAlign w:val="bottom"/>
          </w:tcPr>
          <w:p>
            <w:pPr>
              <w:pStyle w:val="TableContents"/>
              <w:bidi w:val="0"/>
              <w:spacing w:before="0" w:after="283"/>
              <w:jc w:val="left"/>
              <w:rPr/>
            </w:pPr>
            <w:r>
              <w:rPr/>
              <w:t>  </w:t>
            </w:r>
          </w:p>
        </w:tc>
        <w:tc>
          <w:tcPr>
            <w:tcW w:w="5134" w:type="dxa"/>
            <w:tcBorders/>
          </w:tcPr>
          <w:p>
            <w:pPr>
              <w:pStyle w:val="TableContents"/>
              <w:bidi w:val="0"/>
              <w:spacing w:before="0" w:after="283"/>
              <w:jc w:val="left"/>
              <w:rPr>
                <w:sz w:val="4"/>
                <w:szCs w:val="4"/>
              </w:rPr>
            </w:pPr>
            <w:r>
              <w:rPr>
                <w:sz w:val="4"/>
                <w:szCs w:val="4"/>
              </w:rPr>
            </w:r>
          </w:p>
        </w:tc>
      </w:tr>
      <w:tr>
        <w:trPr>
          <w:trHeight w:val="120" w:hRule="atLeast"/>
        </w:trPr>
        <w:tc>
          <w:tcPr>
            <w:tcW w:w="4951" w:type="dxa"/>
            <w:tcBorders/>
            <w:vAlign w:val="center"/>
          </w:tcPr>
          <w:p>
            <w:pPr>
              <w:pStyle w:val="TableContents"/>
              <w:bidi w:val="0"/>
              <w:spacing w:before="0" w:after="283"/>
              <w:jc w:val="left"/>
              <w:rPr>
                <w:sz w:val="4"/>
                <w:szCs w:val="4"/>
              </w:rPr>
            </w:pPr>
            <w:r>
              <w:rPr>
                <w:sz w:val="4"/>
                <w:szCs w:val="4"/>
              </w:rPr>
            </w:r>
          </w:p>
        </w:tc>
        <w:tc>
          <w:tcPr>
            <w:tcW w:w="5254" w:type="dxa"/>
            <w:gridSpan w:val="2"/>
            <w:tcBorders/>
            <w:vAlign w:val="center"/>
          </w:tcPr>
          <w:p>
            <w:pPr>
              <w:pStyle w:val="TableContents"/>
              <w:bidi w:val="0"/>
              <w:spacing w:before="0" w:after="283"/>
              <w:jc w:val="left"/>
              <w:rPr>
                <w:sz w:val="4"/>
                <w:szCs w:val="4"/>
              </w:rPr>
            </w:pPr>
            <w:r>
              <w:rPr>
                <w:sz w:val="4"/>
                <w:szCs w:val="4"/>
              </w:rPr>
            </w:r>
          </w:p>
        </w:tc>
      </w:tr>
      <w:tr>
        <w:trPr/>
        <w:tc>
          <w:tcPr>
            <w:tcW w:w="4951" w:type="dxa"/>
            <w:tcBorders/>
          </w:tcPr>
          <w:p>
            <w:pPr>
              <w:pStyle w:val="TableContents"/>
              <w:bidi w:val="0"/>
              <w:spacing w:before="0" w:after="283"/>
              <w:jc w:val="left"/>
              <w:rPr/>
            </w:pPr>
            <w:r>
              <w:rPr/>
              <w:t>Christine Fox, Chief Financial Officer</w:t>
            </w:r>
          </w:p>
        </w:tc>
        <w:tc>
          <w:tcPr>
            <w:tcW w:w="120" w:type="dxa"/>
            <w:tcBorders/>
            <w:vAlign w:val="bottom"/>
          </w:tcPr>
          <w:p>
            <w:pPr>
              <w:pStyle w:val="TableContents"/>
              <w:bidi w:val="0"/>
              <w:spacing w:before="0" w:after="283"/>
              <w:jc w:val="left"/>
              <w:rPr/>
            </w:pPr>
            <w:r>
              <w:rPr/>
              <w:t>  </w:t>
            </w:r>
          </w:p>
        </w:tc>
        <w:tc>
          <w:tcPr>
            <w:tcW w:w="5134" w:type="dxa"/>
            <w:tcBorders/>
          </w:tcPr>
          <w:p>
            <w:pPr>
              <w:pStyle w:val="TableContents"/>
              <w:bidi w:val="0"/>
              <w:spacing w:before="0" w:after="283"/>
              <w:jc w:val="left"/>
              <w:rPr>
                <w:sz w:val="4"/>
                <w:szCs w:val="4"/>
              </w:rPr>
            </w:pPr>
            <w:r>
              <w:rPr>
                <w:sz w:val="4"/>
                <w:szCs w:val="4"/>
              </w:rPr>
            </w:r>
          </w:p>
        </w:tc>
      </w:tr>
      <w:tr>
        <w:trPr>
          <w:trHeight w:val="120" w:hRule="atLeast"/>
        </w:trPr>
        <w:tc>
          <w:tcPr>
            <w:tcW w:w="4951" w:type="dxa"/>
            <w:tcBorders/>
            <w:vAlign w:val="center"/>
          </w:tcPr>
          <w:p>
            <w:pPr>
              <w:pStyle w:val="TableContents"/>
              <w:bidi w:val="0"/>
              <w:spacing w:before="0" w:after="283"/>
              <w:jc w:val="left"/>
              <w:rPr>
                <w:sz w:val="4"/>
                <w:szCs w:val="4"/>
              </w:rPr>
            </w:pPr>
            <w:r>
              <w:rPr>
                <w:sz w:val="4"/>
                <w:szCs w:val="4"/>
              </w:rPr>
            </w:r>
          </w:p>
        </w:tc>
        <w:tc>
          <w:tcPr>
            <w:tcW w:w="5254" w:type="dxa"/>
            <w:gridSpan w:val="2"/>
            <w:tcBorders/>
            <w:vAlign w:val="center"/>
          </w:tcPr>
          <w:p>
            <w:pPr>
              <w:pStyle w:val="TableContents"/>
              <w:bidi w:val="0"/>
              <w:spacing w:before="0" w:after="283"/>
              <w:jc w:val="left"/>
              <w:rPr>
                <w:sz w:val="4"/>
                <w:szCs w:val="4"/>
              </w:rPr>
            </w:pPr>
            <w:r>
              <w:rPr>
                <w:sz w:val="4"/>
                <w:szCs w:val="4"/>
              </w:rPr>
            </w:r>
          </w:p>
        </w:tc>
      </w:tr>
      <w:tr>
        <w:trPr/>
        <w:tc>
          <w:tcPr>
            <w:tcW w:w="4951" w:type="dxa"/>
            <w:tcBorders/>
          </w:tcPr>
          <w:p>
            <w:pPr>
              <w:pStyle w:val="TableContents"/>
              <w:bidi w:val="0"/>
              <w:spacing w:before="0" w:after="283"/>
              <w:jc w:val="left"/>
              <w:rPr>
                <w:b/>
              </w:rPr>
            </w:pPr>
            <w:r>
              <w:rPr>
                <w:b/>
              </w:rPr>
              <w:t>Burns McClellan (Investor Relations Adviser to Mereo)</w:t>
            </w:r>
          </w:p>
        </w:tc>
        <w:tc>
          <w:tcPr>
            <w:tcW w:w="120" w:type="dxa"/>
            <w:tcBorders/>
            <w:vAlign w:val="bottom"/>
          </w:tcPr>
          <w:p>
            <w:pPr>
              <w:pStyle w:val="TableContents"/>
              <w:bidi w:val="0"/>
              <w:spacing w:before="0" w:after="283"/>
              <w:jc w:val="left"/>
              <w:rPr/>
            </w:pPr>
            <w:r>
              <w:rPr/>
              <w:t>  </w:t>
            </w:r>
          </w:p>
        </w:tc>
        <w:tc>
          <w:tcPr>
            <w:tcW w:w="5134" w:type="dxa"/>
            <w:tcBorders/>
          </w:tcPr>
          <w:p>
            <w:pPr>
              <w:pStyle w:val="TableContents"/>
              <w:bidi w:val="0"/>
              <w:spacing w:before="0" w:after="283"/>
              <w:jc w:val="left"/>
              <w:rPr>
                <w:b/>
              </w:rPr>
            </w:pPr>
            <w:r>
              <w:rPr>
                <w:b/>
              </w:rPr>
              <w:t>+01 646 930 4406</w:t>
            </w:r>
          </w:p>
        </w:tc>
      </w:tr>
      <w:tr>
        <w:trPr>
          <w:trHeight w:val="120" w:hRule="atLeast"/>
        </w:trPr>
        <w:tc>
          <w:tcPr>
            <w:tcW w:w="4951" w:type="dxa"/>
            <w:tcBorders/>
            <w:vAlign w:val="center"/>
          </w:tcPr>
          <w:p>
            <w:pPr>
              <w:pStyle w:val="TableContents"/>
              <w:bidi w:val="0"/>
              <w:spacing w:before="0" w:after="283"/>
              <w:jc w:val="left"/>
              <w:rPr>
                <w:sz w:val="4"/>
                <w:szCs w:val="4"/>
              </w:rPr>
            </w:pPr>
            <w:r>
              <w:rPr>
                <w:sz w:val="4"/>
                <w:szCs w:val="4"/>
              </w:rPr>
            </w:r>
          </w:p>
        </w:tc>
        <w:tc>
          <w:tcPr>
            <w:tcW w:w="5254" w:type="dxa"/>
            <w:gridSpan w:val="2"/>
            <w:tcBorders/>
            <w:vAlign w:val="center"/>
          </w:tcPr>
          <w:p>
            <w:pPr>
              <w:pStyle w:val="TableContents"/>
              <w:bidi w:val="0"/>
              <w:spacing w:before="0" w:after="283"/>
              <w:jc w:val="left"/>
              <w:rPr>
                <w:sz w:val="4"/>
                <w:szCs w:val="4"/>
              </w:rPr>
            </w:pPr>
            <w:r>
              <w:rPr>
                <w:sz w:val="4"/>
                <w:szCs w:val="4"/>
              </w:rPr>
            </w:r>
          </w:p>
        </w:tc>
      </w:tr>
      <w:tr>
        <w:trPr/>
        <w:tc>
          <w:tcPr>
            <w:tcW w:w="4951" w:type="dxa"/>
            <w:tcBorders/>
          </w:tcPr>
          <w:p>
            <w:pPr>
              <w:pStyle w:val="TableContents"/>
              <w:bidi w:val="0"/>
              <w:spacing w:before="0" w:after="283"/>
              <w:jc w:val="left"/>
              <w:rPr/>
            </w:pPr>
            <w:r>
              <w:rPr/>
              <w:t>Lee Roth</w:t>
            </w:r>
          </w:p>
        </w:tc>
        <w:tc>
          <w:tcPr>
            <w:tcW w:w="120" w:type="dxa"/>
            <w:tcBorders/>
            <w:vAlign w:val="bottom"/>
          </w:tcPr>
          <w:p>
            <w:pPr>
              <w:pStyle w:val="TableContents"/>
              <w:bidi w:val="0"/>
              <w:spacing w:before="0" w:after="283"/>
              <w:jc w:val="left"/>
              <w:rPr/>
            </w:pPr>
            <w:r>
              <w:rPr/>
              <w:t>  </w:t>
            </w:r>
          </w:p>
        </w:tc>
        <w:tc>
          <w:tcPr>
            <w:tcW w:w="5134" w:type="dxa"/>
            <w:tcBorders/>
          </w:tcPr>
          <w:p>
            <w:pPr>
              <w:pStyle w:val="TableContents"/>
              <w:bidi w:val="0"/>
              <w:spacing w:before="0" w:after="283"/>
              <w:jc w:val="left"/>
              <w:rPr>
                <w:sz w:val="4"/>
                <w:szCs w:val="4"/>
              </w:rPr>
            </w:pPr>
            <w:r>
              <w:rPr>
                <w:sz w:val="4"/>
                <w:szCs w:val="4"/>
              </w:rPr>
            </w:r>
          </w:p>
        </w:tc>
      </w:tr>
      <w:tr>
        <w:trPr>
          <w:trHeight w:val="120" w:hRule="atLeast"/>
        </w:trPr>
        <w:tc>
          <w:tcPr>
            <w:tcW w:w="4951" w:type="dxa"/>
            <w:tcBorders/>
            <w:vAlign w:val="center"/>
          </w:tcPr>
          <w:p>
            <w:pPr>
              <w:pStyle w:val="TableContents"/>
              <w:bidi w:val="0"/>
              <w:spacing w:before="0" w:after="283"/>
              <w:jc w:val="left"/>
              <w:rPr>
                <w:sz w:val="4"/>
                <w:szCs w:val="4"/>
              </w:rPr>
            </w:pPr>
            <w:r>
              <w:rPr>
                <w:sz w:val="4"/>
                <w:szCs w:val="4"/>
              </w:rPr>
            </w:r>
          </w:p>
        </w:tc>
        <w:tc>
          <w:tcPr>
            <w:tcW w:w="5254" w:type="dxa"/>
            <w:gridSpan w:val="2"/>
            <w:tcBorders/>
            <w:vAlign w:val="center"/>
          </w:tcPr>
          <w:p>
            <w:pPr>
              <w:pStyle w:val="TableContents"/>
              <w:bidi w:val="0"/>
              <w:spacing w:before="0" w:after="283"/>
              <w:jc w:val="left"/>
              <w:rPr>
                <w:sz w:val="4"/>
                <w:szCs w:val="4"/>
              </w:rPr>
            </w:pPr>
            <w:r>
              <w:rPr>
                <w:sz w:val="4"/>
                <w:szCs w:val="4"/>
              </w:rPr>
            </w:r>
          </w:p>
        </w:tc>
      </w:tr>
      <w:tr>
        <w:trPr/>
        <w:tc>
          <w:tcPr>
            <w:tcW w:w="4951" w:type="dxa"/>
            <w:tcBorders/>
          </w:tcPr>
          <w:p>
            <w:pPr>
              <w:pStyle w:val="TableContents"/>
              <w:bidi w:val="0"/>
              <w:spacing w:before="0" w:after="283"/>
              <w:jc w:val="left"/>
              <w:rPr>
                <w:b/>
              </w:rPr>
            </w:pPr>
            <w:r>
              <w:rPr>
                <w:b/>
              </w:rPr>
              <w:t>Investors</w:t>
            </w:r>
          </w:p>
        </w:tc>
        <w:tc>
          <w:tcPr>
            <w:tcW w:w="120" w:type="dxa"/>
            <w:tcBorders/>
            <w:vAlign w:val="bottom"/>
          </w:tcPr>
          <w:p>
            <w:pPr>
              <w:pStyle w:val="TableContents"/>
              <w:bidi w:val="0"/>
              <w:spacing w:before="0" w:after="283"/>
              <w:jc w:val="left"/>
              <w:rPr/>
            </w:pPr>
            <w:r>
              <w:rPr/>
              <w:t>  </w:t>
            </w:r>
          </w:p>
        </w:tc>
        <w:tc>
          <w:tcPr>
            <w:tcW w:w="5134" w:type="dxa"/>
            <w:tcBorders/>
          </w:tcPr>
          <w:p>
            <w:pPr>
              <w:pStyle w:val="TableContents"/>
              <w:bidi w:val="0"/>
              <w:spacing w:before="0" w:after="283"/>
              <w:jc w:val="left"/>
              <w:rPr>
                <w:u w:val="single"/>
              </w:rPr>
            </w:pPr>
            <w:r>
              <w:rPr>
                <w:u w:val="single"/>
              </w:rPr>
              <w:t>investors@mereobiopharma.com</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MEREO BIOPHARMA GROUP PLC </w:t>
      </w:r>
    </w:p>
    <w:p>
      <w:pPr>
        <w:pStyle w:val="TextBody"/>
        <w:bidi w:val="0"/>
        <w:spacing w:before="0" w:after="0"/>
        <w:jc w:val="center"/>
        <w:rPr>
          <w:rFonts w:ascii="Times New Roman" w:hAnsi="Times New Roman"/>
          <w:sz w:val="20"/>
        </w:rPr>
      </w:pPr>
      <w:r>
        <w:rPr>
          <w:rFonts w:ascii="Times New Roman" w:hAnsi="Times New Roman"/>
          <w:sz w:val="20"/>
        </w:rPr>
        <w:t xml:space="preserve">CONDENSED CONSOLIDATED BALANCE SHEETS </w:t>
      </w:r>
    </w:p>
    <w:p>
      <w:pPr>
        <w:pStyle w:val="TextBody"/>
        <w:bidi w:val="0"/>
        <w:spacing w:before="0" w:after="0"/>
        <w:jc w:val="center"/>
        <w:rPr>
          <w:rFonts w:ascii="Times New Roman" w:hAnsi="Times New Roman"/>
          <w:sz w:val="20"/>
        </w:rPr>
      </w:pPr>
      <w:r>
        <w:rPr>
          <w:rFonts w:ascii="Times New Roman" w:hAnsi="Times New Roman"/>
          <w:sz w:val="20"/>
        </w:rPr>
        <w:t xml:space="preserve">(In thousands, except share and per share data)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79"/>
        <w:gridCol w:w="307"/>
        <w:gridCol w:w="140"/>
        <w:gridCol w:w="876"/>
        <w:gridCol w:w="155"/>
        <w:gridCol w:w="262"/>
        <w:gridCol w:w="186"/>
        <w:gridCol w:w="1242"/>
        <w:gridCol w:w="158"/>
      </w:tblGrid>
      <w:tr>
        <w:trPr/>
        <w:tc>
          <w:tcPr>
            <w:tcW w:w="6879"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4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8" w:type="dxa"/>
            <w:tcBorders/>
            <w:vAlign w:val="bottom"/>
          </w:tcPr>
          <w:p>
            <w:pPr>
              <w:pStyle w:val="TableContents"/>
              <w:bidi w:val="0"/>
              <w:spacing w:before="0" w:after="283"/>
              <w:jc w:val="left"/>
              <w:rPr/>
            </w:pPr>
            <w:r>
              <w:rPr/>
              <w:t> </w:t>
            </w:r>
          </w:p>
        </w:tc>
      </w:tr>
      <w:tr>
        <w:trPr/>
        <w:tc>
          <w:tcPr>
            <w:tcW w:w="687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4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8" w:type="dxa"/>
            <w:tcBorders/>
            <w:vAlign w:val="bottom"/>
          </w:tcPr>
          <w:p>
            <w:pPr>
              <w:pStyle w:val="TableContents"/>
              <w:bidi w:val="0"/>
              <w:spacing w:before="0" w:after="283"/>
              <w:jc w:val="left"/>
              <w:rPr/>
            </w:pPr>
            <w:r>
              <w:rPr/>
              <w:t> </w:t>
            </w:r>
          </w:p>
        </w:tc>
      </w:tr>
      <w:tr>
        <w:trPr/>
        <w:tc>
          <w:tcPr>
            <w:tcW w:w="687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24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879"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24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8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48,660</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57,421</w:t>
            </w:r>
          </w:p>
        </w:tc>
        <w:tc>
          <w:tcPr>
            <w:tcW w:w="158" w:type="dxa"/>
            <w:tcBorders/>
            <w:shd w:fill="CCEEFF" w:val="clear"/>
            <w:vAlign w:val="bottom"/>
          </w:tcPr>
          <w:p>
            <w:pPr>
              <w:pStyle w:val="TableContents"/>
              <w:bidi w:val="0"/>
              <w:spacing w:before="0" w:after="283"/>
              <w:jc w:val="left"/>
              <w:rPr/>
            </w:pPr>
            <w:r>
              <w:rPr/>
              <w:t> </w:t>
            </w:r>
          </w:p>
        </w:tc>
      </w:tr>
      <w:tr>
        <w:trPr/>
        <w:tc>
          <w:tcPr>
            <w:tcW w:w="6879"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3,188</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5,156</w:t>
            </w:r>
          </w:p>
        </w:tc>
        <w:tc>
          <w:tcPr>
            <w:tcW w:w="158" w:type="dxa"/>
            <w:tcBorders/>
            <w:vAlign w:val="bottom"/>
          </w:tcPr>
          <w:p>
            <w:pPr>
              <w:pStyle w:val="TableContents"/>
              <w:bidi w:val="0"/>
              <w:spacing w:before="0" w:after="283"/>
              <w:jc w:val="left"/>
              <w:rPr/>
            </w:pPr>
            <w:r>
              <w:rPr/>
              <w:t> </w:t>
            </w:r>
          </w:p>
        </w:tc>
      </w:tr>
      <w:tr>
        <w:trPr/>
        <w:tc>
          <w:tcPr>
            <w:tcW w:w="68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incentives receivables</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1,648</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1,183</w:t>
            </w:r>
          </w:p>
        </w:tc>
        <w:tc>
          <w:tcPr>
            <w:tcW w:w="158" w:type="dxa"/>
            <w:tcBorders/>
            <w:shd w:fill="CCEEFF" w:val="clear"/>
            <w:vAlign w:val="bottom"/>
          </w:tcPr>
          <w:p>
            <w:pPr>
              <w:pStyle w:val="TableContents"/>
              <w:bidi w:val="0"/>
              <w:spacing w:before="0" w:after="283"/>
              <w:jc w:val="left"/>
              <w:rPr/>
            </w:pPr>
            <w:r>
              <w:rPr/>
              <w:t> </w:t>
            </w:r>
          </w:p>
        </w:tc>
      </w:tr>
      <w:tr>
        <w:trPr/>
        <w:tc>
          <w:tcPr>
            <w:tcW w:w="68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79"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53,496</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63,760</w:t>
            </w:r>
          </w:p>
        </w:tc>
        <w:tc>
          <w:tcPr>
            <w:tcW w:w="158" w:type="dxa"/>
            <w:tcBorders/>
            <w:vAlign w:val="bottom"/>
          </w:tcPr>
          <w:p>
            <w:pPr>
              <w:pStyle w:val="TableContents"/>
              <w:bidi w:val="0"/>
              <w:spacing w:before="0" w:after="283"/>
              <w:jc w:val="left"/>
              <w:rPr/>
            </w:pPr>
            <w:r>
              <w:rPr/>
              <w:t> </w:t>
            </w:r>
          </w:p>
        </w:tc>
      </w:tr>
      <w:tr>
        <w:trPr/>
        <w:tc>
          <w:tcPr>
            <w:tcW w:w="68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360</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405</w:t>
            </w:r>
          </w:p>
        </w:tc>
        <w:tc>
          <w:tcPr>
            <w:tcW w:w="158" w:type="dxa"/>
            <w:tcBorders/>
            <w:shd w:fill="CCEEFF" w:val="clear"/>
            <w:vAlign w:val="bottom"/>
          </w:tcPr>
          <w:p>
            <w:pPr>
              <w:pStyle w:val="TableContents"/>
              <w:bidi w:val="0"/>
              <w:spacing w:before="0" w:after="283"/>
              <w:jc w:val="left"/>
              <w:rPr/>
            </w:pPr>
            <w:r>
              <w:rPr/>
              <w:t> </w:t>
            </w:r>
          </w:p>
        </w:tc>
      </w:tr>
      <w:tr>
        <w:trPr/>
        <w:tc>
          <w:tcPr>
            <w:tcW w:w="6879"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1,109</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1,245</w:t>
            </w:r>
          </w:p>
        </w:tc>
        <w:tc>
          <w:tcPr>
            <w:tcW w:w="158" w:type="dxa"/>
            <w:tcBorders/>
            <w:vAlign w:val="bottom"/>
          </w:tcPr>
          <w:p>
            <w:pPr>
              <w:pStyle w:val="TableContents"/>
              <w:bidi w:val="0"/>
              <w:spacing w:before="0" w:after="283"/>
              <w:jc w:val="left"/>
              <w:rPr/>
            </w:pPr>
            <w:r>
              <w:rPr/>
              <w:t> </w:t>
            </w:r>
          </w:p>
        </w:tc>
      </w:tr>
      <w:tr>
        <w:trPr/>
        <w:tc>
          <w:tcPr>
            <w:tcW w:w="68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972</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1,089</w:t>
            </w:r>
          </w:p>
        </w:tc>
        <w:tc>
          <w:tcPr>
            <w:tcW w:w="158" w:type="dxa"/>
            <w:tcBorders/>
            <w:shd w:fill="CCEEFF" w:val="clear"/>
            <w:vAlign w:val="bottom"/>
          </w:tcPr>
          <w:p>
            <w:pPr>
              <w:pStyle w:val="TableContents"/>
              <w:bidi w:val="0"/>
              <w:spacing w:before="0" w:after="283"/>
              <w:jc w:val="left"/>
              <w:rPr/>
            </w:pPr>
            <w:r>
              <w:rPr/>
              <w:t> </w:t>
            </w:r>
          </w:p>
        </w:tc>
      </w:tr>
      <w:tr>
        <w:trPr/>
        <w:tc>
          <w:tcPr>
            <w:tcW w:w="68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7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76" w:type="dxa"/>
            <w:tcBorders/>
            <w:vAlign w:val="bottom"/>
          </w:tcPr>
          <w:p>
            <w:pPr>
              <w:pStyle w:val="TableContents"/>
              <w:bidi w:val="0"/>
              <w:spacing w:before="0" w:after="283"/>
              <w:jc w:val="right"/>
              <w:rPr>
                <w:b/>
              </w:rPr>
            </w:pPr>
            <w:r>
              <w:rPr>
                <w:b/>
              </w:rPr>
              <w:t>55,937</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b/>
              </w:rPr>
            </w:pPr>
            <w:r>
              <w:rPr>
                <w:b/>
              </w:rPr>
              <w:t>$</w:t>
            </w:r>
          </w:p>
        </w:tc>
        <w:tc>
          <w:tcPr>
            <w:tcW w:w="1242" w:type="dxa"/>
            <w:tcBorders/>
            <w:vAlign w:val="bottom"/>
          </w:tcPr>
          <w:p>
            <w:pPr>
              <w:pStyle w:val="TableContents"/>
              <w:bidi w:val="0"/>
              <w:spacing w:before="0" w:after="283"/>
              <w:jc w:val="right"/>
              <w:rPr>
                <w:b/>
              </w:rPr>
            </w:pPr>
            <w:r>
              <w:rPr>
                <w:b/>
              </w:rPr>
              <w:t>66,499</w:t>
            </w:r>
          </w:p>
        </w:tc>
        <w:tc>
          <w:tcPr>
            <w:tcW w:w="158" w:type="dxa"/>
            <w:tcBorders/>
            <w:vAlign w:val="bottom"/>
          </w:tcPr>
          <w:p>
            <w:pPr>
              <w:pStyle w:val="TableContents"/>
              <w:bidi w:val="0"/>
              <w:spacing w:before="0" w:after="283"/>
              <w:jc w:val="left"/>
              <w:rPr/>
            </w:pPr>
            <w:r>
              <w:rPr/>
              <w:t> </w:t>
            </w:r>
          </w:p>
        </w:tc>
      </w:tr>
      <w:tr>
        <w:trPr/>
        <w:tc>
          <w:tcPr>
            <w:tcW w:w="68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7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24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879"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24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8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2,455</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2,346</w:t>
            </w:r>
          </w:p>
        </w:tc>
        <w:tc>
          <w:tcPr>
            <w:tcW w:w="158" w:type="dxa"/>
            <w:tcBorders/>
            <w:shd w:fill="CCEEFF" w:val="clear"/>
            <w:vAlign w:val="bottom"/>
          </w:tcPr>
          <w:p>
            <w:pPr>
              <w:pStyle w:val="TableContents"/>
              <w:bidi w:val="0"/>
              <w:spacing w:before="0" w:after="283"/>
              <w:jc w:val="left"/>
              <w:rPr/>
            </w:pPr>
            <w:r>
              <w:rPr/>
              <w:t> </w:t>
            </w:r>
          </w:p>
        </w:tc>
      </w:tr>
      <w:tr>
        <w:trPr/>
        <w:tc>
          <w:tcPr>
            <w:tcW w:w="6879"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2,539</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5,467</w:t>
            </w:r>
          </w:p>
        </w:tc>
        <w:tc>
          <w:tcPr>
            <w:tcW w:w="158" w:type="dxa"/>
            <w:tcBorders/>
            <w:vAlign w:val="bottom"/>
          </w:tcPr>
          <w:p>
            <w:pPr>
              <w:pStyle w:val="TableContents"/>
              <w:bidi w:val="0"/>
              <w:spacing w:before="0" w:after="283"/>
              <w:jc w:val="left"/>
              <w:rPr/>
            </w:pPr>
            <w:r>
              <w:rPr/>
              <w:t> </w:t>
            </w:r>
          </w:p>
        </w:tc>
      </w:tr>
      <w:tr>
        <w:trPr/>
        <w:tc>
          <w:tcPr>
            <w:tcW w:w="68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loan notes  current</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4,630</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879"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 current</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662</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652</w:t>
            </w:r>
          </w:p>
        </w:tc>
        <w:tc>
          <w:tcPr>
            <w:tcW w:w="158" w:type="dxa"/>
            <w:tcBorders/>
            <w:vAlign w:val="bottom"/>
          </w:tcPr>
          <w:p>
            <w:pPr>
              <w:pStyle w:val="TableContents"/>
              <w:bidi w:val="0"/>
              <w:spacing w:before="0" w:after="283"/>
              <w:jc w:val="left"/>
              <w:rPr/>
            </w:pPr>
            <w:r>
              <w:rPr/>
              <w:t> </w:t>
            </w:r>
          </w:p>
        </w:tc>
      </w:tr>
      <w:tr>
        <w:trPr/>
        <w:tc>
          <w:tcPr>
            <w:tcW w:w="68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718</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1,021</w:t>
            </w:r>
          </w:p>
        </w:tc>
        <w:tc>
          <w:tcPr>
            <w:tcW w:w="158" w:type="dxa"/>
            <w:tcBorders/>
            <w:shd w:fill="CCEEFF" w:val="clear"/>
            <w:vAlign w:val="bottom"/>
          </w:tcPr>
          <w:p>
            <w:pPr>
              <w:pStyle w:val="TableContents"/>
              <w:bidi w:val="0"/>
              <w:spacing w:before="0" w:after="283"/>
              <w:jc w:val="left"/>
              <w:rPr/>
            </w:pPr>
            <w:r>
              <w:rPr/>
              <w:t> </w:t>
            </w:r>
          </w:p>
        </w:tc>
      </w:tr>
      <w:tr>
        <w:trPr/>
        <w:tc>
          <w:tcPr>
            <w:tcW w:w="68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79"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11,004</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9,486</w:t>
            </w:r>
          </w:p>
        </w:tc>
        <w:tc>
          <w:tcPr>
            <w:tcW w:w="158" w:type="dxa"/>
            <w:tcBorders/>
            <w:vAlign w:val="bottom"/>
          </w:tcPr>
          <w:p>
            <w:pPr>
              <w:pStyle w:val="TableContents"/>
              <w:bidi w:val="0"/>
              <w:spacing w:before="0" w:after="283"/>
              <w:jc w:val="left"/>
              <w:rPr/>
            </w:pPr>
            <w:r>
              <w:rPr/>
              <w:t> </w:t>
            </w:r>
          </w:p>
        </w:tc>
      </w:tr>
      <w:tr>
        <w:trPr/>
        <w:tc>
          <w:tcPr>
            <w:tcW w:w="68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loan notes  non-current</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4,394</w:t>
            </w:r>
          </w:p>
        </w:tc>
        <w:tc>
          <w:tcPr>
            <w:tcW w:w="158" w:type="dxa"/>
            <w:tcBorders/>
            <w:shd w:fill="CCEEFF" w:val="clear"/>
            <w:vAlign w:val="bottom"/>
          </w:tcPr>
          <w:p>
            <w:pPr>
              <w:pStyle w:val="TableContents"/>
              <w:bidi w:val="0"/>
              <w:spacing w:before="0" w:after="283"/>
              <w:jc w:val="left"/>
              <w:rPr/>
            </w:pPr>
            <w:r>
              <w:rPr/>
              <w:t> </w:t>
            </w:r>
          </w:p>
        </w:tc>
      </w:tr>
      <w:tr>
        <w:trPr/>
        <w:tc>
          <w:tcPr>
            <w:tcW w:w="6879" w:type="dxa"/>
            <w:tcBorders/>
          </w:tcPr>
          <w:p>
            <w:pPr>
              <w:pStyle w:val="TableContents"/>
              <w:bidi w:val="0"/>
              <w:spacing w:before="0" w:after="0"/>
              <w:jc w:val="left"/>
              <w:rPr>
                <w:rFonts w:ascii="Times New Roman" w:hAnsi="Times New Roman"/>
                <w:sz w:val="20"/>
              </w:rPr>
            </w:pPr>
            <w:r>
              <w:rPr>
                <w:rFonts w:ascii="Times New Roman" w:hAnsi="Times New Roman"/>
                <w:sz w:val="20"/>
              </w:rPr>
              <w:t>Warrant liabilities  non-current</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855</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412</w:t>
            </w:r>
          </w:p>
        </w:tc>
        <w:tc>
          <w:tcPr>
            <w:tcW w:w="158" w:type="dxa"/>
            <w:tcBorders/>
            <w:vAlign w:val="bottom"/>
          </w:tcPr>
          <w:p>
            <w:pPr>
              <w:pStyle w:val="TableContents"/>
              <w:bidi w:val="0"/>
              <w:spacing w:before="0" w:after="283"/>
              <w:jc w:val="left"/>
              <w:rPr/>
            </w:pPr>
            <w:r>
              <w:rPr/>
              <w:t> </w:t>
            </w:r>
          </w:p>
        </w:tc>
      </w:tr>
      <w:tr>
        <w:trPr/>
        <w:tc>
          <w:tcPr>
            <w:tcW w:w="68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 non-current</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727</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906</w:t>
            </w:r>
          </w:p>
        </w:tc>
        <w:tc>
          <w:tcPr>
            <w:tcW w:w="158" w:type="dxa"/>
            <w:tcBorders/>
            <w:shd w:fill="CCEEFF" w:val="clear"/>
            <w:vAlign w:val="bottom"/>
          </w:tcPr>
          <w:p>
            <w:pPr>
              <w:pStyle w:val="TableContents"/>
              <w:bidi w:val="0"/>
              <w:spacing w:before="0" w:after="283"/>
              <w:jc w:val="left"/>
              <w:rPr/>
            </w:pPr>
            <w:r>
              <w:rPr/>
              <w:t> </w:t>
            </w:r>
          </w:p>
        </w:tc>
      </w:tr>
      <w:tr>
        <w:trPr/>
        <w:tc>
          <w:tcPr>
            <w:tcW w:w="6879"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513</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764</w:t>
            </w:r>
          </w:p>
        </w:tc>
        <w:tc>
          <w:tcPr>
            <w:tcW w:w="158" w:type="dxa"/>
            <w:tcBorders/>
            <w:vAlign w:val="bottom"/>
          </w:tcPr>
          <w:p>
            <w:pPr>
              <w:pStyle w:val="TableContents"/>
              <w:bidi w:val="0"/>
              <w:spacing w:before="0" w:after="283"/>
              <w:jc w:val="left"/>
              <w:rPr/>
            </w:pPr>
            <w:r>
              <w:rPr/>
              <w:t> </w:t>
            </w:r>
          </w:p>
        </w:tc>
      </w:tr>
      <w:tr>
        <w:trPr/>
        <w:tc>
          <w:tcPr>
            <w:tcW w:w="68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7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b/>
              </w:rPr>
            </w:pPr>
            <w:r>
              <w:rPr>
                <w:b/>
              </w:rPr>
              <w:t>13,099</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b/>
              </w:rPr>
            </w:pPr>
            <w:r>
              <w:rPr>
                <w:b/>
              </w:rPr>
              <w:t>15,962</w:t>
            </w:r>
          </w:p>
        </w:tc>
        <w:tc>
          <w:tcPr>
            <w:tcW w:w="158" w:type="dxa"/>
            <w:tcBorders/>
            <w:shd w:fill="CCEEFF" w:val="clear"/>
            <w:vAlign w:val="bottom"/>
          </w:tcPr>
          <w:p>
            <w:pPr>
              <w:pStyle w:val="TableContents"/>
              <w:bidi w:val="0"/>
              <w:spacing w:before="0" w:after="283"/>
              <w:jc w:val="left"/>
              <w:rPr/>
            </w:pPr>
            <w:r>
              <w:rPr/>
              <w:t> </w:t>
            </w:r>
          </w:p>
        </w:tc>
      </w:tr>
      <w:tr>
        <w:trPr/>
        <w:tc>
          <w:tcPr>
            <w:tcW w:w="6879"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15)</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24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87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24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879" w:type="dxa"/>
            <w:tcBorders/>
          </w:tcPr>
          <w:p>
            <w:pPr>
              <w:pStyle w:val="TableContents"/>
              <w:bidi w:val="0"/>
              <w:spacing w:before="0" w:after="0"/>
              <w:jc w:val="left"/>
              <w:rPr>
                <w:rFonts w:ascii="Times New Roman" w:hAnsi="Times New Roman"/>
                <w:sz w:val="20"/>
              </w:rPr>
            </w:pPr>
            <w:r>
              <w:rPr>
                <w:rFonts w:ascii="Times New Roman" w:hAnsi="Times New Roman"/>
                <w:sz w:val="20"/>
              </w:rPr>
              <w:t>Ordinary shares, par value £0.003 per share; 701,349,434 shares issued at March 31, 2024 (December 31, 2023: 701,217,089).</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2,775</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2,775</w:t>
            </w:r>
          </w:p>
        </w:tc>
        <w:tc>
          <w:tcPr>
            <w:tcW w:w="158" w:type="dxa"/>
            <w:tcBorders/>
            <w:vAlign w:val="bottom"/>
          </w:tcPr>
          <w:p>
            <w:pPr>
              <w:pStyle w:val="TableContents"/>
              <w:bidi w:val="0"/>
              <w:spacing w:before="0" w:after="283"/>
              <w:jc w:val="left"/>
              <w:rPr/>
            </w:pPr>
            <w:r>
              <w:rPr/>
              <w:t> </w:t>
            </w:r>
          </w:p>
        </w:tc>
      </w:tr>
      <w:tr>
        <w:trPr/>
        <w:tc>
          <w:tcPr>
            <w:tcW w:w="68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shares</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(1,230</w:t>
            </w:r>
          </w:p>
        </w:tc>
        <w:tc>
          <w:tcPr>
            <w:tcW w:w="158" w:type="dxa"/>
            <w:tcBorders/>
            <w:shd w:fill="CCEEFF" w:val="clear"/>
            <w:vAlign w:val="bottom"/>
          </w:tcPr>
          <w:p>
            <w:pPr>
              <w:pStyle w:val="TableContents"/>
              <w:bidi w:val="0"/>
              <w:spacing w:before="0" w:after="283"/>
              <w:jc w:val="left"/>
              <w:rPr/>
            </w:pPr>
            <w:r>
              <w:rPr/>
              <w:t>) </w:t>
            </w:r>
          </w:p>
        </w:tc>
      </w:tr>
      <w:tr>
        <w:trPr/>
        <w:tc>
          <w:tcPr>
            <w:tcW w:w="6879"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486,927</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486,107</w:t>
            </w:r>
          </w:p>
        </w:tc>
        <w:tc>
          <w:tcPr>
            <w:tcW w:w="158" w:type="dxa"/>
            <w:tcBorders/>
            <w:vAlign w:val="bottom"/>
          </w:tcPr>
          <w:p>
            <w:pPr>
              <w:pStyle w:val="TableContents"/>
              <w:bidi w:val="0"/>
              <w:spacing w:before="0" w:after="283"/>
              <w:jc w:val="left"/>
              <w:rPr/>
            </w:pPr>
            <w:r>
              <w:rPr/>
              <w:t> </w:t>
            </w:r>
          </w:p>
        </w:tc>
      </w:tr>
      <w:tr>
        <w:trPr/>
        <w:tc>
          <w:tcPr>
            <w:tcW w:w="68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(428,581</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(419,630</w:t>
            </w:r>
          </w:p>
        </w:tc>
        <w:tc>
          <w:tcPr>
            <w:tcW w:w="158" w:type="dxa"/>
            <w:tcBorders/>
            <w:shd w:fill="CCEEFF" w:val="clear"/>
            <w:vAlign w:val="bottom"/>
          </w:tcPr>
          <w:p>
            <w:pPr>
              <w:pStyle w:val="TableContents"/>
              <w:bidi w:val="0"/>
              <w:spacing w:before="0" w:after="283"/>
              <w:jc w:val="left"/>
              <w:rPr/>
            </w:pPr>
            <w:r>
              <w:rPr/>
              <w:t>) </w:t>
            </w:r>
          </w:p>
        </w:tc>
      </w:tr>
      <w:tr>
        <w:trPr/>
        <w:tc>
          <w:tcPr>
            <w:tcW w:w="6879"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(18,283</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(17,485</w:t>
            </w:r>
          </w:p>
        </w:tc>
        <w:tc>
          <w:tcPr>
            <w:tcW w:w="158" w:type="dxa"/>
            <w:tcBorders/>
            <w:vAlign w:val="bottom"/>
          </w:tcPr>
          <w:p>
            <w:pPr>
              <w:pStyle w:val="TableContents"/>
              <w:bidi w:val="0"/>
              <w:spacing w:before="0" w:after="283"/>
              <w:jc w:val="left"/>
              <w:rPr/>
            </w:pPr>
            <w:r>
              <w:rPr/>
              <w:t>) </w:t>
            </w:r>
          </w:p>
        </w:tc>
      </w:tr>
      <w:tr>
        <w:trPr/>
        <w:tc>
          <w:tcPr>
            <w:tcW w:w="68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7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shareholders equity</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42,838</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50,537</w:t>
            </w:r>
          </w:p>
        </w:tc>
        <w:tc>
          <w:tcPr>
            <w:tcW w:w="158" w:type="dxa"/>
            <w:tcBorders/>
            <w:shd w:fill="CCEEFF" w:val="clear"/>
            <w:vAlign w:val="bottom"/>
          </w:tcPr>
          <w:p>
            <w:pPr>
              <w:pStyle w:val="TableContents"/>
              <w:bidi w:val="0"/>
              <w:spacing w:before="0" w:after="283"/>
              <w:jc w:val="left"/>
              <w:rPr/>
            </w:pPr>
            <w:r>
              <w:rPr/>
              <w:t> </w:t>
            </w:r>
          </w:p>
        </w:tc>
      </w:tr>
      <w:tr>
        <w:trPr/>
        <w:tc>
          <w:tcPr>
            <w:tcW w:w="68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79"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and shareholders equity</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76" w:type="dxa"/>
            <w:tcBorders/>
            <w:vAlign w:val="bottom"/>
          </w:tcPr>
          <w:p>
            <w:pPr>
              <w:pStyle w:val="TableContents"/>
              <w:bidi w:val="0"/>
              <w:spacing w:before="0" w:after="283"/>
              <w:jc w:val="right"/>
              <w:rPr>
                <w:b/>
              </w:rPr>
            </w:pPr>
            <w:r>
              <w:rPr>
                <w:b/>
              </w:rPr>
              <w:t>55,937</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b/>
              </w:rPr>
            </w:pPr>
            <w:r>
              <w:rPr>
                <w:b/>
              </w:rPr>
              <w:t>$</w:t>
            </w:r>
          </w:p>
        </w:tc>
        <w:tc>
          <w:tcPr>
            <w:tcW w:w="1242" w:type="dxa"/>
            <w:tcBorders/>
            <w:vAlign w:val="bottom"/>
          </w:tcPr>
          <w:p>
            <w:pPr>
              <w:pStyle w:val="TableContents"/>
              <w:bidi w:val="0"/>
              <w:spacing w:before="0" w:after="283"/>
              <w:jc w:val="right"/>
              <w:rPr>
                <w:b/>
              </w:rPr>
            </w:pPr>
            <w:r>
              <w:rPr>
                <w:b/>
              </w:rPr>
              <w:t>66,499</w:t>
            </w:r>
          </w:p>
        </w:tc>
        <w:tc>
          <w:tcPr>
            <w:tcW w:w="158" w:type="dxa"/>
            <w:tcBorders/>
            <w:vAlign w:val="bottom"/>
          </w:tcPr>
          <w:p>
            <w:pPr>
              <w:pStyle w:val="TableContents"/>
              <w:bidi w:val="0"/>
              <w:spacing w:before="0" w:after="283"/>
              <w:jc w:val="left"/>
              <w:rPr/>
            </w:pPr>
            <w:r>
              <w:rPr/>
              <w:t> </w:t>
            </w:r>
          </w:p>
        </w:tc>
      </w:tr>
      <w:tr>
        <w:trPr/>
        <w:tc>
          <w:tcPr>
            <w:tcW w:w="68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MEREO BIOPHARMA GROUP PLC </w:t>
      </w:r>
    </w:p>
    <w:p>
      <w:pPr>
        <w:pStyle w:val="TextBody"/>
        <w:bidi w:val="0"/>
        <w:spacing w:before="0" w:after="0"/>
        <w:jc w:val="center"/>
        <w:rPr>
          <w:rFonts w:ascii="Times New Roman" w:hAnsi="Times New Roman"/>
          <w:sz w:val="20"/>
        </w:rPr>
      </w:pPr>
      <w:r>
        <w:rPr>
          <w:rFonts w:ascii="Times New Roman" w:hAnsi="Times New Roman"/>
          <w:sz w:val="20"/>
        </w:rPr>
        <w:t xml:space="preserve">CONDENSED CONSOLIDATED STATEMENTS OF OPERATIONS AND COMPREHENSIVE LOSS </w:t>
      </w:r>
    </w:p>
    <w:p>
      <w:pPr>
        <w:pStyle w:val="TextBody"/>
        <w:bidi w:val="0"/>
        <w:spacing w:before="0" w:after="0"/>
        <w:jc w:val="center"/>
        <w:rPr>
          <w:rFonts w:ascii="Times New Roman" w:hAnsi="Times New Roman"/>
          <w:sz w:val="20"/>
        </w:rPr>
      </w:pPr>
      <w:r>
        <w:rPr>
          <w:rFonts w:ascii="Times New Roman" w:hAnsi="Times New Roman"/>
          <w:sz w:val="20"/>
        </w:rPr>
        <w:t xml:space="preserve">(In thousands, except share and per share amounts)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66"/>
        <w:gridCol w:w="366"/>
        <w:gridCol w:w="140"/>
        <w:gridCol w:w="1228"/>
        <w:gridCol w:w="155"/>
        <w:gridCol w:w="323"/>
        <w:gridCol w:w="140"/>
        <w:gridCol w:w="1228"/>
        <w:gridCol w:w="159"/>
      </w:tblGrid>
      <w:tr>
        <w:trPr/>
        <w:tc>
          <w:tcPr>
            <w:tcW w:w="6466" w:type="dxa"/>
            <w:tcBorders/>
            <w:vAlign w:val="center"/>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66"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321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159" w:type="dxa"/>
            <w:tcBorders/>
            <w:vAlign w:val="bottom"/>
          </w:tcPr>
          <w:p>
            <w:pPr>
              <w:pStyle w:val="TableContents"/>
              <w:bidi w:val="0"/>
              <w:spacing w:before="0" w:after="283"/>
              <w:jc w:val="left"/>
              <w:rPr/>
            </w:pPr>
            <w:r>
              <w:rPr/>
              <w:t> </w:t>
            </w:r>
          </w:p>
        </w:tc>
      </w:tr>
      <w:tr>
        <w:trPr/>
        <w:tc>
          <w:tcPr>
            <w:tcW w:w="6466"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3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3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646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3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46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3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3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347</w:t>
            </w:r>
          </w:p>
        </w:tc>
        <w:tc>
          <w:tcPr>
            <w:tcW w:w="159" w:type="dxa"/>
            <w:tcBorders/>
            <w:shd w:fill="CCEEFF" w:val="clear"/>
            <w:vAlign w:val="bottom"/>
          </w:tcPr>
          <w:p>
            <w:pPr>
              <w:pStyle w:val="TableContents"/>
              <w:bidi w:val="0"/>
              <w:spacing w:before="0" w:after="283"/>
              <w:jc w:val="left"/>
              <w:rPr/>
            </w:pPr>
            <w:r>
              <w:rPr/>
              <w:t> </w:t>
            </w:r>
          </w:p>
        </w:tc>
      </w:tr>
      <w:tr>
        <w:trPr/>
        <w:tc>
          <w:tcPr>
            <w:tcW w:w="6466"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(3,994</w:t>
            </w:r>
          </w:p>
        </w:tc>
        <w:tc>
          <w:tcPr>
            <w:tcW w:w="155"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(5,307</w:t>
            </w:r>
          </w:p>
        </w:tc>
        <w:tc>
          <w:tcPr>
            <w:tcW w:w="159" w:type="dxa"/>
            <w:tcBorders/>
            <w:vAlign w:val="bottom"/>
          </w:tcPr>
          <w:p>
            <w:pPr>
              <w:pStyle w:val="TableContents"/>
              <w:bidi w:val="0"/>
              <w:spacing w:before="0" w:after="283"/>
              <w:jc w:val="left"/>
              <w:rPr/>
            </w:pPr>
            <w:r>
              <w:rPr/>
              <w:t>) </w:t>
            </w:r>
          </w:p>
        </w:tc>
      </w:tr>
      <w:tr>
        <w:trPr/>
        <w:tc>
          <w:tcPr>
            <w:tcW w:w="6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(5,906</w:t>
            </w:r>
          </w:p>
        </w:tc>
        <w:tc>
          <w:tcPr>
            <w:tcW w:w="155"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(6,450</w:t>
            </w:r>
          </w:p>
        </w:tc>
        <w:tc>
          <w:tcPr>
            <w:tcW w:w="159" w:type="dxa"/>
            <w:tcBorders/>
            <w:shd w:fill="CCEEFF" w:val="clear"/>
            <w:vAlign w:val="bottom"/>
          </w:tcPr>
          <w:p>
            <w:pPr>
              <w:pStyle w:val="TableContents"/>
              <w:bidi w:val="0"/>
              <w:spacing w:before="0" w:after="283"/>
              <w:jc w:val="left"/>
              <w:rPr/>
            </w:pPr>
            <w:r>
              <w:rPr/>
              <w:t>) </w:t>
            </w:r>
          </w:p>
        </w:tc>
      </w:tr>
      <w:tr>
        <w:trPr/>
        <w:tc>
          <w:tcPr>
            <w:tcW w:w="6466"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6" w:type="dxa"/>
            <w:tcBorders/>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3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(9,900</w:t>
            </w:r>
          </w:p>
        </w:tc>
        <w:tc>
          <w:tcPr>
            <w:tcW w:w="155"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(11,410</w:t>
            </w:r>
          </w:p>
        </w:tc>
        <w:tc>
          <w:tcPr>
            <w:tcW w:w="159" w:type="dxa"/>
            <w:tcBorders/>
            <w:vAlign w:val="bottom"/>
          </w:tcPr>
          <w:p>
            <w:pPr>
              <w:pStyle w:val="TableContents"/>
              <w:bidi w:val="0"/>
              <w:spacing w:before="0" w:after="283"/>
              <w:jc w:val="left"/>
              <w:rPr/>
            </w:pPr>
            <w:r>
              <w:rPr/>
              <w:t>) </w:t>
            </w:r>
          </w:p>
        </w:tc>
      </w:tr>
      <w:tr>
        <w:trPr/>
        <w:tc>
          <w:tcPr>
            <w:tcW w:w="646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Other income/(expenses)</w:t>
            </w:r>
          </w:p>
        </w:tc>
        <w:tc>
          <w:tcPr>
            <w:tcW w:w="3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466"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3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617</w:t>
            </w:r>
          </w:p>
        </w:tc>
        <w:tc>
          <w:tcPr>
            <w:tcW w:w="155"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306</w:t>
            </w:r>
          </w:p>
        </w:tc>
        <w:tc>
          <w:tcPr>
            <w:tcW w:w="159" w:type="dxa"/>
            <w:tcBorders/>
            <w:vAlign w:val="bottom"/>
          </w:tcPr>
          <w:p>
            <w:pPr>
              <w:pStyle w:val="TableContents"/>
              <w:bidi w:val="0"/>
              <w:spacing w:before="0" w:after="283"/>
              <w:jc w:val="left"/>
              <w:rPr/>
            </w:pPr>
            <w:r>
              <w:rPr/>
              <w:t> </w:t>
            </w:r>
          </w:p>
        </w:tc>
      </w:tr>
      <w:tr>
        <w:trPr/>
        <w:tc>
          <w:tcPr>
            <w:tcW w:w="6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3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(310</w:t>
            </w:r>
          </w:p>
        </w:tc>
        <w:tc>
          <w:tcPr>
            <w:tcW w:w="155"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(800</w:t>
            </w:r>
          </w:p>
        </w:tc>
        <w:tc>
          <w:tcPr>
            <w:tcW w:w="159" w:type="dxa"/>
            <w:tcBorders/>
            <w:shd w:fill="CCEEFF" w:val="clear"/>
            <w:vAlign w:val="bottom"/>
          </w:tcPr>
          <w:p>
            <w:pPr>
              <w:pStyle w:val="TableContents"/>
              <w:bidi w:val="0"/>
              <w:spacing w:before="0" w:after="283"/>
              <w:jc w:val="left"/>
              <w:rPr/>
            </w:pPr>
            <w:r>
              <w:rPr/>
              <w:t>) </w:t>
            </w:r>
          </w:p>
        </w:tc>
      </w:tr>
      <w:tr>
        <w:trPr/>
        <w:tc>
          <w:tcPr>
            <w:tcW w:w="6466" w:type="dxa"/>
            <w:tcBorders/>
          </w:tcPr>
          <w:p>
            <w:pPr>
              <w:pStyle w:val="TableContents"/>
              <w:bidi w:val="0"/>
              <w:spacing w:before="0" w:after="0"/>
              <w:jc w:val="left"/>
              <w:rPr>
                <w:rFonts w:ascii="Times New Roman" w:hAnsi="Times New Roman"/>
                <w:sz w:val="20"/>
              </w:rPr>
            </w:pPr>
            <w:r>
              <w:rPr>
                <w:rFonts w:ascii="Times New Roman" w:hAnsi="Times New Roman"/>
                <w:sz w:val="20"/>
              </w:rPr>
              <w:t>Changes in the fair value of financial instruments</w:t>
            </w:r>
          </w:p>
        </w:tc>
        <w:tc>
          <w:tcPr>
            <w:tcW w:w="3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(448</w:t>
            </w:r>
          </w:p>
        </w:tc>
        <w:tc>
          <w:tcPr>
            <w:tcW w:w="155"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542</w:t>
            </w:r>
          </w:p>
        </w:tc>
        <w:tc>
          <w:tcPr>
            <w:tcW w:w="159" w:type="dxa"/>
            <w:tcBorders/>
            <w:vAlign w:val="bottom"/>
          </w:tcPr>
          <w:p>
            <w:pPr>
              <w:pStyle w:val="TableContents"/>
              <w:bidi w:val="0"/>
              <w:spacing w:before="0" w:after="283"/>
              <w:jc w:val="left"/>
              <w:rPr/>
            </w:pPr>
            <w:r>
              <w:rPr/>
              <w:t> </w:t>
            </w:r>
          </w:p>
        </w:tc>
      </w:tr>
      <w:tr>
        <w:trPr/>
        <w:tc>
          <w:tcPr>
            <w:tcW w:w="6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transaction gain/(loss), net</w:t>
            </w:r>
          </w:p>
        </w:tc>
        <w:tc>
          <w:tcPr>
            <w:tcW w:w="3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613</w:t>
            </w:r>
          </w:p>
        </w:tc>
        <w:tc>
          <w:tcPr>
            <w:tcW w:w="155"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(1,207</w:t>
            </w:r>
          </w:p>
        </w:tc>
        <w:tc>
          <w:tcPr>
            <w:tcW w:w="159" w:type="dxa"/>
            <w:tcBorders/>
            <w:shd w:fill="CCEEFF" w:val="clear"/>
            <w:vAlign w:val="bottom"/>
          </w:tcPr>
          <w:p>
            <w:pPr>
              <w:pStyle w:val="TableContents"/>
              <w:bidi w:val="0"/>
              <w:spacing w:before="0" w:after="283"/>
              <w:jc w:val="left"/>
              <w:rPr/>
            </w:pPr>
            <w:r>
              <w:rPr/>
              <w:t>) </w:t>
            </w:r>
          </w:p>
        </w:tc>
      </w:tr>
      <w:tr>
        <w:trPr/>
        <w:tc>
          <w:tcPr>
            <w:tcW w:w="6466"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expenses, net</w:t>
            </w:r>
          </w:p>
        </w:tc>
        <w:tc>
          <w:tcPr>
            <w:tcW w:w="3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(6</w:t>
            </w:r>
          </w:p>
        </w:tc>
        <w:tc>
          <w:tcPr>
            <w:tcW w:w="159" w:type="dxa"/>
            <w:tcBorders/>
            <w:vAlign w:val="bottom"/>
          </w:tcPr>
          <w:p>
            <w:pPr>
              <w:pStyle w:val="TableContents"/>
              <w:bidi w:val="0"/>
              <w:spacing w:before="0" w:after="283"/>
              <w:jc w:val="left"/>
              <w:rPr/>
            </w:pPr>
            <w:r>
              <w:rPr/>
              <w:t>) </w:t>
            </w:r>
          </w:p>
        </w:tc>
      </w:tr>
      <w:tr>
        <w:trPr/>
        <w:tc>
          <w:tcPr>
            <w:tcW w:w="6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Benefit from research and development tax credit</w:t>
            </w:r>
          </w:p>
        </w:tc>
        <w:tc>
          <w:tcPr>
            <w:tcW w:w="3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477</w:t>
            </w:r>
          </w:p>
        </w:tc>
        <w:tc>
          <w:tcPr>
            <w:tcW w:w="155"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499</w:t>
            </w:r>
          </w:p>
        </w:tc>
        <w:tc>
          <w:tcPr>
            <w:tcW w:w="159" w:type="dxa"/>
            <w:tcBorders/>
            <w:shd w:fill="CCEEFF" w:val="clear"/>
            <w:vAlign w:val="bottom"/>
          </w:tcPr>
          <w:p>
            <w:pPr>
              <w:pStyle w:val="TableContents"/>
              <w:bidi w:val="0"/>
              <w:spacing w:before="0" w:after="283"/>
              <w:jc w:val="left"/>
              <w:rPr/>
            </w:pPr>
            <w:r>
              <w:rPr/>
              <w:t> </w:t>
            </w:r>
          </w:p>
        </w:tc>
      </w:tr>
      <w:tr>
        <w:trPr/>
        <w:tc>
          <w:tcPr>
            <w:tcW w:w="6466"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6"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 before income tax</w:t>
            </w:r>
          </w:p>
        </w:tc>
        <w:tc>
          <w:tcPr>
            <w:tcW w:w="3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(8,951</w:t>
            </w:r>
          </w:p>
        </w:tc>
        <w:tc>
          <w:tcPr>
            <w:tcW w:w="155"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(12,076</w:t>
            </w:r>
          </w:p>
        </w:tc>
        <w:tc>
          <w:tcPr>
            <w:tcW w:w="159" w:type="dxa"/>
            <w:tcBorders/>
            <w:vAlign w:val="bottom"/>
          </w:tcPr>
          <w:p>
            <w:pPr>
              <w:pStyle w:val="TableContents"/>
              <w:bidi w:val="0"/>
              <w:spacing w:before="0" w:after="283"/>
              <w:jc w:val="left"/>
              <w:rPr/>
            </w:pPr>
            <w:r>
              <w:rPr/>
              <w:t>) </w:t>
            </w:r>
          </w:p>
        </w:tc>
      </w:tr>
      <w:tr>
        <w:trPr/>
        <w:tc>
          <w:tcPr>
            <w:tcW w:w="6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benefit</w:t>
            </w:r>
          </w:p>
        </w:tc>
        <w:tc>
          <w:tcPr>
            <w:tcW w:w="3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466"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3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(8,951</w:t>
            </w:r>
          </w:p>
        </w:tc>
        <w:tc>
          <w:tcPr>
            <w:tcW w:w="155"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(12,076</w:t>
            </w:r>
          </w:p>
        </w:tc>
        <w:tc>
          <w:tcPr>
            <w:tcW w:w="159" w:type="dxa"/>
            <w:tcBorders/>
            <w:vAlign w:val="bottom"/>
          </w:tcPr>
          <w:p>
            <w:pPr>
              <w:pStyle w:val="TableContents"/>
              <w:bidi w:val="0"/>
              <w:spacing w:before="0" w:after="283"/>
              <w:jc w:val="left"/>
              <w:rPr/>
            </w:pPr>
            <w:r>
              <w:rPr/>
              <w:t>) </w:t>
            </w:r>
          </w:p>
        </w:tc>
      </w:tr>
      <w:tr>
        <w:trPr/>
        <w:tc>
          <w:tcPr>
            <w:tcW w:w="6466"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Loss per share  basic and diluted</w:t>
            </w:r>
          </w:p>
        </w:tc>
        <w:tc>
          <w:tcPr>
            <w:tcW w:w="3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(0.01</w:t>
            </w:r>
          </w:p>
        </w:tc>
        <w:tc>
          <w:tcPr>
            <w:tcW w:w="155"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(0.02</w:t>
            </w:r>
          </w:p>
        </w:tc>
        <w:tc>
          <w:tcPr>
            <w:tcW w:w="159" w:type="dxa"/>
            <w:tcBorders/>
            <w:shd w:fill="CCEEFF" w:val="clear"/>
            <w:vAlign w:val="bottom"/>
          </w:tcPr>
          <w:p>
            <w:pPr>
              <w:pStyle w:val="TableContents"/>
              <w:bidi w:val="0"/>
              <w:spacing w:before="0" w:after="283"/>
              <w:jc w:val="left"/>
              <w:rPr/>
            </w:pPr>
            <w:r>
              <w:rPr/>
              <w:t>) </w:t>
            </w:r>
          </w:p>
        </w:tc>
      </w:tr>
      <w:tr>
        <w:trPr/>
        <w:tc>
          <w:tcPr>
            <w:tcW w:w="6466"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6"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 basic and diluted</w:t>
            </w:r>
          </w:p>
        </w:tc>
        <w:tc>
          <w:tcPr>
            <w:tcW w:w="3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700,263,490</w:t>
            </w:r>
          </w:p>
        </w:tc>
        <w:tc>
          <w:tcPr>
            <w:tcW w:w="155"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623,925,635</w:t>
            </w:r>
          </w:p>
        </w:tc>
        <w:tc>
          <w:tcPr>
            <w:tcW w:w="159" w:type="dxa"/>
            <w:tcBorders/>
            <w:vAlign w:val="bottom"/>
          </w:tcPr>
          <w:p>
            <w:pPr>
              <w:pStyle w:val="TableContents"/>
              <w:bidi w:val="0"/>
              <w:spacing w:before="0" w:after="283"/>
              <w:jc w:val="left"/>
              <w:rPr/>
            </w:pPr>
            <w:r>
              <w:rPr/>
              <w:t> </w:t>
            </w:r>
          </w:p>
        </w:tc>
      </w:tr>
      <w:tr>
        <w:trPr/>
        <w:tc>
          <w:tcPr>
            <w:tcW w:w="6466"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(8,951</w:t>
            </w:r>
          </w:p>
        </w:tc>
        <w:tc>
          <w:tcPr>
            <w:tcW w:w="155"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(12,076</w:t>
            </w:r>
          </w:p>
        </w:tc>
        <w:tc>
          <w:tcPr>
            <w:tcW w:w="159" w:type="dxa"/>
            <w:tcBorders/>
            <w:shd w:fill="CCEEFF" w:val="clear"/>
            <w:vAlign w:val="bottom"/>
          </w:tcPr>
          <w:p>
            <w:pPr>
              <w:pStyle w:val="TableContents"/>
              <w:bidi w:val="0"/>
              <w:spacing w:before="0" w:after="283"/>
              <w:jc w:val="left"/>
              <w:rPr/>
            </w:pPr>
            <w:r>
              <w:rPr/>
              <w:t>) </w:t>
            </w:r>
          </w:p>
        </w:tc>
      </w:tr>
      <w:tr>
        <w:trPr/>
        <w:tc>
          <w:tcPr>
            <w:tcW w:w="6466"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(loss)/income  Foreign currency transaction adjustments, net of tax</w:t>
            </w:r>
          </w:p>
        </w:tc>
        <w:tc>
          <w:tcPr>
            <w:tcW w:w="3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(798</w:t>
            </w:r>
          </w:p>
        </w:tc>
        <w:tc>
          <w:tcPr>
            <w:tcW w:w="155"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2,278</w:t>
            </w:r>
          </w:p>
        </w:tc>
        <w:tc>
          <w:tcPr>
            <w:tcW w:w="159" w:type="dxa"/>
            <w:tcBorders/>
            <w:vAlign w:val="bottom"/>
          </w:tcPr>
          <w:p>
            <w:pPr>
              <w:pStyle w:val="TableContents"/>
              <w:bidi w:val="0"/>
              <w:spacing w:before="0" w:after="283"/>
              <w:jc w:val="left"/>
              <w:rPr/>
            </w:pPr>
            <w:r>
              <w:rPr/>
              <w:t> </w:t>
            </w:r>
          </w:p>
        </w:tc>
      </w:tr>
      <w:tr>
        <w:trPr/>
        <w:tc>
          <w:tcPr>
            <w:tcW w:w="6466"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comprehensive loss</w:t>
            </w:r>
          </w:p>
        </w:tc>
        <w:tc>
          <w:tcPr>
            <w:tcW w:w="3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(9,749</w:t>
            </w:r>
          </w:p>
        </w:tc>
        <w:tc>
          <w:tcPr>
            <w:tcW w:w="155"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(9,798</w:t>
            </w:r>
          </w:p>
        </w:tc>
        <w:tc>
          <w:tcPr>
            <w:tcW w:w="159" w:type="dxa"/>
            <w:tcBorders/>
            <w:shd w:fill="CCEEFF" w:val="clear"/>
            <w:vAlign w:val="bottom"/>
          </w:tcPr>
          <w:p>
            <w:pPr>
              <w:pStyle w:val="TableContents"/>
              <w:bidi w:val="0"/>
              <w:spacing w:before="0" w:after="283"/>
              <w:jc w:val="left"/>
              <w:rPr/>
            </w:pPr>
            <w:r>
              <w:rPr/>
              <w:t>) </w:t>
            </w:r>
          </w:p>
        </w:tc>
      </w:tr>
      <w:tr>
        <w:trPr/>
        <w:tc>
          <w:tcPr>
            <w:tcW w:w="6466"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3036</Words>
  <Characters>16590</Characters>
  <CharactersWithSpaces>19867</CharactersWithSpaces>
  <Paragraphs>801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